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sz w:val="32"/>
          <w:szCs w:val="32"/>
          <w:lang w:eastAsia="zh-CN"/>
        </w:rPr>
      </w:pPr>
    </w:p>
    <w:p>
      <w:pPr>
        <w:jc w:val="center"/>
        <w:rPr>
          <w:rFonts w:eastAsia="方正楷体_GBK"/>
          <w:sz w:val="28"/>
          <w:szCs w:val="28"/>
          <w:lang w:eastAsia="zh-CN"/>
        </w:rPr>
      </w:pPr>
      <w:r>
        <w:rPr>
          <w:rFonts w:hint="eastAsia" w:eastAsia="方正小标宋_GBK"/>
          <w:sz w:val="32"/>
          <w:szCs w:val="32"/>
          <w:lang w:eastAsia="zh-CN"/>
        </w:rPr>
        <w:t>江苏省发展改革行政处罚裁量基准</w:t>
      </w:r>
    </w:p>
    <w:tbl>
      <w:tblPr>
        <w:tblStyle w:val="5"/>
        <w:tblW w:w="14795" w:type="dxa"/>
        <w:jc w:val="center"/>
        <w:tblLayout w:type="autofit"/>
        <w:tblCellMar>
          <w:top w:w="0" w:type="dxa"/>
          <w:left w:w="108" w:type="dxa"/>
          <w:bottom w:w="0" w:type="dxa"/>
          <w:right w:w="108" w:type="dxa"/>
        </w:tblCellMar>
      </w:tblPr>
      <w:tblGrid>
        <w:gridCol w:w="567"/>
        <w:gridCol w:w="1640"/>
        <w:gridCol w:w="7201"/>
        <w:gridCol w:w="2126"/>
        <w:gridCol w:w="3261"/>
      </w:tblGrid>
      <w:tr>
        <w:tblPrEx>
          <w:tblCellMar>
            <w:top w:w="0" w:type="dxa"/>
            <w:left w:w="108" w:type="dxa"/>
            <w:bottom w:w="0" w:type="dxa"/>
            <w:right w:w="108" w:type="dxa"/>
          </w:tblCellMar>
        </w:tblPrEx>
        <w:trPr>
          <w:trHeight w:val="20"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方正黑体_GBK" w:cs="宋体"/>
                <w:color w:val="000000"/>
                <w:spacing w:val="0"/>
                <w:sz w:val="28"/>
                <w:szCs w:val="28"/>
                <w:lang w:eastAsia="zh-CN"/>
              </w:rPr>
            </w:pPr>
            <w:r>
              <w:rPr>
                <w:rFonts w:hint="eastAsia" w:eastAsia="方正黑体_GBK" w:cs="宋体"/>
                <w:color w:val="000000"/>
                <w:spacing w:val="0"/>
                <w:sz w:val="28"/>
                <w:szCs w:val="28"/>
                <w:lang w:eastAsia="zh-CN"/>
              </w:rPr>
              <w:t>序号</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方正黑体_GBK" w:cs="宋体"/>
                <w:color w:val="000000"/>
                <w:spacing w:val="0"/>
                <w:sz w:val="28"/>
                <w:szCs w:val="28"/>
                <w:lang w:eastAsia="zh-CN"/>
              </w:rPr>
            </w:pPr>
            <w:r>
              <w:rPr>
                <w:rFonts w:hint="eastAsia" w:eastAsia="方正黑体_GBK" w:cs="宋体"/>
                <w:color w:val="000000"/>
                <w:spacing w:val="0"/>
                <w:sz w:val="28"/>
                <w:szCs w:val="28"/>
                <w:lang w:eastAsia="zh-CN"/>
              </w:rPr>
              <w:t>违法行为</w:t>
            </w:r>
          </w:p>
        </w:tc>
        <w:tc>
          <w:tcPr>
            <w:tcW w:w="720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方正黑体_GBK" w:cs="宋体"/>
                <w:color w:val="000000"/>
                <w:spacing w:val="0"/>
                <w:sz w:val="28"/>
                <w:szCs w:val="28"/>
                <w:lang w:eastAsia="zh-CN"/>
              </w:rPr>
            </w:pPr>
            <w:r>
              <w:rPr>
                <w:rFonts w:hint="eastAsia" w:eastAsia="方正黑体_GBK" w:cs="宋体"/>
                <w:color w:val="000000"/>
                <w:spacing w:val="0"/>
                <w:sz w:val="28"/>
                <w:szCs w:val="28"/>
                <w:lang w:eastAsia="zh-CN"/>
              </w:rPr>
              <w:t>处罚依据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方正黑体_GBK" w:cs="宋体"/>
                <w:color w:val="000000"/>
                <w:spacing w:val="0"/>
                <w:sz w:val="28"/>
                <w:szCs w:val="28"/>
                <w:lang w:eastAsia="zh-CN"/>
              </w:rPr>
            </w:pPr>
            <w:r>
              <w:rPr>
                <w:rFonts w:hint="eastAsia" w:eastAsia="方正黑体_GBK" w:cs="宋体"/>
                <w:color w:val="000000"/>
                <w:spacing w:val="0"/>
                <w:sz w:val="28"/>
                <w:szCs w:val="28"/>
                <w:lang w:eastAsia="zh-CN"/>
              </w:rPr>
              <w:t>违法情节</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方正黑体_GBK" w:cs="宋体"/>
                <w:color w:val="000000"/>
                <w:spacing w:val="0"/>
                <w:sz w:val="28"/>
                <w:szCs w:val="28"/>
                <w:lang w:eastAsia="zh-CN"/>
              </w:rPr>
            </w:pPr>
            <w:r>
              <w:rPr>
                <w:rFonts w:hint="eastAsia" w:eastAsia="方正黑体_GBK" w:cs="宋体"/>
                <w:color w:val="000000"/>
                <w:spacing w:val="0"/>
                <w:sz w:val="28"/>
                <w:szCs w:val="28"/>
                <w:lang w:eastAsia="zh-CN"/>
              </w:rPr>
              <w:t>裁量基准</w:t>
            </w:r>
          </w:p>
        </w:tc>
      </w:tr>
      <w:tr>
        <w:tblPrEx>
          <w:tblCellMar>
            <w:top w:w="0" w:type="dxa"/>
            <w:left w:w="108" w:type="dxa"/>
            <w:bottom w:w="0" w:type="dxa"/>
            <w:right w:w="108" w:type="dxa"/>
          </w:tblCellMar>
        </w:tblPrEx>
        <w:trPr>
          <w:trHeight w:val="20" w:hRule="atLeast"/>
          <w:jc w:val="center"/>
        </w:trPr>
        <w:tc>
          <w:tcPr>
            <w:tcW w:w="567" w:type="dxa"/>
            <w:vMerge w:val="restart"/>
            <w:tcBorders>
              <w:top w:val="nil"/>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highlight w:val="none"/>
                <w:lang w:eastAsia="zh-CN"/>
              </w:rPr>
            </w:pPr>
            <w:r>
              <w:rPr>
                <w:rFonts w:hint="eastAsia" w:cs="宋体"/>
                <w:color w:val="000000"/>
                <w:spacing w:val="0"/>
                <w:highlight w:val="none"/>
                <w:lang w:eastAsia="zh-CN"/>
              </w:rPr>
              <w:t>1</w:t>
            </w:r>
          </w:p>
        </w:tc>
        <w:tc>
          <w:tcPr>
            <w:tcW w:w="1640" w:type="dxa"/>
            <w:vMerge w:val="restart"/>
            <w:tcBorders>
              <w:top w:val="nil"/>
              <w:left w:val="nil"/>
              <w:right w:val="single" w:color="auto" w:sz="4" w:space="0"/>
            </w:tcBorders>
            <w:shd w:val="clear" w:color="auto" w:fill="auto"/>
            <w:vAlign w:val="center"/>
          </w:tcPr>
          <w:p>
            <w:pPr>
              <w:adjustRightInd w:val="0"/>
              <w:snapToGrid w:val="0"/>
              <w:jc w:val="left"/>
              <w:rPr>
                <w:rFonts w:cs="宋体"/>
                <w:color w:val="000000"/>
                <w:spacing w:val="0"/>
                <w:highlight w:val="none"/>
                <w:lang w:eastAsia="zh-CN"/>
              </w:rPr>
            </w:pPr>
            <w:r>
              <w:rPr>
                <w:rFonts w:hint="eastAsia" w:cs="宋体"/>
                <w:color w:val="000000"/>
                <w:spacing w:val="0"/>
                <w:highlight w:val="none"/>
                <w:lang w:eastAsia="zh-CN"/>
              </w:rPr>
              <w:t>实行核准管理的项目，企业未按照规定办理核准手续开工建设或者未按照核准的建设地点、建设规模、建设内容等进行建设</w:t>
            </w:r>
          </w:p>
        </w:tc>
        <w:tc>
          <w:tcPr>
            <w:tcW w:w="7201" w:type="dxa"/>
            <w:vMerge w:val="restart"/>
            <w:tcBorders>
              <w:top w:val="nil"/>
              <w:left w:val="nil"/>
              <w:right w:val="single" w:color="auto" w:sz="4" w:space="0"/>
            </w:tcBorders>
            <w:shd w:val="clear" w:color="auto" w:fill="auto"/>
            <w:vAlign w:val="center"/>
          </w:tcPr>
          <w:p>
            <w:pPr>
              <w:adjustRightInd w:val="0"/>
              <w:snapToGrid w:val="0"/>
              <w:ind w:left="440" w:hanging="440" w:hangingChars="200"/>
              <w:rPr>
                <w:rFonts w:cs="宋体"/>
                <w:color w:val="000000"/>
                <w:spacing w:val="0"/>
                <w:highlight w:val="none"/>
                <w:lang w:eastAsia="zh-CN"/>
              </w:rPr>
            </w:pPr>
            <w:r>
              <w:rPr>
                <w:rFonts w:hint="eastAsia" w:cs="宋体"/>
                <w:color w:val="000000"/>
                <w:spacing w:val="0"/>
                <w:highlight w:val="none"/>
                <w:lang w:eastAsia="zh-CN"/>
              </w:rPr>
              <w:t>【行政法规】《企业投资项目核准和备案管理条例》</w:t>
            </w:r>
          </w:p>
          <w:p>
            <w:pPr>
              <w:adjustRightInd w:val="0"/>
              <w:snapToGrid w:val="0"/>
              <w:ind w:firstLine="440" w:firstLineChars="200"/>
              <w:rPr>
                <w:rFonts w:cs="宋体"/>
                <w:color w:val="000000"/>
                <w:spacing w:val="0"/>
                <w:highlight w:val="none"/>
                <w:lang w:eastAsia="zh-CN"/>
              </w:rPr>
            </w:pPr>
            <w:r>
              <w:rPr>
                <w:rFonts w:hint="eastAsia" w:cs="宋体"/>
                <w:color w:val="000000"/>
                <w:spacing w:val="0"/>
                <w:highlight w:val="none"/>
                <w:lang w:eastAsia="zh-CN"/>
              </w:rPr>
              <w:t>第十八条第一款</w:t>
            </w:r>
            <w:r>
              <w:rPr>
                <w:rFonts w:hint="eastAsia" w:cs="宋体"/>
                <w:color w:val="000000"/>
                <w:spacing w:val="0"/>
                <w:highlight w:val="none"/>
                <w:lang w:val="en-US" w:eastAsia="zh-CN"/>
              </w:rPr>
              <w:t xml:space="preserve">  </w:t>
            </w:r>
            <w:r>
              <w:rPr>
                <w:rFonts w:hint="eastAsia" w:cs="宋体"/>
                <w:color w:val="000000"/>
                <w:spacing w:val="0"/>
                <w:highlight w:val="none"/>
                <w:lang w:eastAsia="zh-CN"/>
              </w:rPr>
              <w:t>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adjustRightInd w:val="0"/>
              <w:snapToGrid w:val="0"/>
              <w:rPr>
                <w:rFonts w:cs="宋体"/>
                <w:color w:val="000000"/>
                <w:spacing w:val="0"/>
                <w:highlight w:val="none"/>
                <w:lang w:eastAsia="zh-CN"/>
              </w:rPr>
            </w:pPr>
            <w:r>
              <w:rPr>
                <w:rFonts w:hint="eastAsia" w:cs="宋体"/>
                <w:color w:val="000000"/>
                <w:spacing w:val="0"/>
                <w:highlight w:val="none"/>
                <w:lang w:eastAsia="zh-CN"/>
              </w:rPr>
              <w:t>【规章】《企业投资项目核准和备案管理办法》（国家发展改革委令2017年第2号）</w:t>
            </w:r>
          </w:p>
          <w:p>
            <w:pPr>
              <w:adjustRightInd w:val="0"/>
              <w:snapToGrid w:val="0"/>
              <w:ind w:firstLine="450"/>
              <w:rPr>
                <w:rFonts w:cs="宋体"/>
                <w:color w:val="000000"/>
                <w:spacing w:val="0"/>
                <w:highlight w:val="none"/>
                <w:lang w:eastAsia="zh-CN"/>
              </w:rPr>
            </w:pPr>
            <w:r>
              <w:rPr>
                <w:rFonts w:hint="eastAsia" w:cs="宋体"/>
                <w:color w:val="000000"/>
                <w:spacing w:val="0"/>
                <w:highlight w:val="none"/>
                <w:lang w:eastAsia="zh-CN"/>
              </w:rPr>
              <w:t>第五十六条第一款</w:t>
            </w:r>
            <w:r>
              <w:rPr>
                <w:rFonts w:hint="eastAsia" w:cs="宋体"/>
                <w:color w:val="000000"/>
                <w:spacing w:val="0"/>
                <w:highlight w:val="none"/>
                <w:lang w:val="en-US" w:eastAsia="zh-CN"/>
              </w:rPr>
              <w:t xml:space="preserve"> </w:t>
            </w:r>
            <w:r>
              <w:rPr>
                <w:rFonts w:hint="eastAsia" w:cs="宋体"/>
                <w:color w:val="000000"/>
                <w:spacing w:val="0"/>
                <w:highlight w:val="none"/>
                <w:lang w:eastAsia="zh-CN"/>
              </w:rPr>
              <w:t xml:space="preserve"> 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tc>
        <w:tc>
          <w:tcPr>
            <w:tcW w:w="2126" w:type="dxa"/>
            <w:tcBorders>
              <w:top w:val="nil"/>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原项目核准文件失效后，企业仍开工建设</w:t>
            </w:r>
          </w:p>
        </w:tc>
        <w:tc>
          <w:tcPr>
            <w:tcW w:w="3261" w:type="dxa"/>
            <w:tcBorders>
              <w:top w:val="nil"/>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由核准机关责令停止建设或责令停产，对企业处项目总投资额1‰以上3‰以下的罚款，对直接负责的主管人员和其他直接责任人员处2万元以上3万元以下的罚款，属于国家工作人员的，依法给予处分。</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highlight w:val="none"/>
                <w:lang w:eastAsia="zh-CN"/>
              </w:rPr>
            </w:pPr>
          </w:p>
        </w:tc>
        <w:tc>
          <w:tcPr>
            <w:tcW w:w="1640" w:type="dxa"/>
            <w:vMerge w:val="continue"/>
            <w:tcBorders>
              <w:left w:val="nil"/>
              <w:right w:val="single" w:color="auto" w:sz="4" w:space="0"/>
            </w:tcBorders>
            <w:shd w:val="clear" w:color="auto" w:fill="auto"/>
            <w:vAlign w:val="center"/>
          </w:tcPr>
          <w:p>
            <w:pPr>
              <w:adjustRightInd w:val="0"/>
              <w:snapToGrid w:val="0"/>
              <w:jc w:val="left"/>
              <w:rPr>
                <w:rFonts w:cs="宋体"/>
                <w:color w:val="000000"/>
                <w:spacing w:val="0"/>
                <w:highlight w:val="none"/>
                <w:lang w:eastAsia="zh-CN"/>
              </w:rPr>
            </w:pPr>
          </w:p>
        </w:tc>
        <w:tc>
          <w:tcPr>
            <w:tcW w:w="7201" w:type="dxa"/>
            <w:vMerge w:val="continue"/>
            <w:tcBorders>
              <w:left w:val="nil"/>
              <w:right w:val="single" w:color="auto" w:sz="4" w:space="0"/>
            </w:tcBorders>
            <w:shd w:val="clear" w:color="auto" w:fill="auto"/>
            <w:vAlign w:val="center"/>
          </w:tcPr>
          <w:p>
            <w:pPr>
              <w:adjustRightInd w:val="0"/>
              <w:snapToGrid w:val="0"/>
              <w:ind w:left="440" w:hanging="440" w:hangingChars="200"/>
              <w:rPr>
                <w:rFonts w:cs="宋体"/>
                <w:color w:val="000000"/>
                <w:spacing w:val="0"/>
                <w:highlight w:val="none"/>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企业未按照核准的建设地点、建设规模、建设内容等进行建设</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由核准机关责令停止建设或责令停产，对企业处项目总投资额3‰以上4‰以下的罚款，对直接负责的主管人员和其他直接责任人员处3万元以上4万元以下的罚款，属于国家工作人员的，依法给予处分。</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highlight w:val="none"/>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jc w:val="left"/>
              <w:rPr>
                <w:rFonts w:cs="宋体"/>
                <w:color w:val="000000"/>
                <w:spacing w:val="0"/>
                <w:highlight w:val="none"/>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ind w:left="440" w:hanging="440" w:hangingChars="200"/>
              <w:rPr>
                <w:rFonts w:cs="宋体"/>
                <w:color w:val="000000"/>
                <w:spacing w:val="0"/>
                <w:highlight w:val="none"/>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企业未按照规定办理核准手续开工建设</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highlight w:val="none"/>
                <w:lang w:eastAsia="zh-CN"/>
              </w:rPr>
            </w:pPr>
            <w:r>
              <w:rPr>
                <w:rFonts w:hint="eastAsia" w:cs="宋体"/>
                <w:color w:val="000000"/>
                <w:spacing w:val="0"/>
                <w:highlight w:val="none"/>
                <w:lang w:eastAsia="zh-CN"/>
              </w:rPr>
              <w:t>由核准机关责令停止建设或责令停产，对企业处项目总投资额4‰以上5‰以下的罚款，对直接负责的主管人员和其他直接责任人员处4万元以上5万元以下的罚款，属于国家工作人员的，依法给予处分。</w:t>
            </w:r>
          </w:p>
        </w:tc>
      </w:tr>
      <w:tr>
        <w:tblPrEx>
          <w:tblCellMar>
            <w:top w:w="0" w:type="dxa"/>
            <w:left w:w="108" w:type="dxa"/>
            <w:bottom w:w="0" w:type="dxa"/>
            <w:right w:w="108" w:type="dxa"/>
          </w:tblCellMar>
        </w:tblPrEx>
        <w:trPr>
          <w:trHeight w:val="1856"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2</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实行核准管理的项目，企业以欺骗、贿赂等不正当手段取得项目核准文件</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ind w:left="440" w:hanging="440" w:hangingChars="200"/>
              <w:rPr>
                <w:rFonts w:cs="宋体"/>
                <w:color w:val="000000"/>
                <w:spacing w:val="0"/>
                <w:lang w:eastAsia="zh-CN"/>
              </w:rPr>
            </w:pPr>
            <w:r>
              <w:rPr>
                <w:rFonts w:hint="eastAsia" w:cs="宋体"/>
                <w:color w:val="000000"/>
                <w:spacing w:val="0"/>
                <w:lang w:eastAsia="zh-CN"/>
              </w:rPr>
              <w:t>【行政法规】《企业投资项目核准和备案管理条例》</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第十八条</w:t>
            </w:r>
            <w:r>
              <w:rPr>
                <w:rFonts w:hint="eastAsia" w:cs="宋体"/>
                <w:color w:val="000000"/>
                <w:spacing w:val="0"/>
                <w:lang w:val="en-US" w:eastAsia="zh-CN"/>
              </w:rPr>
              <w:t xml:space="preserve">  </w:t>
            </w:r>
            <w:r>
              <w:rPr>
                <w:rFonts w:hint="eastAsia" w:cs="宋体"/>
                <w:color w:val="000000"/>
                <w:spacing w:val="0"/>
                <w:lang w:eastAsia="zh-CN"/>
              </w:rPr>
              <w:t>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adjustRightInd w:val="0"/>
              <w:snapToGrid w:val="0"/>
              <w:ind w:firstLine="450"/>
              <w:rPr>
                <w:rFonts w:cs="宋体"/>
                <w:color w:val="000000"/>
                <w:spacing w:val="0"/>
                <w:lang w:eastAsia="zh-CN"/>
              </w:rPr>
            </w:pPr>
            <w:r>
              <w:rPr>
                <w:rFonts w:hint="eastAsia" w:cs="宋体"/>
                <w:color w:val="000000"/>
                <w:spacing w:val="0"/>
                <w:lang w:eastAsia="zh-CN"/>
              </w:rPr>
              <w:t>以欺骗、贿赂等不正当手段取得项目核准文件，尚未开工建设的，由核准机关撤销核准文件，处项目总投资额1‰以上5‰以下的罚款；已经开工建设的，依照前款规定予以处罚；构成犯罪的，依法追究刑事责任。</w:t>
            </w:r>
          </w:p>
          <w:p>
            <w:pPr>
              <w:adjustRightInd w:val="0"/>
              <w:snapToGrid w:val="0"/>
              <w:rPr>
                <w:rFonts w:cs="宋体"/>
                <w:color w:val="000000"/>
                <w:spacing w:val="0"/>
                <w:lang w:eastAsia="zh-CN"/>
              </w:rPr>
            </w:pPr>
            <w:r>
              <w:rPr>
                <w:rFonts w:hint="eastAsia" w:cs="宋体"/>
                <w:color w:val="000000"/>
                <w:spacing w:val="0"/>
                <w:lang w:eastAsia="zh-CN"/>
              </w:rPr>
              <w:t>【规章】《企业投资项目核准和备案管理办法》（国家发展改革委令2017年第2号）</w:t>
            </w:r>
          </w:p>
          <w:p>
            <w:pPr>
              <w:adjustRightInd w:val="0"/>
              <w:snapToGrid w:val="0"/>
              <w:ind w:firstLine="435"/>
              <w:rPr>
                <w:rFonts w:cs="宋体"/>
                <w:color w:val="000000"/>
                <w:spacing w:val="0"/>
                <w:lang w:eastAsia="zh-CN"/>
              </w:rPr>
            </w:pPr>
            <w:r>
              <w:rPr>
                <w:rFonts w:hint="eastAsia" w:cs="宋体"/>
                <w:color w:val="000000"/>
                <w:spacing w:val="0"/>
                <w:lang w:eastAsia="zh-CN"/>
              </w:rPr>
              <w:t>第五十六条</w:t>
            </w:r>
            <w:r>
              <w:rPr>
                <w:rFonts w:hint="eastAsia" w:cs="宋体"/>
                <w:color w:val="000000"/>
                <w:spacing w:val="0"/>
                <w:lang w:val="en-US" w:eastAsia="zh-CN"/>
              </w:rPr>
              <w:t xml:space="preserve"> </w:t>
            </w:r>
            <w:r>
              <w:rPr>
                <w:rFonts w:hint="eastAsia" w:cs="宋体"/>
                <w:color w:val="000000"/>
                <w:spacing w:val="0"/>
                <w:lang w:eastAsia="zh-CN"/>
              </w:rPr>
              <w:t xml:space="preserve"> 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p>
            <w:pPr>
              <w:adjustRightInd w:val="0"/>
              <w:snapToGrid w:val="0"/>
              <w:ind w:firstLine="435"/>
              <w:rPr>
                <w:rFonts w:cs="宋体"/>
                <w:color w:val="000000"/>
                <w:spacing w:val="0"/>
                <w:lang w:eastAsia="zh-CN"/>
              </w:rPr>
            </w:pPr>
            <w:r>
              <w:rPr>
                <w:rFonts w:hint="eastAsia" w:cs="宋体"/>
                <w:color w:val="000000"/>
                <w:spacing w:val="0"/>
                <w:lang w:eastAsia="zh-CN"/>
              </w:rPr>
              <w:t>以欺骗、贿赂等不正当手段取得项目核准文件，尚未开工建设的，由核准机关撤销核准文件，处项目总投资额1‰以上5‰以下的罚款；已经开工建设的，依照前款规定予以处罚；构成犯罪的，依法追究刑事责任。</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以欺骗、贿赂等不正当手段取得项目核准文件，尚未开工建设</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由核准机关撤销核准文件，处项目总投资额1‰以上5‰以下的罚款。</w:t>
            </w:r>
          </w:p>
        </w:tc>
      </w:tr>
      <w:tr>
        <w:tblPrEx>
          <w:tblCellMar>
            <w:top w:w="0" w:type="dxa"/>
            <w:left w:w="108" w:type="dxa"/>
            <w:bottom w:w="0" w:type="dxa"/>
            <w:right w:w="108" w:type="dxa"/>
          </w:tblCellMar>
        </w:tblPrEx>
        <w:trPr>
          <w:trHeight w:val="2675"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ind w:left="440" w:hanging="440" w:hangingChars="20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以欺骗、贿赂等不正当手段取得项目核准文件，已开工建设，尚未投入使用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由核准机关撤销核准文件、责令停止建设，对企业处项目总投资额1‰以上</w:t>
            </w:r>
            <w:r>
              <w:rPr>
                <w:rFonts w:hint="eastAsia" w:cs="宋体"/>
                <w:color w:val="000000"/>
                <w:spacing w:val="0"/>
                <w:lang w:val="en-US" w:eastAsia="zh-CN"/>
              </w:rPr>
              <w:t>3</w:t>
            </w:r>
            <w:r>
              <w:rPr>
                <w:rFonts w:hint="eastAsia" w:cs="宋体"/>
                <w:color w:val="000000"/>
                <w:spacing w:val="0"/>
                <w:lang w:eastAsia="zh-CN"/>
              </w:rPr>
              <w:t>‰以下的罚款，对直接负责的主管人员和其他直接责任人员处2万元以上4万元以下的罚款，属于国家工作人员的，依法给予处分。</w:t>
            </w:r>
          </w:p>
        </w:tc>
      </w:tr>
      <w:tr>
        <w:tblPrEx>
          <w:tblCellMar>
            <w:top w:w="0" w:type="dxa"/>
            <w:left w:w="108" w:type="dxa"/>
            <w:bottom w:w="0" w:type="dxa"/>
            <w:right w:w="108" w:type="dxa"/>
          </w:tblCellMar>
        </w:tblPrEx>
        <w:trPr>
          <w:trHeight w:val="3501"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ind w:left="440" w:hanging="440" w:hangingChars="20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以欺骗、贿赂等不正当手段取得项目核准文件，已开工建设并已投入使用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由核准机关撤销核准文件、责令停产，对企业处项目总投资额3‰以上5‰以下的罚款，对直接负责的主管人员和其他直接责任人员处4万元以上5万元以下的罚款，属于国家工作人员的，依法给予处分。</w:t>
            </w:r>
          </w:p>
        </w:tc>
      </w:tr>
      <w:tr>
        <w:tblPrEx>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3</w:t>
            </w:r>
          </w:p>
        </w:tc>
        <w:tc>
          <w:tcPr>
            <w:tcW w:w="164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实行备案管理的项目，企业未依照规定将项目信息或者已备案项目的信息变更情况告知备案机关，或者向备案机关提供虚假信息</w:t>
            </w:r>
          </w:p>
        </w:tc>
        <w:tc>
          <w:tcPr>
            <w:tcW w:w="7201"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【行政法规】《企业投资项目核准和备案管理条例》</w:t>
            </w:r>
          </w:p>
          <w:p>
            <w:pPr>
              <w:adjustRightInd w:val="0"/>
              <w:snapToGrid w:val="0"/>
              <w:rPr>
                <w:rFonts w:cs="宋体"/>
                <w:color w:val="000000"/>
                <w:spacing w:val="0"/>
                <w:lang w:eastAsia="zh-CN"/>
              </w:rPr>
            </w:pPr>
            <w:r>
              <w:rPr>
                <w:rFonts w:hint="eastAsia" w:cs="宋体"/>
                <w:color w:val="000000"/>
                <w:spacing w:val="0"/>
                <w:lang w:eastAsia="zh-CN"/>
              </w:rPr>
              <w:t xml:space="preserve">    第十九条</w:t>
            </w:r>
            <w:r>
              <w:rPr>
                <w:rFonts w:hint="eastAsia" w:cs="宋体"/>
                <w:color w:val="000000"/>
                <w:spacing w:val="0"/>
                <w:lang w:val="en-US" w:eastAsia="zh-CN"/>
              </w:rPr>
              <w:t xml:space="preserve">  </w:t>
            </w:r>
            <w:r>
              <w:rPr>
                <w:rFonts w:hint="eastAsia" w:cs="宋体"/>
                <w:color w:val="000000"/>
                <w:spacing w:val="0"/>
                <w:lang w:eastAsia="zh-CN"/>
              </w:rPr>
              <w:t>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adjustRightInd w:val="0"/>
              <w:snapToGrid w:val="0"/>
              <w:rPr>
                <w:rFonts w:cs="宋体"/>
                <w:color w:val="000000"/>
                <w:spacing w:val="0"/>
                <w:lang w:eastAsia="zh-CN"/>
              </w:rPr>
            </w:pPr>
            <w:r>
              <w:rPr>
                <w:rFonts w:hint="eastAsia" w:cs="宋体"/>
                <w:color w:val="000000"/>
                <w:spacing w:val="0"/>
                <w:lang w:eastAsia="zh-CN"/>
              </w:rPr>
              <w:t>【规章】《企业投资项目核准和备案管理办法》（国家发展改革委令2017年第2号）</w:t>
            </w:r>
          </w:p>
          <w:p>
            <w:pPr>
              <w:adjustRightInd w:val="0"/>
              <w:snapToGrid w:val="0"/>
              <w:rPr>
                <w:rFonts w:cs="宋体"/>
                <w:color w:val="000000"/>
                <w:spacing w:val="0"/>
                <w:lang w:eastAsia="zh-CN"/>
              </w:rPr>
            </w:pPr>
            <w:r>
              <w:rPr>
                <w:rFonts w:hint="eastAsia" w:cs="宋体"/>
                <w:color w:val="000000"/>
                <w:spacing w:val="0"/>
                <w:lang w:eastAsia="zh-CN"/>
              </w:rPr>
              <w:t xml:space="preserve">    第五十七条</w:t>
            </w:r>
            <w:r>
              <w:rPr>
                <w:rFonts w:hint="eastAsia" w:cs="宋体"/>
                <w:color w:val="000000"/>
                <w:spacing w:val="0"/>
                <w:lang w:val="en-US" w:eastAsia="zh-CN"/>
              </w:rPr>
              <w:t xml:space="preserve"> </w:t>
            </w:r>
            <w:r>
              <w:rPr>
                <w:rFonts w:hint="eastAsia" w:cs="宋体"/>
                <w:color w:val="000000"/>
                <w:spacing w:val="0"/>
                <w:lang w:eastAsia="zh-CN"/>
              </w:rPr>
              <w:t xml:space="preserve"> 实行备案管理的项目，企业未依法将项目信息或者已备案项目信息变更情况告知备案机关，或者向备案机关提供虚假信息的，由备案机关责令限期改正；逾期不改正的，处2万元以上5万元以下的罚款。</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实行备案管理的项目，企业未依照规定将已备案项目的信息变更情况告知备案机关</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由备案机关责令限期改正，逾期不改正的，处2万元以上3万元以下的罚款。</w:t>
            </w:r>
          </w:p>
        </w:tc>
      </w:tr>
      <w:tr>
        <w:tblPrEx>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实行备案管理的项目，企业未依照规定将项目信息告知备案机关</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由备案机关责令限期改正，逾期不改正的，处3万元以上4万元以下的罚款。</w:t>
            </w:r>
          </w:p>
        </w:tc>
      </w:tr>
      <w:tr>
        <w:tblPrEx>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实行备案管理的项目，企业向备案机关提供虚假信息</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由备案机关责令限期改正，逾期不改正的，处4万元以上5万元以下的罚款。</w:t>
            </w:r>
          </w:p>
        </w:tc>
      </w:tr>
      <w:tr>
        <w:tblPrEx>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4</w:t>
            </w:r>
          </w:p>
        </w:tc>
        <w:tc>
          <w:tcPr>
            <w:tcW w:w="164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企业投资建设产业政策禁止投资建设项目</w:t>
            </w:r>
          </w:p>
        </w:tc>
        <w:tc>
          <w:tcPr>
            <w:tcW w:w="7201"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【行政法规】《企业投资项目核准和备案管理条例》</w:t>
            </w:r>
          </w:p>
          <w:p>
            <w:pPr>
              <w:adjustRightInd w:val="0"/>
              <w:snapToGrid w:val="0"/>
              <w:ind w:firstLine="450"/>
              <w:rPr>
                <w:rFonts w:cs="宋体"/>
                <w:color w:val="000000"/>
                <w:spacing w:val="0"/>
                <w:lang w:eastAsia="zh-CN"/>
              </w:rPr>
            </w:pPr>
            <w:r>
              <w:rPr>
                <w:rFonts w:hint="eastAsia" w:cs="宋体"/>
                <w:color w:val="000000"/>
                <w:spacing w:val="0"/>
                <w:lang w:eastAsia="zh-CN"/>
              </w:rPr>
              <w:t>第二十条</w:t>
            </w:r>
            <w:r>
              <w:rPr>
                <w:rFonts w:hint="eastAsia" w:cs="宋体"/>
                <w:color w:val="000000"/>
                <w:spacing w:val="0"/>
                <w:lang w:val="en-US" w:eastAsia="zh-CN"/>
              </w:rPr>
              <w:t xml:space="preserve">  </w:t>
            </w:r>
            <w:r>
              <w:rPr>
                <w:rFonts w:hint="eastAsia" w:cs="宋体"/>
                <w:color w:val="000000"/>
                <w:spacing w:val="0"/>
                <w:lang w:eastAsia="zh-CN"/>
              </w:rPr>
              <w:t>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adjustRightInd w:val="0"/>
              <w:snapToGrid w:val="0"/>
              <w:rPr>
                <w:rFonts w:cs="宋体"/>
                <w:color w:val="000000"/>
                <w:spacing w:val="0"/>
                <w:lang w:eastAsia="zh-CN"/>
              </w:rPr>
            </w:pPr>
            <w:r>
              <w:rPr>
                <w:rFonts w:hint="eastAsia" w:cs="宋体"/>
                <w:color w:val="000000"/>
                <w:spacing w:val="0"/>
                <w:lang w:eastAsia="zh-CN"/>
              </w:rPr>
              <w:t>【规章】《企业投资项目核准和备案管理办法》（国家发展改革委令2017年第2号）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第五十八条</w:t>
            </w:r>
            <w:r>
              <w:rPr>
                <w:rFonts w:hint="eastAsia" w:cs="宋体"/>
                <w:color w:val="000000"/>
                <w:spacing w:val="0"/>
                <w:lang w:val="en-US" w:eastAsia="zh-CN"/>
              </w:rPr>
              <w:t xml:space="preserve"> </w:t>
            </w:r>
            <w:r>
              <w:rPr>
                <w:rFonts w:hint="eastAsia" w:cs="宋体"/>
                <w:color w:val="000000"/>
                <w:spacing w:val="0"/>
                <w:lang w:eastAsia="zh-CN"/>
              </w:rPr>
              <w:t xml:space="preserve">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企业投资建设产业政策禁止投资建设项目，尚未投入使用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县级以上人民政府投资主管部门责令停止建设并恢复原状，对企业处项目总投资额5‰以上7‰以下的罚款，对直接负责的主管人员和其他直接责任人员处5万元以上7万元以下的罚款，属于国家工作人员的，依法给予处分。法律、行政法规另有规定的，依照其规定。</w:t>
            </w:r>
          </w:p>
        </w:tc>
      </w:tr>
      <w:tr>
        <w:tblPrEx>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p>
        </w:tc>
        <w:tc>
          <w:tcPr>
            <w:tcW w:w="1640"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both"/>
              <w:rPr>
                <w:rFonts w:cs="宋体"/>
                <w:color w:val="000000"/>
                <w:spacing w:val="0"/>
                <w:lang w:eastAsia="zh-CN"/>
              </w:rPr>
            </w:pPr>
            <w:r>
              <w:rPr>
                <w:rFonts w:hint="eastAsia" w:cs="宋体"/>
                <w:color w:val="000000"/>
                <w:spacing w:val="0"/>
                <w:lang w:eastAsia="zh-CN"/>
              </w:rPr>
              <w:t>企业投资建设产业政策禁止投资建设项目并已投入使用，但未造成严重后果</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both"/>
              <w:rPr>
                <w:rFonts w:cs="宋体"/>
                <w:color w:val="000000"/>
                <w:spacing w:val="0"/>
                <w:lang w:eastAsia="zh-CN"/>
              </w:rPr>
            </w:pPr>
            <w:r>
              <w:rPr>
                <w:rFonts w:hint="eastAsia" w:cs="宋体"/>
                <w:color w:val="000000"/>
                <w:spacing w:val="0"/>
                <w:lang w:eastAsia="zh-CN"/>
              </w:rPr>
              <w:t>由县级以上人民政府投资主管部门责令停产并恢复原状，对企业处项目总投资额7‰以上9‰以下的罚款，对直接负责的主管人员和其他直接责任人员处7万元以上9万元以下的罚款，属于国家工作人员的，依法给予处分。法律、行政法规另有规定的，依照其规定。</w:t>
            </w:r>
          </w:p>
        </w:tc>
      </w:tr>
      <w:tr>
        <w:tblPrEx>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p>
        </w:tc>
        <w:tc>
          <w:tcPr>
            <w:tcW w:w="1640"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企业投资建设产业政策禁止投资建设项目并已投入使用，造成严重后果</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县级以上人民政府投资主管部门责令停产并恢复原状，对企业处项目总投资额9‰以上10‰以下的罚款，对直接负责的主管人员和其他直接责任人员处9万元以上10万元以下的罚款，属于国家工作人员的，依法给予处分。法律、行政法规另有规定的，依照其规定。</w:t>
            </w:r>
          </w:p>
        </w:tc>
      </w:tr>
      <w:tr>
        <w:tblPrEx>
          <w:tblCellMar>
            <w:top w:w="0" w:type="dxa"/>
            <w:left w:w="108" w:type="dxa"/>
            <w:bottom w:w="0" w:type="dxa"/>
            <w:right w:w="108" w:type="dxa"/>
          </w:tblCellMar>
        </w:tblPrEx>
        <w:trPr>
          <w:trHeight w:val="20" w:hRule="atLeast"/>
          <w:jc w:val="center"/>
        </w:trPr>
        <w:tc>
          <w:tcPr>
            <w:tcW w:w="567" w:type="dxa"/>
            <w:vMerge w:val="restart"/>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5</w:t>
            </w:r>
          </w:p>
        </w:tc>
        <w:tc>
          <w:tcPr>
            <w:tcW w:w="1640" w:type="dxa"/>
            <w:vMerge w:val="restart"/>
            <w:tcBorders>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招标代理机构向省招标投标公共服务平台提供虚假信息</w:t>
            </w:r>
          </w:p>
        </w:tc>
        <w:tc>
          <w:tcPr>
            <w:tcW w:w="7201" w:type="dxa"/>
            <w:vMerge w:val="restart"/>
            <w:tcBorders>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【地方性法规】《江苏省招标投标条例》</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第十八条</w:t>
            </w:r>
            <w:r>
              <w:rPr>
                <w:rFonts w:hint="eastAsia" w:cs="宋体"/>
                <w:color w:val="000000"/>
                <w:spacing w:val="0"/>
                <w:lang w:val="en-US" w:eastAsia="zh-CN"/>
              </w:rPr>
              <w:t xml:space="preserve"> </w:t>
            </w:r>
            <w:r>
              <w:rPr>
                <w:rFonts w:hint="eastAsia" w:cs="宋体"/>
                <w:color w:val="000000"/>
                <w:spacing w:val="0"/>
                <w:lang w:eastAsia="zh-CN"/>
              </w:rPr>
              <w:t xml:space="preserve"> 鼓励招标代理机构主动向省招标投标公共服务平台提供机构、从业人员、业务开展等信息。招标代理机构应当对信息的真实性作出承诺。</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招标代理机构提供的信息由省招标投标公共服务平台向社会公开，供招标人选择招标代理机构时参考。</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招标代理机构因提供虚假信息受到行政处罚的，省招标投标公共服务平台应当向社会公开。</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 xml:space="preserve">第七十三条 </w:t>
            </w:r>
            <w:r>
              <w:rPr>
                <w:rFonts w:hint="eastAsia" w:cs="宋体"/>
                <w:color w:val="000000"/>
                <w:spacing w:val="0"/>
                <w:lang w:val="en-US" w:eastAsia="zh-CN"/>
              </w:rPr>
              <w:t xml:space="preserve"> </w:t>
            </w:r>
            <w:r>
              <w:rPr>
                <w:rFonts w:hint="eastAsia" w:cs="宋体"/>
                <w:color w:val="000000"/>
                <w:spacing w:val="0"/>
                <w:lang w:eastAsia="zh-CN"/>
              </w:rPr>
              <w:t>招标代理机构违反本条例第十八条第一款规定，向省招标投标公共服务平台提供虚假信息的，由发展改革部门责令改正，可以处二万元以上十万元以下的罚款。</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招标代理机构向省招标投标公共服务平台提供虚假信息</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责令改正。</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招标代理机构向省招标投标公共服务平台提供虚假信息两次及以上的</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责令改正，处2万元以上5万元以下的罚款。</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招标代理机构向省招标投标公共服务平台提供虚假信息，且情节严重</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责令改正，处5万元以上10万元以下的罚款。</w:t>
            </w:r>
          </w:p>
        </w:tc>
      </w:tr>
      <w:tr>
        <w:tblPrEx>
          <w:tblCellMar>
            <w:top w:w="0" w:type="dxa"/>
            <w:left w:w="108" w:type="dxa"/>
            <w:bottom w:w="0" w:type="dxa"/>
            <w:right w:w="108" w:type="dxa"/>
          </w:tblCellMar>
        </w:tblPrEx>
        <w:trPr>
          <w:trHeight w:val="1908" w:hRule="atLeast"/>
          <w:jc w:val="center"/>
        </w:trPr>
        <w:tc>
          <w:tcPr>
            <w:tcW w:w="567" w:type="dxa"/>
            <w:vMerge w:val="restart"/>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6</w:t>
            </w:r>
          </w:p>
        </w:tc>
        <w:tc>
          <w:tcPr>
            <w:tcW w:w="1640" w:type="dxa"/>
            <w:vMerge w:val="restart"/>
            <w:tcBorders>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固定资产投资项目建设单位开工建设不符合强制性节能标准的项目或将该项目投入生产、使用；或者未进行节能审查、节能审查未通过擅自开工建设或者擅自投入生产、使用</w:t>
            </w:r>
          </w:p>
        </w:tc>
        <w:tc>
          <w:tcPr>
            <w:tcW w:w="7201" w:type="dxa"/>
            <w:vMerge w:val="restart"/>
            <w:tcBorders>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【法律】《中华人民共和国节约能源法》</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adjustRightInd w:val="0"/>
              <w:snapToGrid w:val="0"/>
              <w:rPr>
                <w:rFonts w:cs="宋体"/>
                <w:color w:val="000000"/>
                <w:spacing w:val="0"/>
                <w:lang w:eastAsia="zh-CN"/>
              </w:rPr>
            </w:pPr>
            <w:r>
              <w:rPr>
                <w:rFonts w:hint="eastAsia" w:cs="宋体"/>
                <w:color w:val="000000"/>
                <w:spacing w:val="0"/>
                <w:lang w:eastAsia="zh-CN"/>
              </w:rPr>
              <w:t>【规章】《</w:t>
            </w:r>
            <w:r>
              <w:rPr>
                <w:rFonts w:hint="eastAsia" w:cs="Times New Roman"/>
                <w:sz w:val="24"/>
                <w:szCs w:val="24"/>
                <w:lang w:eastAsia="zh-CN"/>
              </w:rPr>
              <w:t>固定资产投资项目节能审查办法</w:t>
            </w:r>
            <w:r>
              <w:rPr>
                <w:rFonts w:hint="eastAsia" w:cs="宋体"/>
                <w:color w:val="000000"/>
                <w:spacing w:val="0"/>
                <w:lang w:eastAsia="zh-CN"/>
              </w:rPr>
              <w:t>》（国家发展改革委令2023年第2号）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第二十三条  对未按本办法规定进行节能审查，或节能审查未获通过，擅自开工建设或擅自投入生产、使用的固定资产投资项目，由节能审查机关责令停止建设或停止生产、使用，限期整改，并对建设单位进行通报批评，视情节处10万元以下罚款。经节能审查机关认定完成整改的项目，节能审查机关可依据实际情况出具整改完成证明。不能整改或逾期不整改的生产性项目，由节能审查机关报请本级人民政府按照国务院规定的权限责令关闭，并依法追究有关责任人的责任。</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固定资产投资项目建设单位未进行节能审查或节能审查未通过擅自开工建设</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由节能审查机关责令停止建设，限期整改，并对建设单位进行通报批评，视情节处5万元以下罚款。</w:t>
            </w:r>
          </w:p>
        </w:tc>
      </w:tr>
      <w:tr>
        <w:tblPrEx>
          <w:tblCellMar>
            <w:top w:w="0" w:type="dxa"/>
            <w:left w:w="108" w:type="dxa"/>
            <w:bottom w:w="0" w:type="dxa"/>
            <w:right w:w="108" w:type="dxa"/>
          </w:tblCellMar>
        </w:tblPrEx>
        <w:trPr>
          <w:trHeight w:val="2506"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固定资产投资项目建设单位未进行节能审查或节能审查未通过擅自投入生产、使用</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由节能审查机关责令停止生产、使用，限期整改，并对建设单位进行通报批评，视情节处8万元以下罚款。</w:t>
            </w:r>
          </w:p>
        </w:tc>
      </w:tr>
      <w:tr>
        <w:tblPrEx>
          <w:tblCellMar>
            <w:top w:w="0" w:type="dxa"/>
            <w:left w:w="108" w:type="dxa"/>
            <w:bottom w:w="0" w:type="dxa"/>
            <w:right w:w="108" w:type="dxa"/>
          </w:tblCellMar>
        </w:tblPrEx>
        <w:trPr>
          <w:trHeight w:val="3378"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固定资产投资项目建设单位未进行节能审查或节能审查未通过擅自开工建设或投入生产、使用，不能整改或逾期不整改</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节能审查机关责令停止建设或停止生产、使用，限期整改，并对建设单位进行通报批评，视情节处10万元以下罚款，不能整改或逾期不整改的生产性项目，报请本级人民政府按照国务院规定的权限责令关闭，并依法追究有关责任人的责任。</w:t>
            </w:r>
          </w:p>
        </w:tc>
      </w:tr>
      <w:tr>
        <w:tblPrEx>
          <w:tblCellMar>
            <w:top w:w="0" w:type="dxa"/>
            <w:left w:w="108" w:type="dxa"/>
            <w:bottom w:w="0" w:type="dxa"/>
            <w:right w:w="108" w:type="dxa"/>
          </w:tblCellMar>
        </w:tblPrEx>
        <w:trPr>
          <w:trHeight w:val="1185"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7</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固定资产投资项目未按规定进行节能验收或验收不合格，擅自投入生产、使用，以及以提供虚假材料等不正当手段通过节能验收</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w:t>
            </w:r>
            <w:r>
              <w:rPr>
                <w:rFonts w:hint="eastAsia" w:cs="Times New Roman"/>
                <w:sz w:val="24"/>
                <w:szCs w:val="24"/>
                <w:lang w:eastAsia="zh-CN"/>
              </w:rPr>
              <w:t>固定资产投资项目节能审查办法</w:t>
            </w:r>
            <w:r>
              <w:rPr>
                <w:rFonts w:hint="eastAsia" w:cs="宋体"/>
                <w:color w:val="000000"/>
                <w:spacing w:val="0"/>
                <w:lang w:eastAsia="zh-CN"/>
              </w:rPr>
              <w:t>》（国家发展改革委令2023年第2号）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第二十六条  未按本办法规定进行节能验收或验收不合格，擅自投入生产、使用的固定资产投资项目，以及以提供虚假材料等不正当手段通过节能验收的固定资产投资项目，由节能审查机关责令建设单位限期整改，并处3万元以上5万元以下罚款。</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固定资产投资项目未按规定进行节能验收或验收不合格，擅自投入生产、使用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由节能审查机关责令建设单位限期整改，并处3万元以上4万元以下罚款。</w:t>
            </w:r>
          </w:p>
        </w:tc>
      </w:tr>
      <w:tr>
        <w:tblPrEx>
          <w:tblCellMar>
            <w:top w:w="0" w:type="dxa"/>
            <w:left w:w="108" w:type="dxa"/>
            <w:bottom w:w="0" w:type="dxa"/>
            <w:right w:w="108" w:type="dxa"/>
          </w:tblCellMar>
        </w:tblPrEx>
        <w:trPr>
          <w:trHeight w:val="20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固定资产投资项目以提供虚假材料等不正当手段通过节能验收</w:t>
            </w:r>
          </w:p>
        </w:tc>
        <w:tc>
          <w:tcPr>
            <w:tcW w:w="3261" w:type="dxa"/>
            <w:tcBorders>
              <w:top w:val="single" w:color="auto" w:sz="4" w:space="0"/>
              <w:left w:val="nil"/>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由节能审查机关责令建设单位限期整改，并处4万元以上5万元以下罚款。</w:t>
            </w:r>
          </w:p>
        </w:tc>
      </w:tr>
      <w:tr>
        <w:tblPrEx>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8</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节能服务机构提供节能审查虚假信息</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【法律】《中华人民共和国节约能源法》</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第七十六条  从事节能咨询、设计、评估、检测、审计、认证等服务的机构提供虚假信息的，由管理节能工作的部门责令改正，没收违法所得，并处五万元以上十万元以下罚款。</w:t>
            </w:r>
          </w:p>
          <w:p>
            <w:pPr>
              <w:adjustRightInd w:val="0"/>
              <w:snapToGrid w:val="0"/>
              <w:rPr>
                <w:rFonts w:cs="宋体"/>
                <w:color w:val="000000"/>
                <w:spacing w:val="0"/>
                <w:lang w:eastAsia="zh-CN"/>
              </w:rPr>
            </w:pPr>
            <w:r>
              <w:rPr>
                <w:rFonts w:hint="eastAsia" w:cs="宋体"/>
                <w:color w:val="000000"/>
                <w:spacing w:val="0"/>
                <w:lang w:eastAsia="zh-CN"/>
              </w:rPr>
              <w:t>【规章】《</w:t>
            </w:r>
            <w:r>
              <w:rPr>
                <w:rFonts w:hint="eastAsia" w:cs="Times New Roman"/>
                <w:sz w:val="24"/>
                <w:szCs w:val="24"/>
                <w:lang w:eastAsia="zh-CN"/>
              </w:rPr>
              <w:t>固定资产投资项目节能审查办法</w:t>
            </w:r>
            <w:r>
              <w:rPr>
                <w:rFonts w:hint="eastAsia" w:cs="宋体"/>
                <w:color w:val="000000"/>
                <w:spacing w:val="0"/>
                <w:lang w:eastAsia="zh-CN"/>
              </w:rPr>
              <w:t>》（国家发展改革委令2023年第2号）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第二十七条  从事节能咨询、评审等节能服务的机构提供节能审查虚假信息的，由管理节能工作的部门责令改正，没收违法所得，并处5万元以上10万元以下罚款。</w:t>
            </w:r>
          </w:p>
          <w:p>
            <w:pPr>
              <w:adjustRightInd w:val="0"/>
              <w:snapToGrid w:val="0"/>
              <w:rPr>
                <w:rFonts w:hint="eastAsia" w:cs="宋体"/>
                <w:color w:val="000000"/>
                <w:spacing w:val="0"/>
                <w:lang w:eastAsia="zh-CN"/>
              </w:rPr>
            </w:pPr>
            <w:r>
              <w:rPr>
                <w:rFonts w:hint="eastAsia" w:cs="宋体"/>
                <w:color w:val="000000"/>
                <w:spacing w:val="0"/>
                <w:lang w:eastAsia="zh-CN"/>
              </w:rPr>
              <w:t>【地方性法规】《江苏省节约能源条例》</w:t>
            </w:r>
          </w:p>
          <w:p>
            <w:pPr>
              <w:adjustRightInd w:val="0"/>
              <w:snapToGrid w:val="0"/>
              <w:ind w:firstLine="440" w:firstLineChars="200"/>
              <w:rPr>
                <w:rFonts w:hint="default" w:cs="宋体"/>
                <w:color w:val="000000"/>
                <w:spacing w:val="0"/>
                <w:lang w:val="en-US" w:eastAsia="zh-CN"/>
              </w:rPr>
            </w:pPr>
            <w:r>
              <w:rPr>
                <w:rFonts w:cs="宋体"/>
                <w:color w:val="000000"/>
                <w:spacing w:val="0"/>
                <w:lang w:eastAsia="zh-CN"/>
              </w:rPr>
              <w:t>第四十三条第三款</w:t>
            </w:r>
            <w:r>
              <w:rPr>
                <w:rFonts w:hint="eastAsia" w:cs="宋体"/>
                <w:color w:val="000000"/>
                <w:spacing w:val="0"/>
                <w:lang w:val="en-US" w:eastAsia="zh-CN"/>
              </w:rPr>
              <w:t xml:space="preserve">  节能服务机构应当客观、公正地提供用能单位能耗的有关数据和分析报告。</w:t>
            </w:r>
          </w:p>
          <w:p>
            <w:pPr>
              <w:adjustRightInd w:val="0"/>
              <w:snapToGrid w:val="0"/>
              <w:ind w:firstLine="440" w:firstLineChars="200"/>
              <w:rPr>
                <w:rFonts w:cs="宋体"/>
                <w:color w:val="000000"/>
                <w:spacing w:val="0"/>
                <w:lang w:eastAsia="zh-CN"/>
              </w:rPr>
            </w:pPr>
            <w:r>
              <w:rPr>
                <w:rFonts w:cs="宋体"/>
                <w:color w:val="000000"/>
                <w:spacing w:val="0"/>
                <w:lang w:eastAsia="zh-CN"/>
              </w:rPr>
              <w:t xml:space="preserve">第五十二条 </w:t>
            </w:r>
            <w:r>
              <w:rPr>
                <w:rFonts w:hint="eastAsia" w:cs="宋体"/>
                <w:color w:val="000000"/>
                <w:spacing w:val="0"/>
                <w:lang w:val="en-US" w:eastAsia="zh-CN"/>
              </w:rPr>
              <w:t xml:space="preserve"> </w:t>
            </w:r>
            <w:r>
              <w:rPr>
                <w:rFonts w:cs="宋体"/>
                <w:color w:val="000000"/>
                <w:spacing w:val="0"/>
                <w:lang w:eastAsia="zh-CN"/>
              </w:rPr>
              <w:t>违反本条例第四十三条第三款规定，节能服务机构提供虚假的数据和分析报告的，由节能主管部门责令改正，没收违法所得，并处以五万元以上十万元以下罚款。</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从事节能咨询、评审等节能服务的机构提供节能审查虚假信息，违法所得小于5万元且没有造成危害后果</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由管理节能工作的部门责令改正，没收违法所得，并处5万元以上7万元以下罚款。</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从事节能咨询、评审等节能服务的机构提供节能审查虚假信息，违法所得小于10万元</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由管理节能工作的部门责令改正，没收违法所得，并处7万元以上9万元以下罚款。</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6"/>
                <w:lang w:eastAsia="zh-CN"/>
              </w:rPr>
            </w:pPr>
            <w:r>
              <w:rPr>
                <w:rFonts w:hint="eastAsia" w:cs="宋体"/>
                <w:color w:val="000000"/>
                <w:spacing w:val="-6"/>
                <w:lang w:eastAsia="zh-CN"/>
              </w:rPr>
              <w:t>从事节能咨询、评审等节能服务的机构提供节能审查虚假信息，违法所得在10万元以上，或违法所得虽未达到10万元，但造成严重危害后果</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cs="宋体"/>
                <w:color w:val="000000"/>
                <w:spacing w:val="0"/>
                <w:lang w:eastAsia="zh-CN"/>
              </w:rPr>
            </w:pPr>
            <w:r>
              <w:rPr>
                <w:rFonts w:hint="eastAsia" w:cs="宋体"/>
                <w:color w:val="000000"/>
                <w:spacing w:val="0"/>
                <w:lang w:eastAsia="zh-CN"/>
              </w:rPr>
              <w:t>由管理节能工作的部门责令改正，没收违法所得，并处9万元以上10万元以下罚款。</w:t>
            </w:r>
          </w:p>
        </w:tc>
      </w:tr>
      <w:tr>
        <w:tblPrEx>
          <w:tblCellMar>
            <w:top w:w="0" w:type="dxa"/>
            <w:left w:w="108" w:type="dxa"/>
            <w:bottom w:w="0" w:type="dxa"/>
            <w:right w:w="108" w:type="dxa"/>
          </w:tblCellMar>
        </w:tblPrEx>
        <w:trPr>
          <w:trHeight w:val="948" w:hRule="atLeast"/>
          <w:jc w:val="center"/>
        </w:trPr>
        <w:tc>
          <w:tcPr>
            <w:tcW w:w="567" w:type="dxa"/>
            <w:vMerge w:val="restart"/>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9</w:t>
            </w:r>
          </w:p>
        </w:tc>
        <w:tc>
          <w:tcPr>
            <w:tcW w:w="1640" w:type="dxa"/>
            <w:vMerge w:val="restart"/>
            <w:tcBorders>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超过单位产品能耗限额标准用能</w:t>
            </w:r>
          </w:p>
        </w:tc>
        <w:tc>
          <w:tcPr>
            <w:tcW w:w="7201" w:type="dxa"/>
            <w:vMerge w:val="restart"/>
            <w:tcBorders>
              <w:left w:val="nil"/>
              <w:right w:val="single" w:color="auto" w:sz="4" w:space="0"/>
            </w:tcBorders>
            <w:shd w:val="clear" w:color="auto" w:fill="auto"/>
            <w:vAlign w:val="center"/>
          </w:tcPr>
          <w:p>
            <w:pPr>
              <w:adjustRightInd w:val="0"/>
              <w:snapToGrid w:val="0"/>
              <w:rPr>
                <w:rFonts w:hint="eastAsia" w:cs="宋体"/>
                <w:color w:val="000000"/>
                <w:spacing w:val="0"/>
                <w:lang w:eastAsia="zh-CN"/>
              </w:rPr>
            </w:pPr>
            <w:r>
              <w:rPr>
                <w:rFonts w:hint="eastAsia" w:cs="宋体"/>
                <w:color w:val="000000"/>
                <w:spacing w:val="0"/>
                <w:lang w:eastAsia="zh-CN"/>
              </w:rPr>
              <w:t>【法律】《中华人民共和国节约能源法》</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第十六条第二款  生产过程中耗能高的产品的生产单位，应当执行单位产品能耗限额标准。对超过单位产品能耗限额标准用能的生产单位，由管理节能工作的部门按照国务院规定的权限责令限期治理。</w:t>
            </w:r>
          </w:p>
          <w:p>
            <w:pPr>
              <w:adjustRightInd w:val="0"/>
              <w:snapToGrid w:val="0"/>
              <w:rPr>
                <w:rFonts w:cs="宋体"/>
                <w:color w:val="000000"/>
                <w:spacing w:val="0"/>
                <w:lang w:eastAsia="zh-CN"/>
              </w:rPr>
            </w:pPr>
            <w:r>
              <w:rPr>
                <w:rFonts w:hint="eastAsia" w:cs="宋体"/>
                <w:color w:val="000000"/>
                <w:spacing w:val="0"/>
                <w:lang w:eastAsia="zh-CN"/>
              </w:rPr>
              <w:t xml:space="preserve">    第七十二条</w:t>
            </w:r>
            <w:r>
              <w:rPr>
                <w:rFonts w:hint="eastAsia" w:cs="宋体"/>
                <w:color w:val="000000"/>
                <w:spacing w:val="0"/>
                <w:lang w:val="en-US" w:eastAsia="zh-CN"/>
              </w:rPr>
              <w:t xml:space="preserve">  </w:t>
            </w:r>
            <w:r>
              <w:rPr>
                <w:rFonts w:hint="eastAsia" w:cs="宋体"/>
                <w:color w:val="000000"/>
                <w:spacing w:val="0"/>
                <w:lang w:eastAsia="zh-CN"/>
              </w:rPr>
              <w:t>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生产单位超过单位产品能耗限额标准用能</w:t>
            </w:r>
          </w:p>
        </w:tc>
        <w:tc>
          <w:tcPr>
            <w:tcW w:w="32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责令限期治理。</w:t>
            </w:r>
          </w:p>
        </w:tc>
      </w:tr>
      <w:tr>
        <w:tblPrEx>
          <w:tblCellMar>
            <w:top w:w="0" w:type="dxa"/>
            <w:left w:w="108" w:type="dxa"/>
            <w:bottom w:w="0" w:type="dxa"/>
            <w:right w:w="108" w:type="dxa"/>
          </w:tblCellMar>
        </w:tblPrEx>
        <w:trPr>
          <w:trHeight w:val="398"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生产单位超过单位产品能耗限额标准10%以上用能，经限期治理逾期不治理或者没有达到治理要求的</w:t>
            </w:r>
          </w:p>
        </w:tc>
        <w:tc>
          <w:tcPr>
            <w:tcW w:w="326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可以由管理节能工作的部门提出意见，报请本级人民政府按照国务院规定的权限责令停业整顿或者关闭。</w:t>
            </w:r>
          </w:p>
        </w:tc>
      </w:tr>
      <w:tr>
        <w:tblPrEx>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10</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使用国家明令淘汰的用能设备或生产工艺，或者转让国家明令淘汰的用能设备</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【法律】《中华人民共和国节约能源法》</w:t>
            </w:r>
          </w:p>
          <w:p>
            <w:pPr>
              <w:adjustRightInd w:val="0"/>
              <w:snapToGrid w:val="0"/>
              <w:rPr>
                <w:rFonts w:cs="宋体"/>
                <w:color w:val="000000"/>
                <w:spacing w:val="0"/>
                <w:lang w:eastAsia="zh-CN"/>
              </w:rPr>
            </w:pPr>
            <w:r>
              <w:rPr>
                <w:rFonts w:hint="eastAsia" w:cs="宋体"/>
                <w:color w:val="000000"/>
                <w:spacing w:val="0"/>
                <w:lang w:eastAsia="zh-CN"/>
              </w:rPr>
              <w:t xml:space="preserve">    第七十一条</w:t>
            </w:r>
            <w:r>
              <w:rPr>
                <w:rFonts w:hint="eastAsia" w:cs="宋体"/>
                <w:color w:val="000000"/>
                <w:spacing w:val="0"/>
                <w:lang w:val="en-US" w:eastAsia="zh-CN"/>
              </w:rPr>
              <w:t xml:space="preserve">  </w:t>
            </w:r>
            <w:r>
              <w:rPr>
                <w:rFonts w:hint="eastAsia" w:cs="宋体"/>
                <w:color w:val="000000"/>
                <w:spacing w:val="0"/>
                <w:lang w:eastAsia="zh-CN"/>
              </w:rPr>
              <w:t>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adjustRightInd w:val="0"/>
              <w:snapToGrid w:val="0"/>
              <w:rPr>
                <w:rFonts w:cs="宋体"/>
                <w:color w:val="000000"/>
                <w:spacing w:val="0"/>
                <w:lang w:eastAsia="zh-CN"/>
              </w:rPr>
            </w:pPr>
            <w:r>
              <w:rPr>
                <w:rFonts w:hint="eastAsia" w:cs="宋体"/>
                <w:color w:val="000000"/>
                <w:spacing w:val="0"/>
                <w:lang w:eastAsia="zh-CN"/>
              </w:rPr>
              <w:t>【地方性法规】《江苏省节约能源条例》</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第十五条第三款</w:t>
            </w:r>
            <w:r>
              <w:rPr>
                <w:rFonts w:hint="eastAsia" w:cs="宋体"/>
                <w:color w:val="000000"/>
                <w:spacing w:val="0"/>
                <w:lang w:val="en-US" w:eastAsia="zh-CN"/>
              </w:rPr>
              <w:t xml:space="preserve"> </w:t>
            </w:r>
            <w:r>
              <w:rPr>
                <w:rFonts w:hint="eastAsia" w:cs="宋体"/>
                <w:color w:val="000000"/>
                <w:spacing w:val="0"/>
                <w:lang w:eastAsia="zh-CN"/>
              </w:rPr>
              <w:t xml:space="preserve"> 设计、建设等单位应当遵守合理用能标准和节能设计规范，不得使用国家明令淘汰的用能设备、生产工艺。</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 xml:space="preserve">第四十九条 </w:t>
            </w:r>
            <w:r>
              <w:rPr>
                <w:rFonts w:hint="eastAsia" w:cs="宋体"/>
                <w:color w:val="000000"/>
                <w:spacing w:val="0"/>
                <w:lang w:val="en-US" w:eastAsia="zh-CN"/>
              </w:rPr>
              <w:t xml:space="preserve"> </w:t>
            </w:r>
            <w:r>
              <w:rPr>
                <w:rFonts w:hint="eastAsia" w:cs="宋体"/>
                <w:color w:val="000000"/>
                <w:spacing w:val="0"/>
                <w:lang w:eastAsia="zh-CN"/>
              </w:rPr>
              <w:t>违反本条例第十五条第三款规定，设计、建设单位使用国家明令淘汰的用能设备或者生产工艺的，由节能主管部门责令停止使用，没收国家明令淘汰的用能设备；情节严重的，可以由节能主管部门提出意见，报请本级人民政府按照国务院规定的权限责令停业整顿或者关闭。</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第五十一条</w:t>
            </w:r>
            <w:r>
              <w:rPr>
                <w:rFonts w:hint="eastAsia" w:cs="宋体"/>
                <w:color w:val="000000"/>
                <w:spacing w:val="0"/>
                <w:lang w:val="en-US" w:eastAsia="zh-CN"/>
              </w:rPr>
              <w:t xml:space="preserve"> </w:t>
            </w:r>
            <w:r>
              <w:rPr>
                <w:rFonts w:hint="eastAsia" w:cs="宋体"/>
                <w:color w:val="000000"/>
                <w:spacing w:val="0"/>
                <w:lang w:eastAsia="zh-CN"/>
              </w:rPr>
              <w:t xml:space="preserve"> 违反本条例第三十九条第一项规定，转让国家明令淘汰的设备的，由节能主管部门处以二万元以上五万元以下罚款。</w:t>
            </w:r>
          </w:p>
        </w:tc>
        <w:tc>
          <w:tcPr>
            <w:tcW w:w="2126" w:type="dxa"/>
            <w:tcBorders>
              <w:top w:val="nil"/>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使用国家明令淘汰的用能设备或者生产工艺，尚未造成较大能源浪费</w:t>
            </w:r>
          </w:p>
        </w:tc>
        <w:tc>
          <w:tcPr>
            <w:tcW w:w="3261" w:type="dxa"/>
            <w:tcBorders>
              <w:top w:val="nil"/>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由管理节能工作的部门责令停止使用，没收国家明令淘汰的用能设备。</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使用国家明令淘汰的用能设备或者生产工艺，且造成较大能源浪费，或者两次及以上使用国家明令淘汰的用能设备或者生产工艺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由管理节能工作的部门责令停止使用，没收国家明令淘汰的用能设备，可以由管理节能工作的部门提出意见，报请本级人民政府按照国务院规定的权限责令停业整顿或者关闭。</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转让国家明令淘汰的用能设备</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由管理节能工作的部门处2万元以上5万元以下罚款。</w:t>
            </w:r>
            <w:bookmarkStart w:id="0" w:name="_GoBack"/>
            <w:bookmarkEnd w:id="0"/>
          </w:p>
        </w:tc>
      </w:tr>
      <w:tr>
        <w:tblPrEx>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11</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市场信用信息采集单位违法违规开展信用服务或处理信用信息</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【地方性法规】《江苏省社会信用条例》</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第七十条</w:t>
            </w:r>
            <w:r>
              <w:rPr>
                <w:rFonts w:hint="eastAsia" w:cs="宋体"/>
                <w:color w:val="000000"/>
                <w:spacing w:val="0"/>
                <w:lang w:val="en-US" w:eastAsia="zh-CN"/>
              </w:rPr>
              <w:t xml:space="preserve"> </w:t>
            </w:r>
            <w:r>
              <w:rPr>
                <w:rFonts w:hint="eastAsia" w:cs="宋体"/>
                <w:color w:val="000000"/>
                <w:spacing w:val="0"/>
                <w:lang w:eastAsia="zh-CN"/>
              </w:rPr>
              <w:t xml:space="preserve"> 违反本条例规定，市场信用信息采集单位有下列行为之一的，由社会信用综合管理部门或者相关监督管理部门按照管理权限责令限期改正，没收违法所得，对单位并处五万元以上十万元以下罚款，情节严重的，处十万元以上二十万元以下罚款；对负有直接责任的工作人员处一万元以上三万元以下罚款，情节严重的，处三万元以上十万元以下罚款；造成信用主体合法权益损害的，依法承担民事责任；构成犯罪的，依法追究刑事责任：</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（一）非法买卖、窃取信用信息；</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（二）以欺诈、利诱、胁迫等手段非法获取信用信息；</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（三）未经授权、强制授权或者一次性授权终身采集、使用自然人的信用信息；</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（四）虚构、篡改信用信息；</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（五）非法提供、使用信用信息；</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（六）泄露在业务开展过程中知悉的国家秘密、商业秘密和个人隐私；</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（七）在提供信用服务中虚假评价信用主体信用状况；</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（八）信用服务机构明知失信信息停止公示，不停止使用或者未及时在其对外提供服务的平台上撤除该失信信息。</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市场信用信息采集单位存在《江苏省社会信用条例》第七十条第（一）至（八）项所列行为之一</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由社会信用综合管理部门或者相关监督管理部门按照管理权限责令限期改正，没收违法所得，对单位并处5万元以上10万元以下罚款，对负有直接责任的工作人员处1万元以上</w:t>
            </w:r>
            <w:r>
              <w:rPr>
                <w:rFonts w:hint="eastAsia" w:cs="宋体"/>
                <w:color w:val="000000"/>
                <w:spacing w:val="0"/>
                <w:lang w:val="en-US" w:eastAsia="zh-CN"/>
              </w:rPr>
              <w:t>3</w:t>
            </w:r>
            <w:r>
              <w:rPr>
                <w:rFonts w:hint="eastAsia" w:cs="宋体"/>
                <w:color w:val="000000"/>
                <w:spacing w:val="0"/>
                <w:lang w:eastAsia="zh-CN"/>
              </w:rPr>
              <w:t>万元以下罚款。</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市场信用信息采集单位存在两种《江苏省社会信用条例》第七十条第（一）至（八）项所列行为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由社会信用综合管理部门或者相关监督管理部门按照管理权限责令限期改正，没收违法所得，对单位并处10万元以上15万元以下罚款，对负有直接责任的工作人员处</w:t>
            </w:r>
            <w:r>
              <w:rPr>
                <w:rFonts w:hint="eastAsia" w:cs="宋体"/>
                <w:color w:val="000000"/>
                <w:spacing w:val="0"/>
                <w:lang w:val="en-US" w:eastAsia="zh-CN"/>
              </w:rPr>
              <w:t>3</w:t>
            </w:r>
            <w:r>
              <w:rPr>
                <w:rFonts w:hint="eastAsia" w:cs="宋体"/>
                <w:color w:val="000000"/>
                <w:spacing w:val="0"/>
                <w:lang w:eastAsia="zh-CN"/>
              </w:rPr>
              <w:t>万元以上</w:t>
            </w:r>
            <w:r>
              <w:rPr>
                <w:rFonts w:hint="eastAsia" w:cs="宋体"/>
                <w:color w:val="000000"/>
                <w:spacing w:val="0"/>
                <w:lang w:val="en-US" w:eastAsia="zh-CN"/>
              </w:rPr>
              <w:t>5</w:t>
            </w:r>
            <w:r>
              <w:rPr>
                <w:rFonts w:hint="eastAsia" w:cs="宋体"/>
                <w:color w:val="000000"/>
                <w:spacing w:val="0"/>
                <w:lang w:eastAsia="zh-CN"/>
              </w:rPr>
              <w:t>万元以下罚款。</w:t>
            </w:r>
          </w:p>
        </w:tc>
      </w:tr>
      <w:tr>
        <w:tblPrEx>
          <w:tblCellMar>
            <w:top w:w="0" w:type="dxa"/>
            <w:left w:w="108" w:type="dxa"/>
            <w:bottom w:w="0" w:type="dxa"/>
            <w:right w:w="108" w:type="dxa"/>
          </w:tblCellMar>
        </w:tblPrEx>
        <w:trPr>
          <w:trHeight w:val="27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市场信用信息采集单位存在两种（不含）以上《江苏省社会信用条例》第七十条第（一）至（八）项所列行为，或者造成严重后果</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由社会信用综合管理部门或者相关监督管理部门按照管理权限责令限期改正，没收违法所得，对单位并处15万元以上20万元以下罚款，对负有直接责任的工作人员处</w:t>
            </w:r>
            <w:r>
              <w:rPr>
                <w:rFonts w:hint="eastAsia" w:cs="宋体"/>
                <w:color w:val="000000"/>
                <w:spacing w:val="0"/>
                <w:lang w:val="en-US" w:eastAsia="zh-CN"/>
              </w:rPr>
              <w:t>5</w:t>
            </w:r>
            <w:r>
              <w:rPr>
                <w:rFonts w:hint="eastAsia" w:cs="宋体"/>
                <w:color w:val="000000"/>
                <w:spacing w:val="0"/>
                <w:lang w:eastAsia="zh-CN"/>
              </w:rPr>
              <w:t>万元以上10万元以下罚款。</w:t>
            </w:r>
          </w:p>
        </w:tc>
      </w:tr>
      <w:tr>
        <w:tblPrEx>
          <w:tblCellMar>
            <w:top w:w="0" w:type="dxa"/>
            <w:left w:w="108" w:type="dxa"/>
            <w:bottom w:w="0" w:type="dxa"/>
            <w:right w:w="108" w:type="dxa"/>
          </w:tblCellMar>
        </w:tblPrEx>
        <w:trPr>
          <w:trHeight w:val="2423"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12</w:t>
            </w:r>
          </w:p>
        </w:tc>
        <w:tc>
          <w:tcPr>
            <w:tcW w:w="1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投资主体通过恶意拆分项目、隐瞒有关情况或提供虚假材料等手段申请核准、备案</w:t>
            </w:r>
          </w:p>
        </w:tc>
        <w:tc>
          <w:tcPr>
            <w:tcW w:w="72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 xml:space="preserve">第五十一条 </w:t>
            </w:r>
            <w:r>
              <w:rPr>
                <w:rFonts w:hint="eastAsia" w:cs="宋体"/>
                <w:color w:val="000000"/>
                <w:spacing w:val="0"/>
                <w:lang w:val="en-US" w:eastAsia="zh-CN"/>
              </w:rPr>
              <w:t xml:space="preserve"> </w:t>
            </w:r>
            <w:r>
              <w:rPr>
                <w:rFonts w:hint="eastAsia" w:cs="宋体"/>
                <w:color w:val="000000"/>
                <w:spacing w:val="0"/>
                <w:lang w:eastAsia="zh-CN"/>
              </w:rPr>
              <w:t>投资主体通过恶意分拆项目、隐瞒有关情况或提供虚假材料等手段申请核准、备案的，核准、备案机关不予受理或不予核准、备案，对投资主体及主要责任人处以警告。</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投资主体存在《企业境外投资管理办法》第五十一条规定行为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核准、备案机关不予受理或不予核准、备案，对投资主体及主要责任人处以警告。</w:t>
            </w:r>
          </w:p>
        </w:tc>
      </w:tr>
      <w:tr>
        <w:tblPrEx>
          <w:tblCellMar>
            <w:top w:w="0" w:type="dxa"/>
            <w:left w:w="108" w:type="dxa"/>
            <w:bottom w:w="0" w:type="dxa"/>
            <w:right w:w="108" w:type="dxa"/>
          </w:tblCellMar>
        </w:tblPrEx>
        <w:trPr>
          <w:trHeight w:val="2116"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13</w:t>
            </w:r>
          </w:p>
        </w:tc>
        <w:tc>
          <w:tcPr>
            <w:tcW w:w="1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投资主体通过欺骗、贿赂等不正当手段取得项目核准文件或备案通知书</w:t>
            </w:r>
          </w:p>
        </w:tc>
        <w:tc>
          <w:tcPr>
            <w:tcW w:w="72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第五十二条</w:t>
            </w:r>
            <w:r>
              <w:rPr>
                <w:rFonts w:hint="eastAsia" w:cs="宋体"/>
                <w:color w:val="000000"/>
                <w:spacing w:val="0"/>
                <w:lang w:val="en-US" w:eastAsia="zh-CN"/>
              </w:rPr>
              <w:t xml:space="preserve"> </w:t>
            </w:r>
            <w:r>
              <w:rPr>
                <w:rFonts w:hint="eastAsia" w:cs="宋体"/>
                <w:color w:val="000000"/>
                <w:spacing w:val="0"/>
                <w:lang w:eastAsia="zh-CN"/>
              </w:rPr>
              <w:t xml:space="preserve"> 投资主体通过欺骗、贿赂等不正当手段取得项目核准文件或备案通知书的，核准、备案机关应当撤销该核准文件或备案通知书，对投资主体及主要责任人处以警告；构成犯罪的，依法追究刑事责任。</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投资主体存在《企业境外投资管理办法》第五十二条规定行为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核准、备案机关应当撤销该核准文件或备案通知书，对投资主体及主要责任人处以警告。</w:t>
            </w:r>
          </w:p>
        </w:tc>
      </w:tr>
      <w:tr>
        <w:tblPrEx>
          <w:tblCellMar>
            <w:top w:w="0" w:type="dxa"/>
            <w:left w:w="108" w:type="dxa"/>
            <w:bottom w:w="0" w:type="dxa"/>
            <w:right w:w="108" w:type="dxa"/>
          </w:tblCellMar>
        </w:tblPrEx>
        <w:trPr>
          <w:trHeight w:val="3252"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14</w:t>
            </w:r>
          </w:p>
        </w:tc>
        <w:tc>
          <w:tcPr>
            <w:tcW w:w="1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属于境外投资核准、备案管理范围的项目未取得核准文件或备案通知书而擅自实施，或未履行变更手续而擅自变更</w:t>
            </w:r>
          </w:p>
        </w:tc>
        <w:tc>
          <w:tcPr>
            <w:tcW w:w="72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 xml:space="preserve">第五十三条 </w:t>
            </w:r>
            <w:r>
              <w:rPr>
                <w:rFonts w:hint="eastAsia" w:cs="宋体"/>
                <w:color w:val="000000"/>
                <w:spacing w:val="0"/>
                <w:lang w:val="en-US" w:eastAsia="zh-CN"/>
              </w:rPr>
              <w:t xml:space="preserve"> </w:t>
            </w:r>
            <w:r>
              <w:rPr>
                <w:rFonts w:hint="eastAsia" w:cs="宋体"/>
                <w:color w:val="000000"/>
                <w:spacing w:val="0"/>
                <w:lang w:eastAsia="zh-CN"/>
              </w:rPr>
              <w:t>属于核准、备案管理范围的项目，投资主体有下列行为之一的，由核准、备案机关责令投资主体中止或停止实施该项目并限期改正，对投资主体及有关责任人处以警告；构成犯罪的，依法追究刑事责任：</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（一）未取得核准文件或备案通知书而擅自实施的；</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（二）应当履行核准、备案变更手续，但未经核准、备案机关同意而擅自实施变更的。</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投资主体存在《企业境外投资管理办法》第五十三条规定行为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核准、备案机关责令投资主体中止或停止实施该项目并限期改正，对投资主体及有关责任人处以警告。</w:t>
            </w:r>
          </w:p>
        </w:tc>
      </w:tr>
      <w:tr>
        <w:tblPrEx>
          <w:tblCellMar>
            <w:top w:w="0" w:type="dxa"/>
            <w:left w:w="108" w:type="dxa"/>
            <w:bottom w:w="0" w:type="dxa"/>
            <w:right w:w="108" w:type="dxa"/>
          </w:tblCellMar>
        </w:tblPrEx>
        <w:trPr>
          <w:trHeight w:val="1998"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15</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投资主体未依法报告有关信息，有虚假、误导性陈述和重大遗漏的行为</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第四十二条</w:t>
            </w:r>
            <w:r>
              <w:rPr>
                <w:rFonts w:hint="eastAsia" w:cs="宋体"/>
                <w:color w:val="000000"/>
                <w:spacing w:val="0"/>
                <w:lang w:val="en-US" w:eastAsia="zh-CN"/>
              </w:rPr>
              <w:t xml:space="preserve"> </w:t>
            </w:r>
            <w:r>
              <w:rPr>
                <w:rFonts w:hint="eastAsia" w:cs="宋体"/>
                <w:color w:val="000000"/>
                <w:spacing w:val="0"/>
                <w:lang w:eastAsia="zh-CN"/>
              </w:rPr>
              <w:t xml:space="preserve"> 投资主体通过其控制的境外企业开展大额非敏感类项目的，投资主体应当在项目实施前通过网络系统提交大额非敏感类项目情况报告表，将有关信息告知国家发展改革委。</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投资主体提交的大额非敏感类项目情况报告表内容不完整的，国家发展改革委应当在收到之日起5个工作日内一次性告知投资主体需要补正的内容。逾期不告知的，视作内容完整。大额非敏感类项目情况报告表格式文本由国家发展改革委发布。本办法所称大额非敏感类项目，是指中方投资额3亿美元及以上的非敏感类项目。</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 xml:space="preserve">第四十三条 </w:t>
            </w:r>
            <w:r>
              <w:rPr>
                <w:rFonts w:hint="eastAsia" w:cs="宋体"/>
                <w:color w:val="000000"/>
                <w:spacing w:val="0"/>
                <w:lang w:val="en-US" w:eastAsia="zh-CN"/>
              </w:rPr>
              <w:t xml:space="preserve"> </w:t>
            </w:r>
            <w:r>
              <w:rPr>
                <w:rFonts w:hint="eastAsia" w:cs="宋体"/>
                <w:color w:val="000000"/>
                <w:spacing w:val="0"/>
                <w:lang w:eastAsia="zh-CN"/>
              </w:rPr>
              <w:t>境外投资过程中发生外派人员重大伤亡、境外资产重大损失、损害我国与有关国家外交关系等重大不利情况的，投资主体应当在有关情况发生之日起5个工作日内通过网络系统提交重大不利情况报告表。重大不利情况报告表格式文本由国家发展改革委发布。</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第四十四条</w:t>
            </w:r>
            <w:r>
              <w:rPr>
                <w:rFonts w:hint="eastAsia" w:cs="宋体"/>
                <w:color w:val="000000"/>
                <w:spacing w:val="0"/>
                <w:lang w:val="en-US" w:eastAsia="zh-CN"/>
              </w:rPr>
              <w:t xml:space="preserve"> </w:t>
            </w:r>
            <w:r>
              <w:rPr>
                <w:rFonts w:hint="eastAsia" w:cs="宋体"/>
                <w:color w:val="000000"/>
                <w:spacing w:val="0"/>
                <w:lang w:eastAsia="zh-CN"/>
              </w:rPr>
              <w:t xml:space="preserve"> 属于核准、备案管理范围的项目，投资主体应当在项目完成之日起20个工作日内通过网络系统提交项目完成情况报告表。项目完成情况报告表格式文本由国家发展改革委发布。</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前款所称项目完成，是指项目所属的建设工程竣工、投资标的股权或资产交割、中方投资额支出完毕等情形。</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第四十五条</w:t>
            </w:r>
            <w:r>
              <w:rPr>
                <w:rFonts w:hint="eastAsia" w:cs="宋体"/>
                <w:color w:val="000000"/>
                <w:spacing w:val="0"/>
                <w:lang w:val="en-US" w:eastAsia="zh-CN"/>
              </w:rPr>
              <w:t xml:space="preserve"> </w:t>
            </w:r>
            <w:r>
              <w:rPr>
                <w:rFonts w:hint="eastAsia" w:cs="宋体"/>
                <w:color w:val="000000"/>
                <w:spacing w:val="0"/>
                <w:lang w:eastAsia="zh-CN"/>
              </w:rPr>
              <w:t xml:space="preserve"> 国家发展改革委、省级政府发展改革部门可以就境外投资过程中的重大事项向投资主体发出重大事项问询函。投资主体应当按照重大事项问询函载明的问询事项和时限要求提交书面报告。</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第四十八条</w:t>
            </w:r>
            <w:r>
              <w:rPr>
                <w:rFonts w:hint="eastAsia" w:cs="宋体"/>
                <w:color w:val="000000"/>
                <w:spacing w:val="0"/>
                <w:lang w:val="en-US" w:eastAsia="zh-CN"/>
              </w:rPr>
              <w:t xml:space="preserve"> </w:t>
            </w:r>
            <w:r>
              <w:rPr>
                <w:rFonts w:hint="eastAsia" w:cs="宋体"/>
                <w:color w:val="000000"/>
                <w:spacing w:val="0"/>
                <w:lang w:eastAsia="zh-CN"/>
              </w:rPr>
              <w:t xml:space="preserve"> 投资主体应当对自身通过网络系统和线下提交的各类材料的真实性、合法性、完整性负责，不得有虚假、误导性陈述和重大遗漏。</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第五十四条</w:t>
            </w:r>
            <w:r>
              <w:rPr>
                <w:rFonts w:hint="eastAsia" w:cs="宋体"/>
                <w:color w:val="000000"/>
                <w:spacing w:val="0"/>
                <w:lang w:val="en-US" w:eastAsia="zh-CN"/>
              </w:rPr>
              <w:t xml:space="preserve"> </w:t>
            </w:r>
            <w:r>
              <w:rPr>
                <w:rFonts w:hint="eastAsia" w:cs="宋体"/>
                <w:color w:val="000000"/>
                <w:spacing w:val="0"/>
                <w:lang w:eastAsia="zh-CN"/>
              </w:rPr>
              <w:t xml:space="preserve"> 投资主体有下列行为之一的，由国家发展改革委或投资主体注册地的省级政府发展改革部门责令投资主体限期改正；情节严重或逾期不改正的，对投资主体及有关责任人处以警告：</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（一）未按本办法第四十二条、第四十三条、第四十四条、第四十五条规定报告有关信息的；</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（二）违反本办法第四十八条规定的。</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投资主体存在《企业境外投资管理办法》第五十四条规定行为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责令投资主体限期改正。</w:t>
            </w:r>
          </w:p>
        </w:tc>
      </w:tr>
      <w:tr>
        <w:tblPrEx>
          <w:tblCellMar>
            <w:top w:w="0" w:type="dxa"/>
            <w:left w:w="108" w:type="dxa"/>
            <w:bottom w:w="0" w:type="dxa"/>
            <w:right w:w="108" w:type="dxa"/>
          </w:tblCellMar>
        </w:tblPrEx>
        <w:trPr>
          <w:trHeight w:val="20"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投资主体存在《企业境外投资管理办法》第五十四条规定行为，情节严重或经责令限期改正后逾期不改正</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对投资主体及有关责任人处以警告。</w:t>
            </w:r>
          </w:p>
        </w:tc>
      </w:tr>
      <w:tr>
        <w:tblPrEx>
          <w:tblCellMar>
            <w:top w:w="0" w:type="dxa"/>
            <w:left w:w="108" w:type="dxa"/>
            <w:bottom w:w="0" w:type="dxa"/>
            <w:right w:w="108" w:type="dxa"/>
          </w:tblCellMar>
        </w:tblPrEx>
        <w:trPr>
          <w:trHeight w:val="193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16</w:t>
            </w:r>
          </w:p>
        </w:tc>
        <w:tc>
          <w:tcPr>
            <w:tcW w:w="1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投资主体在境外投资过程中实施不正当竞争行为、扰乱境外投资市场秩序</w:t>
            </w:r>
          </w:p>
        </w:tc>
        <w:tc>
          <w:tcPr>
            <w:tcW w:w="72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第五十五条</w:t>
            </w:r>
            <w:r>
              <w:rPr>
                <w:rFonts w:hint="eastAsia" w:cs="宋体"/>
                <w:color w:val="000000"/>
                <w:spacing w:val="0"/>
                <w:lang w:val="en-US" w:eastAsia="zh-CN"/>
              </w:rPr>
              <w:t xml:space="preserve"> </w:t>
            </w:r>
            <w:r>
              <w:rPr>
                <w:rFonts w:hint="eastAsia" w:cs="宋体"/>
                <w:color w:val="000000"/>
                <w:spacing w:val="0"/>
                <w:lang w:eastAsia="zh-CN"/>
              </w:rPr>
              <w:t xml:space="preserve"> 投资主体在境外投资过程中实施不正当竞争行为、扰乱境外投资市场秩序的，由国家发展改革委或投资主体注册地的省级政府发展改革部门责令投资主体中止或停止开展该项目并限期改正，对投资主体及主要责任人处以警告。</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投资主体存在《企业境外投资管理办法》第五十五条规定行为</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责令投资主体中止或停止开展该项目并限期改正，对投资主体及主要责任人处以警告。</w:t>
            </w:r>
          </w:p>
        </w:tc>
      </w:tr>
      <w:tr>
        <w:tblPrEx>
          <w:tblCellMar>
            <w:top w:w="0" w:type="dxa"/>
            <w:left w:w="108" w:type="dxa"/>
            <w:bottom w:w="0" w:type="dxa"/>
            <w:right w:w="108" w:type="dxa"/>
          </w:tblCellMar>
        </w:tblPrEx>
        <w:trPr>
          <w:trHeight w:val="1440" w:hRule="atLeast"/>
          <w:jc w:val="center"/>
        </w:trPr>
        <w:tc>
          <w:tcPr>
            <w:tcW w:w="567"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r>
              <w:rPr>
                <w:rFonts w:hint="eastAsia" w:cs="宋体"/>
                <w:color w:val="000000"/>
                <w:spacing w:val="0"/>
                <w:lang w:eastAsia="zh-CN"/>
              </w:rPr>
              <w:t>17</w:t>
            </w:r>
          </w:p>
        </w:tc>
        <w:tc>
          <w:tcPr>
            <w:tcW w:w="1640"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境外投资威胁、损害我国国家利益和国家安全</w:t>
            </w:r>
          </w:p>
        </w:tc>
        <w:tc>
          <w:tcPr>
            <w:tcW w:w="7201" w:type="dxa"/>
            <w:vMerge w:val="restart"/>
            <w:tcBorders>
              <w:top w:val="single" w:color="auto" w:sz="4" w:space="0"/>
              <w:left w:val="nil"/>
              <w:right w:val="single" w:color="auto" w:sz="4" w:space="0"/>
            </w:tcBorders>
            <w:shd w:val="clear" w:color="auto" w:fill="auto"/>
            <w:vAlign w:val="center"/>
          </w:tcPr>
          <w:p>
            <w:pPr>
              <w:adjustRightInd w:val="0"/>
              <w:snapToGrid w:val="0"/>
              <w:rPr>
                <w:rFonts w:cs="宋体"/>
                <w:color w:val="000000"/>
                <w:spacing w:val="0"/>
                <w:lang w:eastAsia="zh-CN"/>
              </w:rPr>
            </w:pPr>
            <w:r>
              <w:rPr>
                <w:rFonts w:hint="eastAsia" w:cs="宋体"/>
                <w:color w:val="000000"/>
                <w:spacing w:val="0"/>
                <w:lang w:eastAsia="zh-CN"/>
              </w:rPr>
              <w:t>【规章】《企业境外投资管理办法》（国家发展改革委令2017年第11号）</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第五十六条</w:t>
            </w:r>
            <w:r>
              <w:rPr>
                <w:rFonts w:hint="eastAsia" w:cs="宋体"/>
                <w:color w:val="000000"/>
                <w:spacing w:val="0"/>
                <w:lang w:val="en-US" w:eastAsia="zh-CN"/>
              </w:rPr>
              <w:t xml:space="preserve"> </w:t>
            </w:r>
            <w:r>
              <w:rPr>
                <w:rFonts w:hint="eastAsia" w:cs="宋体"/>
                <w:color w:val="000000"/>
                <w:spacing w:val="0"/>
                <w:lang w:eastAsia="zh-CN"/>
              </w:rPr>
              <w:t xml:space="preserve"> 境外投资威胁我国国家利益和国家安全的，由国家发展改革委或投资主体注册地的省级政府发展改革部门责令投资主体中止实施项目并限期改正。</w:t>
            </w:r>
          </w:p>
          <w:p>
            <w:pPr>
              <w:adjustRightInd w:val="0"/>
              <w:snapToGrid w:val="0"/>
              <w:ind w:firstLine="440" w:firstLineChars="200"/>
              <w:rPr>
                <w:rFonts w:cs="宋体"/>
                <w:color w:val="000000"/>
                <w:spacing w:val="0"/>
                <w:lang w:eastAsia="zh-CN"/>
              </w:rPr>
            </w:pPr>
            <w:r>
              <w:rPr>
                <w:rFonts w:hint="eastAsia" w:cs="宋体"/>
                <w:color w:val="000000"/>
                <w:spacing w:val="0"/>
                <w:lang w:eastAsia="zh-CN"/>
              </w:rPr>
              <w:t>境外投资损害我国国家利益和国家安全的，由国家发展改革委或投资主体注册地的省级政府发展改革部门责令投资主体停止实施项目、限期改正并采取补救措施，对投资主体及有关责任人处以警告；构成犯罪的，依法追究刑事责任。投资主体按照本办法第四十三条规定及时提交重大不利情况报告表并主动改正的，可以减轻或免除本条规定的行政处罚。</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境外投资威胁我国国家利益和国家安全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责令投资主体中止实施项目并限期改正。</w:t>
            </w:r>
          </w:p>
        </w:tc>
      </w:tr>
      <w:tr>
        <w:tblPrEx>
          <w:tblCellMar>
            <w:top w:w="0" w:type="dxa"/>
            <w:left w:w="108" w:type="dxa"/>
            <w:bottom w:w="0" w:type="dxa"/>
            <w:right w:w="108" w:type="dxa"/>
          </w:tblCellMar>
        </w:tblPrEx>
        <w:trPr>
          <w:trHeight w:val="1494" w:hRule="atLeast"/>
          <w:jc w:val="center"/>
        </w:trPr>
        <w:tc>
          <w:tcPr>
            <w:tcW w:w="567"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cs="宋体"/>
                <w:color w:val="000000"/>
                <w:spacing w:val="0"/>
                <w:lang w:eastAsia="zh-CN"/>
              </w:rPr>
            </w:pPr>
          </w:p>
        </w:tc>
        <w:tc>
          <w:tcPr>
            <w:tcW w:w="1640"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7201" w:type="dxa"/>
            <w:vMerge w:val="continue"/>
            <w:tcBorders>
              <w:left w:val="nil"/>
              <w:bottom w:val="single" w:color="auto" w:sz="4" w:space="0"/>
              <w:right w:val="single" w:color="auto" w:sz="4" w:space="0"/>
            </w:tcBorders>
            <w:shd w:val="clear" w:color="auto" w:fill="auto"/>
            <w:vAlign w:val="center"/>
          </w:tcPr>
          <w:p>
            <w:pPr>
              <w:adjustRightInd w:val="0"/>
              <w:snapToGrid w:val="0"/>
              <w:rPr>
                <w:rFonts w:cs="宋体"/>
                <w:color w:val="000000"/>
                <w:spacing w:val="0"/>
                <w:lang w:eastAsia="zh-CN"/>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境外投资损害我国国家利益和国家安全</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rPr>
                <w:rFonts w:cs="宋体"/>
                <w:color w:val="000000"/>
                <w:spacing w:val="0"/>
                <w:lang w:eastAsia="zh-CN"/>
              </w:rPr>
            </w:pPr>
            <w:r>
              <w:rPr>
                <w:rFonts w:hint="eastAsia" w:cs="宋体"/>
                <w:color w:val="000000"/>
                <w:spacing w:val="0"/>
                <w:lang w:eastAsia="zh-CN"/>
              </w:rPr>
              <w:t>责令投资主体停止实施项目、限期改正并采取补救措施，对投资主体及有关责任人处以警告。</w:t>
            </w:r>
          </w:p>
        </w:tc>
      </w:tr>
    </w:tbl>
    <w:p>
      <w:pPr>
        <w:adjustRightInd w:val="0"/>
        <w:snapToGrid w:val="0"/>
        <w:rPr>
          <w:rFonts w:hint="eastAsia" w:ascii="方正黑体_GBK" w:eastAsia="方正黑体_GBK"/>
          <w:b/>
          <w:lang w:eastAsia="zh-CN"/>
        </w:rPr>
      </w:pPr>
    </w:p>
    <w:p>
      <w:pPr>
        <w:adjustRightInd w:val="0"/>
        <w:snapToGrid w:val="0"/>
        <w:rPr>
          <w:rFonts w:ascii="方正黑体_GBK" w:eastAsia="方正黑体_GBK"/>
          <w:b/>
          <w:lang w:eastAsia="zh-CN"/>
        </w:rPr>
      </w:pPr>
      <w:r>
        <w:rPr>
          <w:rFonts w:hint="eastAsia" w:ascii="方正黑体_GBK" w:eastAsia="方正黑体_GBK"/>
          <w:b/>
          <w:lang w:eastAsia="zh-CN"/>
        </w:rPr>
        <w:t>说明：</w:t>
      </w:r>
    </w:p>
    <w:p>
      <w:pPr>
        <w:adjustRightInd w:val="0"/>
        <w:snapToGrid w:val="0"/>
        <w:rPr>
          <w:rFonts w:hint="eastAsia"/>
          <w:lang w:eastAsia="zh-CN"/>
        </w:rPr>
      </w:pPr>
      <w:r>
        <w:rPr>
          <w:rFonts w:hint="eastAsia"/>
          <w:lang w:eastAsia="zh-CN"/>
        </w:rPr>
        <w:t>1.本基准由省发展改革委负责解释。</w:t>
      </w:r>
    </w:p>
    <w:p>
      <w:pPr>
        <w:adjustRightInd w:val="0"/>
        <w:snapToGrid w:val="0"/>
        <w:rPr>
          <w:lang w:eastAsia="zh-CN"/>
        </w:rPr>
      </w:pPr>
      <w:r>
        <w:rPr>
          <w:rFonts w:hint="eastAsia"/>
          <w:lang w:val="en-US" w:eastAsia="zh-CN"/>
        </w:rPr>
        <w:t>2.</w:t>
      </w:r>
      <w:r>
        <w:rPr>
          <w:rFonts w:hint="eastAsia"/>
          <w:lang w:eastAsia="zh-CN"/>
        </w:rPr>
        <w:t>其他法律法规授权由发展改革委（能源局）行使的行政处罚，参照上述基准执行。</w:t>
      </w:r>
    </w:p>
    <w:sectPr>
      <w:footerReference r:id="rId3" w:type="default"/>
      <w:pgSz w:w="16838" w:h="11906" w:orient="landscape"/>
      <w:pgMar w:top="1276" w:right="1440" w:bottom="1702" w:left="1440" w:header="851" w:footer="709"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37228"/>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2MmQ0NTc0MTllMThhZDAxNDYxNzgzZDczZDkifQ=="/>
  </w:docVars>
  <w:rsids>
    <w:rsidRoot w:val="00BF468C"/>
    <w:rsid w:val="00000711"/>
    <w:rsid w:val="000028A3"/>
    <w:rsid w:val="000310FC"/>
    <w:rsid w:val="0003710A"/>
    <w:rsid w:val="0006386D"/>
    <w:rsid w:val="00066307"/>
    <w:rsid w:val="00075F4F"/>
    <w:rsid w:val="00084AD1"/>
    <w:rsid w:val="000A535D"/>
    <w:rsid w:val="000A6EB1"/>
    <w:rsid w:val="000B0E84"/>
    <w:rsid w:val="000B2356"/>
    <w:rsid w:val="000B2C08"/>
    <w:rsid w:val="000B4B3C"/>
    <w:rsid w:val="000C4A28"/>
    <w:rsid w:val="000E2891"/>
    <w:rsid w:val="000F1619"/>
    <w:rsid w:val="00115717"/>
    <w:rsid w:val="00116F0A"/>
    <w:rsid w:val="001239D5"/>
    <w:rsid w:val="001300C5"/>
    <w:rsid w:val="0013034E"/>
    <w:rsid w:val="00140854"/>
    <w:rsid w:val="00143F62"/>
    <w:rsid w:val="00146608"/>
    <w:rsid w:val="001542A6"/>
    <w:rsid w:val="001647E8"/>
    <w:rsid w:val="00190A31"/>
    <w:rsid w:val="001B6AD5"/>
    <w:rsid w:val="001C1DAF"/>
    <w:rsid w:val="001C2450"/>
    <w:rsid w:val="001D4E77"/>
    <w:rsid w:val="001E69D5"/>
    <w:rsid w:val="001F4D5F"/>
    <w:rsid w:val="001F55A7"/>
    <w:rsid w:val="001F5912"/>
    <w:rsid w:val="002246B9"/>
    <w:rsid w:val="00226651"/>
    <w:rsid w:val="002276FE"/>
    <w:rsid w:val="0023142F"/>
    <w:rsid w:val="00241BF0"/>
    <w:rsid w:val="00255EFA"/>
    <w:rsid w:val="00271153"/>
    <w:rsid w:val="00271883"/>
    <w:rsid w:val="002822C8"/>
    <w:rsid w:val="00283AB2"/>
    <w:rsid w:val="0029493A"/>
    <w:rsid w:val="00296FAD"/>
    <w:rsid w:val="002A46D6"/>
    <w:rsid w:val="002C6E58"/>
    <w:rsid w:val="002D780A"/>
    <w:rsid w:val="002E12FE"/>
    <w:rsid w:val="002E4C65"/>
    <w:rsid w:val="002F1736"/>
    <w:rsid w:val="002F4D49"/>
    <w:rsid w:val="00300BDA"/>
    <w:rsid w:val="003026A8"/>
    <w:rsid w:val="00312679"/>
    <w:rsid w:val="00320EA8"/>
    <w:rsid w:val="003244D2"/>
    <w:rsid w:val="00332B85"/>
    <w:rsid w:val="003334E2"/>
    <w:rsid w:val="0033414D"/>
    <w:rsid w:val="00335421"/>
    <w:rsid w:val="00343138"/>
    <w:rsid w:val="00356D86"/>
    <w:rsid w:val="00363106"/>
    <w:rsid w:val="00371FD9"/>
    <w:rsid w:val="0037367B"/>
    <w:rsid w:val="00386E3D"/>
    <w:rsid w:val="00395C34"/>
    <w:rsid w:val="003A205E"/>
    <w:rsid w:val="003B4389"/>
    <w:rsid w:val="003C218C"/>
    <w:rsid w:val="003E25D0"/>
    <w:rsid w:val="003E27F1"/>
    <w:rsid w:val="003E5723"/>
    <w:rsid w:val="003F5BE5"/>
    <w:rsid w:val="00403012"/>
    <w:rsid w:val="00431747"/>
    <w:rsid w:val="00441BD9"/>
    <w:rsid w:val="00441C7A"/>
    <w:rsid w:val="004468AC"/>
    <w:rsid w:val="00467244"/>
    <w:rsid w:val="00472BB8"/>
    <w:rsid w:val="00473F7E"/>
    <w:rsid w:val="00486E07"/>
    <w:rsid w:val="0049518F"/>
    <w:rsid w:val="004A2654"/>
    <w:rsid w:val="004C0CCE"/>
    <w:rsid w:val="004D029D"/>
    <w:rsid w:val="004D161E"/>
    <w:rsid w:val="004E2A31"/>
    <w:rsid w:val="004E4C8E"/>
    <w:rsid w:val="004E708A"/>
    <w:rsid w:val="004F3265"/>
    <w:rsid w:val="00504893"/>
    <w:rsid w:val="00510BC7"/>
    <w:rsid w:val="005159FC"/>
    <w:rsid w:val="00522219"/>
    <w:rsid w:val="00555815"/>
    <w:rsid w:val="00556C09"/>
    <w:rsid w:val="00560A74"/>
    <w:rsid w:val="00564697"/>
    <w:rsid w:val="00572F9E"/>
    <w:rsid w:val="00575D27"/>
    <w:rsid w:val="005814AE"/>
    <w:rsid w:val="00583034"/>
    <w:rsid w:val="005A39F5"/>
    <w:rsid w:val="005D08D7"/>
    <w:rsid w:val="005D0E2C"/>
    <w:rsid w:val="005D2CA5"/>
    <w:rsid w:val="005E1194"/>
    <w:rsid w:val="005E332F"/>
    <w:rsid w:val="005E5F70"/>
    <w:rsid w:val="005F6BDF"/>
    <w:rsid w:val="006019B4"/>
    <w:rsid w:val="00603BDD"/>
    <w:rsid w:val="006054A4"/>
    <w:rsid w:val="00605C68"/>
    <w:rsid w:val="00610BF7"/>
    <w:rsid w:val="006327E5"/>
    <w:rsid w:val="00640E42"/>
    <w:rsid w:val="006429AD"/>
    <w:rsid w:val="00645542"/>
    <w:rsid w:val="006535F8"/>
    <w:rsid w:val="00665D42"/>
    <w:rsid w:val="00666656"/>
    <w:rsid w:val="006714D4"/>
    <w:rsid w:val="00673A4F"/>
    <w:rsid w:val="00686640"/>
    <w:rsid w:val="00686B00"/>
    <w:rsid w:val="006A01E8"/>
    <w:rsid w:val="006B4013"/>
    <w:rsid w:val="006B4F7C"/>
    <w:rsid w:val="006C1F9D"/>
    <w:rsid w:val="006D7F7A"/>
    <w:rsid w:val="006E50D6"/>
    <w:rsid w:val="006E6A5A"/>
    <w:rsid w:val="006F07E2"/>
    <w:rsid w:val="00703A7B"/>
    <w:rsid w:val="00717E64"/>
    <w:rsid w:val="0073136C"/>
    <w:rsid w:val="007479D4"/>
    <w:rsid w:val="00764380"/>
    <w:rsid w:val="0078219E"/>
    <w:rsid w:val="00783CCC"/>
    <w:rsid w:val="00785F32"/>
    <w:rsid w:val="00786EC4"/>
    <w:rsid w:val="007920B5"/>
    <w:rsid w:val="007972AE"/>
    <w:rsid w:val="007A4706"/>
    <w:rsid w:val="007B445D"/>
    <w:rsid w:val="007B6DA8"/>
    <w:rsid w:val="007C2100"/>
    <w:rsid w:val="007C4062"/>
    <w:rsid w:val="007E5C26"/>
    <w:rsid w:val="007F0E60"/>
    <w:rsid w:val="007F13AB"/>
    <w:rsid w:val="007F1B47"/>
    <w:rsid w:val="0080247A"/>
    <w:rsid w:val="008048D6"/>
    <w:rsid w:val="0080498F"/>
    <w:rsid w:val="00825ECE"/>
    <w:rsid w:val="00842F3F"/>
    <w:rsid w:val="008552B8"/>
    <w:rsid w:val="008768A7"/>
    <w:rsid w:val="008A78E9"/>
    <w:rsid w:val="008B3CF4"/>
    <w:rsid w:val="008B780E"/>
    <w:rsid w:val="009010EB"/>
    <w:rsid w:val="00913C77"/>
    <w:rsid w:val="00917836"/>
    <w:rsid w:val="00917FDD"/>
    <w:rsid w:val="009214CD"/>
    <w:rsid w:val="00940FA5"/>
    <w:rsid w:val="00941C4C"/>
    <w:rsid w:val="00955C07"/>
    <w:rsid w:val="00963C04"/>
    <w:rsid w:val="009648AA"/>
    <w:rsid w:val="00972280"/>
    <w:rsid w:val="00972EA6"/>
    <w:rsid w:val="0097382A"/>
    <w:rsid w:val="009743DD"/>
    <w:rsid w:val="00975666"/>
    <w:rsid w:val="00991C3B"/>
    <w:rsid w:val="009B2099"/>
    <w:rsid w:val="009E0173"/>
    <w:rsid w:val="009F3703"/>
    <w:rsid w:val="00A17D38"/>
    <w:rsid w:val="00A26301"/>
    <w:rsid w:val="00A4502D"/>
    <w:rsid w:val="00A52F91"/>
    <w:rsid w:val="00A54C10"/>
    <w:rsid w:val="00A56F53"/>
    <w:rsid w:val="00A609D3"/>
    <w:rsid w:val="00A80FA8"/>
    <w:rsid w:val="00A8748E"/>
    <w:rsid w:val="00A9422C"/>
    <w:rsid w:val="00AB02FD"/>
    <w:rsid w:val="00AD7A3D"/>
    <w:rsid w:val="00AE4DDE"/>
    <w:rsid w:val="00AE6037"/>
    <w:rsid w:val="00AF3C81"/>
    <w:rsid w:val="00B11C07"/>
    <w:rsid w:val="00B207A5"/>
    <w:rsid w:val="00B27C91"/>
    <w:rsid w:val="00B408A2"/>
    <w:rsid w:val="00B45BD9"/>
    <w:rsid w:val="00B62C09"/>
    <w:rsid w:val="00B67F21"/>
    <w:rsid w:val="00B7230D"/>
    <w:rsid w:val="00B773AD"/>
    <w:rsid w:val="00B84FBD"/>
    <w:rsid w:val="00B922DE"/>
    <w:rsid w:val="00B947BC"/>
    <w:rsid w:val="00BA4229"/>
    <w:rsid w:val="00BB2C24"/>
    <w:rsid w:val="00BC0B78"/>
    <w:rsid w:val="00BC46D5"/>
    <w:rsid w:val="00BE3E1C"/>
    <w:rsid w:val="00BF468C"/>
    <w:rsid w:val="00C043C0"/>
    <w:rsid w:val="00C05B53"/>
    <w:rsid w:val="00C434CE"/>
    <w:rsid w:val="00C47E4B"/>
    <w:rsid w:val="00C5472A"/>
    <w:rsid w:val="00C704D9"/>
    <w:rsid w:val="00C7080D"/>
    <w:rsid w:val="00C751CF"/>
    <w:rsid w:val="00C766EE"/>
    <w:rsid w:val="00C814FA"/>
    <w:rsid w:val="00C81C53"/>
    <w:rsid w:val="00C83C37"/>
    <w:rsid w:val="00C859D3"/>
    <w:rsid w:val="00C87E3F"/>
    <w:rsid w:val="00CA12AB"/>
    <w:rsid w:val="00CB0727"/>
    <w:rsid w:val="00CB4229"/>
    <w:rsid w:val="00CB5C61"/>
    <w:rsid w:val="00CD7DC8"/>
    <w:rsid w:val="00CE555C"/>
    <w:rsid w:val="00D025AD"/>
    <w:rsid w:val="00D0558A"/>
    <w:rsid w:val="00D308A3"/>
    <w:rsid w:val="00D43776"/>
    <w:rsid w:val="00D471E7"/>
    <w:rsid w:val="00D56673"/>
    <w:rsid w:val="00D57C40"/>
    <w:rsid w:val="00D732F0"/>
    <w:rsid w:val="00D73E6F"/>
    <w:rsid w:val="00D9185C"/>
    <w:rsid w:val="00D91872"/>
    <w:rsid w:val="00DA4F45"/>
    <w:rsid w:val="00DC710F"/>
    <w:rsid w:val="00DD145F"/>
    <w:rsid w:val="00DD16C8"/>
    <w:rsid w:val="00DD4392"/>
    <w:rsid w:val="00DE28F4"/>
    <w:rsid w:val="00DF0781"/>
    <w:rsid w:val="00E15402"/>
    <w:rsid w:val="00E16191"/>
    <w:rsid w:val="00E3235F"/>
    <w:rsid w:val="00E354A9"/>
    <w:rsid w:val="00E379EC"/>
    <w:rsid w:val="00E672C5"/>
    <w:rsid w:val="00E936E7"/>
    <w:rsid w:val="00E96B25"/>
    <w:rsid w:val="00EA20E4"/>
    <w:rsid w:val="00EA2A13"/>
    <w:rsid w:val="00EA5B84"/>
    <w:rsid w:val="00EB3E6A"/>
    <w:rsid w:val="00EB5906"/>
    <w:rsid w:val="00ED218C"/>
    <w:rsid w:val="00EE1A37"/>
    <w:rsid w:val="00EE26F4"/>
    <w:rsid w:val="00EE4AEE"/>
    <w:rsid w:val="00EF0015"/>
    <w:rsid w:val="00EF27D9"/>
    <w:rsid w:val="00F10CDD"/>
    <w:rsid w:val="00F200CA"/>
    <w:rsid w:val="00F23EF8"/>
    <w:rsid w:val="00F3333A"/>
    <w:rsid w:val="00F36FA3"/>
    <w:rsid w:val="00F47E5E"/>
    <w:rsid w:val="00F572FB"/>
    <w:rsid w:val="00F7097A"/>
    <w:rsid w:val="00F755EA"/>
    <w:rsid w:val="00F75E50"/>
    <w:rsid w:val="00F852C6"/>
    <w:rsid w:val="00F91E60"/>
    <w:rsid w:val="00FA07A6"/>
    <w:rsid w:val="00FC718B"/>
    <w:rsid w:val="00FD0DC7"/>
    <w:rsid w:val="00FD68D8"/>
    <w:rsid w:val="00FE2DB3"/>
    <w:rsid w:val="00FF10F3"/>
    <w:rsid w:val="00FF2A31"/>
    <w:rsid w:val="00FF35D9"/>
    <w:rsid w:val="00FF675E"/>
    <w:rsid w:val="09071E4C"/>
    <w:rsid w:val="1A3009A6"/>
    <w:rsid w:val="2B9DCC72"/>
    <w:rsid w:val="3411756B"/>
    <w:rsid w:val="36B16B44"/>
    <w:rsid w:val="380A4FD0"/>
    <w:rsid w:val="3E477FC9"/>
    <w:rsid w:val="3FF9855C"/>
    <w:rsid w:val="42EFA959"/>
    <w:rsid w:val="43360BAF"/>
    <w:rsid w:val="45F621B4"/>
    <w:rsid w:val="47856D71"/>
    <w:rsid w:val="493672C2"/>
    <w:rsid w:val="4BEA0DFF"/>
    <w:rsid w:val="57EF18EA"/>
    <w:rsid w:val="5C2F4E05"/>
    <w:rsid w:val="5D8A6A73"/>
    <w:rsid w:val="5FDCD957"/>
    <w:rsid w:val="6151253D"/>
    <w:rsid w:val="6DAC1227"/>
    <w:rsid w:val="6E63173E"/>
    <w:rsid w:val="72DA6F53"/>
    <w:rsid w:val="73CF6C83"/>
    <w:rsid w:val="73E55A5C"/>
    <w:rsid w:val="799F7E92"/>
    <w:rsid w:val="7BE63C57"/>
    <w:rsid w:val="7F9E7DCA"/>
    <w:rsid w:val="7FB63C3B"/>
    <w:rsid w:val="9DEF8975"/>
    <w:rsid w:val="AD6CA64B"/>
    <w:rsid w:val="B9FB9765"/>
    <w:rsid w:val="BEFB04AD"/>
    <w:rsid w:val="C7F7B6AB"/>
    <w:rsid w:val="DF9EF928"/>
    <w:rsid w:val="EF9F6F30"/>
    <w:rsid w:val="EFEAC166"/>
    <w:rsid w:val="F5FC69BA"/>
    <w:rsid w:val="F79D44D6"/>
    <w:rsid w:val="FDEA4D16"/>
    <w:rsid w:val="FFDF7B27"/>
    <w:rsid w:val="FFFFA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仿宋_GB2312"/>
      <w:spacing w:val="-1"/>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lang w:eastAsia="en-US"/>
    </w:rPr>
  </w:style>
  <w:style w:type="character" w:customStyle="1" w:styleId="8">
    <w:name w:val="页脚 Char"/>
    <w:basedOn w:val="6"/>
    <w:link w:val="3"/>
    <w:qFormat/>
    <w:uiPriority w:val="99"/>
    <w:rPr>
      <w:sz w:val="18"/>
      <w:szCs w:val="18"/>
      <w:lang w:eastAsia="en-US"/>
    </w:rPr>
  </w:style>
  <w:style w:type="character" w:customStyle="1" w:styleId="9">
    <w:name w:val="批注框文本 Char"/>
    <w:basedOn w:val="6"/>
    <w:link w:val="2"/>
    <w:semiHidden/>
    <w:qFormat/>
    <w:uiPriority w:val="99"/>
    <w:rPr>
      <w:sz w:val="18"/>
      <w:szCs w:val="18"/>
      <w:lang w:eastAsia="en-US"/>
    </w:rPr>
  </w:style>
  <w:style w:type="character" w:customStyle="1" w:styleId="10">
    <w:name w:val="font51"/>
    <w:basedOn w:val="6"/>
    <w:qFormat/>
    <w:uiPriority w:val="0"/>
    <w:rPr>
      <w:rFonts w:ascii="方正仿宋_GBK" w:hAnsi="方正仿宋_GBK" w:eastAsia="方正仿宋_GBK" w:cs="方正仿宋_GBK"/>
      <w:color w:val="000000"/>
      <w:sz w:val="22"/>
      <w:szCs w:val="22"/>
      <w:u w:val="none"/>
    </w:rPr>
  </w:style>
  <w:style w:type="character" w:customStyle="1" w:styleId="11">
    <w:name w:val="font2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1449</Words>
  <Characters>8262</Characters>
  <Lines>68</Lines>
  <Paragraphs>19</Paragraphs>
  <TotalTime>3</TotalTime>
  <ScaleCrop>false</ScaleCrop>
  <LinksUpToDate>false</LinksUpToDate>
  <CharactersWithSpaces>9692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2023-10-27T03:19:00Z</dcterms:created>
  <dc:creator>Windows User</dc:creator>
  <cp:lastModifiedBy>uos</cp:lastModifiedBy>
  <cp:lastPrinted>2023-12-01T14:34:00Z</cp:lastPrinted>
  <dcterms:modified xsi:type="dcterms:W3CDTF">2023-12-01T14:24:57Z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7C6026B7398D44AA9050DB72A22F915E_12</vt:lpwstr>
  </property>
</Properties>
</file>