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ascii="宋体" w:hAnsi="宋体" w:eastAsia="宋体" w:cs="宋体"/>
                <w:b/>
                <w:bCs/>
                <w:sz w:val="52"/>
                <w:szCs w:val="52"/>
                <w:lang w:val="en-US"/>
              </w:rPr>
            </w:pPr>
            <w:r>
              <w:rPr>
                <w:rFonts w:ascii="宋体" w:hAnsi="宋体" w:eastAsia="宋体" w:cs="宋体"/>
                <w:b/>
                <w:sz w:val="52"/>
              </w:rPr>
              <w:t>2022年度</w:t>
            </w:r>
            <w:r>
              <w:rPr>
                <w:rFonts w:ascii="宋体" w:hAnsi="宋体" w:eastAsia="宋体" w:cs="宋体"/>
                <w:b/>
                <w:sz w:val="52"/>
              </w:rPr>
              <w:br w:type="textWrapping"/>
            </w:r>
            <w:r>
              <w:rPr>
                <w:rFonts w:ascii="宋体" w:hAnsi="宋体" w:eastAsia="宋体" w:cs="宋体"/>
                <w:b/>
                <w:sz w:val="52"/>
              </w:rPr>
              <w:t>启东市住房和城乡建设局</w:t>
            </w:r>
            <w:r>
              <w:rPr>
                <w:rFonts w:ascii="宋体" w:hAnsi="宋体" w:eastAsia="宋体" w:cs="宋体"/>
                <w:b/>
                <w:sz w:val="52"/>
              </w:rPr>
              <w:br w:type="textWrapping"/>
            </w:r>
            <w:r>
              <w:rPr>
                <w:rFonts w:ascii="宋体" w:hAnsi="宋体" w:eastAsia="宋体" w:cs="宋体"/>
                <w:b/>
                <w:sz w:val="52"/>
              </w:rPr>
              <w:t>部门决算公开</w:t>
            </w:r>
          </w:p>
        </w:tc>
      </w:tr>
    </w:tbl>
    <w:p>
      <w:pPr>
        <w:ind w:right="284" w:rightChars="129"/>
        <w:jc w:val="both"/>
        <w:rPr>
          <w:rFonts w:ascii="宋体" w:hAnsi="宋体" w:eastAsia="宋体" w:cs="宋体"/>
          <w:b/>
          <w:bCs/>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580" w:right="700" w:bottom="770" w:left="1020" w:header="170" w:footer="280" w:gutter="0"/>
          <w:cols w:space="720" w:num="1"/>
          <w:formProt w:val="0"/>
          <w:titlePg/>
          <w:docGrid w:linePitch="100" w:charSpace="0"/>
        </w:sectPr>
      </w:pPr>
    </w:p>
    <w:p>
      <w:pPr>
        <w:pStyle w:val="8"/>
        <w:spacing w:before="4"/>
        <w:rPr>
          <w:rFonts w:ascii="华文仿宋" w:hAnsi="华文仿宋" w:eastAsia="华文仿宋" w:cs="仿宋"/>
          <w:sz w:val="10"/>
        </w:rPr>
      </w:pPr>
    </w:p>
    <w:p>
      <w:pPr>
        <w:pStyle w:val="3"/>
        <w:tabs>
          <w:tab w:val="left" w:pos="880"/>
        </w:tabs>
        <w:spacing w:line="718" w:lineRule="exact"/>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ascii="仿宋" w:hAnsi="仿宋" w:eastAsia="仿宋" w:cs="仿宋"/>
          <w:sz w:val="27"/>
        </w:rPr>
      </w:pPr>
    </w:p>
    <w:p>
      <w:pPr>
        <w:pStyle w:val="8"/>
        <w:spacing w:line="360" w:lineRule="auto"/>
        <w:ind w:left="671" w:leftChars="300" w:hanging="11"/>
        <w:jc w:val="both"/>
        <w:outlineLvl w:val="0"/>
        <w:rPr>
          <w:rFonts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三、202</w:t>
      </w:r>
      <w:r>
        <w:rPr>
          <w:rFonts w:hint="eastAsia" w:ascii="仿宋" w:hAnsi="仿宋" w:eastAsia="仿宋" w:cs="仿宋"/>
          <w:lang w:val="en-US"/>
        </w:rPr>
        <w:t>2</w:t>
      </w:r>
      <w:r>
        <w:rPr>
          <w:rFonts w:hint="eastAsia" w:ascii="仿宋" w:hAnsi="仿宋" w:eastAsia="仿宋" w:cs="仿宋"/>
        </w:rPr>
        <w:t>年度主要工作完成情况</w:t>
      </w:r>
    </w:p>
    <w:p>
      <w:pPr>
        <w:pStyle w:val="8"/>
        <w:spacing w:line="360" w:lineRule="auto"/>
        <w:ind w:left="671" w:leftChars="300" w:hanging="11"/>
        <w:jc w:val="both"/>
        <w:rPr>
          <w:rFonts w:ascii="黑体" w:hAnsi="黑体" w:eastAsia="黑体" w:cs="黑体"/>
        </w:rPr>
      </w:pPr>
      <w:r>
        <w:rPr>
          <w:rFonts w:hint="eastAsia" w:ascii="黑体" w:hAnsi="黑体" w:eastAsia="黑体" w:cs="黑体"/>
          <w:lang w:val="en-US"/>
        </w:rPr>
        <w:t>第二部分 2022年度</w:t>
      </w:r>
      <w:r>
        <w:rPr>
          <w:rFonts w:ascii="黑体" w:hAnsi="黑体" w:eastAsia="黑体" w:cs="黑体"/>
        </w:rPr>
        <w:t>部门决算表</w:t>
      </w:r>
    </w:p>
    <w:p>
      <w:pPr>
        <w:pStyle w:val="8"/>
        <w:spacing w:line="360" w:lineRule="auto"/>
        <w:ind w:left="671" w:leftChars="300" w:right="5774" w:hanging="11"/>
        <w:jc w:val="both"/>
        <w:rPr>
          <w:rFonts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ascii="仿宋" w:hAnsi="仿宋" w:eastAsia="仿宋" w:cs="仿宋"/>
        </w:rPr>
      </w:pPr>
      <w:r>
        <w:rPr>
          <w:rFonts w:hint="eastAsia" w:ascii="仿宋" w:hAnsi="仿宋" w:eastAsia="仿宋" w:cs="仿宋"/>
        </w:rPr>
        <w:t>六、财政拨款基本支出决算表（经济科目）</w:t>
      </w:r>
    </w:p>
    <w:p>
      <w:pPr>
        <w:pStyle w:val="8"/>
        <w:spacing w:line="360" w:lineRule="auto"/>
        <w:ind w:left="671" w:leftChars="300" w:right="2894" w:hanging="11"/>
        <w:jc w:val="both"/>
        <w:rPr>
          <w:rFonts w:ascii="仿宋" w:hAnsi="仿宋" w:eastAsia="仿宋" w:cs="仿宋"/>
        </w:rPr>
      </w:pPr>
      <w:r>
        <w:rPr>
          <w:rFonts w:hint="eastAsia" w:ascii="仿宋" w:hAnsi="仿宋" w:eastAsia="仿宋" w:cs="仿宋"/>
        </w:rPr>
        <w:t>七、一般公共预算支出决算表（功能科目）</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ascii="仿宋" w:hAnsi="仿宋" w:eastAsia="仿宋" w:cs="仿宋"/>
        </w:rPr>
      </w:pPr>
      <w:r>
        <w:rPr>
          <w:rFonts w:hint="eastAsia" w:ascii="仿宋" w:hAnsi="仿宋" w:eastAsia="仿宋" w:cs="仿宋"/>
        </w:rPr>
        <w:t>九、</w:t>
      </w:r>
      <w:r>
        <w:rPr>
          <w:rFonts w:hint="eastAsia" w:ascii="仿宋" w:hAnsi="仿宋" w:eastAsia="仿宋" w:cs="仿宋"/>
          <w:lang w:val="en-US"/>
        </w:rPr>
        <w:t>财政拨款“三公”经费、会议费和培训费支出决算表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ascii="黑体" w:hAnsi="黑体" w:eastAsia="黑体" w:cs="黑体"/>
          <w:lang w:val="en-US"/>
        </w:rPr>
      </w:pPr>
      <w:r>
        <w:rPr>
          <w:rFonts w:hint="eastAsia" w:ascii="黑体" w:hAnsi="黑体" w:eastAsia="黑体" w:cs="黑体"/>
          <w:lang w:val="en-US"/>
        </w:rPr>
        <w:t>第三部分 2022年度</w:t>
      </w:r>
      <w:r>
        <w:rPr>
          <w:rFonts w:ascii="黑体" w:hAnsi="黑体" w:eastAsia="黑体" w:cs="黑体"/>
        </w:rPr>
        <w:t>部门决算情况说明</w:t>
      </w:r>
    </w:p>
    <w:p>
      <w:pPr>
        <w:pStyle w:val="8"/>
        <w:spacing w:line="360" w:lineRule="auto"/>
        <w:ind w:left="671" w:leftChars="300" w:hanging="11"/>
        <w:jc w:val="both"/>
        <w:rPr>
          <w:rFonts w:ascii="仿宋" w:hAnsi="仿宋" w:eastAsia="仿宋" w:cs="仿宋"/>
          <w:b/>
          <w:bCs/>
          <w:color w:val="000000"/>
          <w:sz w:val="30"/>
          <w:szCs w:val="30"/>
          <w:lang w:val="en-US"/>
        </w:rPr>
      </w:pPr>
      <w:r>
        <w:rPr>
          <w:rFonts w:hint="eastAsia" w:ascii="黑体" w:hAnsi="黑体" w:eastAsia="黑体" w:cs="黑体"/>
          <w:lang w:val="en-US"/>
        </w:rPr>
        <w:t>第四部分 名词解释</w:t>
      </w:r>
    </w:p>
    <w:p>
      <w:pPr>
        <w:pStyle w:val="8"/>
        <w:spacing w:line="235" w:lineRule="auto"/>
        <w:ind w:left="669" w:leftChars="300" w:right="2414" w:hanging="9"/>
        <w:jc w:val="both"/>
        <w:rPr>
          <w:rFonts w:ascii="仿宋" w:hAnsi="仿宋" w:eastAsia="仿宋" w:cs="仿宋"/>
        </w:rPr>
        <w:sectPr>
          <w:footerReference r:id="rId9"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ascii="华文仿宋" w:hAnsi="华文仿宋" w:eastAsia="华文仿宋" w:cs="仿宋"/>
          <w:sz w:val="14"/>
        </w:rPr>
      </w:pPr>
    </w:p>
    <w:p>
      <w:pPr>
        <w:pStyle w:val="5"/>
        <w:tabs>
          <w:tab w:val="left" w:pos="4395"/>
        </w:tabs>
        <w:spacing w:line="606" w:lineRule="exact"/>
        <w:ind w:right="504" w:rightChars="229"/>
        <w:rPr>
          <w:rFonts w:ascii="宋体" w:hAnsi="宋体" w:eastAsia="宋体" w:cs="宋体"/>
          <w:b/>
          <w:bCs/>
        </w:rPr>
      </w:pPr>
      <w:r>
        <w:rPr>
          <w:rFonts w:hint="eastAsia" w:ascii="宋体" w:hAnsi="宋体" w:eastAsia="宋体" w:cs="宋体"/>
          <w:b/>
          <w:bCs/>
        </w:rPr>
        <w:t>第一部分部门概况</w:t>
      </w:r>
    </w:p>
    <w:p>
      <w:pPr>
        <w:ind w:right="504" w:rightChars="229"/>
        <w:jc w:val="both"/>
      </w:pP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承担规范全市住房和城乡建设</w:t>
      </w:r>
      <w:r>
        <w:rPr>
          <w:rFonts w:hint="eastAsia" w:ascii="仿宋" w:hAnsi="仿宋" w:eastAsia="仿宋" w:cs="仿宋"/>
          <w:lang w:eastAsia="zh-CN"/>
        </w:rPr>
        <w:t>、</w:t>
      </w:r>
      <w:r>
        <w:rPr>
          <w:rFonts w:hint="eastAsia" w:ascii="仿宋" w:hAnsi="仿宋" w:eastAsia="仿宋" w:cs="仿宋"/>
          <w:lang w:val="en-US" w:eastAsia="zh-CN"/>
        </w:rPr>
        <w:t>人民防空建设</w:t>
      </w:r>
      <w:r>
        <w:rPr>
          <w:rFonts w:ascii="仿宋" w:hAnsi="仿宋" w:eastAsia="仿宋" w:cs="仿宋"/>
        </w:rPr>
        <w:t>管理秩序的责任;承担全市城镇住房保障和住房制度改革的责任;承担规范房地产市场秩序、监督管理房地产市场的责任;承担规范房屋管理的责任;承担规范设计行业发展和管理的责任;承担规范和指导全市村镇建设的责任;承担执行工程建设标准及推广的责任;承担监督管理建筑市场、规范市场各方主体行为的责任;承担监督管理建筑业行业、推进建筑业发展的责任;承担建筑工程质量安全监管的责任;承担推进科技进步、绿色建筑发展、建筑节能、城镇建筑减排的责任;承担全市地震监测预报、抗震防灾等责任;组织指导全市住房和城乡建设行业人才培养、职业教育工作;指导全市住房和城乡建设档案工作;组织对外交流和合作;负责全市城市道路（桥梁）、城市供水、城市排水、城市燃气、城市照明、城市绿化、城市公园等市政公用和园林绿化管理工作;负责编制市区市政公用和园林绿化行业中长期发展规划、年度计划和相关专项规划并组织实施;负责市政公用行业管理工作;负责园林绿化行业管理工作;承担规范市政公用和园林绿化市场秩序的责任。负责市区市政公用和园林绿化工程的质量安全管理工作;负责市区市政公用和园林绿化信息化工作;承担全市人民防空指挥责任；</w:t>
      </w:r>
      <w:r>
        <w:rPr>
          <w:rFonts w:hint="eastAsia" w:ascii="仿宋" w:hAnsi="仿宋" w:eastAsia="仿宋" w:cs="仿宋"/>
          <w:lang w:val="en-US" w:eastAsia="zh-CN"/>
        </w:rPr>
        <w:t>负责拟定人民防空指挥机构转入战时体制方案、防控袭方案、战时人口疏散计划、重要经济目标防护和各项保障方案，保障战时组织指挥全市人民防空斗争；负责全市人防指挥所、指挥通信网、警报网、疏散基地的建设管理与指导工作；编制市级人民防空工程建设规划和计划；负责辖区人民防空工程和疏散地域（基地）建设审批与事中事后监管工作；监督检查人民防空工程平战转换</w:t>
      </w:r>
      <w:bookmarkStart w:id="0" w:name="_GoBack"/>
      <w:bookmarkEnd w:id="0"/>
      <w:r>
        <w:rPr>
          <w:rFonts w:hint="eastAsia" w:ascii="仿宋" w:hAnsi="仿宋" w:eastAsia="仿宋" w:cs="仿宋"/>
          <w:lang w:val="en-US" w:eastAsia="zh-CN"/>
        </w:rPr>
        <w:t>措施的落实；</w:t>
      </w:r>
      <w:r>
        <w:rPr>
          <w:rFonts w:ascii="仿宋" w:hAnsi="仿宋" w:eastAsia="仿宋" w:cs="仿宋"/>
        </w:rPr>
        <w:t>负责本市行政区域内新建、扩建、改建（含室内外装修、建筑保温、用途变更）等建设工程的消防设计审查、验收、备案及备案抽查工作;配合参与建设火灾事故调查处理;完成市委、市政府交办的其他事项。</w:t>
      </w: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二、</w:t>
      </w:r>
      <w:r>
        <w:rPr>
          <w:rFonts w:ascii="黑体" w:hAnsi="黑体" w:eastAsia="黑体" w:cs="黑体"/>
        </w:rPr>
        <w:t>部门</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ascii="仿宋" w:hAnsi="仿宋" w:eastAsia="仿宋" w:cs="仿宋"/>
        </w:rPr>
        <w:t>本部门内设机构包括办公室、财务审计科、宣传教育和监察科、住房保障和物业管理科、城市建设管理科、公</w:t>
      </w:r>
      <w:r>
        <w:rPr>
          <w:rFonts w:hint="eastAsia" w:ascii="仿宋" w:hAnsi="仿宋" w:eastAsia="仿宋" w:cs="仿宋"/>
        </w:rPr>
        <w:t>共</w:t>
      </w:r>
      <w:r>
        <w:rPr>
          <w:rFonts w:ascii="仿宋" w:hAnsi="仿宋" w:eastAsia="仿宋" w:cs="仿宋"/>
        </w:rPr>
        <w:t>事业管理科、村镇建设管理科、建筑行业管理科、房地产市场监管科、</w:t>
      </w:r>
      <w:r>
        <w:rPr>
          <w:rFonts w:hint="eastAsia" w:ascii="仿宋" w:hAnsi="仿宋" w:eastAsia="仿宋" w:cs="仿宋"/>
          <w:lang w:val="en-US" w:eastAsia="zh-CN"/>
        </w:rPr>
        <w:t>人防事业科、</w:t>
      </w:r>
      <w:r>
        <w:rPr>
          <w:rFonts w:ascii="仿宋" w:hAnsi="仿宋" w:eastAsia="仿宋" w:cs="仿宋"/>
        </w:rPr>
        <w:t>建筑市场监管科、法制科（行政服务科、监管协调科）、消防监管科。本部门下属单位包括：城建档案馆、建设工程造价站、建设工程施工图审查室、城市排水管理处、市政园林绿化工程建设管理处、房屋征收管理办公室、建设工程质量监督站、</w:t>
      </w:r>
      <w:r>
        <w:rPr>
          <w:rFonts w:hint="eastAsia" w:ascii="仿宋" w:hAnsi="仿宋" w:eastAsia="仿宋" w:cs="仿宋"/>
        </w:rPr>
        <w:t>房地产交易中心</w:t>
      </w:r>
      <w:r>
        <w:rPr>
          <w:rFonts w:ascii="仿宋" w:hAnsi="仿宋" w:eastAsia="仿宋" w:cs="仿宋"/>
        </w:rPr>
        <w:t>、白蚁防治所、住房保障服务中心、建筑工程安全监督站、新型建筑材料节能发展中心。</w:t>
      </w:r>
    </w:p>
    <w:p>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lang w:val="en-US"/>
        </w:rPr>
        <w:t>2.</w:t>
      </w:r>
      <w:r>
        <w:rPr>
          <w:rFonts w:hint="eastAsia" w:ascii="仿宋" w:hAnsi="仿宋" w:eastAsia="仿宋" w:cs="仿宋"/>
        </w:rPr>
        <w:t>从决算单位构成看，纳入本</w:t>
      </w:r>
      <w:r>
        <w:rPr>
          <w:rFonts w:hint="eastAsia" w:ascii="仿宋" w:hAnsi="仿宋" w:eastAsia="仿宋" w:cs="仿宋"/>
          <w:lang w:val="en-US"/>
        </w:rPr>
        <w:t>部门</w:t>
      </w:r>
      <w:r>
        <w:rPr>
          <w:rFonts w:hint="eastAsia" w:ascii="仿宋" w:hAnsi="仿宋" w:eastAsia="仿宋" w:cs="仿宋"/>
        </w:rPr>
        <w:t>2022年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13</w:t>
      </w:r>
      <w:r>
        <w:rPr>
          <w:rFonts w:hint="eastAsia" w:ascii="仿宋" w:hAnsi="仿宋" w:eastAsia="仿宋" w:cs="仿宋"/>
        </w:rPr>
        <w:t>家，具体包括：</w:t>
      </w:r>
      <w:r>
        <w:rPr>
          <w:rFonts w:ascii="仿宋" w:hAnsi="仿宋" w:eastAsia="仿宋" w:cs="仿宋"/>
        </w:rPr>
        <w:t>住建局（本级)、城建档案馆、建设工程造价站、建设工程施工图审查室、城市排水管理处、市政园林绿化工程建设管理处、房屋征收管理办公室、建设工程质量监督站、房屋产权交易监理所、白蚁防治所、住房保障服务中心、建筑工程安全监督站、新型建筑材料节能发展中心。</w:t>
      </w: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三、2022年度主要工作完成情况</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2022年是实施“十四五”规划的关键之年，立足关键点，着眼新时代。住建局在市委、市政府的坚强领导下，以十九大和十九届历次全会重要精神为指导，认真贯彻落实市委十四届一次、二次会议精神，紧紧围绕“江苏沿海开发先导区、接轨上海港口城、江海交汇宜居地”目标，落实“创新、协调、绿色、开放、共享”发展理念，拉开城市框架、提升城市品位、促进城乡融合，努力把启东建设成为宜居宜业宜乐，人民满意的最具幸福感城市。</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(一)从精细处着眼，不断提升城市品质</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是畅通城市路网“动脉”循环。以延伸城市主干道、建设交通环线、打通瓶颈节点为目的，织就城市路网。2022年新建广汇人才公寓东侧道路、华山路2条城市道路，分别提前至8月底和9月底完工并通车。完成公园路-长江路等3个路口渠化改造，提前至7月初完工。城建计划中期调整新增的金沙江路（江海路-公园路）、乌江路西段（江海路-公园路）已竣工，乌江路东段（华山路-惠阳路）完成路基和管道施工，衡山路（世纪大道-黄浦江路）完成施工、监理招标，待汇龙镇完成苗木搬迁后即可开工。</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是提升绿色生态宜居指数。滨江生态绿廊首开区项目，2022年7月1日正式开园。目前二道堤道路施工、停车场区域完成。4条新建道路绿化工程（紫薇东路（民胜路-惠阳路）、瀛东巷（灵秀路-河南路）、建设中路西侧（民乐路-泾河路）、制药厂东巷（民乐路-长江路））与版画院西侧绿化项目（民胜路西侧、黄浦江路北侧）均在上半年全面完工，其中具有特色的瀛东巷（白玉兰街）和制药厂东巷（日本早樱街），今后每年的三月中旬起至四月中下旬，将会成为极具靓丽的两条花海街道。城市绿道贯通工程二期(团结闸-中央路-头兴港河、头兴港河西岸（广电广场-世纪大道）)，工程总长9.5公里，已完工。全年新增绿地面积70万平方米。沿海沿江特色风貌塑造，按照省委打造江苏最美江海岸线，营造缤纷百里江海示范区的要求，2022年我局继续推进沿江沿海特色风貌塑造工作，成立了启东沿海特色风貌管理委员会，沿江沿海特色风貌塑造暨总体城市设计方案已初步完成。加强绿化养护管理，2022年园林绿化条线建立市政绿化巡查制度，共排查发现景观绿地问题点位共计500余件，以交办单形式，将每日发现问题进行分类汇总并下达给养护单位，做到“小问题立即改，大问题限时改”，有效解决了养护死角等遗留问题。</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是大力攻坚整治水环境。城区雨污水管网检测修复200公里，实施城区雨污水管网检测修复项目测绘、疏通检测和部分修复。中央大道污水管网建设工程，新建污水管位于中央大道北侧绿化带，污水管道长度约1.1km，沿途收集中央大道(惠阳路至中央大道泵站)北侧的污水。城市第二污水处理厂工程，计划建设规模近期5万吨/日，预留远期扩建至9.8万吨/日空间。为项目顺利开工，我局成立工作专班，主动作为，协调移动公司、惠萍镇、交通局等各部门，解决管线搬迁、百姓道路出行、群众矛盾等各项问题，同时锚定计划目标，倒排施工计划，使项目于2022年5月底顺利开工，预计2023年</w:t>
      </w:r>
      <w:r>
        <w:rPr>
          <w:rFonts w:hint="eastAsia" w:ascii="仿宋" w:hAnsi="仿宋" w:eastAsia="仿宋" w:cs="仿宋"/>
          <w:lang w:val="en-US" w:eastAsia="zh-CN"/>
        </w:rPr>
        <w:t>底</w:t>
      </w:r>
      <w:r>
        <w:rPr>
          <w:rFonts w:ascii="仿宋" w:hAnsi="仿宋" w:eastAsia="仿宋" w:cs="仿宋"/>
        </w:rPr>
        <w:t>投入使用。城镇污水处理提质增效达标区建设，2022年完成2个合计5.72平方公里达标区建设，城区达标区建设完成率达到47.7%。2个达标区共涉及小区53个、道路29条，实现该区域雨污分流。城区河道活水畅流景观提升，对紫薇东路河、灵秀路河、江海南路河等5条河道开展活水、景观提升等工程，提升河道水动力。农村生活污水片区化治理1.9万户，根据南通市要求，按照行政村治理“双60%标准”，1.9万户治理工作全部完成，农村生活污水治理率已达到30%。改进工作方法：因地制宜，科学选择治理模式，针对我市农村地形多样、村庄数量多、分布散等特点，按照“一片区一方案”进行设计，以采取相邻若干行政村组团模式，结合重点流域水质管控要求和居民集中区等重点区域污水治理需求，通过负压收集和资源化利用形式有针对性地实施项目建设。推进和平南桥考核断面水质提升，组织南街道、城投集团对南城河周边区域进行排查，第一时间对破损截流井进行修复，确保晴天污水不下河，提升南城河水质。2022年以来，和平南桥断面氨氮指标持续提升，南通市抽检达标率100%。</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是推动美丽宜居城市建设。巡查养护助力全国文明典范城市创建。道路养护1.6万平方米，修复侧石、沥青路面40多公里，路灯养护168套，维修电缆故障短路1.8公里,基础设施完好率保持在95%以上。开展专项风险普查行动，对道路坑洼、开裂、松散等进行调查摸底并形成清单，于8月份完成调查道路89条、桥梁92座，录入全国房屋建筑和市政设施调查系统，完善市政设施基础数据。地下管线安全整治，完成井盖排查2.3万只，修复问题井盖435只。组织对燃气、供电、给排水等地下管线安全生产检查4次，整改问题45个。整治城市“蜘蛛网”拔除电线杆，开展“拔杆行动”，协调电力、通信等相关企业清除无用、废弃的电线杆，清除乱搭“飞线”，集中拔除市区181根无用、弃用电线杆。开展自然灾害风险普查行动，完成地震灾害、房屋建筑、基础设施（市政）普查。推动城市更新，选定了启东第二污水处理厂工程、老小区改造、抗大九分校提档升级等6个项目作为我市首批城市更新项目。美丽宜居城市建设，2021年确定的5个省级试点项目，启东总建筑师负责制——圆陀角生态湿地长廊、通海垦牧公司复建工程、吕四港镇和近海镇美丽宜居小城镇已完成，最美江海岸线首开区已于2022年7月1日开园。</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(二)回应百姓关切，积极推进民生工程</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是着力推进老旧小区改造。2022年对紫薇一村实施老旧小区高标准改造，形成老旧小区改造的样板工程、精品工程。改造面积6.1万平方米，惠及877户。改造亮点：一是防盗窗拆除后统一安装晒被架，外墙喷真石漆，提高墙面防水效果及消除安全隐患；二是在屋顶统一安装光伏太阳能。多层住宅增设电梯，截至2022年底已有59台电梯投入运行，惠及居民600多户，增设数量位居南通第一，在全省县级市中名列前茅。2022年12月，南苑二村、紫薇二村北区被评为江苏2021年度省级宜居示范居住区项目。</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是全力推进供水供气保障。保障城市供水能力和供水安全，大力推进实施区域供水工作。通汇线修复工程，全程42公里，已于2022年6月份竣工验收；实施区域供水东环线建设；完成启隆泵站、常乐泵站建设。供水设施提升改造，完成城河新村等11个老旧小区供水管网改造。紫园路（紫薇路-长龙路）、海洪南路、林洋路（紫薇路-人民路）等道路水泥管改造已完工，共计完成新建管网15公里，改造旧管网10公里。“5000户特困和低保户燃气报警泄漏切断安装”工作，作为2022年民生实事工程，为贫困家庭解决燃气安全问题，截至8月底已完成5000户特困低保户群体和80岁以上老年群体安装燃气泄漏安全保护装置和免费更换金属软管、减压阀；大力推进居民用户自闭阀、报警切断安装，自闭阀累计推广16210户，报警切断累计推广8088户。</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是大力推进动迁安置工作。全力推进征地拆迁，2022年全市拆迁计划为42个地块2522户，其中新开项目11块2083户，结转地块31个444户；共计签约2301户（腾房2260户）,签约完成率91.1%，其中新开地块签约2020户（腾房1984户），结转地块签约281户（腾房276户）；交净地16块，完成率38.1%，其中结转9块，新开7块。不断推进安置房建设，新开工5个项目正在顺利推进，其中南郊家园D区施工单位已进场；东疆雅苑二期最后一户已拆除，施工队进场平整场地；汇泰嘉园三期桩基施工完成50%；渔港嘉苑施工队已进场，现场正在接入临电，并开始现场清表；吕四人才公寓现场清表已完成，正在围档施工，准备桩基进场；钱塘佳苑一期、桂林苑2个结转安置房项目按计划正常推进；东郊二期安置房已竣工；三美街安置区已竣工；惠萍家园三期准备送电及办理各项验收；海港花苑联合验收已完成；鹤南苑外配套施工基本完成，准备验收。</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（三）转变中求发展，持续挖掘行业潜力</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是建筑业良性发展。2022年全市完成建筑业总产值1463.78亿元，同比增长4.46%。支持企业资质晋升。2022全市各类建筑企业838家，新增174家。共有总承包特级资质企业2家，一级资质13家；专业承包一级资质企业24家。强化企业服务。开辟建筑企业资质晋升“绿色通道”，有计划地培育健全资质种类，建立建筑企业培育库白名单，确定建筑集团等9家企业纳入企业培育库名单，通过“评定分离”、“联合体”招投标等方式，对信用好，实力强的企业给予定点政策扶持。全力推进产改工作。根据《2022年启东产业工人队伍建设改革试点工作方案及任务清单》（启产改办［2022］1号）文件要求，为深入贯彻开展产业工人队伍建设改革试点工作，召开2022年启东建筑业产业工人队伍建设改革工作推进会，从思想政治引领、制度落实、权益保障、技能提升等方面细化量化产业工人队伍建设改革措施。走访调研了全市二级及以上建筑企业40多家，了解各企业在产业工人改革工作中的亮点，展示启东建筑业工人的风采。展示馆的改造、布展工作于九月底顺利完成。</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是房地产业稳步发展。2022年全年我市共批准商品房网上预售许可37个，网签面积204.57万平方米；批准商品房现售备案36个，备案面积216.07万平方米；累计销售商品房10022套，同比减少49.7%，销售面积104.36万平方米，同比减少49.3%，销售金额86.75亿元，同比减少58.3%；二手房累计交易5809套，同比减少38.9%，交易面积78.25万平方米，同比减少33.3%。办理商品房网上合同变更、撤销246份。完成了27个批次购房补贴审核，其中新建商品住宅614套，预估补贴总额2836.71万元，二手住宅1782套，预估补贴总额1774.25万元，并移交市财政局。出台“一城一策”调控方案，坚持“因城施策，分类调控”，确保商品房市场价格稳定。联合市发改委、市财政局、市自然资源局、市地方金融局等九部门出台了《关于促进房地产业良性循环和平稳健康发展的若干措施（试行）》（启住建【2022】43号）文件，进一步规范房地产市场秩序，并根据此文件制定居民购房优惠补贴细则。严格预售资金监管，联合市行政审批局、市地方金融监管局、人民银行启东支行出台了新的《启东市商品房预售资金监管银行考核办法》，严格监管预售价格申报、预售资金拨付、合同备案等环节，将房地产项目的烂尾风险控制在初发阶段。强化销售行为监管，落实销售公示制度，所有预售项目的许可信息、楼盘表、预售价格等全部实行电子屏公示，并实施后台监控。开展项目联动管理，将房地产项目的质量安全行为、农民工工资保障等与项目的预售价格申报、预售资金拨付、合同备案管理挂钩，组织开展住宅工程业主开放日活动，切实提高住宅工程交付质量和业主满意度。提升房地产市场活跃度，6月份开展房产展销会，共有18个房地产项目，推出42套特价优惠房源，并有4个部门、7家银行在现场提供政策和金融咨询。全力以赴保交付，对恒大、绿地、融创等六个风险项目，逐一约谈建设、施工及资金监管银行，协调处理矛盾，落实工程计划。成立“保交楼”工作领导小组，做到服务与监管并存。</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（四）落实乡村振兴，大力推进新型城镇化建设</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2022年我局围绕新型城镇化发展目标，牵头制定《2022年新型城镇化考核方案》，指导区镇以完善城镇功能、做优空间形态、提升城镇风貌为重点，本着“宜工则工、宜农则农、宜游则游”原则，结合各区镇自身资源禀赋、产业特点和文化底蕴，因地制宜、系统化谋划、精准化施策，形成“一镇一策”、“一镇一方案”、“一镇一计划”的建设思路，不断完善镇区道路、管网管线、园林绿化等基础设施，健全学校、医疗、文化等功能配套，让城镇面貌焕然一新。各区镇新型城镇化建设有序推进，2022年成功创建省级特色田园乡村和省传统村落各1个，建成120个美丽宜居乡村，培育8个特色田园候选村；新建改建镇区道路34.2公里；新增修复绿化40.2公顷；完成10个被撤并镇的基础设施、环境等的综合整治；启动5个地块商品房开发；完成镇区范围内违法建设清零；建成学校、医院、农贸市场、便民中心等公共服务设施项目8个，开工建设7个。</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（五）强化行业监管，全面提升服务质量</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是加大各类安全监管力度。严查严管建设工程质量和安全。深入开展“建筑工地安全生产大检查和百日攻坚行动”，聚焦“深基坑、高支模、脚手架、起重机械以及有限空间作业”等重点环节，着力加强对重点项目、重点部位和重点环节的监督检查。2022年共开展各类检查共抽查项目476项次，开具隐患限期整改通知书和抽查记录342份，开具隐患停工整改通知书14份，依法提请移交处罚涉嫌违法违规行为46起。目前全市建筑施工安全生产形势整体平稳有序，未发生安全生产亡人事故。全面推行智慧工地建设，全市在建项目对接实名制考勤系统的共214个，其中49个规模以上项目已对接视频监控，50个项目已对接扬尘数据监测，82个项目已对接塔吊黑匣子，6个项目设置了临边防护报警系统。持续推进复工复产，全市在建项目实名制通道日考勤人数为1.8万人。开展质量监督抽查巡查331次，监督抽测108次，发现结构隐患32起，发出整改通知书72份，局部停工通知书24份。每周对老小区改造开展专项检查，对项目中严重影响结构安全的质量问题，均及时予以了查处，杜绝了重大质量事故的发生。狠抓既有房屋安全。城镇房屋方面，自2021年8月开展排查以来，我市累计排查发现城镇隐患建筑60栋，2022年已完成整治14栋，其余均已编入三年整治工作计划。尤其团结新村门面成功解危，团结新村西门南北两侧门面房共有80间，涉及48家商户。我局第一时间介入，采取应急措施，牵头组织南街道、城管局、市管局等部门，抽调人员组建工作组，明确解危程序，将安全隐患消除在萌芽状态。农村房屋方面，2021年以来，我市累计排查农村自建房29.8万户，经鉴定存在风险316户，其中160户为D级危房，156户为C级危房，已全部完成解危。加强城镇燃气方面安全整治。出台《启东市城镇燃气安全排查整治工作实施方案》，巩固拓展我市“一年小灶”成果，推动“三年大灶”持续开展。加快推进城市燃气管道等老化更新改造，2022年15个小区完成改造。提升燃气安全监管智慧化、信息化水平，组织配送公司和祥康公司全面升级现有配送系统，申领的钢瓶严格落实“最终用户信息、入户安检合格、人脸拍照”闭环管理，实现“来源可查、去向可追、责任可究”的瓶装液化气全链条安全监管体系。我市11家液化石油气企业场站实现24小时在线监管。推进“瓶改管”工作，根据南通市的要求，通过降低收费标准，缩短施工期等措施，我市市区餐饮场所“瓶改管”2022年完成150家。</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是提升物业行业管理水平。突出党建引领，提升社区治理水平,强化行业党建工作指导，打造“红色物业+”特色服务品牌，传递党的声音、收集社情民意、调解矛盾纠纷、促进和谐稳定，我市南苑一村城南物业党支部获得省级党建引领示范点，御河湾百盛物业党支部、世纪家园北区银洲物业党支部获得南通市级党建引领示范点。突出民生引领，推动落实社区居委会、物业服务企业、业主委员会“三位一体”共管模式和重大事项事先磋商机制。明确业委会换届选举工作流程，加大小区业主管理参与度，指导17家业委会、5家物管委成立，推进业委会（物管委）成立或换届。突出体制引领，提升行业监管水平,持续常态检查，加大处罚力度，确保质价相符，促进优胜劣汰，维护广大业主的合法权益；开展“物业服务满意度提升年”活动，开展物业服务收费整治、实施消防安全整改、推进管家式服务，从多方面提升物业服务水平，实现物业服务“三提高”，全面推动物业管理的高质量发展。</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三</w:t>
      </w:r>
      <w:r>
        <w:rPr>
          <w:rFonts w:ascii="仿宋" w:hAnsi="仿宋" w:eastAsia="仿宋" w:cs="仿宋"/>
        </w:rPr>
        <w:t>是落实农民工工资保障。落实保障农民工工资支付长效机制,将北京双兴建筑等8家企业申请纳入“全省限制市场准入”名单。目前全市建筑施工领域在建项目180个，全部按“四项制度”要求设立实名制通道和开设农民工工资专用账户，按月发放工资，在建房地产开发项目实现了“四项制度”全覆盖。2022年共接待农民工工资信访81起1051人次，涉及金额7692.9万元，处理“12345”欠薪投诉979单，均协商妥善处理或帮助引导走司法途径。实名制考勤人数13.6万次，排名南通市第二；累计代发工资19.44亿元，排名南通市第二，其中在建房地产项目累计打款4.96亿元，总承包单位通过银行专户代发农民工工资4.79亿元。妥善解决恒大农民工欠薪问题，我局牵头成立“恒大农民工欠薪工作专班”，听取了恒大工程部专题汇报，并与6家装饰装修工程承包单位负责人面对面交流，并实地接访了30多批次农民工；逐一核实施工单位上报农民工欠薪情况，多方筹措保障农民工资金，切实有效的化解了恒大欠薪矛盾，截至2022年1月30日（农历廿八），恒大项目共支付农民工工资101,779,804.87元，涉及74家施工单位约5600个农民工。</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四</w:t>
      </w:r>
      <w:r>
        <w:rPr>
          <w:rFonts w:ascii="仿宋" w:hAnsi="仿宋" w:eastAsia="仿宋" w:cs="仿宋"/>
        </w:rPr>
        <w:t>是加强人防监管、消防验收和施工图审查。加强人防监管，2022年新立项21个，立项总面积14.4万平方米，竣工项目23个14.56平方米；收缴人防易地建设费约1011.8万元。2022年共检查在建工程500多次，突出在建工程各隐蔽阶段的检查，确保了工程质量。完成我市人民防空“十四五”发展规划，提前完成2013年至2019年间竣工的54个人防工程的标识标牌制作，涉及人防面积12997平方米。严格消防验收，确保消防与施工同步设计、同步审查、同步监管、同步验收；加强社会聘用消防专家的动态化管理，建立实施社会聘用消防专家考核管理办法；建立重特大项目消防验收“专家委员会”集体验收制度，确保重特大项目消防验收立体式、全覆盖，不留死角、不留隐患。2022年共办结消防设计审查项目54件，消防验收项目79件。严格施工图审查，完成施工图设计审查项目98个，特殊建设项目消防专项审查55个，市重点工程容缺审批项目施工图技术性审查25个，施工图审查收费220万元。完善启东市建设工程施工图数字化联合审查系统，简化程序，不断优化营商环境。</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五</w:t>
      </w:r>
      <w:r>
        <w:rPr>
          <w:rFonts w:ascii="仿宋" w:hAnsi="仿宋" w:eastAsia="仿宋" w:cs="仿宋"/>
        </w:rPr>
        <w:t>是加强企业信用考核和招投标管理。加快推进和完善建筑市场诚信体系建设，规范建设市场秩序，印发《关于开展施工总承包企业监理企业信用考核的通知》和《关于公布2021年启东市建筑业企业信用考核结果的通知》。对本市范围内有在建项目并具有建筑工程、市政公用工程施工总承包资质的458家本地及外地企业进行信用考核，并及时公布信用分。全年房建市政类招标项目共113个，其中房建53个，市政58个。房建本地企业中标27个，中标率达50.94%；市政本地企业中标35个，中标率达60.34%。房建本地企业中标金额19.6亿元，中标金额占比71.38%；市政本地企业中标金额2.5亿元，中标金额占比51.31%。与2021年相比，房建项目中标金额占比由55.63%提高到71.38%，市政项目中标金额占比基本持平。完成326个项目的招标控制价备案，共受理招投标投诉7起，均已处理。</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六</w:t>
      </w:r>
      <w:r>
        <w:rPr>
          <w:rFonts w:ascii="仿宋" w:hAnsi="仿宋" w:eastAsia="仿宋" w:cs="仿宋"/>
        </w:rPr>
        <w:t>是加强信访稳定工作。着力解决城建和房地产领域矛盾，成立城建和房地产领域信访问题处置化解专项组，设置房屋延期交付、房屋质量、农民工工资等7个工作专班，严格落实局领导包案制度。全年化解信访件问题525件；接待群体来访26余批次400余人次；按时处理12345、大联动等平台工单10349件，力争将信访矛盾化解在萌芽状态。大力开展城建和房地产领域社会矛盾风险隐患拉网式“大排查、大起底、大化解”活动，先后排摸化解各类隐患152件。先后出台《启东市新建商品房预售资金监管办法》、《启东市住宅地下停车位管理办法》等管理办法，落实质量保证金监管、业主开放日等制度，着力保障住房和城乡建设领域安全稳定。</w:t>
      </w:r>
    </w:p>
    <w:p>
      <w:pPr>
        <w:pStyle w:val="8"/>
        <w:spacing w:line="235" w:lineRule="auto"/>
        <w:ind w:left="669" w:leftChars="300" w:right="2414" w:hanging="9"/>
        <w:jc w:val="both"/>
        <w:rPr>
          <w:rFonts w:ascii="仿宋" w:hAnsi="仿宋" w:eastAsia="仿宋" w:cs="仿宋"/>
        </w:rPr>
        <w:sectPr>
          <w:footerReference r:id="rId10"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ascii="仿宋" w:hAnsi="仿宋" w:eastAsia="仿宋" w:cs="仿宋"/>
          <w:lang w:val="en-US"/>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outlineLvl w:val="0"/>
        <w:rPr>
          <w:rFonts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ascii="宋体" w:hAnsi="宋体" w:eastAsia="宋体" w:cs="宋体"/>
          <w:b/>
          <w:bCs/>
          <w:sz w:val="36"/>
          <w:szCs w:val="36"/>
        </w:rPr>
      </w:pPr>
      <w:r>
        <w:rPr>
          <w:rFonts w:hint="eastAsia" w:ascii="宋体" w:hAnsi="宋体" w:eastAsia="宋体" w:cs="宋体"/>
          <w:b/>
          <w:bCs/>
          <w:sz w:val="36"/>
          <w:szCs w:val="36"/>
        </w:rPr>
        <w:t>启东市住房和城乡建设局</w:t>
      </w:r>
    </w:p>
    <w:p>
      <w:pPr>
        <w:pStyle w:val="21"/>
        <w:tabs>
          <w:tab w:val="left" w:pos="1609"/>
        </w:tabs>
        <w:spacing w:before="12" w:line="300" w:lineRule="auto"/>
        <w:ind w:left="340" w:right="567" w:firstLine="0"/>
        <w:jc w:val="center"/>
        <w:outlineLvl w:val="1"/>
        <w:rPr>
          <w:rFonts w:ascii="宋体" w:hAnsi="宋体" w:eastAsia="宋体" w:cs="宋体"/>
          <w:b/>
          <w:bCs/>
          <w:sz w:val="36"/>
          <w:szCs w:val="36"/>
        </w:rPr>
      </w:pPr>
      <w:r>
        <w:rPr>
          <w:rFonts w:hint="eastAsia" w:ascii="宋体" w:hAnsi="宋体" w:eastAsia="宋体" w:cs="宋体"/>
          <w:b/>
          <w:bCs/>
          <w:sz w:val="36"/>
          <w:szCs w:val="36"/>
        </w:rPr>
        <w:t>2022年度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ascii="仿宋" w:hAnsi="仿宋" w:eastAsia="仿宋" w:cs="仿宋"/>
                <w:color w:val="000000"/>
                <w:sz w:val="20"/>
              </w:rPr>
            </w:pPr>
          </w:p>
        </w:tc>
        <w:tc>
          <w:tcPr>
            <w:tcW w:w="1777" w:type="dxa"/>
          </w:tcPr>
          <w:p>
            <w:pPr>
              <w:rPr>
                <w:rFonts w:ascii="仿宋" w:hAnsi="仿宋" w:eastAsia="仿宋" w:cs="仿宋"/>
                <w:color w:val="000000"/>
                <w:sz w:val="20"/>
              </w:rPr>
            </w:pPr>
          </w:p>
        </w:tc>
        <w:tc>
          <w:tcPr>
            <w:tcW w:w="5202" w:type="dxa"/>
            <w:gridSpan w:val="3"/>
          </w:tcPr>
          <w:p>
            <w:pPr>
              <w:jc w:val="right"/>
              <w:rPr>
                <w:rFonts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启东市住房和城乡建设局</w:t>
            </w:r>
          </w:p>
        </w:tc>
        <w:tc>
          <w:tcPr>
            <w:tcW w:w="3167" w:type="dxa"/>
            <w:gridSpan w:val="2"/>
            <w:tcBorders>
              <w:bottom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6,628.54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99.69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13,287.31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111.94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502.12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17,482.33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1,220.33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499.44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19,915.85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19,915.85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lang w:eastAsia="ar-SA"/>
              </w:rPr>
            </w:pPr>
            <w:r>
              <w:rPr>
                <w:rFonts w:hint="eastAsia" w:ascii="仿宋" w:hAnsi="仿宋" w:eastAsia="仿宋" w:cs="仿宋"/>
                <w:color w:val="000000"/>
                <w:lang w:eastAsia="ar-SA"/>
              </w:rPr>
              <w:t>4.62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4.62</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19,920.46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19,920.46</w:t>
            </w:r>
          </w:p>
        </w:tc>
      </w:tr>
    </w:tbl>
    <w:p>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ascii="仿宋" w:hAnsi="仿宋" w:eastAsia="仿宋" w:cs="仿宋"/>
          <w:color w:val="000000"/>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ascii="仿宋" w:hAnsi="仿宋" w:eastAsia="仿宋" w:cs="仿宋"/>
              </w:rPr>
            </w:pPr>
          </w:p>
        </w:tc>
        <w:tc>
          <w:tcPr>
            <w:tcW w:w="1716" w:type="dxa"/>
            <w:vAlign w:val="center"/>
          </w:tcPr>
          <w:p>
            <w:pPr>
              <w:pStyle w:val="22"/>
              <w:jc w:val="center"/>
              <w:rPr>
                <w:rFonts w:ascii="仿宋" w:hAnsi="仿宋" w:eastAsia="仿宋" w:cs="仿宋"/>
              </w:rPr>
            </w:pPr>
          </w:p>
        </w:tc>
        <w:tc>
          <w:tcPr>
            <w:tcW w:w="1728" w:type="dxa"/>
            <w:vAlign w:val="center"/>
          </w:tcPr>
          <w:p>
            <w:pPr>
              <w:pStyle w:val="22"/>
              <w:jc w:val="center"/>
              <w:rPr>
                <w:rFonts w:ascii="仿宋" w:hAnsi="仿宋" w:eastAsia="仿宋" w:cs="仿宋"/>
              </w:rPr>
            </w:pPr>
          </w:p>
        </w:tc>
        <w:tc>
          <w:tcPr>
            <w:tcW w:w="1686" w:type="dxa"/>
            <w:vAlign w:val="center"/>
          </w:tcPr>
          <w:p>
            <w:pPr>
              <w:pStyle w:val="22"/>
              <w:jc w:val="center"/>
              <w:rPr>
                <w:rFonts w:ascii="仿宋" w:hAnsi="仿宋" w:eastAsia="仿宋" w:cs="仿宋"/>
              </w:rPr>
            </w:pPr>
          </w:p>
        </w:tc>
        <w:tc>
          <w:tcPr>
            <w:tcW w:w="3207" w:type="dxa"/>
            <w:gridSpan w:val="2"/>
            <w:vAlign w:val="center"/>
          </w:tcPr>
          <w:p>
            <w:pPr>
              <w:pStyle w:val="22"/>
              <w:jc w:val="center"/>
              <w:rPr>
                <w:rFonts w:ascii="仿宋" w:hAnsi="仿宋" w:eastAsia="仿宋" w:cs="仿宋"/>
              </w:rPr>
            </w:pPr>
          </w:p>
        </w:tc>
        <w:tc>
          <w:tcPr>
            <w:tcW w:w="1263" w:type="dxa"/>
            <w:vAlign w:val="center"/>
          </w:tcPr>
          <w:p>
            <w:pPr>
              <w:pStyle w:val="22"/>
              <w:jc w:val="center"/>
              <w:rPr>
                <w:rFonts w:ascii="仿宋" w:hAnsi="仿宋" w:eastAsia="仿宋" w:cs="仿宋"/>
              </w:rPr>
            </w:pPr>
          </w:p>
        </w:tc>
        <w:tc>
          <w:tcPr>
            <w:tcW w:w="2703" w:type="dxa"/>
            <w:gridSpan w:val="2"/>
            <w:vAlign w:val="center"/>
          </w:tcPr>
          <w:p>
            <w:pPr>
              <w:pStyle w:val="22"/>
              <w:jc w:val="right"/>
              <w:rPr>
                <w:rFonts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2703" w:type="dxa"/>
            <w:gridSpan w:val="2"/>
            <w:vAlign w:val="center"/>
          </w:tcPr>
          <w:p>
            <w:pPr>
              <w:pStyle w:val="22"/>
              <w:jc w:val="right"/>
              <w:rPr>
                <w:rFonts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ascii="仿宋" w:hAnsi="仿宋" w:eastAsia="仿宋" w:cs="仿宋"/>
              </w:rPr>
            </w:pPr>
          </w:p>
        </w:tc>
        <w:tc>
          <w:tcPr>
            <w:tcW w:w="1728" w:type="dxa"/>
            <w:vMerge w:val="continue"/>
            <w:tcBorders>
              <w:left w:val="single" w:color="000000" w:sz="4" w:space="0"/>
              <w:bottom w:val="single" w:color="000000" w:sz="4" w:space="0"/>
            </w:tcBorders>
          </w:tcPr>
          <w:p>
            <w:pPr>
              <w:rPr>
                <w:rFonts w:ascii="仿宋" w:hAnsi="仿宋" w:eastAsia="仿宋" w:cs="仿宋"/>
              </w:rPr>
            </w:pPr>
          </w:p>
        </w:tc>
        <w:tc>
          <w:tcPr>
            <w:tcW w:w="1686" w:type="dxa"/>
            <w:vMerge w:val="continue"/>
            <w:tcBorders>
              <w:left w:val="single" w:color="000000" w:sz="4" w:space="0"/>
              <w:bottom w:val="single" w:color="000000" w:sz="4" w:space="0"/>
            </w:tcBorders>
          </w:tcPr>
          <w:p>
            <w:pPr>
              <w:rPr>
                <w:rFonts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ascii="仿宋" w:hAnsi="仿宋" w:eastAsia="仿宋" w:cs="仿宋"/>
              </w:rPr>
            </w:pPr>
          </w:p>
        </w:tc>
        <w:tc>
          <w:tcPr>
            <w:tcW w:w="1263" w:type="dxa"/>
            <w:vMerge w:val="continue"/>
            <w:tcBorders>
              <w:left w:val="single" w:color="000000" w:sz="4" w:space="0"/>
              <w:bottom w:val="single" w:color="000000" w:sz="4" w:space="0"/>
            </w:tcBorders>
          </w:tcPr>
          <w:p>
            <w:pPr>
              <w:rPr>
                <w:rFonts w:ascii="仿宋" w:hAnsi="仿宋" w:eastAsia="仿宋" w:cs="仿宋"/>
              </w:rPr>
            </w:pPr>
          </w:p>
        </w:tc>
        <w:tc>
          <w:tcPr>
            <w:tcW w:w="1375" w:type="dxa"/>
            <w:vMerge w:val="continue"/>
            <w:tcBorders>
              <w:left w:val="single" w:color="000000" w:sz="4" w:space="0"/>
              <w:bottom w:val="single" w:color="000000" w:sz="4" w:space="0"/>
            </w:tcBorders>
          </w:tcPr>
          <w:p>
            <w:pPr>
              <w:rPr>
                <w:rFonts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ascii="仿宋" w:hAnsi="仿宋" w:eastAsia="仿宋" w:cs="仿宋"/>
                <w:sz w:val="20"/>
                <w:szCs w:val="20"/>
              </w:rPr>
            </w:pPr>
            <w:r>
              <w:rPr>
                <w:rFonts w:hint="eastAsia" w:ascii="仿宋" w:hAnsi="仿宋" w:eastAsia="仿宋" w:cs="仿宋"/>
                <w:sz w:val="20"/>
                <w:szCs w:val="20"/>
              </w:rPr>
              <w:t>19,915.85</w:t>
            </w:r>
          </w:p>
        </w:tc>
        <w:tc>
          <w:tcPr>
            <w:tcW w:w="1728" w:type="dxa"/>
            <w:tcBorders>
              <w:left w:val="single" w:color="000000" w:sz="4" w:space="0"/>
              <w:bottom w:val="single" w:color="000000" w:sz="4" w:space="0"/>
            </w:tcBorders>
            <w:vAlign w:val="center"/>
          </w:tcPr>
          <w:p>
            <w:pPr>
              <w:jc w:val="right"/>
              <w:rPr>
                <w:rFonts w:ascii="仿宋" w:hAnsi="仿宋" w:eastAsia="仿宋" w:cs="仿宋"/>
                <w:sz w:val="20"/>
                <w:szCs w:val="20"/>
              </w:rPr>
            </w:pPr>
            <w:r>
              <w:rPr>
                <w:rFonts w:hint="eastAsia" w:ascii="仿宋" w:hAnsi="仿宋" w:eastAsia="仿宋" w:cs="仿宋"/>
                <w:sz w:val="20"/>
                <w:szCs w:val="20"/>
              </w:rPr>
              <w:t>19,915.85</w:t>
            </w:r>
          </w:p>
        </w:tc>
        <w:tc>
          <w:tcPr>
            <w:tcW w:w="1686"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99.69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99.69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20126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档案事务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99.69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99.69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2012604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档案馆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99.69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99.69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国防支出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111.94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111.94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20306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国防动员</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111.94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111.94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2030603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人民防空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111.94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111.94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502.12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502.12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502.12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502.12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148.29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148.29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87.60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87.60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177.46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177.46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88.76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88.76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17,482.33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17,482.33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2,857.47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2,857.47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1,419.77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1,419.77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336.99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336.99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工程建设标准规范编制与监管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58.77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58.77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工程建设管理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98.98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98.98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市政公用行业市场监管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住宅建设与房地产市场监管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198.10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198.10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737.86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737.86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城乡社区规划与管理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4.96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4.96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城乡社区规划与管理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4.96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4.96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城乡社区公共设施</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356.14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356.14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其他城乡社区公共设施支出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356.14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356.14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157.70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157.70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157.70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157.70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建设市场管理与监督</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745.85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745.85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建设市场管理与监督</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745.85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745.85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13,287.31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13,287.31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土地开发支出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13,287.31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13,287.31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72.90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72.90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72.90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72.90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1,220.33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1,220.33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21303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1,220.33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1,220.33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2130305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水利工程建设</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1,220.33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1,220.33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499.44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499.44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保障性安居工程支出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114.61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114.61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2210105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农村危房改造</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106.83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106.83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2210107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保障性住房租金补贴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313.76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313.76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313.76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313.76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城乡社区住宅</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71.07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71.07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其他城乡社区住宅支出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71.07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71.07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bl>
    <w:p>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ascii="仿宋" w:hAnsi="仿宋" w:eastAsia="仿宋" w:cs="仿宋"/>
        </w:rPr>
        <w:sectPr>
          <w:footerReference r:id="rId12"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ascii="仿宋" w:hAnsi="仿宋" w:eastAsia="仿宋" w:cs="仿宋"/>
              </w:rPr>
            </w:pPr>
          </w:p>
        </w:tc>
        <w:tc>
          <w:tcPr>
            <w:tcW w:w="2164" w:type="dxa"/>
            <w:vAlign w:val="center"/>
          </w:tcPr>
          <w:p>
            <w:pPr>
              <w:pStyle w:val="22"/>
              <w:jc w:val="center"/>
              <w:rPr>
                <w:rFonts w:ascii="仿宋" w:hAnsi="仿宋" w:eastAsia="仿宋" w:cs="仿宋"/>
                <w:sz w:val="20"/>
              </w:rPr>
            </w:pPr>
          </w:p>
        </w:tc>
        <w:tc>
          <w:tcPr>
            <w:tcW w:w="1897" w:type="dxa"/>
            <w:vAlign w:val="center"/>
          </w:tcPr>
          <w:p>
            <w:pPr>
              <w:pStyle w:val="22"/>
              <w:jc w:val="center"/>
              <w:rPr>
                <w:rFonts w:ascii="仿宋" w:hAnsi="仿宋" w:eastAsia="仿宋" w:cs="仿宋"/>
                <w:sz w:val="20"/>
              </w:rPr>
            </w:pPr>
          </w:p>
        </w:tc>
        <w:tc>
          <w:tcPr>
            <w:tcW w:w="1739" w:type="dxa"/>
            <w:vAlign w:val="center"/>
          </w:tcPr>
          <w:p>
            <w:pPr>
              <w:pStyle w:val="22"/>
              <w:jc w:val="center"/>
              <w:rPr>
                <w:rFonts w:ascii="仿宋" w:hAnsi="仿宋" w:eastAsia="仿宋" w:cs="仿宋"/>
                <w:sz w:val="20"/>
              </w:rPr>
            </w:pPr>
          </w:p>
        </w:tc>
        <w:tc>
          <w:tcPr>
            <w:tcW w:w="1715" w:type="dxa"/>
            <w:vAlign w:val="center"/>
          </w:tcPr>
          <w:p>
            <w:pPr>
              <w:pStyle w:val="22"/>
              <w:jc w:val="center"/>
              <w:rPr>
                <w:rFonts w:ascii="仿宋" w:hAnsi="仿宋" w:eastAsia="仿宋" w:cs="仿宋"/>
                <w:sz w:val="20"/>
              </w:rPr>
            </w:pPr>
          </w:p>
        </w:tc>
        <w:tc>
          <w:tcPr>
            <w:tcW w:w="3059" w:type="dxa"/>
            <w:gridSpan w:val="2"/>
            <w:vAlign w:val="center"/>
          </w:tcPr>
          <w:p>
            <w:pPr>
              <w:pStyle w:val="22"/>
              <w:jc w:val="right"/>
              <w:rPr>
                <w:rFonts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3059" w:type="dxa"/>
            <w:gridSpan w:val="2"/>
            <w:vAlign w:val="center"/>
          </w:tcPr>
          <w:p>
            <w:pPr>
              <w:pStyle w:val="22"/>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ascii="仿宋" w:hAnsi="仿宋" w:eastAsia="仿宋" w:cs="仿宋"/>
              </w:rPr>
            </w:pPr>
          </w:p>
        </w:tc>
        <w:tc>
          <w:tcPr>
            <w:tcW w:w="1897" w:type="dxa"/>
            <w:vMerge w:val="continue"/>
            <w:tcBorders>
              <w:left w:val="single" w:color="000000" w:sz="4" w:space="0"/>
              <w:bottom w:val="single" w:color="000000" w:sz="4" w:space="0"/>
            </w:tcBorders>
          </w:tcPr>
          <w:p>
            <w:pPr>
              <w:rPr>
                <w:rFonts w:ascii="仿宋" w:hAnsi="仿宋" w:eastAsia="仿宋" w:cs="仿宋"/>
              </w:rPr>
            </w:pPr>
          </w:p>
        </w:tc>
        <w:tc>
          <w:tcPr>
            <w:tcW w:w="1739" w:type="dxa"/>
            <w:vMerge w:val="continue"/>
            <w:tcBorders>
              <w:left w:val="single" w:color="000000" w:sz="4" w:space="0"/>
              <w:bottom w:val="single" w:color="000000" w:sz="4" w:space="0"/>
            </w:tcBorders>
          </w:tcPr>
          <w:p>
            <w:pPr>
              <w:rPr>
                <w:rFonts w:ascii="仿宋" w:hAnsi="仿宋" w:eastAsia="仿宋" w:cs="仿宋"/>
              </w:rPr>
            </w:pPr>
          </w:p>
        </w:tc>
        <w:tc>
          <w:tcPr>
            <w:tcW w:w="1715" w:type="dxa"/>
            <w:vMerge w:val="continue"/>
            <w:tcBorders>
              <w:left w:val="single" w:color="000000" w:sz="4" w:space="0"/>
              <w:bottom w:val="single" w:color="000000" w:sz="4" w:space="0"/>
            </w:tcBorders>
          </w:tcPr>
          <w:p>
            <w:pPr>
              <w:rPr>
                <w:rFonts w:ascii="仿宋" w:hAnsi="仿宋" w:eastAsia="仿宋" w:cs="仿宋"/>
              </w:rPr>
            </w:pPr>
          </w:p>
        </w:tc>
        <w:tc>
          <w:tcPr>
            <w:tcW w:w="1633" w:type="dxa"/>
            <w:vMerge w:val="continue"/>
            <w:tcBorders>
              <w:left w:val="single" w:color="000000" w:sz="4" w:space="0"/>
              <w:bottom w:val="single" w:color="000000" w:sz="4" w:space="0"/>
            </w:tcBorders>
          </w:tcPr>
          <w:p>
            <w:pPr>
              <w:rPr>
                <w:rFonts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19,915.85</w:t>
            </w:r>
          </w:p>
        </w:tc>
        <w:tc>
          <w:tcPr>
            <w:tcW w:w="1897"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4,323.54</w:t>
            </w:r>
          </w:p>
        </w:tc>
        <w:tc>
          <w:tcPr>
            <w:tcW w:w="1739"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15,592.31</w:t>
            </w:r>
          </w:p>
        </w:tc>
        <w:tc>
          <w:tcPr>
            <w:tcW w:w="1715" w:type="dxa"/>
            <w:tcBorders>
              <w:left w:val="single" w:color="000000" w:sz="4" w:space="0"/>
              <w:bottom w:val="single" w:color="000000" w:sz="4" w:space="0"/>
            </w:tcBorders>
            <w:vAlign w:val="center"/>
          </w:tcPr>
          <w:p>
            <w:pPr>
              <w:jc w:val="right"/>
              <w:rPr>
                <w:rFonts w:ascii="仿宋" w:hAnsi="仿宋" w:eastAsia="仿宋" w:cs="仿宋"/>
              </w:rPr>
            </w:pPr>
          </w:p>
        </w:tc>
        <w:tc>
          <w:tcPr>
            <w:tcW w:w="1633" w:type="dxa"/>
            <w:tcBorders>
              <w:left w:val="single" w:color="000000" w:sz="4" w:space="0"/>
              <w:bottom w:val="single" w:color="000000" w:sz="4" w:space="0"/>
            </w:tcBorders>
            <w:vAlign w:val="center"/>
          </w:tcPr>
          <w:p>
            <w:pPr>
              <w:jc w:val="right"/>
              <w:rPr>
                <w:rFonts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99.69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61.54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38.15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20126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档案事务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99.69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61.54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38.15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2012604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档案馆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99.69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61.54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38.15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国防支出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111.94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81.49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30.45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20306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国防动员</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111.94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81.49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30.45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2030603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人民防空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111.94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81.49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30.45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502.12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502.12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502.12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502.12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148.29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148.29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87.60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87.60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177.46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177.46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88.76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88.76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17,482.33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3,298.83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14,183.50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城乡社区管理事务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2,857.47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2,426.74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430.73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1,419.77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1,419.77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336.99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336.99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2120105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工程建设标准规范编制与监管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58.77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56.72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2.05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2120106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工程建设管理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98.98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98.98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2120107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市政公用行业市场监管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2120109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住宅建设与房地产市场监管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198.10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183.36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14.74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其他城乡社区管理事务支出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737.86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667.91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69.95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城乡社区规划与管理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4.96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4.96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城乡社区规划与管理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4.96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4.96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城乡社区公共设施</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356.14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159.94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196.20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其他城乡社区公共设施支出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356.14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159.94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196.20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157.70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155.41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2.29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157.70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155.41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2.29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建设市场管理与监督</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745.85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556.75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189.10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2120601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建设市场管理与监督</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745.85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556.75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189.10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13,287.31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13,287.31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2120802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土地开发支出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13,287.31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13,287.31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72.90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72.90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2129999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72.90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72.90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农林水支出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1,220.33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1,220.33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21303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水利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1,220.33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1,220.33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2130305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水利工程建设</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1,220.33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1,220.33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499.44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379.56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119.88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保障性安居工程支出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114.61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114.61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2210105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农村危房改造</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106.83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106.83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2210107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保障性住房租金补贴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7.78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7.78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313.76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313.76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313.76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313.76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城乡社区住宅</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71.07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65.80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5.27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其他城乡社区住宅支出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71.07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65.80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5.27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bl>
    <w:p>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ascii="仿宋" w:hAnsi="仿宋" w:eastAsia="仿宋" w:cs="仿宋"/>
        </w:rPr>
        <w:sectPr>
          <w:footerReference r:id="rId13"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ascii="仿宋" w:hAnsi="仿宋" w:eastAsia="仿宋" w:cs="仿宋"/>
                <w:sz w:val="20"/>
              </w:rPr>
            </w:pPr>
          </w:p>
        </w:tc>
        <w:tc>
          <w:tcPr>
            <w:tcW w:w="847" w:type="dxa"/>
          </w:tcPr>
          <w:p>
            <w:pPr>
              <w:pStyle w:val="22"/>
              <w:rPr>
                <w:rFonts w:ascii="仿宋" w:hAnsi="仿宋" w:eastAsia="仿宋" w:cs="仿宋"/>
                <w:sz w:val="20"/>
              </w:rPr>
            </w:pPr>
          </w:p>
        </w:tc>
        <w:tc>
          <w:tcPr>
            <w:tcW w:w="1913" w:type="dxa"/>
          </w:tcPr>
          <w:p>
            <w:pPr>
              <w:pStyle w:val="22"/>
              <w:rPr>
                <w:rFonts w:ascii="仿宋" w:hAnsi="仿宋" w:eastAsia="仿宋" w:cs="仿宋"/>
                <w:sz w:val="20"/>
              </w:rPr>
            </w:pPr>
          </w:p>
        </w:tc>
        <w:tc>
          <w:tcPr>
            <w:tcW w:w="2635" w:type="dxa"/>
            <w:gridSpan w:val="2"/>
          </w:tcPr>
          <w:p>
            <w:pPr>
              <w:pStyle w:val="22"/>
              <w:rPr>
                <w:rFonts w:ascii="仿宋" w:hAnsi="仿宋" w:eastAsia="仿宋" w:cs="仿宋"/>
                <w:sz w:val="20"/>
              </w:rPr>
            </w:pPr>
          </w:p>
        </w:tc>
        <w:tc>
          <w:tcPr>
            <w:tcW w:w="1194" w:type="dxa"/>
          </w:tcPr>
          <w:p>
            <w:pPr>
              <w:pStyle w:val="22"/>
              <w:rPr>
                <w:rFonts w:ascii="仿宋" w:hAnsi="仿宋" w:eastAsia="仿宋" w:cs="仿宋"/>
                <w:sz w:val="20"/>
              </w:rPr>
            </w:pPr>
          </w:p>
        </w:tc>
        <w:tc>
          <w:tcPr>
            <w:tcW w:w="3221" w:type="dxa"/>
            <w:gridSpan w:val="3"/>
            <w:vAlign w:val="center"/>
          </w:tcPr>
          <w:p>
            <w:pPr>
              <w:pStyle w:val="22"/>
              <w:jc w:val="right"/>
              <w:rPr>
                <w:rFonts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3221" w:type="dxa"/>
            <w:gridSpan w:val="3"/>
            <w:vAlign w:val="center"/>
          </w:tcPr>
          <w:p>
            <w:pPr>
              <w:pStyle w:val="22"/>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ascii="仿宋" w:hAnsi="仿宋" w:eastAsia="仿宋" w:cs="仿宋"/>
              </w:rPr>
            </w:pPr>
          </w:p>
        </w:tc>
        <w:tc>
          <w:tcPr>
            <w:tcW w:w="1837" w:type="dxa"/>
            <w:vMerge w:val="continue"/>
            <w:tcBorders>
              <w:left w:val="single" w:color="000000" w:sz="4" w:space="0"/>
              <w:bottom w:val="single" w:color="000000" w:sz="4" w:space="0"/>
            </w:tcBorders>
          </w:tcPr>
          <w:p>
            <w:pPr>
              <w:pStyle w:val="22"/>
              <w:rPr>
                <w:rFonts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6,628.54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99.69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99.69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13,287.31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111.94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111.94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17,482.33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4,195.02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13,287.31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1,220.33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1,220.33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499.44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499.44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19,915.85</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19,915.85</w:t>
            </w:r>
          </w:p>
        </w:tc>
        <w:tc>
          <w:tcPr>
            <w:tcW w:w="1415" w:type="dxa"/>
            <w:gridSpan w:val="2"/>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6,628.54</w:t>
            </w:r>
          </w:p>
        </w:tc>
        <w:tc>
          <w:tcPr>
            <w:tcW w:w="1500"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13,287.31</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4.62</w:t>
            </w:r>
          </w:p>
        </w:tc>
        <w:tc>
          <w:tcPr>
            <w:tcW w:w="3667" w:type="dxa"/>
            <w:gridSpan w:val="3"/>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4.62</w:t>
            </w:r>
          </w:p>
        </w:tc>
        <w:tc>
          <w:tcPr>
            <w:tcW w:w="1415" w:type="dxa"/>
            <w:gridSpan w:val="2"/>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4.62</w:t>
            </w:r>
          </w:p>
        </w:tc>
        <w:tc>
          <w:tcPr>
            <w:tcW w:w="150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4.62</w:t>
            </w:r>
          </w:p>
        </w:tc>
        <w:tc>
          <w:tcPr>
            <w:tcW w:w="3667" w:type="dxa"/>
            <w:gridSpan w:val="3"/>
            <w:tcBorders>
              <w:left w:val="single" w:color="000000" w:sz="4" w:space="0"/>
              <w:bottom w:val="single" w:color="000000" w:sz="4" w:space="0"/>
            </w:tcBorders>
            <w:vAlign w:val="center"/>
          </w:tcPr>
          <w:p>
            <w:pPr>
              <w:pStyle w:val="22"/>
              <w:rPr>
                <w:rFonts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19,920.46</w:t>
            </w:r>
          </w:p>
        </w:tc>
        <w:tc>
          <w:tcPr>
            <w:tcW w:w="3667" w:type="dxa"/>
            <w:gridSpan w:val="3"/>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19,920.46</w:t>
            </w:r>
          </w:p>
        </w:tc>
        <w:tc>
          <w:tcPr>
            <w:tcW w:w="1415" w:type="dxa"/>
            <w:gridSpan w:val="2"/>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6,633.15</w:t>
            </w:r>
          </w:p>
        </w:tc>
        <w:tc>
          <w:tcPr>
            <w:tcW w:w="1500"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13,287.31</w:t>
            </w:r>
          </w:p>
        </w:tc>
        <w:tc>
          <w:tcPr>
            <w:tcW w:w="1500" w:type="dxa"/>
            <w:tcBorders>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ascii="仿宋" w:hAnsi="仿宋" w:eastAsia="仿宋" w:cs="仿宋"/>
        </w:rPr>
        <w:sectPr>
          <w:footerReference r:id="rId14"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ascii="仿宋" w:hAnsi="仿宋" w:eastAsia="仿宋" w:cs="仿宋"/>
                <w:sz w:val="20"/>
              </w:rPr>
            </w:pPr>
          </w:p>
        </w:tc>
        <w:tc>
          <w:tcPr>
            <w:tcW w:w="3184" w:type="dxa"/>
          </w:tcPr>
          <w:p>
            <w:pPr>
              <w:pStyle w:val="22"/>
              <w:rPr>
                <w:rFonts w:ascii="仿宋" w:hAnsi="仿宋" w:eastAsia="仿宋" w:cs="仿宋"/>
                <w:sz w:val="27"/>
              </w:rPr>
            </w:pPr>
          </w:p>
        </w:tc>
        <w:tc>
          <w:tcPr>
            <w:tcW w:w="5933" w:type="dxa"/>
            <w:gridSpan w:val="2"/>
            <w:vAlign w:val="center"/>
          </w:tcPr>
          <w:p>
            <w:pPr>
              <w:pStyle w:val="22"/>
              <w:jc w:val="right"/>
              <w:rPr>
                <w:rFonts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3184" w:type="dxa"/>
          </w:tcPr>
          <w:p>
            <w:pPr>
              <w:pStyle w:val="22"/>
              <w:rPr>
                <w:rFonts w:ascii="仿宋" w:hAnsi="仿宋" w:eastAsia="仿宋" w:cs="仿宋"/>
                <w:sz w:val="27"/>
              </w:rPr>
            </w:pPr>
          </w:p>
        </w:tc>
        <w:tc>
          <w:tcPr>
            <w:tcW w:w="2778" w:type="dxa"/>
            <w:vAlign w:val="center"/>
          </w:tcPr>
          <w:p>
            <w:pPr>
              <w:pStyle w:val="22"/>
              <w:jc w:val="right"/>
              <w:rPr>
                <w:rFonts w:ascii="仿宋" w:hAnsi="仿宋" w:eastAsia="仿宋" w:cs="仿宋"/>
                <w:sz w:val="27"/>
              </w:rPr>
            </w:pPr>
          </w:p>
        </w:tc>
        <w:tc>
          <w:tcPr>
            <w:tcW w:w="3155" w:type="dxa"/>
            <w:vAlign w:val="center"/>
          </w:tcPr>
          <w:p>
            <w:pPr>
              <w:pStyle w:val="22"/>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ascii="仿宋" w:hAnsi="仿宋" w:eastAsia="仿宋" w:cs="仿宋"/>
              </w:rPr>
            </w:pPr>
          </w:p>
        </w:tc>
        <w:tc>
          <w:tcPr>
            <w:tcW w:w="2778" w:type="dxa"/>
            <w:vMerge w:val="continue"/>
            <w:tcBorders>
              <w:left w:val="single" w:color="000000" w:sz="6" w:space="0"/>
              <w:bottom w:val="single" w:color="000000" w:sz="6" w:space="0"/>
            </w:tcBorders>
          </w:tcPr>
          <w:p>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ascii="仿宋" w:hAnsi="仿宋" w:eastAsia="仿宋" w:cs="仿宋"/>
              </w:rPr>
            </w:pPr>
            <w:r>
              <w:rPr>
                <w:rFonts w:hint="eastAsia" w:ascii="仿宋" w:hAnsi="仿宋" w:eastAsia="仿宋" w:cs="仿宋"/>
              </w:rPr>
              <w:t>19,915.85</w:t>
            </w:r>
          </w:p>
        </w:tc>
        <w:tc>
          <w:tcPr>
            <w:tcW w:w="2778" w:type="dxa"/>
            <w:tcBorders>
              <w:left w:val="single" w:color="000000" w:sz="6" w:space="0"/>
              <w:bottom w:val="single" w:color="000000" w:sz="6" w:space="0"/>
            </w:tcBorders>
          </w:tcPr>
          <w:p>
            <w:pPr>
              <w:pStyle w:val="22"/>
              <w:jc w:val="right"/>
              <w:rPr>
                <w:rFonts w:ascii="仿宋" w:hAnsi="仿宋" w:eastAsia="仿宋" w:cs="仿宋"/>
              </w:rPr>
            </w:pPr>
            <w:r>
              <w:rPr>
                <w:rFonts w:hint="eastAsia" w:ascii="仿宋" w:hAnsi="仿宋" w:eastAsia="仿宋" w:cs="仿宋"/>
              </w:rPr>
              <w:t>4,323.54</w:t>
            </w:r>
          </w:p>
        </w:tc>
        <w:tc>
          <w:tcPr>
            <w:tcW w:w="3155" w:type="dxa"/>
            <w:tcBorders>
              <w:left w:val="single" w:color="000000" w:sz="6" w:space="0"/>
              <w:bottom w:val="single" w:color="000000" w:sz="6" w:space="0"/>
              <w:right w:val="single" w:color="000000" w:sz="6" w:space="0"/>
            </w:tcBorders>
          </w:tcPr>
          <w:p>
            <w:pPr>
              <w:pStyle w:val="22"/>
              <w:jc w:val="right"/>
              <w:rPr>
                <w:rFonts w:ascii="仿宋" w:hAnsi="仿宋" w:eastAsia="仿宋" w:cs="仿宋"/>
              </w:rPr>
            </w:pPr>
            <w:r>
              <w:rPr>
                <w:rFonts w:hint="eastAsia" w:ascii="仿宋" w:hAnsi="仿宋" w:eastAsia="仿宋" w:cs="仿宋"/>
              </w:rPr>
              <w:t>15,592.31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61.54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38.15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20126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档案事务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61.54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38.15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2012604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档案馆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61.54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38.15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国防支出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111.94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20306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国防动员</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111.94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2030603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人民防空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111.94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148.29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148.29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87.60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87.60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177.46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177.46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88.76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88.76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17,482.33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3,298.83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14,183.50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2,857.47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2,426.74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430.73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1,419.77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1,419.77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336.99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336.99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工程建设标准规范编制与监管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58.77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56.72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工程建设管理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98.98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98.98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市政公用行业市场监管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住宅建设与房地产市场监管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198.10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14.74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737.86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667.91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69.95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城乡社区规划与管理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城乡社区规划与管理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城乡社区公共设施</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356.14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159.94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196.20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其他城乡社区公共设施支出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356.14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159.94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196.20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157.70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155.41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157.70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155.41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建设市场管理与监督</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745.85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556.75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189.10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建设市场管理与监督</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745.85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556.75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189.10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13,287.31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13,287.31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土地开发支出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13,287.31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13,287.31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72.90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72.90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72.90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72.90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1,220.33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1,220.33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2130305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水利工程建设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1,220.33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499.44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379.56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119.88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保障性安居工程支出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114.61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114.61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农村危房改造</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106.83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106.83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2210107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保障性住房租金补贴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城乡社区住宅</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71.07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65.80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其他城乡社区住宅支出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71.07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65.80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5.27</w:t>
            </w:r>
          </w:p>
        </w:tc>
      </w:tr>
    </w:tbl>
    <w:p>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ascii="仿宋" w:hAnsi="仿宋" w:eastAsia="仿宋" w:cs="仿宋"/>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ascii="仿宋" w:hAnsi="仿宋" w:eastAsia="仿宋" w:cs="仿宋"/>
                <w:sz w:val="20"/>
              </w:rPr>
            </w:pPr>
          </w:p>
        </w:tc>
        <w:tc>
          <w:tcPr>
            <w:tcW w:w="2047" w:type="dxa"/>
          </w:tcPr>
          <w:p>
            <w:pPr>
              <w:pStyle w:val="22"/>
              <w:rPr>
                <w:rFonts w:ascii="仿宋" w:hAnsi="仿宋" w:eastAsia="仿宋" w:cs="仿宋"/>
                <w:sz w:val="20"/>
              </w:rPr>
            </w:pPr>
          </w:p>
        </w:tc>
        <w:tc>
          <w:tcPr>
            <w:tcW w:w="2040" w:type="dxa"/>
          </w:tcPr>
          <w:p>
            <w:pPr>
              <w:pStyle w:val="22"/>
              <w:rPr>
                <w:rFonts w:ascii="仿宋" w:hAnsi="仿宋" w:eastAsia="仿宋" w:cs="仿宋"/>
                <w:sz w:val="20"/>
              </w:rPr>
            </w:pPr>
          </w:p>
        </w:tc>
        <w:tc>
          <w:tcPr>
            <w:tcW w:w="1896" w:type="dxa"/>
            <w:vAlign w:val="center"/>
          </w:tcPr>
          <w:p>
            <w:pPr>
              <w:pStyle w:val="22"/>
              <w:jc w:val="right"/>
              <w:rPr>
                <w:rFonts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1896" w:type="dxa"/>
            <w:vAlign w:val="center"/>
          </w:tcPr>
          <w:p>
            <w:pPr>
              <w:pStyle w:val="22"/>
              <w:jc w:val="right"/>
              <w:rPr>
                <w:rFonts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4,323.54</w:t>
            </w:r>
          </w:p>
        </w:tc>
        <w:tc>
          <w:tcPr>
            <w:tcW w:w="2040"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4,069.40</w:t>
            </w:r>
          </w:p>
        </w:tc>
        <w:tc>
          <w:tcPr>
            <w:tcW w:w="1896"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254.14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3,805.76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3,805.76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523.84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1,282.17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1,282.17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739.02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739.02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45.97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45.97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135.24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135.24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178.30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178.30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89.15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89.15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345.29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345.29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254.14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254.14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51.40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44.52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44.52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37.99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37.99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29.72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29.72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33.43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33.43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263.64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263.64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235.90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235.90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bl>
    <w:p>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ascii="仿宋" w:hAnsi="仿宋" w:eastAsia="仿宋" w:cs="仿宋"/>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ascii="仿宋" w:hAnsi="仿宋" w:eastAsia="仿宋" w:cs="仿宋"/>
                <w:sz w:val="20"/>
              </w:rPr>
            </w:pPr>
          </w:p>
        </w:tc>
        <w:tc>
          <w:tcPr>
            <w:tcW w:w="1969" w:type="dxa"/>
          </w:tcPr>
          <w:p>
            <w:pPr>
              <w:pStyle w:val="22"/>
              <w:rPr>
                <w:rFonts w:ascii="仿宋" w:hAnsi="仿宋" w:eastAsia="仿宋" w:cs="仿宋"/>
                <w:sz w:val="20"/>
              </w:rPr>
            </w:pPr>
          </w:p>
        </w:tc>
        <w:tc>
          <w:tcPr>
            <w:tcW w:w="1499" w:type="dxa"/>
          </w:tcPr>
          <w:p>
            <w:pPr>
              <w:pStyle w:val="22"/>
              <w:rPr>
                <w:rFonts w:ascii="仿宋" w:hAnsi="仿宋" w:eastAsia="仿宋" w:cs="仿宋"/>
                <w:sz w:val="20"/>
              </w:rPr>
            </w:pPr>
          </w:p>
        </w:tc>
        <w:tc>
          <w:tcPr>
            <w:tcW w:w="1512" w:type="dxa"/>
            <w:vAlign w:val="center"/>
          </w:tcPr>
          <w:p>
            <w:pPr>
              <w:pStyle w:val="22"/>
              <w:jc w:val="right"/>
              <w:rPr>
                <w:rFonts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3011" w:type="dxa"/>
            <w:gridSpan w:val="2"/>
          </w:tcPr>
          <w:p>
            <w:pPr>
              <w:pStyle w:val="22"/>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ascii="仿宋" w:hAnsi="仿宋" w:eastAsia="仿宋" w:cs="仿宋"/>
              </w:rPr>
            </w:pPr>
            <w:r>
              <w:rPr>
                <w:rFonts w:hint="eastAsia" w:ascii="仿宋" w:hAnsi="仿宋" w:eastAsia="仿宋" w:cs="仿宋"/>
              </w:rPr>
              <w:t>6,628.54</w:t>
            </w:r>
          </w:p>
        </w:tc>
        <w:tc>
          <w:tcPr>
            <w:tcW w:w="1499" w:type="dxa"/>
            <w:tcBorders>
              <w:left w:val="single" w:color="000000" w:sz="6" w:space="0"/>
              <w:bottom w:val="single" w:color="000000" w:sz="6" w:space="0"/>
            </w:tcBorders>
            <w:vAlign w:val="center"/>
          </w:tcPr>
          <w:p>
            <w:pPr>
              <w:pStyle w:val="22"/>
              <w:jc w:val="right"/>
              <w:rPr>
                <w:rFonts w:ascii="仿宋" w:hAnsi="仿宋" w:eastAsia="仿宋" w:cs="仿宋"/>
              </w:rPr>
            </w:pPr>
            <w:r>
              <w:rPr>
                <w:rFonts w:hint="eastAsia" w:ascii="仿宋" w:hAnsi="仿宋" w:eastAsia="仿宋" w:cs="仿宋"/>
              </w:rPr>
              <w:t>4,323.54</w:t>
            </w:r>
          </w:p>
        </w:tc>
        <w:tc>
          <w:tcPr>
            <w:tcW w:w="1512" w:type="dxa"/>
            <w:tcBorders>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2,305.00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99.69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61.54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38.15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20126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档案事务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99.69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61.54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38.15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2012604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档案馆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99.69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61.54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38.15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国防支出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111.94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20306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国防动员</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111.94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2030603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人民防空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111.94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502.12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148.29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148.29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87.60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87.60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177.46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177.46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88.76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88.76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4,195.02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3,298.83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896.19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城乡社区管理事务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2,857.47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2,426.74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430.73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1,419.77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1,419.77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336.99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336.99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2120105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工程建设标准规范编制与监管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58.77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56.72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工程建设管理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98.98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98.98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2120107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市政公用行业市场监管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2120109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住宅建设与房地产市场监管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198.10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183.36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14.74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其他城乡社区管理事务支出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737.86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667.91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69.95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城乡社区规划与管理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城乡社区规划与管理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城乡社区公共设施</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356.14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159.94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196.20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其他城乡社区公共设施支出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356.14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159.94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196.20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157.70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155.41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157.70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155.41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2.29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建设市场管理与监督</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745.85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556.75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189.10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建设市场管理与监督</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745.85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556.75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189.10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72.90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72.90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72.90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72.90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水利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2130305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水利工程建设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1,220.33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499.44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379.56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119.88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保障性安居工程支出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114.61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114.61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2210105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农村危房改造</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106.83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106.83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2210107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保障性住房租金补贴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7.78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城乡社区住宅</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71.07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65.80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其他城乡社区住宅支出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71.07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65.80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5.27</w:t>
            </w:r>
          </w:p>
        </w:tc>
      </w:tr>
    </w:tbl>
    <w:p>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ascii="仿宋" w:hAnsi="仿宋" w:eastAsia="仿宋" w:cs="仿宋"/>
        </w:rPr>
        <w:sectPr>
          <w:footerReference r:id="rId17"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ascii="仿宋" w:hAnsi="仿宋" w:eastAsia="仿宋" w:cs="仿宋"/>
                <w:color w:val="000000"/>
              </w:rPr>
            </w:pPr>
          </w:p>
        </w:tc>
        <w:tc>
          <w:tcPr>
            <w:tcW w:w="1878" w:type="dxa"/>
            <w:vAlign w:val="center"/>
          </w:tcPr>
          <w:p>
            <w:pPr>
              <w:pStyle w:val="22"/>
              <w:jc w:val="right"/>
              <w:rPr>
                <w:rFonts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1878" w:type="dxa"/>
            <w:vAlign w:val="center"/>
          </w:tcPr>
          <w:p>
            <w:pPr>
              <w:pStyle w:val="22"/>
              <w:jc w:val="right"/>
              <w:rPr>
                <w:rFonts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4,323.54</w:t>
            </w:r>
          </w:p>
        </w:tc>
        <w:tc>
          <w:tcPr>
            <w:tcW w:w="1708"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4,069.40</w:t>
            </w:r>
          </w:p>
        </w:tc>
        <w:tc>
          <w:tcPr>
            <w:tcW w:w="1878"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254.14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3,805.76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3,805.76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523.84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523.84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1,282.17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1,282.17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739.02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739.02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45.97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45.97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135.24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135.24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178.30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178.30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89.15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89.15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99.48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313.76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345.29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345.29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254.14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254.14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51.40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51.40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44.52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44.52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37.99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37.99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29.72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29.72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33.43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33.43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263.64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263.64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235.90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235.90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bl>
    <w:p>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ascii="仿宋" w:hAnsi="仿宋" w:eastAsia="仿宋" w:cs="仿宋"/>
        </w:rPr>
        <w:sectPr>
          <w:footerReference r:id="rId18"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ascii="仿宋" w:hAnsi="仿宋" w:eastAsia="仿宋" w:cs="仿宋"/>
                <w:b/>
                <w:bCs/>
                <w:sz w:val="44"/>
                <w:szCs w:val="44"/>
              </w:rPr>
            </w:pPr>
            <w:r>
              <w:rPr>
                <w:rFonts w:hint="eastAsia"/>
                <w:b/>
                <w:bCs/>
                <w:color w:val="000000"/>
                <w:sz w:val="36"/>
                <w:szCs w:val="36"/>
                <w:lang w:val="en-US"/>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8274" w:type="dxa"/>
            <w:gridSpan w:val="8"/>
            <w:tcBorders>
              <w:bottom w:val="single" w:color="auto" w:sz="4" w:space="0"/>
            </w:tcBorders>
          </w:tcPr>
          <w:p>
            <w:pPr>
              <w:pStyle w:val="22"/>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w:t>
            </w:r>
          </w:p>
          <w:p>
            <w:pPr>
              <w:pStyle w:val="22"/>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w:t>
            </w:r>
          </w:p>
          <w:p>
            <w:pPr>
              <w:pStyle w:val="22"/>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39.85</w:t>
            </w:r>
          </w:p>
        </w:tc>
        <w:tc>
          <w:tcPr>
            <w:tcW w:w="1042"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36.87</w:t>
            </w:r>
          </w:p>
        </w:tc>
        <w:tc>
          <w:tcPr>
            <w:tcW w:w="1029"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36.87</w:t>
            </w:r>
          </w:p>
        </w:tc>
        <w:tc>
          <w:tcPr>
            <w:tcW w:w="1026"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2.98</w:t>
            </w:r>
          </w:p>
        </w:tc>
        <w:tc>
          <w:tcPr>
            <w:tcW w:w="1043"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2.44</w:t>
            </w:r>
          </w:p>
        </w:tc>
        <w:tc>
          <w:tcPr>
            <w:tcW w:w="1058"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31.01</w:t>
            </w:r>
          </w:p>
        </w:tc>
        <w:tc>
          <w:tcPr>
            <w:tcW w:w="101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29.72</w:t>
            </w:r>
          </w:p>
        </w:tc>
        <w:tc>
          <w:tcPr>
            <w:tcW w:w="1089"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29.72</w:t>
            </w:r>
          </w:p>
        </w:tc>
        <w:tc>
          <w:tcPr>
            <w:tcW w:w="1043"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1.30</w:t>
            </w:r>
          </w:p>
        </w:tc>
        <w:tc>
          <w:tcPr>
            <w:tcW w:w="1057"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0.24</w:t>
            </w:r>
          </w:p>
        </w:tc>
      </w:tr>
    </w:tbl>
    <w:p>
      <w:pPr>
        <w:spacing w:before="30" w:after="33"/>
        <w:ind w:left="220" w:leftChars="100"/>
        <w:rPr>
          <w:rFonts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10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26</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131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2</w:t>
            </w:r>
          </w:p>
        </w:tc>
      </w:tr>
    </w:tbl>
    <w:p>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ascii="仿宋" w:hAnsi="仿宋" w:eastAsia="仿宋" w:cs="仿宋"/>
        </w:rPr>
        <w:sectPr>
          <w:footerReference r:id="rId19"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ascii="仿宋" w:hAnsi="仿宋" w:eastAsia="仿宋" w:cs="仿宋"/>
                <w:sz w:val="20"/>
              </w:rPr>
            </w:pPr>
          </w:p>
        </w:tc>
        <w:tc>
          <w:tcPr>
            <w:tcW w:w="2684" w:type="dxa"/>
          </w:tcPr>
          <w:p>
            <w:pPr>
              <w:pStyle w:val="22"/>
              <w:rPr>
                <w:rFonts w:ascii="仿宋" w:hAnsi="仿宋" w:eastAsia="仿宋" w:cs="仿宋"/>
                <w:sz w:val="27"/>
              </w:rPr>
            </w:pPr>
          </w:p>
        </w:tc>
        <w:tc>
          <w:tcPr>
            <w:tcW w:w="2432" w:type="dxa"/>
          </w:tcPr>
          <w:p>
            <w:pPr>
              <w:pStyle w:val="22"/>
              <w:rPr>
                <w:rFonts w:ascii="仿宋" w:hAnsi="仿宋" w:eastAsia="仿宋" w:cs="仿宋"/>
                <w:sz w:val="20"/>
              </w:rPr>
            </w:pPr>
          </w:p>
        </w:tc>
        <w:tc>
          <w:tcPr>
            <w:tcW w:w="1858" w:type="dxa"/>
            <w:vAlign w:val="center"/>
          </w:tcPr>
          <w:p>
            <w:pPr>
              <w:pStyle w:val="22"/>
              <w:jc w:val="right"/>
              <w:rPr>
                <w:rFonts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1858" w:type="dxa"/>
            <w:vAlign w:val="center"/>
          </w:tcPr>
          <w:p>
            <w:pPr>
              <w:pStyle w:val="22"/>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13,287.31</w:t>
            </w:r>
          </w:p>
        </w:tc>
        <w:tc>
          <w:tcPr>
            <w:tcW w:w="2432"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13,287.31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13,287.31</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13,287.31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13,287.31</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13,287.31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2120802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土地开发支出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13,287.31</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13,287.31</w:t>
            </w:r>
          </w:p>
        </w:tc>
      </w:tr>
    </w:tbl>
    <w:p>
      <w:pPr>
        <w:spacing w:before="25"/>
        <w:jc w:val="both"/>
        <w:rPr>
          <w:rFonts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pPr>
        <w:spacing w:before="25"/>
        <w:jc w:val="both"/>
        <w:rPr>
          <w:rFonts w:ascii="仿宋" w:hAnsi="仿宋" w:eastAsia="仿宋" w:cs="仿宋"/>
          <w:lang w:val="en-US"/>
        </w:rPr>
        <w:sectPr>
          <w:footerReference r:id="rId2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ascii="仿宋" w:hAnsi="仿宋" w:eastAsia="仿宋" w:cs="仿宋"/>
                <w:sz w:val="20"/>
              </w:rPr>
            </w:pPr>
          </w:p>
        </w:tc>
        <w:tc>
          <w:tcPr>
            <w:tcW w:w="2510" w:type="dxa"/>
          </w:tcPr>
          <w:p>
            <w:pPr>
              <w:pStyle w:val="22"/>
              <w:rPr>
                <w:rFonts w:ascii="仿宋" w:hAnsi="仿宋" w:eastAsia="仿宋" w:cs="仿宋"/>
                <w:sz w:val="27"/>
              </w:rPr>
            </w:pPr>
          </w:p>
        </w:tc>
        <w:tc>
          <w:tcPr>
            <w:tcW w:w="2309" w:type="dxa"/>
          </w:tcPr>
          <w:p>
            <w:pPr>
              <w:pStyle w:val="22"/>
              <w:rPr>
                <w:rFonts w:ascii="仿宋" w:hAnsi="仿宋" w:eastAsia="仿宋" w:cs="仿宋"/>
                <w:sz w:val="20"/>
              </w:rPr>
            </w:pPr>
          </w:p>
        </w:tc>
        <w:tc>
          <w:tcPr>
            <w:tcW w:w="2061" w:type="dxa"/>
            <w:vAlign w:val="center"/>
          </w:tcPr>
          <w:p>
            <w:pPr>
              <w:pStyle w:val="22"/>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2061" w:type="dxa"/>
            <w:vAlign w:val="center"/>
          </w:tcPr>
          <w:p>
            <w:pPr>
              <w:pStyle w:val="22"/>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jc w:val="both"/>
        <w:rPr>
          <w:rFonts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ascii="仿宋" w:hAnsi="仿宋" w:eastAsia="仿宋" w:cs="仿宋"/>
                <w:sz w:val="20"/>
              </w:rPr>
            </w:pPr>
          </w:p>
        </w:tc>
        <w:tc>
          <w:tcPr>
            <w:tcW w:w="3834" w:type="dxa"/>
            <w:vAlign w:val="center"/>
          </w:tcPr>
          <w:p>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3834" w:type="dxa"/>
            <w:vAlign w:val="center"/>
          </w:tcPr>
          <w:p>
            <w:pPr>
              <w:pStyle w:val="22"/>
              <w:jc w:val="right"/>
              <w:rPr>
                <w:rFonts w:ascii="仿宋" w:hAnsi="仿宋" w:eastAsia="仿宋" w:cs="仿宋"/>
                <w:sz w:val="27"/>
              </w:rPr>
            </w:pPr>
            <w:r>
              <w:rPr>
                <w:rFonts w:hint="eastAsia" w:ascii="仿宋" w:hAnsi="仿宋" w:eastAsia="仿宋" w:cs="仿宋"/>
              </w:rPr>
              <w:t>金额单位：万元</w:t>
            </w:r>
          </w:p>
        </w:tc>
      </w:tr>
      <w:tr>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108.40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108.40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7.52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6.33</w:t>
            </w: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0.31</w:t>
            </w: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8.03</w:t>
            </w: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1.65</w:t>
            </w: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15.06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15.95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7.96</w:t>
            </w: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33.42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8.85</w:t>
            </w: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ascii="仿宋" w:hAnsi="仿宋" w:eastAsia="仿宋" w:cs="仿宋"/>
          <w:lang w:val="en-US"/>
        </w:rPr>
        <w:sectPr>
          <w:footerReference r:id="rId21"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ascii="仿宋" w:hAnsi="仿宋" w:eastAsia="仿宋" w:cs="仿宋"/>
              </w:rPr>
            </w:pPr>
          </w:p>
        </w:tc>
        <w:tc>
          <w:tcPr>
            <w:tcW w:w="722" w:type="dxa"/>
          </w:tcPr>
          <w:p>
            <w:pPr>
              <w:pStyle w:val="22"/>
              <w:rPr>
                <w:rFonts w:ascii="仿宋" w:hAnsi="仿宋" w:eastAsia="仿宋" w:cs="仿宋"/>
              </w:rPr>
            </w:pPr>
          </w:p>
        </w:tc>
        <w:tc>
          <w:tcPr>
            <w:tcW w:w="1992" w:type="dxa"/>
          </w:tcPr>
          <w:p>
            <w:pPr>
              <w:pStyle w:val="22"/>
              <w:rPr>
                <w:rFonts w:ascii="仿宋" w:hAnsi="仿宋" w:eastAsia="仿宋" w:cs="仿宋"/>
              </w:rPr>
            </w:pPr>
          </w:p>
        </w:tc>
        <w:tc>
          <w:tcPr>
            <w:tcW w:w="3273" w:type="dxa"/>
            <w:vAlign w:val="center"/>
          </w:tcPr>
          <w:p>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启东市住房和城乡建设局</w:t>
            </w:r>
          </w:p>
        </w:tc>
        <w:tc>
          <w:tcPr>
            <w:tcW w:w="3273" w:type="dxa"/>
            <w:vAlign w:val="center"/>
          </w:tcPr>
          <w:p>
            <w:pPr>
              <w:pStyle w:val="22"/>
              <w:jc w:val="right"/>
              <w:rPr>
                <w:rFonts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295.16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110.08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185.08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bl>
    <w:p>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ascii="仿宋" w:hAnsi="仿宋" w:eastAsia="仿宋" w:cs="仿宋"/>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ascii="宋体" w:hAnsi="宋体" w:eastAsia="宋体" w:cs="宋体"/>
          <w:b/>
          <w:bCs/>
          <w:color w:val="000000"/>
          <w:lang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rPr>
        <w:t>2022</w:t>
      </w:r>
      <w:r>
        <w:rPr>
          <w:rFonts w:hint="eastAsia" w:ascii="宋体" w:hAnsi="宋体" w:eastAsia="宋体" w:cs="宋体"/>
          <w:b/>
          <w:bCs/>
          <w:color w:val="000000"/>
          <w:lang w:eastAsia="ar-SA"/>
        </w:rPr>
        <w:t>年度</w:t>
      </w:r>
      <w:r>
        <w:rPr>
          <w:rFonts w:ascii="宋体" w:hAnsi="宋体" w:eastAsia="宋体" w:cs="宋体"/>
          <w:b/>
          <w:color w:val="000000"/>
        </w:rPr>
        <w:t>部门决算情况说明</w:t>
      </w:r>
    </w:p>
    <w:p>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2022年度收入、支出决算总计19,920.46万元。与上年相比，收、支总计各增加2,232.72万元，增长12.62%。其中：</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（一）收入决算总计19,920.46万元。包括：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决算合计19,915.85万元。与上年相比，增加2,232.73万元，增长12.63%，变动原因：从财政取得一般公共预算拨款和政府性基金拨款，用于创文明城市和老小区改造，危房改造，建筑企业专项达标评优奖励，南北城区物业补贴等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3.年初结转和结余4.62万元。与上年决算数相同。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（二）支出决算总计19,920.46万元。包括：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决算合计19,915.85万元。与上年相比，增加2,232.73万元，增长12.63%，变动原因：从财政取得一般公共预算拨款和政府性基金拨款，用于创文明城市和老小区改造，危房改造，建筑企业专项达标评优奖励，南北城区物业补贴等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3.年末结转和结余4.62万元。结转和结余事项：与上年决算数相同。与上年决算数相同。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本年收入决算合计19,915.85万元，其中：财政拨款收入19,915.85万元，占100%；上级补助收入0万元，占0%；财政专户管理教育收费0万元，占0%；事业收入（不含专户管理教育收费）0万元，占0%；经营收入0万元，占0%；附属单位上缴收入0万元，占0%；其他收入0万元，占0%。</w:t>
      </w:r>
    </w:p>
    <w:p>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2022年度本年支出决算合计19,915.85万元，其中：基本支出4,323.54万元，占21.71%；项目支出15,592.31万元，占78.29%；上缴上级支出0万元，占0%；经营支出0万元，占0%；对附属单位补助支出0万元，占0%。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收入、支出决算总计19,920.46万元。与上年相比，收、支总计各增加2,232.72万元，增长12.62%，变动原因：从财政取得一般公共预算拨款和政府性基金拨款，用于创文明城市和老小区改造，危房改造，建筑企业专项达标评优奖励，南北城区物业补贴等增加。</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2022年度财政拨款支出决算19,915.85万元，占本年支出合计的100%。与2022年度财政拨款支出年初预算25,058.68万元相比，完成年初预算的79.48%。其中：</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档案事务（款）档案馆（项）。年初预算97.57万元，支出决算99.69万元，完成年初预算的102.17%。决算数与年初预算数的差异原因：业务量增加。</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（二）国防支出（类）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国防动员（款）人民防空（项）。年初预算123.52万元，支出决算111.94万元，完成年初预算的90.63%。决算数与年初预算数的差异原因：节约经费支出。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1.行政事业单位养老支出（款）行政单位离退休（项）。年初预算141.71万元，支出决算148.29万元，完成年初预算的104.64%。决算数与年初预算数的差异原因：人员工资调整、退休调动等。</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2.行政事业单位养老支出（款）事业单位离退休（项）。年初预算84.52万元，支出决算87.6万元，完成年初预算的103.64%。决算数与年初预算数的差异原因：人员工资调整、退休调动等。</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3.行政事业单位养老支出（款）机关事业单位基本养老保险缴费支出（项）。年初预算176.71万元，支出决算177.46万元，完成年初预算的100.42%。决算数与年初预算数的差异原因：人员工资调整、退休调动等。</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4.行政事业单位养老支出（款）机关事业单位职业年金缴费支出（项）。年初预算88.46万元，支出决算88.76万元，完成年初预算的100.34%。决算数与年初预算数的差异原因：人员工资调整、退休调动等。</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（四）城乡社区支出（类）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1.城乡社区管理事务（款）行政运行（项）。年初预算1,230.72万元，支出决算1,419.77万元，完成年初预算的115.36%。决算数与年初预算数的差异原因：用于基本项目支出，行政运营增多。</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2.城乡社区管理事务（款）一般行政管理事务（项）。年初预算665.13万元，支出决算336.99万元，完成年初预算的50.67%。决算数与年初预算数的差异原因：用于项目支出，行政运营增多。</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城乡社区管理事务（款）工程建设标准规范编制与监管（项）。年初预算64.03万元，支出决算58.77万元，完成年初预算的91.79%。决算数与年初预算数的差异原因：用于项目支出，但一些项目未达到支付标准，或一些项目取消支付。</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城乡社区管理事务（款）工程建设管理（项）。年初预算101.69万元，支出决算98.98万元，完成年初预算的97.34%。决算数与年初预算数的差异原因：用于项目支出，但一些项目未达到支付标准，或一些项目取消支付。</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5.城乡社区管理事务（款）市政公用行业市场监管（项）。年初预算7万元，支出决算7万元，完成年初预算的100%。决算数与年初预算数相同。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6.城乡社区管理事务（款）住宅建设与房地产市场监管（项）。年初预算192.9万元，支出决算198.1万元，完成年初预算的102.7%。决算数与年初预算数的差异原因：增加项目顺利开展用于项目支出。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城乡社区管理事务（款）其他城乡社区管理事务支出（项）。年初预算832.21万元，支出决算737.86万元，完成年初预算的88.66%。决算数与年初预算数的差异原因：用于项目支出，但一些项目未达到支付标准，或一些项目取消支付。</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城乡社区规划与管理（款）城乡社区规划与管理（项）。年初预算5万元，支出决算4.96万元，完成年初预算的99.2%。决算数与年初预算数的差异原因：用于项目支出，但一些项目未达到支付标准，或一些项目取消支付。</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城乡社区公共设施（款）其他城乡社区公共设施支出（项）。年初预算413.54万元，支出决算356.14万元，完成年初预算的86.12%。决算数与年初预算数的差异原因：用于项目支出，但一些项目未达到支付标准，或一些项目取消支付。</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10.城乡社区环境卫生（款）城乡社区环境卫生（项）。年初预算388.71万元，支出决算157.7万元，完成年初预算的40.57%。决算数与年初预算数的差异原因：用于项目支出，但一些项目未达到支付标准，或一些项目取消支付。</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11.建设市场管理与监督（款）建设市场管理与监督（项）。年初预算1,034.9万元，支出决算745.85万元，完成年初预算的72.07%。决算数与年初预算数的差异原因：用于项目支出，但一些项目未达到支付标准，或一些项目取消支付。</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12.国有土地使用权出让收入安排的支出（款）土地开发支出（项）。年初预算18,929万元，支出决算13,287.31万元，完成年初预算的70.2%。决算数与年初预算数的差异原因：用于项目支出，但一些项目未达到支付标准，或一些项目取消支付。</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13.其他城乡社区支出（款）其他城乡社区支出（项）。年初预算21万元，支出决算72.9万元，完成年初预算的347.14%。决算数与年初预算数的差异原因：有预算中没有的项目新增，项目顺利开展用于项目支出。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（五）农林水支出（类）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水利（款）水利工程建设（项）。年初预算0万元，支出决算1,220.33万元，（年初预算数为0万元，无法计算完成比率）决算数与年初预算数的差异原因：功能科目调整。</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1.保障性安居工程支出（款）农村危房改造（项）。年初预算0万元，支出决算106.83万元，（年初预算数为0万元，无法计算完成比率）决算数与年初预算数的差异原因：增加农村危房改造项目顺利进行。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2.保障性安居工程支出（款）保障性住房租金补贴（项）。年初预算0万元，支出决算7.78万元，（年初预算数为0万元，无法计算完成比率）决算数与年初预算数的差异原因：功能科目调整。</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3.住房改革支出（款）住房公积金（项）。年初预算339.19万元，支出决算313.76万元，完成年初预算的92.5%。决算数与年初预算数的差异原因：有人员调动或退休。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4.城乡社区住宅（款）其他城乡社区住宅支出（项）。年初预算121.17万元，支出决算71.07万元，完成年初预算的58.65%。决算数与年初预算数的差异原因：一般公共预算财政拨款支出的项目减少。</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2022年度财政拨款基本支出决算4,323.54万元，其中：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（一）人员经费4,069.4万元。</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其他工资福利支出、退休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（二）公用经费254.14万元。</w:t>
      </w:r>
      <w:r>
        <w:rPr>
          <w:rFonts w:ascii="仿宋" w:hAnsi="仿宋" w:eastAsia="仿宋" w:cs="仿宋"/>
        </w:rPr>
        <w:t>主要包括：办公费、印刷费、水费、电费、邮电费、物业管理费、差旅费、维修（护）费、租赁费、培训费、公务接待费、专用材料费、劳务费、委托业务费、工会经费、福利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2022年度一般公共预算财政拨款支出决算6,628.54万元。与上年相比，增加731.1万元，增长12.4%，变动原因：一般公共预算财政拨款支出的项目增加。</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2022年度一般公共预算财政拨款基本支出决算4,323.54万元，其中：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（一）人员经费4,069.4万元。</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其他工资福利支出、退休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（二）公用经费254.14万元。</w:t>
      </w:r>
      <w:r>
        <w:rPr>
          <w:rFonts w:ascii="仿宋" w:hAnsi="仿宋" w:eastAsia="仿宋" w:cs="仿宋"/>
        </w:rPr>
        <w:t>主要包括：办公费、印刷费、水费、电费、邮电费、物业管理费、差旅费、维修（护）费、租赁费、培训费、公务接待费、专用材料费、劳务费、委托业务费、工会经费、福利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九、财政拨款“三公”经费、会议费和培训费支出情况说明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三公”经费支出决算31.01万元（其中：一般公共预算支出31.01万元；政府性基金预算支出0万元；国有资本经营预算支出0万元）。与上年相比，减少2.78万元，变动原因：节约经费支出。其中，因公出国（境）费支出0万元，占“三公”经费的0%；公务用车购置及运行维护费支出29.72万元，占“三公”经费的95.81%；公务接待费支出1.3万元，占“三公”经费的4.19%。</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支出预算36.87万元（其中：一般公共预算支出36.87万元；政府性基金预算支出0万元；国有资本经营预算支出0万元），支出决算29.72万元（其中：一般公共预算支出29.72万元；政府性基金预算支出0万元；国有资本经营预算支出0万元），完成调整后预算的80.61%，决算数与预算数的差异原因：节约经费支出。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支出决算29.72万元。公务用车运行维护费主要用于按规定保留的公务用车的燃料费、维修费、过桥过路费、保险费、安全奖励费用等支出。截至2022年12月31日，使用财政拨款开支的公务用车保有量为10辆。</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支出预算2.98万元（其中：一般公共预算支出2.98万元；政府性基金预算支出0万元；国有资本经营预算支出0万元），支出决算1.3万元（其中：一般公共预算支出1.3万元；政府性基金预算支出0万元；国有资本经营预算支出0万元），完成调整后预算的43.62%，决算数与预算数的差异原因：节约公务接待支出。其中：国内公务接待支出1.3万元，接待26批次，131人次，开支内容：公务接待餐费支出；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培训费支出预算2.44万元（其中：一般公共预算支出2.44万元；政府性基金预算支出0万元；国有资本经营预算支出0万元），支出决算0.24万元（其中：一般公共预算支出0.24万元；政府性基金预算支出0万元；国有资本经营预算支出0万元），完成调整后预算的9.84%，决算数与预算数的差异原因：节约培训费支出。2022年度全年组织培训1个，组织培训2人次，开支内容：建设管理相关专业培训。</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政府性基金预算财政拨款支出决算13,287.31万元。与上年相比，增加1,501.62万元，增长12.74%，变动原因：从财政取得一般公共预算拨款和政府性基金拨款，用于创文明城市和老小区改造，危房改造，建筑企业专项达标评优奖励，南北城区物业补贴等。</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机关运行经费支出决算108.4万元（其中：一般公共预算支出108.4万元；政府性基金预算支出0万元；国有资本经营预算支出0万元）。与上年相比，减少34.13万元，减少23.95%，变动原因：节约基本支出日常经费等。</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政府采购支出总额295.16万元，其中：政府采购货物支出110.08万元、政府采购工程支出0万元、政府采购服务支出185.08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截至2022年12月31日，本部门共有车辆10辆，其中：副部(省)级及以上领导用车0辆、主要领导干部用车0辆、机要通信用车0辆、应急保障用车0辆、执法执勤用车0辆、特种专业技术用车0辆、离退休干部用车0辆、其他用车10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2022年度，本部门共0个项目开展了财政重点绩效评价，涉及财政性资金合计0万元；本部门未开展部门整体支出财政重点绩效评价，涉及财政性资金0万元。</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本部门共对上年度已实施完成的168个项目开展了绩效自评价，涉及财政性资金合计11,785.69万元；本部门共开展168项部门整体支出绩效自评价，涉及财政性资金合计11,785.69万元。</w:t>
      </w:r>
    </w:p>
    <w:p>
      <w:pPr>
        <w:pStyle w:val="5"/>
        <w:tabs>
          <w:tab w:val="left" w:pos="3077"/>
        </w:tabs>
        <w:spacing w:line="616" w:lineRule="exact"/>
        <w:rPr>
          <w:rFonts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十九、一般公共服务支出(类)档案事务(款)档案馆(项)</w:t>
      </w:r>
      <w:r>
        <w:rPr>
          <w:rFonts w:ascii="仿宋" w:hAnsi="仿宋" w:eastAsia="仿宋" w:cs="仿宋"/>
          <w:b/>
        </w:rPr>
        <w:t>：</w:t>
      </w:r>
      <w:r>
        <w:rPr>
          <w:rFonts w:hint="eastAsia" w:ascii="仿宋" w:hAnsi="仿宋" w:eastAsia="仿宋" w:cs="仿宋"/>
        </w:rPr>
        <w:t>反映中央和地方各级档案馆的支出，包括档案资料征集，档案抢救、保护、编纂、修复、现代化管理，档案信息资源开发、提供、利用，档案馆设备购置、维护，档案陈列展览等方面的支出。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二十、国防支出(类)国防动员(款)人民防空(项)</w:t>
      </w:r>
      <w:r>
        <w:rPr>
          <w:rFonts w:ascii="仿宋" w:hAnsi="仿宋" w:eastAsia="仿宋" w:cs="仿宋"/>
          <w:b/>
        </w:rPr>
        <w:t>：</w:t>
      </w:r>
      <w:r>
        <w:rPr>
          <w:rFonts w:hint="eastAsia" w:ascii="仿宋" w:hAnsi="仿宋" w:eastAsia="仿宋" w:cs="仿宋"/>
        </w:rPr>
        <w:t>反映用于人民防空工程建设、宣传等方面的支出。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二十一、社会保障和就业支出(类)行政事业单位养老支出(款)行政单位离退休(项)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二十二、社会保障和就业支出(类)行政事业单位养老支出(款)事业单位离退休(项)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二十三、社会保障和就业支出(类)行政事业单位养老支出(款)机关事业单位基本养老保险缴费支出(项)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二十四、社会保障和就业支出(类)行政事业单位养老支出(款)机关事业单位职业年金缴费支出(项)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二十五、城乡社区支出(类)城乡社区管理事务(款)行政运行(项)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二十六、城乡社区支出(类)城乡社区管理事务(款)一般行政管理事务(项)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二十七、城乡社区支出(类)城乡社区管理事务(款)工程建设标准规范编制与监管(项)</w:t>
      </w:r>
      <w:r>
        <w:rPr>
          <w:rFonts w:ascii="仿宋" w:hAnsi="仿宋" w:eastAsia="仿宋" w:cs="仿宋"/>
          <w:b/>
        </w:rPr>
        <w:t>：</w:t>
      </w:r>
      <w:r>
        <w:rPr>
          <w:rFonts w:hint="eastAsia" w:ascii="仿宋" w:hAnsi="仿宋" w:eastAsia="仿宋" w:cs="仿宋"/>
        </w:rPr>
        <w:t>反映拟定工程建设国家标准和部管行业标准、监督指导各类工程建设标准定额的实施、管理工程造价等方面的支出。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二十八、城乡社区支出(类)城乡社区管理事务(款)工程建设管理(项)</w:t>
      </w:r>
      <w:r>
        <w:rPr>
          <w:rFonts w:ascii="仿宋" w:hAnsi="仿宋" w:eastAsia="仿宋" w:cs="仿宋"/>
          <w:b/>
        </w:rPr>
        <w:t>：</w:t>
      </w:r>
      <w:r>
        <w:rPr>
          <w:rFonts w:hint="eastAsia" w:ascii="仿宋" w:hAnsi="仿宋" w:eastAsia="仿宋" w:cs="仿宋"/>
        </w:rPr>
        <w:t>反映调控建设市场运行、拟定建设市场法规、实施建筑工程质量、安全、工程勘察设计监管等方面的支出。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二十九、城乡社区支出(类)城乡社区管理事务(款)市政公用行业市场监管(项)</w:t>
      </w:r>
      <w:r>
        <w:rPr>
          <w:rFonts w:ascii="仿宋" w:hAnsi="仿宋" w:eastAsia="仿宋" w:cs="仿宋"/>
          <w:b/>
        </w:rPr>
        <w:t>：</w:t>
      </w:r>
      <w:r>
        <w:rPr>
          <w:rFonts w:hint="eastAsia" w:ascii="仿宋" w:hAnsi="仿宋" w:eastAsia="仿宋" w:cs="仿宋"/>
        </w:rPr>
        <w:t>反映拟定城镇市政公用设施建设法规政策、组织跨区域污水垃圾及供水燃气管网等公共基础设施建设、对城乡基础设施建设过程中资源利用与环境保护实施监管等方面的支出。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三十、城乡社区支出(类)城乡社区管理事务(款)住宅建设与房地产市场监管(项)</w:t>
      </w:r>
      <w:r>
        <w:rPr>
          <w:rFonts w:ascii="仿宋" w:hAnsi="仿宋" w:eastAsia="仿宋" w:cs="仿宋"/>
          <w:b/>
        </w:rPr>
        <w:t>：</w:t>
      </w:r>
      <w:r>
        <w:rPr>
          <w:rFonts w:hint="eastAsia" w:ascii="仿宋" w:hAnsi="仿宋" w:eastAsia="仿宋" w:cs="仿宋"/>
        </w:rPr>
        <w:t>反映调控房地产市场运行、研究拟定城镇住房制度改革法规、对住房公积金和其他房改资金进行政策指导并监督使用等方面的支出。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三十一、城乡社区支出(类)城乡社区管理事务(款)其他城乡社区管理事务支出(项)</w:t>
      </w:r>
      <w:r>
        <w:rPr>
          <w:rFonts w:ascii="仿宋" w:hAnsi="仿宋" w:eastAsia="仿宋" w:cs="仿宋"/>
          <w:b/>
        </w:rPr>
        <w:t>：</w:t>
      </w:r>
      <w:r>
        <w:rPr>
          <w:rFonts w:hint="eastAsia" w:ascii="仿宋" w:hAnsi="仿宋" w:eastAsia="仿宋" w:cs="仿宋"/>
        </w:rPr>
        <w:t>反映除上述项目以外其他用于城乡社区管理事务方面的支出。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三十二、城乡社区支出(类)城乡社区规划与管理(款)城乡社区规划与管理(项)</w:t>
      </w:r>
      <w:r>
        <w:rPr>
          <w:rFonts w:ascii="仿宋" w:hAnsi="仿宋" w:eastAsia="仿宋" w:cs="仿宋"/>
          <w:b/>
        </w:rPr>
        <w:t>：</w:t>
      </w:r>
      <w:r>
        <w:rPr>
          <w:rFonts w:hint="eastAsia" w:ascii="仿宋" w:hAnsi="仿宋" w:eastAsia="仿宋" w:cs="仿宋"/>
        </w:rPr>
        <w:t>反映城乡社区、防灾减灾、历史名城规划制定与管理等方面的支出。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三十三、城乡社区支出(类)城乡社区公共设施(款)其他城乡社区公共设施支出(项)</w:t>
      </w:r>
      <w:r>
        <w:rPr>
          <w:rFonts w:ascii="仿宋" w:hAnsi="仿宋" w:eastAsia="仿宋" w:cs="仿宋"/>
          <w:b/>
        </w:rPr>
        <w:t>：</w:t>
      </w:r>
      <w:r>
        <w:rPr>
          <w:rFonts w:hint="eastAsia" w:ascii="仿宋" w:hAnsi="仿宋" w:eastAsia="仿宋" w:cs="仿宋"/>
        </w:rPr>
        <w:t>反映除上述项目以外其他用于城乡社区公共设施方面的支出。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三十四、城乡社区支出(类)城乡社区环境卫生(款)城乡社区环境卫生(项)</w:t>
      </w:r>
      <w:r>
        <w:rPr>
          <w:rFonts w:ascii="仿宋" w:hAnsi="仿宋" w:eastAsia="仿宋" w:cs="仿宋"/>
          <w:b/>
        </w:rPr>
        <w:t>：</w:t>
      </w:r>
      <w:r>
        <w:rPr>
          <w:rFonts w:hint="eastAsia" w:ascii="仿宋" w:hAnsi="仿宋" w:eastAsia="仿宋" w:cs="仿宋"/>
        </w:rPr>
        <w:t>反映城乡社区道路清扫、垃圾清运与处理、公厕建设与维护、园林绿化等方面的支出。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三十五、城乡社区支出(类)建设市场管理与监督(款)建设市场管理与监督(项)</w:t>
      </w:r>
      <w:r>
        <w:rPr>
          <w:rFonts w:ascii="仿宋" w:hAnsi="仿宋" w:eastAsia="仿宋" w:cs="仿宋"/>
          <w:b/>
        </w:rPr>
        <w:t>：</w:t>
      </w:r>
      <w:r>
        <w:rPr>
          <w:rFonts w:hint="eastAsia" w:ascii="仿宋" w:hAnsi="仿宋" w:eastAsia="仿宋" w:cs="仿宋"/>
        </w:rPr>
        <w:t>反映各类建筑工程强制性和推荐性标准及规范的制定与修改、建筑工程招投标等市场管理、建筑工程质量与安全监督等方面的支出。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三十六、城乡社区支出(类)国有土地使用权出让收入安排的支出(款)土地开发支出(项)</w:t>
      </w:r>
      <w:r>
        <w:rPr>
          <w:rFonts w:ascii="仿宋" w:hAnsi="仿宋" w:eastAsia="仿宋" w:cs="仿宋"/>
          <w:b/>
        </w:rPr>
        <w:t>：</w:t>
      </w:r>
      <w:r>
        <w:rPr>
          <w:rFonts w:hint="eastAsia" w:ascii="仿宋" w:hAnsi="仿宋" w:eastAsia="仿宋" w:cs="仿宋"/>
        </w:rPr>
        <w:t>反映新疆生产建设兵团和地方政府用于前期土地开发性支出以及与前期土地开发相关的费用等支出。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三十七、城乡社区支出(类)其他城乡社区支出(款)其他城乡社区支出(项)</w:t>
      </w:r>
      <w:r>
        <w:rPr>
          <w:rFonts w:ascii="仿宋" w:hAnsi="仿宋" w:eastAsia="仿宋" w:cs="仿宋"/>
          <w:b/>
        </w:rPr>
        <w:t>：</w:t>
      </w:r>
      <w:r>
        <w:rPr>
          <w:rFonts w:hint="eastAsia" w:ascii="仿宋" w:hAnsi="仿宋" w:eastAsia="仿宋" w:cs="仿宋"/>
        </w:rPr>
        <w:t>反映除上述项目以外其他用于城乡社区方面的支出。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三十八、农林水支出(类)水利(款)水利工程建设(项)</w:t>
      </w:r>
      <w:r>
        <w:rPr>
          <w:rFonts w:ascii="仿宋" w:hAnsi="仿宋" w:eastAsia="仿宋" w:cs="仿宋"/>
          <w:b/>
        </w:rPr>
        <w:t>：</w:t>
      </w:r>
      <w:r>
        <w:rPr>
          <w:rFonts w:hint="eastAsia" w:ascii="仿宋" w:hAnsi="仿宋" w:eastAsia="仿宋" w:cs="仿宋"/>
        </w:rPr>
        <w:t>反映水利系统用于江、河、湖、滩等水利工程建设支出，包括堤防、河道、水库、水利枢纽、涵闸、灌区、供水、蓄滞洪区等水利工程及其附属设备、设施的建设、改造更新、病险水库除险加固、大型灌区改造、农村电气化建设等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三十九、住房保障支出(类)保障性安居工程支出(款)农村危房改造(项)</w:t>
      </w:r>
      <w:r>
        <w:rPr>
          <w:rFonts w:ascii="仿宋" w:hAnsi="仿宋" w:eastAsia="仿宋" w:cs="仿宋"/>
          <w:b/>
        </w:rPr>
        <w:t>：</w:t>
      </w:r>
      <w:r>
        <w:rPr>
          <w:rFonts w:hint="eastAsia" w:ascii="仿宋" w:hAnsi="仿宋" w:eastAsia="仿宋" w:cs="仿宋"/>
        </w:rPr>
        <w:t>反映用于农村危房改造方面的支出。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四十、住房保障支出(类)保障性安居工程支出(款)保障性住房租金补贴(项)</w:t>
      </w:r>
      <w:r>
        <w:rPr>
          <w:rFonts w:ascii="仿宋" w:hAnsi="仿宋" w:eastAsia="仿宋" w:cs="仿宋"/>
          <w:b/>
        </w:rPr>
        <w:t>：</w:t>
      </w:r>
      <w:r>
        <w:rPr>
          <w:rFonts w:hint="eastAsia" w:ascii="仿宋" w:hAnsi="仿宋" w:eastAsia="仿宋" w:cs="仿宋"/>
        </w:rPr>
        <w:t>反映各级政府向低收入住房保障家庭发放的住房租赁补贴支出。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四十一、住房保障支出(类)住房改革支出(款)住房公积金(项)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四十二、住房保障支出(类)城乡社区住宅(款)其他城乡社区住宅支出(项)</w:t>
      </w:r>
      <w:r>
        <w:rPr>
          <w:rFonts w:ascii="仿宋" w:hAnsi="仿宋" w:eastAsia="仿宋" w:cs="仿宋"/>
          <w:b/>
        </w:rPr>
        <w:t>：</w:t>
      </w:r>
      <w:r>
        <w:rPr>
          <w:rFonts w:hint="eastAsia" w:ascii="仿宋" w:hAnsi="仿宋" w:eastAsia="仿宋" w:cs="仿宋"/>
        </w:rPr>
        <w:t>反映除上述项目以外其他用于城乡社区住宅方面的支出。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Liberation Sans">
    <w:altName w:val="Arial Unicode MS"/>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1" o:spid="_x0000_s410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2" o:spid="_x0000_s410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- 33 -</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4" o:spid="_x0000_s410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5" o:spid="_x0000_s410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6" o:spid="_x0000_s4106"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10" o:spid="_x0000_s411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- 61 -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cs="黑体"/>
      </w:rPr>
    </w:pPr>
    <w:r>
      <w:rPr>
        <w:rFonts w:ascii="黑体" w:hAnsi="黑体" w:eastAsia="黑体" w:cs="黑体"/>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cs="黑体"/>
      </w:rPr>
    </w:pPr>
    <w:r>
      <w:rPr>
        <w:rFonts w:ascii="黑体" w:hAnsi="黑体" w:eastAsia="黑体" w:cs="黑体"/>
      </w:rPr>
      <w:pict>
        <v:shape id="_x0000_s4113" o:spid="_x0000_s411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- 3 -</w:t>
                </w:r>
                <w:r>
                  <w:rPr>
                    <w:rFonts w:hint="eastAsia" w:ascii="黑体" w:hAnsi="黑体" w:eastAsia="黑体" w:cs="黑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11" o:spid="_x0000_s411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12" o:spid="_x0000_s411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lang w:val="en-US"/>
      </w:rPr>
    </w:pPr>
    <w:r>
      <w:rPr>
        <w:rFonts w:hint="eastAsia"/>
        <w:lang w:val="en-US"/>
      </w:rPr>
      <w:t>启东市住房和城乡建设局</w:t>
    </w:r>
    <w:r>
      <w:t>2022年度部门决算公开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autoHyphenation/>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U0MWM4MGMyN2E2OTkxZDJhZjA4ZDFmMWFmMDdlODQifQ=="/>
  </w:docVars>
  <w:rsids>
    <w:rsidRoot w:val="00D83B59"/>
    <w:rsid w:val="00064984"/>
    <w:rsid w:val="00071789"/>
    <w:rsid w:val="000C024B"/>
    <w:rsid w:val="000F12AB"/>
    <w:rsid w:val="001C31F9"/>
    <w:rsid w:val="00216168"/>
    <w:rsid w:val="002E63B1"/>
    <w:rsid w:val="00407CA7"/>
    <w:rsid w:val="00413AD8"/>
    <w:rsid w:val="00423F9B"/>
    <w:rsid w:val="004C0647"/>
    <w:rsid w:val="005A397B"/>
    <w:rsid w:val="00671ED7"/>
    <w:rsid w:val="00672164"/>
    <w:rsid w:val="006732F1"/>
    <w:rsid w:val="00774190"/>
    <w:rsid w:val="007C0F2D"/>
    <w:rsid w:val="008322BB"/>
    <w:rsid w:val="00867423"/>
    <w:rsid w:val="008B5B05"/>
    <w:rsid w:val="009965EA"/>
    <w:rsid w:val="00A6752E"/>
    <w:rsid w:val="00B47262"/>
    <w:rsid w:val="00B92181"/>
    <w:rsid w:val="00BD7F33"/>
    <w:rsid w:val="00C15920"/>
    <w:rsid w:val="00C82582"/>
    <w:rsid w:val="00D83B59"/>
    <w:rsid w:val="00FA3233"/>
    <w:rsid w:val="010F1E77"/>
    <w:rsid w:val="01536131"/>
    <w:rsid w:val="01657C13"/>
    <w:rsid w:val="01714809"/>
    <w:rsid w:val="017240DE"/>
    <w:rsid w:val="01875334"/>
    <w:rsid w:val="018E7014"/>
    <w:rsid w:val="019803DB"/>
    <w:rsid w:val="01C22655"/>
    <w:rsid w:val="01C61170"/>
    <w:rsid w:val="01CC31F3"/>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140A90"/>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出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13"/>
    <customShpInfo spid="_x0000_s4111"/>
    <customShpInfo spid="_x0000_s4112"/>
    <customShpInfo spid="_x0000_s4099"/>
    <customShpInfo spid="_x0000_s4100"/>
    <customShpInfo spid="_x0000_s4101"/>
    <customShpInfo spid="_x0000_s4102"/>
    <customShpInfo spid="_x0000_s4103"/>
    <customShpInfo spid="_x0000_s4104"/>
    <customShpInfo spid="_x0000_s4105"/>
    <customShpInfo spid="_x0000_s4106"/>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5246</Words>
  <Characters>29904</Characters>
  <Lines>249</Lines>
  <Paragraphs>70</Paragraphs>
  <TotalTime>19</TotalTime>
  <ScaleCrop>false</ScaleCrop>
  <LinksUpToDate>false</LinksUpToDate>
  <CharactersWithSpaces>35080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卡徒亚</cp:lastModifiedBy>
  <dcterms:modified xsi:type="dcterms:W3CDTF">2023-09-22T01:04:57Z</dcterms:modified>
  <dc:title>部门决算公开</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2052-12.1.0.15374</vt:lpwstr>
  </property>
  <property fmtid="{D5CDD505-2E9C-101B-9397-08002B2CF9AE}" pid="6" name="LastSaved">
    <vt:filetime>2021-04-15T00:00:00Z</vt:filetime>
  </property>
</Properties>
</file>