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A454">
      <w:pPr>
        <w:snapToGrid w:val="0"/>
        <w:spacing w:line="54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eastAsia="zh-CN"/>
        </w:rPr>
        <w:t>七</w:t>
      </w:r>
      <w:r>
        <w:rPr>
          <w:rFonts w:hint="eastAsia" w:ascii="宋体" w:hAnsi="宋体" w:cs="宋体"/>
          <w:b/>
          <w:sz w:val="24"/>
        </w:rPr>
        <w:t xml:space="preserve">： </w:t>
      </w:r>
    </w:p>
    <w:p w14:paraId="7E8C29A8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产品技术偏离表</w:t>
      </w:r>
      <w:bookmarkEnd w:id="0"/>
    </w:p>
    <w:p w14:paraId="12E304AD">
      <w:pPr>
        <w:spacing w:after="312" w:afterLines="100" w:line="360" w:lineRule="exact"/>
        <w:jc w:val="center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94729部队80分队附近道路测速项目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69"/>
        <w:gridCol w:w="2356"/>
        <w:gridCol w:w="1178"/>
        <w:gridCol w:w="2026"/>
        <w:gridCol w:w="1719"/>
      </w:tblGrid>
      <w:tr w14:paraId="44F4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14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AC6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  <w:p w14:paraId="3E9CB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6A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招标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技术规格要求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14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投标品牌、型号</w:t>
            </w:r>
          </w:p>
        </w:tc>
        <w:tc>
          <w:tcPr>
            <w:tcW w:w="1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0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投标货物详细规格参数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D5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偏离度（正偏离、满足、负偏离）</w:t>
            </w:r>
          </w:p>
        </w:tc>
      </w:tr>
      <w:tr w14:paraId="375B0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5C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D0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2E59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B9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96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75F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661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07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9E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E53C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77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81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F32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CCFB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1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80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B9B2A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4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C0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65C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6E11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36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79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06E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63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CD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B3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58F5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C2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F5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F80A">
            <w:pPr>
              <w:rPr>
                <w:rFonts w:ascii="宋体" w:hAnsi="宋体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5C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CC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779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B5A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8A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763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…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BF2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5D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AC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A9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9356BC0">
      <w:pPr>
        <w:spacing w:after="120"/>
        <w:rPr>
          <w:rFonts w:ascii="宋体" w:hAnsi="宋体"/>
        </w:rPr>
      </w:pPr>
    </w:p>
    <w:p w14:paraId="5036B9D4">
      <w:pPr>
        <w:snapToGrid w:val="0"/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报价人名称（盖章）：</w:t>
      </w:r>
    </w:p>
    <w:p w14:paraId="31D0F552">
      <w:pPr>
        <w:snapToGrid w:val="0"/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法定代表人或委托代理人（签字或盖章）：</w:t>
      </w:r>
    </w:p>
    <w:p w14:paraId="0EB601F5">
      <w:pPr>
        <w:snapToGrid w:val="0"/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 期：    年   月   日</w:t>
      </w:r>
    </w:p>
    <w:p w14:paraId="30A383C2">
      <w:pPr>
        <w:spacing w:after="120"/>
        <w:rPr>
          <w:rFonts w:ascii="宋体" w:hAnsi="宋体"/>
        </w:rPr>
      </w:pPr>
    </w:p>
    <w:p w14:paraId="7A8AC140">
      <w:pPr>
        <w:spacing w:line="360" w:lineRule="auto"/>
        <w:rPr>
          <w:rFonts w:ascii="宋体" w:hAnsi="宋体" w:cs="仿宋_GB2312"/>
          <w:bCs/>
          <w:sz w:val="24"/>
        </w:rPr>
      </w:pPr>
      <w:r>
        <w:rPr>
          <w:rFonts w:hint="eastAsia" w:ascii="宋体" w:hAnsi="宋体" w:cs="仿宋_GB2312"/>
          <w:bCs/>
          <w:sz w:val="24"/>
        </w:rPr>
        <w:t>备注：1.本次招标不接受负偏离，如有正偏离的，在“说明”列予以说明，如填“负偏离”将作无效投标处理。</w:t>
      </w:r>
    </w:p>
    <w:p w14:paraId="170ABBF1">
      <w:pPr>
        <w:pStyle w:val="2"/>
        <w:spacing w:after="0" w:line="360" w:lineRule="auto"/>
        <w:rPr>
          <w:rFonts w:hint="eastAsia"/>
        </w:rPr>
      </w:pPr>
      <w:r>
        <w:rPr>
          <w:rFonts w:hint="eastAsia" w:ascii="宋体" w:hAnsi="宋体" w:cs="仿宋_GB2312"/>
          <w:bCs/>
          <w:sz w:val="24"/>
        </w:rPr>
        <w:t>2.因本表较长，所以要求供应商在所有偏离表页上加盖公章予以确认。</w:t>
      </w:r>
    </w:p>
    <w:p w14:paraId="1E1A45DC">
      <w:pPr>
        <w:spacing w:line="360" w:lineRule="auto"/>
        <w:jc w:val="left"/>
        <w:rPr>
          <w:rFonts w:ascii="宋体" w:hAnsi="宋体" w:cs="仿宋_GB2312"/>
          <w:bCs/>
          <w:sz w:val="24"/>
        </w:rPr>
      </w:pPr>
      <w:r>
        <w:rPr>
          <w:rFonts w:hint="eastAsia" w:ascii="宋体" w:hAnsi="宋体" w:cs="仿宋_GB2312"/>
          <w:bCs/>
          <w:sz w:val="24"/>
        </w:rPr>
        <w:t>3.</w:t>
      </w:r>
      <w:r>
        <w:rPr>
          <w:rFonts w:hint="eastAsia" w:ascii="宋体" w:hAnsi="宋体" w:cs="仿宋_GB2312"/>
          <w:bCs/>
          <w:color w:val="FF0000"/>
          <w:sz w:val="24"/>
        </w:rPr>
        <w:t>投标时请按《</w:t>
      </w:r>
      <w:r>
        <w:rPr>
          <w:rFonts w:hint="eastAsia" w:ascii="宋体" w:hAnsi="宋体" w:cs="宋体"/>
          <w:color w:val="FF0000"/>
          <w:sz w:val="24"/>
        </w:rPr>
        <w:t>采购货物清单</w:t>
      </w:r>
      <w:r>
        <w:rPr>
          <w:rFonts w:hint="eastAsia" w:ascii="宋体" w:hAnsi="宋体" w:cs="仿宋_GB2312"/>
          <w:bCs/>
          <w:color w:val="FF0000"/>
          <w:sz w:val="24"/>
        </w:rPr>
        <w:t>》</w:t>
      </w:r>
      <w:r>
        <w:rPr>
          <w:rFonts w:hint="eastAsia" w:ascii="宋体" w:hAnsi="宋体" w:cs="宋体"/>
          <w:color w:val="FF0000"/>
          <w:sz w:val="24"/>
        </w:rPr>
        <w:t>要求</w:t>
      </w:r>
      <w:r>
        <w:rPr>
          <w:rFonts w:hint="eastAsia" w:ascii="宋体" w:hAnsi="宋体" w:cs="仿宋_GB2312"/>
          <w:bCs/>
          <w:color w:val="FF0000"/>
          <w:sz w:val="24"/>
        </w:rPr>
        <w:t>附上</w:t>
      </w:r>
      <w:r>
        <w:rPr>
          <w:rFonts w:hint="eastAsia" w:ascii="宋体" w:hAnsi="宋体" w:cs="宋体"/>
          <w:color w:val="FF0000"/>
          <w:sz w:val="24"/>
        </w:rPr>
        <w:t>检测报告、相关证书</w:t>
      </w:r>
      <w:r>
        <w:rPr>
          <w:rFonts w:hint="eastAsia" w:ascii="宋体" w:hAnsi="宋体" w:cs="仿宋_GB2312"/>
          <w:bCs/>
          <w:color w:val="FF0000"/>
          <w:sz w:val="24"/>
        </w:rPr>
        <w:t>等相关证明材料，否则视为未实质性响应招标技术要求作无效投标处理</w:t>
      </w:r>
      <w:r>
        <w:rPr>
          <w:rFonts w:hint="eastAsia" w:ascii="宋体" w:hAnsi="宋体" w:cs="仿宋_GB2312"/>
          <w:bCs/>
          <w:sz w:val="24"/>
        </w:rPr>
        <w:t>。</w:t>
      </w:r>
    </w:p>
    <w:p w14:paraId="61BFC39E">
      <w:pPr>
        <w:pStyle w:val="5"/>
        <w:spacing w:line="360" w:lineRule="auto"/>
        <w:jc w:val="left"/>
        <w:rPr>
          <w:rFonts w:hint="eastAsia" w:hAnsi="宋体"/>
        </w:rPr>
      </w:pPr>
      <w:r>
        <w:rPr>
          <w:rFonts w:hint="eastAsia" w:hAnsi="宋体"/>
        </w:rPr>
        <w:t>4.</w:t>
      </w:r>
      <w:r>
        <w:rPr>
          <w:rFonts w:hint="eastAsia" w:hAnsi="宋体"/>
          <w:color w:val="FF0000"/>
        </w:rPr>
        <w:t>投标供应商用不符合</w:t>
      </w:r>
      <w:r>
        <w:rPr>
          <w:rFonts w:hint="eastAsia" w:hAnsi="宋体"/>
          <w:color w:val="FF0000"/>
          <w:lang w:eastAsia="zh-CN"/>
        </w:rPr>
        <w:t>询价</w:t>
      </w:r>
      <w:r>
        <w:rPr>
          <w:rFonts w:hint="eastAsia" w:hAnsi="宋体"/>
          <w:color w:val="FF0000"/>
        </w:rPr>
        <w:t>文件要求的货物故意冒充</w:t>
      </w:r>
      <w:r>
        <w:rPr>
          <w:rFonts w:hint="eastAsia" w:hAnsi="宋体"/>
          <w:color w:val="FF0000"/>
          <w:lang w:eastAsia="zh-CN"/>
        </w:rPr>
        <w:t>询价</w:t>
      </w:r>
      <w:r>
        <w:rPr>
          <w:rFonts w:hint="eastAsia" w:hAnsi="宋体"/>
          <w:color w:val="FF0000"/>
        </w:rPr>
        <w:t>文件要求的货物进行投标的，将取消中标资格并记不良行为记录一次。</w:t>
      </w:r>
    </w:p>
    <w:p w14:paraId="2CD7A4A5"/>
    <w:sectPr>
      <w:pgSz w:w="11906" w:h="16838"/>
      <w:pgMar w:top="105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egoe 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egoe U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5830"/>
    <w:rsid w:val="372C5830"/>
    <w:rsid w:val="715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customStyle="1" w:styleId="5">
    <w:name w:val="样式5"/>
    <w:basedOn w:val="1"/>
    <w:qFormat/>
    <w:uiPriority w:val="0"/>
    <w:rPr>
      <w:rFonts w:ascii="宋体" w:hAnsi="Times New Roman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2025-05-26T02:33:00Z</dcterms:created>
  <dc:creator>雷厉风行</dc:creator>
  <cp:lastModifiedBy>雷厉风行</cp:lastModifiedBy>
  <dcterms:modified xsi:type="dcterms:W3CDTF">2025-05-26T02:34:05Z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D8884BAB6DA94F8C944E68E890D43192_11</vt:lpwstr>
  </property>
  <property fmtid="{D5CDD505-2E9C-101B-9397-08002B2CF9AE}" pid="4" name="KSOTemplateDocerSaveRecord">
    <vt:lpwstr>eyJoZGlkIjoiZTgzZjAwMTQ0ZmU5ODlmOGQ3N2Y4MWY2ZmQ5MWEyYWYiLCJ1c2VySWQiOiIyNTQ1NDMyNDYifQ==</vt:lpwstr>
  </property>
</Properties>
</file>