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5451C">
      <w:pPr>
        <w:overflowPunct w:val="0"/>
        <w:spacing w:line="590" w:lineRule="exact"/>
        <w:jc w:val="center"/>
        <w:rPr>
          <w:rFonts w:ascii="Times New Roman" w:eastAsia="方正小标宋_GBK"/>
          <w:color w:val="000000"/>
          <w:sz w:val="44"/>
          <w:szCs w:val="44"/>
        </w:rPr>
      </w:pPr>
      <w:r>
        <w:rPr>
          <w:rFonts w:hint="eastAsia" w:ascii="方正小标宋_GBK" w:hAnsi="方正小标宋_GBK" w:eastAsia="方正小标宋_GBK" w:cs="方正小标宋_GBK"/>
          <w:color w:val="000000"/>
          <w:kern w:val="2"/>
          <w:sz w:val="44"/>
          <w:szCs w:val="44"/>
          <w:lang w:val="en-US" w:eastAsia="zh-CN" w:bidi="ar"/>
        </w:rPr>
        <w:t>启东市</w:t>
      </w:r>
      <w:r>
        <w:rPr>
          <w:rFonts w:hint="eastAsia" w:ascii="方正小标宋_GBK" w:hAnsi="方正小标宋_GBK" w:eastAsia="方正小标宋_GBK" w:cs="方正小标宋_GBK"/>
          <w:color w:val="000000"/>
          <w:kern w:val="2"/>
          <w:sz w:val="44"/>
          <w:szCs w:val="44"/>
          <w:lang w:bidi="ar"/>
        </w:rPr>
        <w:t>推进新型工业化2025年</w:t>
      </w:r>
      <w:r>
        <w:rPr>
          <w:rFonts w:hint="eastAsia" w:ascii="方正小标宋_GBK" w:hAnsi="方正小标宋_GBK" w:eastAsia="方正小标宋_GBK" w:cs="方正小标宋_GBK"/>
          <w:color w:val="000000"/>
          <w:kern w:val="2"/>
          <w:sz w:val="44"/>
          <w:szCs w:val="44"/>
          <w:lang w:val="en-US" w:eastAsia="zh-CN" w:bidi="ar"/>
        </w:rPr>
        <w:t>行动</w:t>
      </w:r>
      <w:r>
        <w:rPr>
          <w:rFonts w:hint="eastAsia" w:ascii="方正小标宋_GBK" w:hAnsi="方正小标宋_GBK" w:eastAsia="方正小标宋_GBK" w:cs="方正小标宋_GBK"/>
          <w:color w:val="000000"/>
          <w:kern w:val="2"/>
          <w:sz w:val="44"/>
          <w:szCs w:val="44"/>
          <w:lang w:bidi="ar"/>
        </w:rPr>
        <w:t>方案</w:t>
      </w:r>
    </w:p>
    <w:p w14:paraId="130CE3A1">
      <w:pPr>
        <w:overflowPunct w:val="0"/>
        <w:spacing w:line="560" w:lineRule="exact"/>
        <w:ind w:firstLine="632" w:firstLineChars="200"/>
        <w:jc w:val="center"/>
        <w:rPr>
          <w:rFonts w:hint="eastAsia" w:ascii="Times New Roman" w:eastAsia="方正楷体_GBK"/>
          <w:color w:val="auto"/>
          <w:sz w:val="32"/>
          <w:szCs w:val="32"/>
          <w:lang w:eastAsia="zh-CN"/>
        </w:rPr>
      </w:pPr>
      <w:r>
        <w:rPr>
          <w:rFonts w:hint="eastAsia" w:ascii="Times New Roman" w:eastAsia="方正楷体_GBK"/>
          <w:color w:val="auto"/>
          <w:sz w:val="32"/>
          <w:szCs w:val="32"/>
          <w:lang w:eastAsia="zh-CN"/>
        </w:rPr>
        <w:t>（</w:t>
      </w:r>
      <w:r>
        <w:rPr>
          <w:rFonts w:hint="eastAsia" w:ascii="Times New Roman" w:eastAsia="方正楷体_GBK"/>
          <w:color w:val="auto"/>
          <w:sz w:val="32"/>
          <w:szCs w:val="32"/>
          <w:lang w:val="en-US" w:eastAsia="zh-CN"/>
        </w:rPr>
        <w:t>征求意见稿</w:t>
      </w:r>
      <w:r>
        <w:rPr>
          <w:rFonts w:hint="eastAsia" w:ascii="Times New Roman" w:eastAsia="方正楷体_GBK"/>
          <w:color w:val="auto"/>
          <w:sz w:val="32"/>
          <w:szCs w:val="32"/>
          <w:lang w:eastAsia="zh-CN"/>
        </w:rPr>
        <w:t>）</w:t>
      </w:r>
    </w:p>
    <w:p w14:paraId="6D8FDC9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方正仿宋_GB2312" w:cs="Times New Roman"/>
          <w:color w:val="auto"/>
          <w:sz w:val="32"/>
          <w:szCs w:val="32"/>
          <w:lang w:val="en-US" w:eastAsia="zh-CN"/>
        </w:rPr>
      </w:pPr>
    </w:p>
    <w:p w14:paraId="5E85C08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color w:val="auto"/>
          <w:sz w:val="32"/>
          <w:szCs w:val="32"/>
          <w:lang w:val="en-US" w:eastAsia="zh-CN"/>
        </w:rPr>
        <w:t>为深入贯彻习近平总书记关于推进新型工业化有关论述，进一步落实省委省政府、南通市委市政府关于加快推进新型工业化建设要求，推动我市新型工业化建设走在前、做示范，制定本行动方案。</w:t>
      </w:r>
    </w:p>
    <w:p w14:paraId="14A9BB9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一、总体要求</w:t>
      </w:r>
    </w:p>
    <w:p w14:paraId="2D69FCD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color w:val="auto"/>
          <w:sz w:val="32"/>
          <w:szCs w:val="32"/>
          <w:lang w:val="en-US" w:eastAsia="zh-CN"/>
        </w:rPr>
        <w:t>全面贯彻党的二十大和二十届二中、三中全会精神，深入落实习近平总书记对江苏工作重要讲话重要指示精神，聚焦新型工业化“关键任务”，加快跨江融合、向海发展，发展壮大新质生产力，全面建设现代化产业体系，为打造向海图强龙头板块、全面加快新型工业化进程注入强劲动力。</w:t>
      </w:r>
    </w:p>
    <w:p w14:paraId="1B33CD6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二、主要目标</w:t>
      </w:r>
    </w:p>
    <w:p w14:paraId="1E04109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 w:hAnsi="楷体" w:eastAsia="楷体" w:cs="楷体"/>
          <w:color w:val="auto"/>
          <w:sz w:val="32"/>
          <w:szCs w:val="32"/>
          <w:lang w:val="en-US" w:eastAsia="zh-CN"/>
        </w:rPr>
      </w:pPr>
      <w:r>
        <w:rPr>
          <w:rFonts w:hint="eastAsia" w:ascii="Times New Roman" w:hAnsi="Times New Roman" w:eastAsia="方正仿宋_GB2312" w:cs="Times New Roman"/>
          <w:color w:val="auto"/>
          <w:sz w:val="32"/>
          <w:szCs w:val="32"/>
          <w:lang w:val="en-US" w:eastAsia="zh-CN"/>
        </w:rPr>
        <w:t>通过实施启东“新型工业化十大行动”，持续增强海工船舶、高端装备、新能源、新材料、新一代信息技术及半导体、生物医药、电动工具、高端纺织等八大产业发展韧性。</w:t>
      </w:r>
      <w:r>
        <w:rPr>
          <w:rFonts w:hint="default" w:ascii="Times New Roman" w:hAnsi="Times New Roman" w:eastAsia="方正仿宋_GB2312" w:cs="Times New Roman"/>
          <w:color w:val="auto"/>
          <w:sz w:val="32"/>
          <w:szCs w:val="32"/>
          <w:lang w:val="en-US" w:eastAsia="zh-CN"/>
        </w:rPr>
        <w:t>2025</w:t>
      </w:r>
      <w:r>
        <w:rPr>
          <w:rFonts w:hint="eastAsia" w:ascii="Times New Roman" w:hAnsi="Times New Roman" w:eastAsia="方正仿宋_GB2312" w:cs="Times New Roman"/>
          <w:color w:val="auto"/>
          <w:sz w:val="32"/>
          <w:szCs w:val="32"/>
          <w:lang w:val="en-US" w:eastAsia="zh-CN"/>
        </w:rPr>
        <w:t>年，全市规模工业总量和质量实现新提升，产业基础和产业链现代化水平明显提高。</w:t>
      </w:r>
    </w:p>
    <w:p w14:paraId="00091D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2312" w:cs="Times New Roman"/>
          <w:color w:val="auto"/>
          <w:sz w:val="32"/>
          <w:szCs w:val="32"/>
          <w:lang w:val="en-US" w:eastAsia="zh-CN"/>
        </w:rPr>
      </w:pPr>
      <w:r>
        <w:rPr>
          <w:rFonts w:hint="eastAsia" w:ascii="楷体" w:hAnsi="楷体" w:eastAsia="楷体" w:cs="楷体"/>
          <w:color w:val="auto"/>
          <w:sz w:val="32"/>
          <w:szCs w:val="32"/>
          <w:lang w:val="en-US" w:eastAsia="zh-CN"/>
        </w:rPr>
        <w:t>（一）总量规模不断扩大。</w:t>
      </w:r>
      <w:r>
        <w:rPr>
          <w:rFonts w:hint="eastAsia" w:ascii="Times New Roman" w:hAnsi="Times New Roman" w:eastAsia="方正仿宋_GB2312" w:cs="Times New Roman"/>
          <w:color w:val="auto"/>
          <w:sz w:val="32"/>
          <w:szCs w:val="32"/>
          <w:lang w:val="en-US" w:eastAsia="zh-CN"/>
        </w:rPr>
        <w:t>2</w:t>
      </w:r>
      <w:r>
        <w:rPr>
          <w:rFonts w:hint="default" w:ascii="Times New Roman" w:hAnsi="Times New Roman" w:eastAsia="方正仿宋_GB2312" w:cs="Times New Roman"/>
          <w:color w:val="auto"/>
          <w:sz w:val="32"/>
          <w:szCs w:val="32"/>
          <w:lang w:val="en-US" w:eastAsia="zh-CN"/>
        </w:rPr>
        <w:t>025</w:t>
      </w:r>
      <w:r>
        <w:rPr>
          <w:rFonts w:hint="eastAsia" w:ascii="Times New Roman" w:hAnsi="Times New Roman" w:eastAsia="方正仿宋_GB2312" w:cs="Times New Roman"/>
          <w:color w:val="auto"/>
          <w:sz w:val="32"/>
          <w:szCs w:val="32"/>
          <w:lang w:val="en-US" w:eastAsia="zh-CN"/>
        </w:rPr>
        <w:t>年，力争规上工业应税销售突破1500亿元，新增规上工业企业110家；持续提升制造业增加值占地区生产总值比重，全年规模工业增加值增长8.5</w:t>
      </w:r>
      <w:r>
        <w:rPr>
          <w:rFonts w:hint="default" w:ascii="Times New Roman" w:hAnsi="Times New Roman" w:eastAsia="方正仿宋_GB2312" w:cs="Times New Roman"/>
          <w:color w:val="auto"/>
          <w:sz w:val="32"/>
          <w:szCs w:val="32"/>
          <w:lang w:val="en-US" w:eastAsia="zh-CN"/>
        </w:rPr>
        <w:t>%</w:t>
      </w:r>
      <w:r>
        <w:rPr>
          <w:rFonts w:hint="eastAsia" w:ascii="Times New Roman" w:hAnsi="Times New Roman" w:eastAsia="方正仿宋_GB2312" w:cs="Times New Roman"/>
          <w:color w:val="auto"/>
          <w:sz w:val="32"/>
          <w:szCs w:val="32"/>
          <w:lang w:val="en-US" w:eastAsia="zh-CN"/>
        </w:rPr>
        <w:t>以上。</w:t>
      </w:r>
    </w:p>
    <w:p w14:paraId="38898E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2312" w:cs="Times New Roman"/>
          <w:color w:val="auto"/>
          <w:sz w:val="32"/>
          <w:szCs w:val="32"/>
          <w:lang w:val="en-US" w:eastAsia="zh-CN"/>
        </w:rPr>
      </w:pPr>
      <w:r>
        <w:rPr>
          <w:rFonts w:hint="eastAsia" w:ascii="楷体" w:hAnsi="楷体" w:eastAsia="楷体" w:cs="楷体"/>
          <w:color w:val="auto"/>
          <w:sz w:val="32"/>
          <w:szCs w:val="32"/>
          <w:lang w:val="en-US" w:eastAsia="zh-CN"/>
        </w:rPr>
        <w:t>（二）项目建设明显突破。</w:t>
      </w:r>
      <w:r>
        <w:rPr>
          <w:rFonts w:hint="eastAsia" w:ascii="Times New Roman" w:hAnsi="Times New Roman" w:eastAsia="方正仿宋_GB2312" w:cs="Times New Roman"/>
          <w:color w:val="auto"/>
          <w:sz w:val="32"/>
          <w:szCs w:val="32"/>
          <w:lang w:val="en-US" w:eastAsia="zh-CN"/>
        </w:rPr>
        <w:t>2025年，力争新开工设备投资超2000万元制造业项目100个、总投资5亿元以上产业项目不少于30个，新竣工5亿元以上产业项目不少于20个；全年固定资产投资增长3.5%。</w:t>
      </w:r>
    </w:p>
    <w:p w14:paraId="2F2F82E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（三）产业结构日趋优化。</w:t>
      </w:r>
      <w:r>
        <w:rPr>
          <w:rFonts w:hint="default" w:ascii="Times New Roman" w:hAnsi="Times New Roman" w:eastAsia="方正仿宋_GB2312" w:cs="Times New Roman"/>
          <w:color w:val="auto"/>
          <w:sz w:val="32"/>
          <w:szCs w:val="32"/>
          <w:lang w:val="en-US" w:eastAsia="zh-CN"/>
        </w:rPr>
        <w:t>2025</w:t>
      </w:r>
      <w:r>
        <w:rPr>
          <w:rFonts w:hint="eastAsia" w:ascii="Times New Roman" w:hAnsi="Times New Roman" w:eastAsia="方正仿宋_GB2312" w:cs="Times New Roman"/>
          <w:color w:val="auto"/>
          <w:sz w:val="32"/>
          <w:szCs w:val="32"/>
          <w:lang w:val="en-US" w:eastAsia="zh-CN"/>
        </w:rPr>
        <w:t>年，力争临港产业、特色产业规上应税销售分别突破600亿元、180亿元，战新产业占三大产业比重超50%；高新技术产业产值占规模以上工业产值比重超60</w:t>
      </w:r>
      <w:r>
        <w:rPr>
          <w:rFonts w:hint="default" w:ascii="Times New Roman" w:hAnsi="Times New Roman" w:eastAsia="方正仿宋_GB2312" w:cs="Times New Roman"/>
          <w:color w:val="auto"/>
          <w:sz w:val="32"/>
          <w:szCs w:val="32"/>
          <w:lang w:val="en-US" w:eastAsia="zh-CN"/>
        </w:rPr>
        <w:t>%</w:t>
      </w:r>
      <w:r>
        <w:rPr>
          <w:rFonts w:hint="eastAsia" w:ascii="Times New Roman" w:hAnsi="Times New Roman" w:eastAsia="方正仿宋_GB2312" w:cs="Times New Roman"/>
          <w:color w:val="auto"/>
          <w:sz w:val="32"/>
          <w:szCs w:val="32"/>
          <w:lang w:val="en-US" w:eastAsia="zh-CN"/>
        </w:rPr>
        <w:t>；涉海规上工业产值达880亿元。</w:t>
      </w:r>
    </w:p>
    <w:p w14:paraId="4892C83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2312" w:cs="Times New Roman"/>
          <w:color w:val="auto"/>
          <w:sz w:val="32"/>
          <w:szCs w:val="32"/>
          <w:highlight w:val="cyan"/>
          <w:lang w:val="en-US" w:eastAsia="zh-CN"/>
        </w:rPr>
      </w:pPr>
      <w:r>
        <w:rPr>
          <w:rFonts w:hint="eastAsia" w:ascii="楷体" w:hAnsi="楷体" w:eastAsia="楷体" w:cs="楷体"/>
          <w:color w:val="auto"/>
          <w:sz w:val="32"/>
          <w:szCs w:val="32"/>
          <w:lang w:val="en-US" w:eastAsia="zh-CN"/>
        </w:rPr>
        <w:t>（四）科创能力持续增强。</w:t>
      </w:r>
      <w:r>
        <w:rPr>
          <w:rFonts w:hint="eastAsia" w:ascii="Times New Roman" w:hAnsi="Times New Roman" w:eastAsia="方正仿宋_GB2312" w:cs="Times New Roman"/>
          <w:color w:val="auto"/>
          <w:sz w:val="32"/>
          <w:szCs w:val="32"/>
          <w:lang w:val="en-US" w:eastAsia="zh-CN"/>
        </w:rPr>
        <w:t>全年培育智能工厂、5G工厂等标杆示范企业15家以上，新增国家两化融合体系贯标体系企业5家以上；建成科创载体不少于15万平方米，新入驻孵化项目30个；力争新增省级技术中心1家；规上高企研发机构覆盖率达90%。</w:t>
      </w:r>
    </w:p>
    <w:p w14:paraId="5C90235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三、全面推进“新型工业化十大行动”</w:t>
      </w:r>
    </w:p>
    <w:p w14:paraId="294AE57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（一）实施规模总量能级提升行动</w:t>
      </w:r>
    </w:p>
    <w:p w14:paraId="78C21AC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方正仿宋_GB2312" w:cs="Times New Roman"/>
          <w:b/>
          <w:bCs/>
          <w:color w:val="auto"/>
          <w:sz w:val="32"/>
          <w:szCs w:val="32"/>
          <w:lang w:val="en-US" w:eastAsia="zh-CN"/>
        </w:rPr>
        <w:t>1．扩大规模工业总量。</w:t>
      </w:r>
      <w:bookmarkStart w:id="0" w:name="OLE_LINK3"/>
      <w:bookmarkStart w:id="1" w:name="OLE_LINK6"/>
      <w:r>
        <w:rPr>
          <w:rFonts w:hint="eastAsia" w:ascii="Times New Roman" w:hAnsi="Times New Roman" w:eastAsia="方正仿宋_GB2312" w:cs="Times New Roman"/>
          <w:color w:val="auto"/>
          <w:sz w:val="32"/>
          <w:szCs w:val="32"/>
          <w:lang w:val="en-US" w:eastAsia="zh-CN"/>
        </w:rPr>
        <w:t>坚持引增量育存量并重，指导中远、中集等预计新增应税销售超10亿元以上企业实现存量扩增，引导卫华、海力等重大新竣工投产企业尽快实现总量跃升，全年实现规上工业产值总量增幅5%以上。大力推进新型工业化建设，加快形成龙头企业引领、规上企业支撑、小微企业提升的总体布局，加力加劲把规模工业总量做大做优，全力提升规模工业总量在南通占比，在“七虎竞南通”发展格局中实现攀高争先。</w:t>
      </w:r>
      <w:bookmarkEnd w:id="0"/>
      <w:bookmarkEnd w:id="1"/>
      <w:r>
        <w:rPr>
          <w:rFonts w:hint="eastAsia" w:ascii="Times New Roman" w:hAnsi="Times New Roman" w:eastAsia="方正仿宋_GB2312" w:cs="Times New Roman"/>
          <w:color w:val="auto"/>
          <w:kern w:val="2"/>
          <w:sz w:val="32"/>
          <w:szCs w:val="32"/>
          <w:lang w:val="en-US" w:eastAsia="zh-CN" w:bidi="ar-SA"/>
        </w:rPr>
        <w:t xml:space="preserve">（牵头部门：市发改委，责任部门：各区镇） </w:t>
      </w:r>
    </w:p>
    <w:p w14:paraId="2C02EB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b/>
          <w:bCs/>
          <w:color w:val="auto"/>
          <w:sz w:val="32"/>
          <w:szCs w:val="32"/>
          <w:lang w:val="en-US" w:eastAsia="zh-CN"/>
        </w:rPr>
        <w:t>2．</w:t>
      </w:r>
      <w:r>
        <w:rPr>
          <w:rFonts w:hint="eastAsia" w:ascii="Times New Roman" w:hAnsi="Times New Roman" w:eastAsia="方正仿宋_GB2312" w:cs="Times New Roman"/>
          <w:b/>
          <w:bCs/>
          <w:color w:val="auto"/>
          <w:sz w:val="32"/>
          <w:szCs w:val="32"/>
          <w:lang w:val="en-US" w:eastAsia="zh-CN"/>
        </w:rPr>
        <w:t>增强龙头企业实力。</w:t>
      </w:r>
      <w:r>
        <w:rPr>
          <w:rFonts w:hint="eastAsia" w:ascii="Times New Roman" w:hAnsi="Times New Roman" w:eastAsia="方正仿宋_GB2312" w:cs="Times New Roman"/>
          <w:color w:val="auto"/>
          <w:kern w:val="2"/>
          <w:sz w:val="32"/>
          <w:szCs w:val="32"/>
          <w:lang w:val="en-US" w:eastAsia="zh-CN" w:bidi="ar-SA"/>
        </w:rPr>
        <w:t>持续深化“1521”工业大企业培育，通过</w:t>
      </w:r>
      <w:r>
        <w:rPr>
          <w:rFonts w:hint="default" w:ascii="Times New Roman" w:hAnsi="Times New Roman" w:eastAsia="方正仿宋_GB2312" w:cs="Times New Roman"/>
          <w:color w:val="auto"/>
          <w:kern w:val="2"/>
          <w:sz w:val="32"/>
          <w:szCs w:val="32"/>
          <w:lang w:val="en-US" w:eastAsia="zh-CN" w:bidi="ar-SA"/>
        </w:rPr>
        <w:t>支持龙头企业开展技术攻关、兼并重组、产业链整合、商业模式创新等</w:t>
      </w:r>
      <w:r>
        <w:rPr>
          <w:rFonts w:hint="eastAsia" w:ascii="Times New Roman" w:hAnsi="Times New Roman" w:eastAsia="方正仿宋_GB2312" w:cs="Times New Roman"/>
          <w:color w:val="auto"/>
          <w:kern w:val="2"/>
          <w:sz w:val="32"/>
          <w:szCs w:val="32"/>
          <w:lang w:val="en-US" w:eastAsia="zh-CN" w:bidi="ar-SA"/>
        </w:rPr>
        <w:t>，加快形成以百亿级企业为引领、50亿级企业为骨干、10亿级企业为支撑、亿元级企业为主体的梯度发展新格局。引导龙头企业利用强大的资源配置能力，整合技术、资金、人才等各类要素资源，建立产业链分工合作、利益共享的一体化组织新模式。围绕龙头企业引培一批上下游企业，推行“龙头企业开单、政企联动招商”模式，实施一企一策、靶向发力、精准招商，引进一批产业链填平补齐的大项目、好项目。（牵头部门：市发改委，责任部门：市商务局、市科技局、市财政局、市人社局，各区镇）</w:t>
      </w:r>
    </w:p>
    <w:p w14:paraId="1287AA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b/>
          <w:bCs/>
          <w:color w:val="auto"/>
          <w:sz w:val="32"/>
          <w:szCs w:val="32"/>
          <w:lang w:val="en-US" w:eastAsia="zh-CN"/>
        </w:rPr>
        <w:t>3．提升规模企业数量。</w:t>
      </w:r>
      <w:r>
        <w:rPr>
          <w:rFonts w:hint="eastAsia" w:ascii="Times New Roman" w:hAnsi="Times New Roman" w:eastAsia="方正仿宋_GB2312" w:cs="Times New Roman"/>
          <w:color w:val="auto"/>
          <w:kern w:val="2"/>
          <w:sz w:val="32"/>
          <w:szCs w:val="32"/>
          <w:lang w:val="en-US" w:eastAsia="zh-CN" w:bidi="ar-SA"/>
        </w:rPr>
        <w:t>建立年度规模工业企业培育库，对在库企业实行“一月一统计，一月一分析，一月一调度”。支持小微企业通过技术创新、企业融资、开拓市场等方式提升市场竞争力，确保在库企业及早入规。对入规风险较大的企业实施动态管理、重点监测、精准服务，确保企业成功入规。对存在退规风险的企业主动靠前服务，组织精准</w:t>
      </w:r>
      <w:r>
        <w:rPr>
          <w:rFonts w:hint="eastAsia" w:ascii="Times New Roman" w:hAnsi="Times New Roman" w:eastAsia="方正仿宋_GB2312" w:cs="Times New Roman"/>
          <w:color w:val="auto"/>
          <w:sz w:val="32"/>
          <w:szCs w:val="32"/>
          <w:highlight w:val="none"/>
          <w:lang w:val="en-US" w:eastAsia="zh-CN"/>
        </w:rPr>
        <w:t>指导，助推企业扩产能、提效益</w:t>
      </w:r>
      <w:r>
        <w:rPr>
          <w:rFonts w:hint="eastAsia" w:ascii="Times New Roman" w:hAnsi="Times New Roman" w:eastAsia="方正仿宋_GB2312" w:cs="Times New Roman"/>
          <w:color w:val="auto"/>
          <w:kern w:val="2"/>
          <w:sz w:val="32"/>
          <w:szCs w:val="32"/>
          <w:lang w:val="en-US" w:eastAsia="zh-CN" w:bidi="ar-SA"/>
        </w:rPr>
        <w:t>，确保稳规少退。通过两年“保苗稳规”行动，规模工业企业力争突破1000家。（牵头单位：市发改委，责任单位：市科技局、市自然资源和规划局、市数据局、市供电公司、启东金融监管支局，各区镇）</w:t>
      </w:r>
    </w:p>
    <w:p w14:paraId="463875D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（二）实施重大项目夯基强底行动</w:t>
      </w:r>
    </w:p>
    <w:p w14:paraId="4F3A882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2312" w:cs="Times New Roman"/>
          <w:b/>
          <w:bCs/>
          <w:color w:val="auto"/>
          <w:sz w:val="32"/>
          <w:szCs w:val="32"/>
          <w:lang w:val="en-US" w:eastAsia="zh-CN"/>
        </w:rPr>
      </w:pPr>
      <w:r>
        <w:rPr>
          <w:rFonts w:hint="eastAsia" w:ascii="Times New Roman" w:hAnsi="Times New Roman" w:eastAsia="方正仿宋_GB2312" w:cs="Times New Roman"/>
          <w:b/>
          <w:bCs/>
          <w:color w:val="auto"/>
          <w:sz w:val="32"/>
          <w:szCs w:val="32"/>
          <w:lang w:val="en-US" w:eastAsia="zh-CN"/>
        </w:rPr>
        <w:t>4．持续强化项目招引。</w:t>
      </w:r>
      <w:r>
        <w:rPr>
          <w:rFonts w:hint="eastAsia" w:ascii="Times New Roman" w:hAnsi="Times New Roman" w:eastAsia="方正仿宋_GB2312" w:cs="Times New Roman"/>
          <w:color w:val="auto"/>
          <w:sz w:val="32"/>
          <w:szCs w:val="32"/>
          <w:lang w:val="en-US" w:eastAsia="zh-CN"/>
        </w:rPr>
        <w:t>坚持选外资、招央国企、引民企“三管齐下”，产业链招商、科技招商、资本招商、应用场景招商、服务业招商等多措并举，敲门招商、小分队招商、活动招商、机构招商等多策并用，在引进大项目、好项目上取得突破。确保新签约并注册总投资超</w:t>
      </w:r>
      <w:r>
        <w:rPr>
          <w:rFonts w:hint="default" w:ascii="Times New Roman" w:hAnsi="Times New Roman" w:eastAsia="方正仿宋_GB2312" w:cs="Times New Roman"/>
          <w:color w:val="auto"/>
          <w:sz w:val="32"/>
          <w:szCs w:val="32"/>
          <w:lang w:val="en-US" w:eastAsia="zh-CN"/>
        </w:rPr>
        <w:t>5</w:t>
      </w:r>
      <w:r>
        <w:rPr>
          <w:rFonts w:hint="eastAsia" w:ascii="Times New Roman" w:hAnsi="Times New Roman" w:eastAsia="方正仿宋_GB2312" w:cs="Times New Roman"/>
          <w:color w:val="auto"/>
          <w:sz w:val="32"/>
          <w:szCs w:val="32"/>
          <w:lang w:val="en-US" w:eastAsia="zh-CN"/>
        </w:rPr>
        <w:t>亿元项目和超</w:t>
      </w:r>
      <w:r>
        <w:rPr>
          <w:rFonts w:hint="default" w:ascii="Times New Roman" w:hAnsi="Times New Roman" w:eastAsia="方正仿宋_GB2312" w:cs="Times New Roman"/>
          <w:color w:val="auto"/>
          <w:sz w:val="32"/>
          <w:szCs w:val="32"/>
          <w:lang w:val="en-US" w:eastAsia="zh-CN"/>
        </w:rPr>
        <w:t>3000</w:t>
      </w:r>
      <w:r>
        <w:rPr>
          <w:rFonts w:hint="eastAsia" w:ascii="Times New Roman" w:hAnsi="Times New Roman" w:eastAsia="方正仿宋_GB2312" w:cs="Times New Roman"/>
          <w:color w:val="auto"/>
          <w:sz w:val="32"/>
          <w:szCs w:val="32"/>
          <w:lang w:val="en-US" w:eastAsia="zh-CN"/>
        </w:rPr>
        <w:t>万美元项目62个以上。（牵头部门：市商务局，责任部门：市发改委、市科技局、各区镇）</w:t>
      </w:r>
    </w:p>
    <w:p w14:paraId="5C9B85A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2312" w:cs="Times New Roman"/>
          <w:color w:val="auto"/>
          <w:sz w:val="32"/>
          <w:szCs w:val="32"/>
          <w:highlight w:val="none"/>
          <w:lang w:val="en-US" w:eastAsia="zh-CN"/>
        </w:rPr>
      </w:pPr>
      <w:r>
        <w:rPr>
          <w:rFonts w:hint="eastAsia" w:ascii="Times New Roman" w:hAnsi="Times New Roman" w:eastAsia="方正仿宋_GB2312" w:cs="Times New Roman"/>
          <w:b/>
          <w:bCs/>
          <w:color w:val="auto"/>
          <w:sz w:val="32"/>
          <w:szCs w:val="32"/>
          <w:lang w:val="en-US" w:eastAsia="zh-CN"/>
        </w:rPr>
        <w:t>5．统筹驱动项目落地。</w:t>
      </w:r>
      <w:r>
        <w:rPr>
          <w:rFonts w:hint="eastAsia" w:ascii="Times New Roman" w:hAnsi="Times New Roman" w:eastAsia="方正仿宋_GB2312" w:cs="Times New Roman"/>
          <w:color w:val="auto"/>
          <w:sz w:val="32"/>
          <w:szCs w:val="32"/>
          <w:highlight w:val="none"/>
          <w:lang w:val="en-US" w:eastAsia="zh-CN"/>
        </w:rPr>
        <w:t>持续深化“重大项目攻坚突破年”活动，按照“六个一”工作机制，加快推进重特大产业项目，推动惠生海工装备等项目早开工、华峰瑞讯新材料等项目快建设。推行重大项目“穿透式”调度，按月对省、市重大项目形象进度、完成投资等情况监测，确保计划新开工省重大项目上半年开工率达</w:t>
      </w:r>
      <w:r>
        <w:rPr>
          <w:rFonts w:hint="default" w:ascii="Times New Roman" w:hAnsi="Times New Roman" w:eastAsia="方正仿宋_GB2312" w:cs="Times New Roman"/>
          <w:color w:val="auto"/>
          <w:sz w:val="32"/>
          <w:szCs w:val="32"/>
          <w:highlight w:val="none"/>
          <w:lang w:val="en-US" w:eastAsia="zh-CN"/>
        </w:rPr>
        <w:t>75%</w:t>
      </w:r>
      <w:r>
        <w:rPr>
          <w:rFonts w:hint="eastAsia" w:ascii="Times New Roman" w:hAnsi="Times New Roman" w:eastAsia="方正仿宋_GB2312" w:cs="Times New Roman"/>
          <w:color w:val="auto"/>
          <w:sz w:val="32"/>
          <w:szCs w:val="32"/>
          <w:highlight w:val="none"/>
          <w:lang w:val="en-US" w:eastAsia="zh-CN"/>
        </w:rPr>
        <w:t>、</w:t>
      </w:r>
      <w:r>
        <w:rPr>
          <w:rFonts w:hint="default" w:ascii="Times New Roman" w:hAnsi="Times New Roman" w:eastAsia="方正仿宋_GB2312" w:cs="Times New Roman"/>
          <w:color w:val="auto"/>
          <w:sz w:val="32"/>
          <w:szCs w:val="32"/>
          <w:highlight w:val="none"/>
          <w:lang w:val="en-US" w:eastAsia="zh-CN"/>
        </w:rPr>
        <w:t>9</w:t>
      </w:r>
      <w:r>
        <w:rPr>
          <w:rFonts w:hint="eastAsia" w:ascii="Times New Roman" w:hAnsi="Times New Roman" w:eastAsia="方正仿宋_GB2312" w:cs="Times New Roman"/>
          <w:color w:val="auto"/>
          <w:sz w:val="32"/>
          <w:szCs w:val="32"/>
          <w:highlight w:val="none"/>
          <w:lang w:val="en-US" w:eastAsia="zh-CN"/>
        </w:rPr>
        <w:t>月底前全部开工建设，省、市重大项目全年完成投资超100亿元。（牵头部门：市发改委、市大项目办，责任部门：市科技局、市自然资源和规划局、市生态环境局、市交通运输局、市农业农村局、市商务局、市应急管理局、市数据局、市市场监管局，各区镇）</w:t>
      </w:r>
    </w:p>
    <w:p w14:paraId="63A0F7D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（三）实施海洋经济向海图强行动</w:t>
      </w:r>
    </w:p>
    <w:p w14:paraId="31F36E1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2312" w:cs="Times New Roman"/>
          <w:b/>
          <w:bCs/>
          <w:color w:val="auto"/>
          <w:sz w:val="32"/>
          <w:szCs w:val="32"/>
          <w:highlight w:val="green"/>
          <w:lang w:val="en-US" w:eastAsia="zh-CN"/>
        </w:rPr>
      </w:pPr>
      <w:r>
        <w:rPr>
          <w:rFonts w:hint="eastAsia" w:ascii="Times New Roman" w:hAnsi="Times New Roman" w:eastAsia="方正仿宋_GB2312" w:cs="Times New Roman"/>
          <w:b/>
          <w:bCs/>
          <w:color w:val="auto"/>
          <w:sz w:val="32"/>
          <w:szCs w:val="32"/>
          <w:highlight w:val="none"/>
          <w:lang w:val="en-US" w:eastAsia="zh-CN"/>
        </w:rPr>
        <w:t>6．优化延伸涉海产业体系。</w:t>
      </w:r>
      <w:r>
        <w:rPr>
          <w:rFonts w:hint="eastAsia" w:ascii="Times New Roman" w:hAnsi="Times New Roman" w:eastAsia="方正仿宋_GB2312" w:cs="Times New Roman"/>
          <w:b w:val="0"/>
          <w:bCs w:val="0"/>
          <w:color w:val="auto"/>
          <w:sz w:val="32"/>
          <w:szCs w:val="32"/>
          <w:highlight w:val="none"/>
          <w:lang w:val="en-US" w:eastAsia="zh-CN"/>
        </w:rPr>
        <w:t>围绕我市现代海洋产业体系，重点推进海工船舶、新材料、海洋新能源等产业发展。统筹港口岸线、海域滩涂、风光潮能等沿海战略资源，强化对重大产业项目的支撑和保障。深入实施临海地区空间和产业规划，促进沿海与沿江、沿海与内陆、沿海港区之间深度协调联动发展。依托省级以上开发园区和区中园、园中园，建设一批海洋特色园区。2025年，涉海规上工业企业超120家。</w:t>
      </w:r>
      <w:r>
        <w:rPr>
          <w:rFonts w:hint="eastAsia" w:ascii="Times New Roman" w:hAnsi="Times New Roman" w:eastAsia="方正仿宋_GB2312" w:cs="Times New Roman"/>
          <w:color w:val="auto"/>
          <w:sz w:val="32"/>
          <w:szCs w:val="32"/>
          <w:lang w:val="en-US" w:eastAsia="zh-CN"/>
        </w:rPr>
        <w:t>（牵头部门：市发改委，责任部门：市自然资源和规划局、市交通局、吕四港经济开发区、启东经济开发区、高新技术开发区、海工船舶工业园）</w:t>
      </w:r>
    </w:p>
    <w:p w14:paraId="0D88CED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2312" w:cs="Times New Roman"/>
          <w:b/>
          <w:bCs/>
          <w:color w:val="auto"/>
          <w:sz w:val="32"/>
          <w:szCs w:val="32"/>
          <w:lang w:val="en-US" w:eastAsia="zh-CN"/>
        </w:rPr>
      </w:pPr>
      <w:r>
        <w:rPr>
          <w:rFonts w:hint="eastAsia" w:ascii="Times New Roman" w:hAnsi="Times New Roman" w:eastAsia="方正仿宋_GB2312" w:cs="Times New Roman"/>
          <w:b/>
          <w:bCs/>
          <w:color w:val="auto"/>
          <w:sz w:val="32"/>
          <w:szCs w:val="32"/>
          <w:lang w:val="en-US" w:eastAsia="zh-CN"/>
        </w:rPr>
        <w:t>7．</w:t>
      </w:r>
      <w:r>
        <w:rPr>
          <w:rFonts w:hint="eastAsia" w:ascii="Times New Roman" w:hAnsi="Times New Roman" w:eastAsia="方正仿宋_GB2312" w:cs="Times New Roman"/>
          <w:b/>
          <w:bCs/>
          <w:color w:val="auto"/>
          <w:kern w:val="2"/>
          <w:sz w:val="32"/>
          <w:szCs w:val="32"/>
          <w:lang w:val="en-US" w:eastAsia="zh-CN" w:bidi="ar-SA"/>
        </w:rPr>
        <w:t>做优做强海工船舶产业。</w:t>
      </w:r>
      <w:r>
        <w:rPr>
          <w:rFonts w:hint="eastAsia" w:ascii="Times New Roman" w:hAnsi="Times New Roman" w:eastAsia="方正仿宋_GB2312" w:cs="Times New Roman"/>
          <w:color w:val="auto"/>
          <w:kern w:val="2"/>
          <w:sz w:val="32"/>
          <w:szCs w:val="32"/>
          <w:lang w:val="en-US" w:eastAsia="zh-CN" w:bidi="ar-SA"/>
        </w:rPr>
        <w:t>围绕南通建设海洋装备之都行动方案，推进中远、中集、振华、惠生等行业领军企业提升总装能力，</w:t>
      </w:r>
      <w:r>
        <w:rPr>
          <w:rFonts w:hint="eastAsia" w:ascii="Times New Roman" w:hAnsi="Times New Roman" w:eastAsia="方正仿宋_GB2312" w:cs="Times New Roman"/>
          <w:color w:val="auto"/>
          <w:kern w:val="2"/>
          <w:sz w:val="32"/>
          <w:szCs w:val="32"/>
          <w:highlight w:val="none"/>
          <w:lang w:val="en-US" w:eastAsia="zh-CN" w:bidi="ar-SA"/>
        </w:rPr>
        <w:t>向总包企业提升</w:t>
      </w:r>
      <w:r>
        <w:rPr>
          <w:rFonts w:hint="eastAsia" w:ascii="Times New Roman" w:hAnsi="Times New Roman" w:eastAsia="方正仿宋_GB2312" w:cs="Times New Roman"/>
          <w:color w:val="auto"/>
          <w:kern w:val="2"/>
          <w:sz w:val="32"/>
          <w:szCs w:val="32"/>
          <w:lang w:val="en-US" w:eastAsia="zh-CN" w:bidi="ar-SA"/>
        </w:rPr>
        <w:t>；深化区域协作与国际产业联动，以总装制造为基石，实现产业链条的强补延，促进高端配套产业的规模化发展；不断提升大型LNG运输船、FPSO平台等高附加值产品的设计制造能力和市场份额；增强远海风电设备的运维安装效能，引领海上风电领域向更大规模、更深海域、更高智能化水平迈进；全力配合南通高质量筹办2025年南通船舶与海洋工程产业博览会，提升我市船舶产业在全球范围内的品牌影响力。2025年，海工船舶产业规上应税销售突破300亿元。</w:t>
      </w:r>
      <w:r>
        <w:rPr>
          <w:rFonts w:hint="eastAsia" w:ascii="Times New Roman" w:hAnsi="Times New Roman" w:eastAsia="方正仿宋_GB2312" w:cs="Times New Roman"/>
          <w:color w:val="auto"/>
          <w:sz w:val="32"/>
          <w:szCs w:val="32"/>
          <w:lang w:val="en-US" w:eastAsia="zh-CN"/>
        </w:rPr>
        <w:t>（牵头部门：市发改委，责任部门：海工船舶工业园、吕四港经济开发区、高新技术开发区）</w:t>
      </w:r>
    </w:p>
    <w:p w14:paraId="05C78FC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b/>
          <w:bCs/>
          <w:color w:val="auto"/>
          <w:sz w:val="32"/>
          <w:szCs w:val="32"/>
          <w:lang w:val="en-US" w:eastAsia="zh-CN"/>
        </w:rPr>
        <w:t>8．涵养深耕先进材料产业。</w:t>
      </w:r>
      <w:r>
        <w:rPr>
          <w:rFonts w:hint="eastAsia" w:ascii="Times New Roman" w:hAnsi="Times New Roman" w:eastAsia="方正仿宋_GB2312" w:cs="Times New Roman"/>
          <w:color w:val="auto"/>
          <w:kern w:val="2"/>
          <w:sz w:val="32"/>
          <w:szCs w:val="32"/>
          <w:lang w:val="en-US" w:eastAsia="zh-CN" w:bidi="ar-SA"/>
        </w:rPr>
        <w:t>聚力打造生命健康产业园、华峰新材料产业园两大板块，高起点建设通州湾绿色化工拓展区（吕四港）。以华峰超纤等一批百亿级项目为牵引，聚焦新材料细分领域，发挥企业原料多元化、产品高端化、技术前沿化的突出优势，加快本地产业链供应链配套，不断拓展生物基和电子新材料等行业延链补链。重点发展废旧新能源汽车动力电池回收体系建立和资源利用开发，建立电池拆解、稀贵元素再生利用到硫酸钴、硫酸镍、碳酸锂、硫酸锰、三元锂电池正极前驱体等锂电池材料制造的完整产业链；全力开发纯绿色水性聚氨酯超纤复合材料、生物基材料，可回收差异化尼龙材料等系列产品，打造可降解新材料产业链。2025年，新材料产业规上应税销售突破230亿元。（牵头部门：市发改委，责任部门：吕四港经济开发区、生命健康产业园）</w:t>
      </w:r>
    </w:p>
    <w:p w14:paraId="15E61C7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color w:val="auto"/>
          <w:lang w:val="en-US" w:eastAsia="zh-CN"/>
        </w:rPr>
      </w:pPr>
      <w:r>
        <w:rPr>
          <w:rFonts w:hint="eastAsia" w:ascii="Times New Roman" w:hAnsi="Times New Roman" w:eastAsia="方正仿宋_GB2312" w:cs="Times New Roman"/>
          <w:b/>
          <w:bCs/>
          <w:color w:val="auto"/>
          <w:kern w:val="2"/>
          <w:sz w:val="32"/>
          <w:szCs w:val="32"/>
          <w:lang w:val="en-US" w:eastAsia="zh-CN" w:bidi="ar-SA"/>
        </w:rPr>
        <w:t>9．全面推进新型能源产业。</w:t>
      </w:r>
      <w:r>
        <w:rPr>
          <w:rFonts w:hint="eastAsia" w:ascii="Times New Roman" w:hAnsi="Times New Roman" w:eastAsia="方正仿宋_GB2312" w:cs="Times New Roman"/>
          <w:color w:val="auto"/>
          <w:kern w:val="2"/>
          <w:sz w:val="32"/>
          <w:szCs w:val="32"/>
          <w:lang w:val="en-US" w:eastAsia="zh-CN" w:bidi="ar-SA"/>
        </w:rPr>
        <w:t>开展（近）零碳试点建设，推进园区低碳发展，支持吕四港经济开发区申报国家碳达峰试点园区。进一步提高绿色能源供给能力，40万千瓦海上光伏完成并网投运，开工建设2个集中式光伏电站，开展海上风电项目建设前期工作。加快新型储能项目建设，投运10万千瓦储能电站。2025年，新能源产业规上应税销售突破280亿元。（牵头部门：市发改委，责任部门：吕四港经济开发区、高新技术开发区，吕四港集团、市供电公司）</w:t>
      </w:r>
      <w:bookmarkStart w:id="5" w:name="_GoBack"/>
      <w:bookmarkEnd w:id="5"/>
    </w:p>
    <w:p w14:paraId="660F109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（四）实施重点产业提质增效行动</w:t>
      </w:r>
    </w:p>
    <w:p w14:paraId="5D63365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b/>
          <w:bCs/>
          <w:color w:val="auto"/>
          <w:sz w:val="32"/>
          <w:szCs w:val="32"/>
          <w:lang w:val="en-US" w:eastAsia="zh-CN"/>
        </w:rPr>
        <w:t>10．焕新升级传统产业。</w:t>
      </w:r>
      <w:r>
        <w:rPr>
          <w:rFonts w:hint="eastAsia" w:ascii="Times New Roman" w:hAnsi="Times New Roman" w:eastAsia="方正仿宋_GB2312" w:cs="Times New Roman"/>
          <w:color w:val="auto"/>
          <w:sz w:val="32"/>
          <w:szCs w:val="32"/>
          <w:lang w:val="en-US" w:eastAsia="zh-CN"/>
        </w:rPr>
        <w:t>出台传统产业转型焕新行动方案，加快“淘汰落后、设备更新、绿色转型、融合创新、数智赋能、布局优化”，推动全市落后生产工艺装备基本出清。</w:t>
      </w:r>
      <w:r>
        <w:rPr>
          <w:rFonts w:hint="eastAsia" w:ascii="Times New Roman" w:hAnsi="Times New Roman" w:eastAsia="方正仿宋_GB2312" w:cs="Times New Roman"/>
          <w:b w:val="0"/>
          <w:bCs w:val="0"/>
          <w:color w:val="auto"/>
          <w:kern w:val="2"/>
          <w:sz w:val="32"/>
          <w:szCs w:val="32"/>
          <w:lang w:val="en-US" w:eastAsia="zh-CN" w:bidi="ar-SA"/>
        </w:rPr>
        <w:t>秉持</w:t>
      </w:r>
      <w:r>
        <w:rPr>
          <w:rFonts w:hint="eastAsia" w:ascii="Times New Roman" w:hAnsi="Times New Roman" w:eastAsia="方正仿宋_GB2312" w:cs="Times New Roman"/>
          <w:color w:val="auto"/>
          <w:kern w:val="2"/>
          <w:sz w:val="32"/>
          <w:szCs w:val="32"/>
          <w:lang w:val="en-US" w:eastAsia="zh-CN" w:bidi="ar-SA"/>
        </w:rPr>
        <w:t>“以总装带动配套发展，以配套强化总装实力”的原则，着力提升高附加值产品的设计与制造能力，加大力度提高关键设备与核心零部件的本土化配套水平。充分利用计量、标准化、认证认可、检验检测及知识产权等服务资源，增强产业的核心竞争力。进一步依托东成电动工具、神通阀门、永银化纤等传统龙头企业，构建“龙头领航企业+核心配套企业”的分类培育体系，大力</w:t>
      </w:r>
      <w:r>
        <w:rPr>
          <w:rFonts w:hint="default" w:ascii="Times New Roman" w:hAnsi="Times New Roman" w:eastAsia="方正仿宋_GB2312" w:cs="Times New Roman"/>
          <w:color w:val="auto"/>
          <w:kern w:val="2"/>
          <w:sz w:val="32"/>
          <w:szCs w:val="32"/>
          <w:lang w:val="en-US" w:eastAsia="zh-CN" w:bidi="ar-SA"/>
        </w:rPr>
        <w:t>培育产业链上的“隐形冠军”和“专精特新”企业，</w:t>
      </w:r>
      <w:r>
        <w:rPr>
          <w:rFonts w:hint="eastAsia" w:ascii="Times New Roman" w:hAnsi="Times New Roman" w:eastAsia="方正仿宋_GB2312" w:cs="Times New Roman"/>
          <w:color w:val="auto"/>
          <w:kern w:val="2"/>
          <w:sz w:val="32"/>
          <w:szCs w:val="32"/>
          <w:lang w:val="en-US" w:eastAsia="zh-CN" w:bidi="ar-SA"/>
        </w:rPr>
        <w:t>进一步推动电动工具、高端装备和高端纺织等传统产业向价值链高端攀升。2025年，电动工具、高端装备、高端纺织等传统行业集群规上应税销售总量突破450亿元。</w:t>
      </w:r>
      <w:r>
        <w:rPr>
          <w:rFonts w:hint="eastAsia" w:ascii="Times New Roman" w:hAnsi="Times New Roman" w:eastAsia="方正仿宋_GB2312" w:cs="Times New Roman"/>
          <w:color w:val="auto"/>
          <w:sz w:val="32"/>
          <w:szCs w:val="32"/>
          <w:lang w:val="en-US" w:eastAsia="zh-CN"/>
        </w:rPr>
        <w:t>（牵头部门：市发改委，责任部门：市科技局、市市场监管局，各区镇）</w:t>
      </w:r>
    </w:p>
    <w:p w14:paraId="467171C7">
      <w:pPr>
        <w:pStyle w:val="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b/>
          <w:bCs/>
          <w:color w:val="auto"/>
          <w:kern w:val="2"/>
          <w:sz w:val="32"/>
          <w:szCs w:val="32"/>
          <w:lang w:val="en-US" w:eastAsia="zh-CN" w:bidi="ar-SA"/>
        </w:rPr>
        <w:t>11．聚链发展新兴产业。</w:t>
      </w:r>
      <w:r>
        <w:rPr>
          <w:rFonts w:hint="eastAsia" w:ascii="Times New Roman" w:hAnsi="Times New Roman" w:eastAsia="方正仿宋_GB2312" w:cs="Times New Roman"/>
          <w:color w:val="auto"/>
          <w:sz w:val="32"/>
          <w:szCs w:val="32"/>
          <w:lang w:val="en-US" w:eastAsia="zh-CN"/>
        </w:rPr>
        <w:t>出台工业领域战新产业壮大实施方案，重点突破新一代信息技术及半导体、生物医药等战新产业若干细分领域，</w:t>
      </w:r>
      <w:r>
        <w:rPr>
          <w:rFonts w:hint="eastAsia" w:ascii="Times New Roman" w:hAnsi="Times New Roman" w:eastAsia="方正仿宋_GB2312" w:cs="Times New Roman"/>
          <w:color w:val="auto"/>
          <w:kern w:val="2"/>
          <w:sz w:val="32"/>
          <w:szCs w:val="32"/>
          <w:lang w:val="en-US" w:eastAsia="zh-CN" w:bidi="ar-SA"/>
        </w:rPr>
        <w:t>充分放大新一代信息技术及半导体、生物医药等产业集聚优势，加大力度突破技术瓶颈，不断向产业链高端跃升，推进</w:t>
      </w:r>
      <w:r>
        <w:rPr>
          <w:rFonts w:hint="default" w:ascii="Times New Roman" w:hAnsi="Times New Roman" w:eastAsia="方正仿宋_GB2312" w:cs="Times New Roman"/>
          <w:color w:val="auto"/>
          <w:kern w:val="2"/>
          <w:sz w:val="32"/>
          <w:szCs w:val="32"/>
          <w:lang w:val="en-US" w:eastAsia="zh-CN" w:bidi="ar-SA"/>
        </w:rPr>
        <w:t>我市</w:t>
      </w:r>
      <w:r>
        <w:rPr>
          <w:rFonts w:hint="eastAsia" w:ascii="Times New Roman" w:hAnsi="Times New Roman" w:eastAsia="方正仿宋_GB2312" w:cs="Times New Roman"/>
          <w:color w:val="auto"/>
          <w:kern w:val="2"/>
          <w:sz w:val="32"/>
          <w:szCs w:val="32"/>
          <w:lang w:val="en-US" w:eastAsia="zh-CN" w:bidi="ar-SA"/>
        </w:rPr>
        <w:t>优势新兴</w:t>
      </w:r>
      <w:r>
        <w:rPr>
          <w:rFonts w:hint="default" w:ascii="Times New Roman" w:hAnsi="Times New Roman" w:eastAsia="方正仿宋_GB2312" w:cs="Times New Roman"/>
          <w:color w:val="auto"/>
          <w:kern w:val="2"/>
          <w:sz w:val="32"/>
          <w:szCs w:val="32"/>
          <w:lang w:val="en-US" w:eastAsia="zh-CN" w:bidi="ar-SA"/>
        </w:rPr>
        <w:t>产业</w:t>
      </w:r>
      <w:r>
        <w:rPr>
          <w:rFonts w:hint="eastAsia" w:ascii="Times New Roman" w:hAnsi="Times New Roman" w:eastAsia="方正仿宋_GB2312" w:cs="Times New Roman"/>
          <w:color w:val="auto"/>
          <w:kern w:val="2"/>
          <w:sz w:val="32"/>
          <w:szCs w:val="32"/>
          <w:lang w:val="en-US" w:eastAsia="zh-CN" w:bidi="ar-SA"/>
        </w:rPr>
        <w:t>集群发展</w:t>
      </w:r>
      <w:r>
        <w:rPr>
          <w:rFonts w:hint="default" w:ascii="Times New Roman" w:hAnsi="Times New Roman" w:eastAsia="方正仿宋_GB2312" w:cs="Times New Roman"/>
          <w:color w:val="auto"/>
          <w:kern w:val="2"/>
          <w:sz w:val="32"/>
          <w:szCs w:val="32"/>
          <w:lang w:val="en-US" w:eastAsia="zh-CN" w:bidi="ar-SA"/>
        </w:rPr>
        <w:t>，全市战略性新兴产业产值增长速度超过规模以上工业总产值增速</w:t>
      </w:r>
      <w:r>
        <w:rPr>
          <w:rFonts w:hint="eastAsia" w:ascii="Times New Roman" w:hAnsi="Times New Roman" w:eastAsia="方正仿宋_GB2312" w:cs="Times New Roman"/>
          <w:color w:val="auto"/>
          <w:kern w:val="2"/>
          <w:sz w:val="32"/>
          <w:szCs w:val="32"/>
          <w:lang w:val="en-US" w:eastAsia="zh-CN" w:bidi="ar-SA"/>
        </w:rPr>
        <w:t>1.5</w:t>
      </w:r>
      <w:r>
        <w:rPr>
          <w:rFonts w:hint="default" w:ascii="Times New Roman" w:hAnsi="Times New Roman" w:eastAsia="方正仿宋_GB2312" w:cs="Times New Roman"/>
          <w:color w:val="auto"/>
          <w:kern w:val="2"/>
          <w:sz w:val="32"/>
          <w:szCs w:val="32"/>
          <w:lang w:val="en-US" w:eastAsia="zh-CN" w:bidi="ar-SA"/>
        </w:rPr>
        <w:t>个百分点。</w:t>
      </w:r>
      <w:r>
        <w:rPr>
          <w:rFonts w:hint="default" w:ascii="Times New Roman" w:hAnsi="Times New Roman" w:eastAsia="方正仿宋_GB2312" w:cs="Times New Roman"/>
          <w:color w:val="auto"/>
          <w:sz w:val="32"/>
          <w:szCs w:val="32"/>
          <w:lang w:val="en-US" w:eastAsia="zh-CN"/>
        </w:rPr>
        <w:t>2025</w:t>
      </w:r>
      <w:r>
        <w:rPr>
          <w:rFonts w:hint="eastAsia" w:ascii="Times New Roman" w:hAnsi="Times New Roman" w:eastAsia="方正仿宋_GB2312" w:cs="Times New Roman"/>
          <w:color w:val="auto"/>
          <w:sz w:val="32"/>
          <w:szCs w:val="32"/>
          <w:lang w:val="en-US" w:eastAsia="zh-CN"/>
        </w:rPr>
        <w:t>年，新一代信息技术及半导体产业集群总量增幅超20%，生物医药产业集群总量增幅超10%。</w:t>
      </w:r>
      <w:r>
        <w:rPr>
          <w:rFonts w:hint="eastAsia" w:ascii="Times New Roman" w:hAnsi="Times New Roman" w:eastAsia="方正仿宋_GB2312" w:cs="Times New Roman"/>
          <w:color w:val="auto"/>
          <w:kern w:val="2"/>
          <w:sz w:val="32"/>
          <w:szCs w:val="32"/>
          <w:lang w:val="en-US" w:eastAsia="zh-CN" w:bidi="ar-SA"/>
        </w:rPr>
        <w:t>（牵头部门：市发改委，责任部门：市科技局、市商务局、市市场监管局、财政局，各区镇）</w:t>
      </w:r>
    </w:p>
    <w:p w14:paraId="42A9AFE5">
      <w:pPr>
        <w:pStyle w:val="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b/>
          <w:bCs/>
          <w:color w:val="auto"/>
          <w:kern w:val="2"/>
          <w:sz w:val="32"/>
          <w:szCs w:val="32"/>
          <w:lang w:val="en-US" w:eastAsia="zh-CN" w:bidi="ar-SA"/>
        </w:rPr>
        <w:t>12．探索孵化未来产业。</w:t>
      </w:r>
      <w:r>
        <w:rPr>
          <w:rFonts w:hint="eastAsia" w:ascii="Times New Roman" w:hAnsi="Times New Roman" w:eastAsia="方正仿宋_GB2312" w:cs="Times New Roman"/>
          <w:color w:val="auto"/>
          <w:kern w:val="2"/>
          <w:sz w:val="32"/>
          <w:szCs w:val="32"/>
          <w:lang w:val="en-US" w:eastAsia="zh-CN" w:bidi="ar-SA"/>
        </w:rPr>
        <w:t>抢占未来产业新高地，</w:t>
      </w:r>
      <w:r>
        <w:rPr>
          <w:rFonts w:hint="eastAsia" w:ascii="Times New Roman" w:hAnsi="Times New Roman" w:eastAsia="方正仿宋_GB2312" w:cs="Times New Roman"/>
          <w:color w:val="auto"/>
          <w:sz w:val="32"/>
          <w:szCs w:val="32"/>
          <w:lang w:val="en-US" w:eastAsia="zh-CN"/>
        </w:rPr>
        <w:t>优先发展低空制造、深远海装备、新型储能、第三代半导体、通用人工智能、细胞和基因技术、合成生物等未来产业细分赛道，</w:t>
      </w:r>
      <w:r>
        <w:rPr>
          <w:rFonts w:hint="eastAsia" w:ascii="Times New Roman" w:hAnsi="Times New Roman" w:eastAsia="方正仿宋_GB2312" w:cs="Times New Roman"/>
          <w:color w:val="auto"/>
          <w:kern w:val="2"/>
          <w:sz w:val="32"/>
          <w:szCs w:val="32"/>
          <w:lang w:val="en-US" w:eastAsia="zh-CN" w:bidi="ar-SA"/>
        </w:rPr>
        <w:t>开展科技招商攻坚行动，打造低空飞行器制造及配套产业集聚区，招引高质量科创项目超200个，培育离岸孵化项目10个。扎实推进低空经济高质量发展三年行动计划（2025-2027年），编制低空空域及航线规划，加快江海澜湾通用机场复牌工作，推动民用无人机试飞运行基地尽早对外运营，力争到2027年</w:t>
      </w:r>
      <w:r>
        <w:rPr>
          <w:rFonts w:hint="default" w:ascii="Times New Roman" w:hAnsi="Times New Roman" w:eastAsia="方正仿宋_GBK" w:cs="Times New Roman"/>
          <w:color w:val="auto"/>
          <w:sz w:val="32"/>
          <w:szCs w:val="32"/>
        </w:rPr>
        <w:t>实现低空产业经济规模达100亿元以上</w:t>
      </w:r>
      <w:r>
        <w:rPr>
          <w:rFonts w:hint="eastAsia" w:ascii="Times New Roman" w:hAnsi="Times New Roman" w:eastAsia="方正仿宋_GB2312" w:cs="Times New Roman"/>
          <w:color w:val="auto"/>
          <w:kern w:val="2"/>
          <w:sz w:val="32"/>
          <w:szCs w:val="32"/>
          <w:lang w:val="en-US" w:eastAsia="zh-CN" w:bidi="ar-SA"/>
        </w:rPr>
        <w:t>。（牵头部门：市发改委、市科技局，责任部门：市商务局、市自然资源和规划局，各区镇）</w:t>
      </w:r>
    </w:p>
    <w:p w14:paraId="721C8EC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（五）实施智改数转网联赋能行动</w:t>
      </w:r>
    </w:p>
    <w:p w14:paraId="7FDA63CF">
      <w:pPr>
        <w:pStyle w:val="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仿宋_GB2312" w:cs="Times New Roman"/>
          <w:b/>
          <w:bCs/>
          <w:color w:val="auto"/>
          <w:sz w:val="32"/>
          <w:szCs w:val="32"/>
          <w:lang w:val="en-US" w:eastAsia="zh-CN"/>
        </w:rPr>
      </w:pPr>
      <w:bookmarkStart w:id="2" w:name="_Hlk188036730"/>
      <w:r>
        <w:rPr>
          <w:rFonts w:hint="eastAsia" w:ascii="Times New Roman" w:hAnsi="Times New Roman" w:eastAsia="方正仿宋_GB2312" w:cs="Times New Roman"/>
          <w:b/>
          <w:bCs/>
          <w:color w:val="auto"/>
          <w:sz w:val="32"/>
          <w:szCs w:val="32"/>
          <w:lang w:val="en-US" w:eastAsia="zh-CN"/>
        </w:rPr>
        <w:t>13．</w:t>
      </w:r>
      <w:r>
        <w:rPr>
          <w:rFonts w:hint="eastAsia" w:ascii="Times New Roman" w:hAnsi="Times New Roman" w:eastAsia="方正仿宋_GB2312" w:cs="Times New Roman"/>
          <w:b/>
          <w:bCs/>
          <w:color w:val="auto"/>
          <w:kern w:val="2"/>
          <w:sz w:val="32"/>
          <w:szCs w:val="32"/>
          <w:lang w:val="en-US" w:eastAsia="zh-CN" w:bidi="ar-SA"/>
        </w:rPr>
        <w:t>加快智能化改造。</w:t>
      </w:r>
      <w:r>
        <w:rPr>
          <w:rFonts w:hint="eastAsia" w:ascii="Times New Roman" w:hAnsi="Times New Roman" w:eastAsia="方正仿宋_GB2312" w:cs="Times New Roman"/>
          <w:color w:val="auto"/>
          <w:kern w:val="2"/>
          <w:sz w:val="32"/>
          <w:szCs w:val="32"/>
          <w:lang w:val="en-US" w:eastAsia="zh-CN" w:bidi="ar-SA"/>
        </w:rPr>
        <w:t>加速淘汰落后低效设备，更新升级一批高技术、高效率、高可靠性的先进设备，用好制造强省专项资金、超长期国债等省、国家政策，加快企业智能化绿色化设备的升级迭代。构建智能工厂梯度培育库，推广智能车间改造，致力于更大范围和更高标准的智能工厂建设。2025年，力争建成先进级智能工厂</w:t>
      </w:r>
      <w:r>
        <w:rPr>
          <w:rFonts w:hint="eastAsia" w:ascii="Times New Roman" w:hAnsi="Times New Roman" w:eastAsia="方正仿宋_GB2312" w:cs="Times New Roman"/>
          <w:color w:val="auto"/>
          <w:kern w:val="2"/>
          <w:sz w:val="32"/>
          <w:szCs w:val="32"/>
          <w:highlight w:val="none"/>
          <w:lang w:val="en-US" w:eastAsia="zh-CN" w:bidi="ar-SA"/>
        </w:rPr>
        <w:t>5家</w:t>
      </w:r>
      <w:r>
        <w:rPr>
          <w:rFonts w:hint="eastAsia" w:ascii="Times New Roman" w:hAnsi="Times New Roman" w:eastAsia="方正仿宋_GB2312" w:cs="Times New Roman"/>
          <w:color w:val="auto"/>
          <w:kern w:val="2"/>
          <w:sz w:val="32"/>
          <w:szCs w:val="32"/>
          <w:lang w:val="en-US" w:eastAsia="zh-CN" w:bidi="ar-SA"/>
        </w:rPr>
        <w:t>、卓越级智能工厂1家。</w:t>
      </w:r>
      <w:r>
        <w:rPr>
          <w:rFonts w:hint="eastAsia" w:ascii="Times New Roman" w:hAnsi="Times New Roman" w:eastAsia="方正仿宋_GB2312" w:cs="Times New Roman"/>
          <w:color w:val="auto"/>
          <w:sz w:val="32"/>
          <w:szCs w:val="32"/>
          <w:lang w:val="en-US" w:eastAsia="zh-CN"/>
        </w:rPr>
        <w:t>（牵头部门：市发改委，责任部门：市科技局、市生态环境局、市应急管理局、市市场监管局）</w:t>
      </w:r>
    </w:p>
    <w:bookmarkEnd w:id="2"/>
    <w:p w14:paraId="284212A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2312" w:cs="Times New Roman"/>
          <w:b/>
          <w:bCs/>
          <w:color w:val="auto"/>
          <w:sz w:val="32"/>
          <w:szCs w:val="32"/>
          <w:lang w:val="en-US" w:eastAsia="zh-CN"/>
        </w:rPr>
      </w:pPr>
      <w:r>
        <w:rPr>
          <w:rFonts w:hint="eastAsia" w:ascii="Times New Roman" w:hAnsi="Times New Roman" w:eastAsia="方正仿宋_GB2312" w:cs="Times New Roman"/>
          <w:b/>
          <w:bCs/>
          <w:color w:val="auto"/>
          <w:sz w:val="32"/>
          <w:szCs w:val="32"/>
          <w:lang w:val="en-US" w:eastAsia="zh-CN"/>
        </w:rPr>
        <w:t>14．</w:t>
      </w:r>
      <w:r>
        <w:rPr>
          <w:rFonts w:hint="eastAsia" w:ascii="Times New Roman" w:hAnsi="Times New Roman" w:eastAsia="方正仿宋_GB2312" w:cs="Times New Roman"/>
          <w:b/>
          <w:bCs/>
          <w:color w:val="auto"/>
          <w:kern w:val="2"/>
          <w:sz w:val="32"/>
          <w:szCs w:val="32"/>
          <w:lang w:val="en-US" w:eastAsia="zh-CN" w:bidi="ar-SA"/>
        </w:rPr>
        <w:t>推进数字化转型。</w:t>
      </w:r>
      <w:r>
        <w:rPr>
          <w:rFonts w:hint="eastAsia" w:ascii="Times New Roman" w:hAnsi="Times New Roman" w:eastAsia="方正仿宋_GB2312" w:cs="Times New Roman"/>
          <w:color w:val="auto"/>
          <w:kern w:val="2"/>
          <w:sz w:val="32"/>
          <w:szCs w:val="32"/>
          <w:lang w:val="en-US" w:eastAsia="zh-CN" w:bidi="ar-SA"/>
        </w:rPr>
        <w:t>倡导产业链中的龙头企业引领构建智能化绿色化产业链与供应链体系，激发广大中小企业自主改造升级的积极性，促进形成“链条式”数字化转型升级格局。不断扩充“智改数转网联”服务商资源库，激励服务商依据不同行业与领域，深入挖掘转型需求，帮助企业实现转型。加速推动人工智能与新型工业化深度融合，打造更多适合企业实际的典型应用场景。2025年，诊断企业综合转化率达50%。</w:t>
      </w:r>
      <w:r>
        <w:rPr>
          <w:rFonts w:hint="eastAsia" w:ascii="Times New Roman" w:hAnsi="Times New Roman" w:eastAsia="方正仿宋_GB2312" w:cs="Times New Roman"/>
          <w:color w:val="auto"/>
          <w:sz w:val="32"/>
          <w:szCs w:val="32"/>
          <w:lang w:val="en-US" w:eastAsia="zh-CN"/>
        </w:rPr>
        <w:t>（牵头部门：市发改委，责任部门：市科技局、市市场监管局）</w:t>
      </w:r>
    </w:p>
    <w:p w14:paraId="45D12FC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color w:val="auto"/>
          <w:lang w:val="en-US" w:eastAsia="zh-CN"/>
        </w:rPr>
      </w:pPr>
      <w:r>
        <w:rPr>
          <w:rFonts w:hint="eastAsia" w:ascii="Times New Roman" w:hAnsi="Times New Roman" w:eastAsia="方正仿宋_GB2312" w:cs="Times New Roman"/>
          <w:b/>
          <w:bCs/>
          <w:color w:val="auto"/>
          <w:sz w:val="32"/>
          <w:szCs w:val="32"/>
          <w:lang w:val="en-US" w:eastAsia="zh-CN"/>
        </w:rPr>
        <w:t>15．推动网络化联接。</w:t>
      </w:r>
      <w:r>
        <w:rPr>
          <w:rFonts w:hint="default" w:ascii="Times New Roman" w:hAnsi="Times New Roman" w:eastAsia="方正仿宋_GB2312" w:cs="Times New Roman"/>
          <w:color w:val="auto"/>
          <w:kern w:val="2"/>
          <w:sz w:val="32"/>
          <w:szCs w:val="32"/>
          <w:lang w:val="en-US" w:eastAsia="zh-CN" w:bidi="ar-SA"/>
        </w:rPr>
        <w:t>加速构建新型信息基础设施体系、算力支撑体系及工业互联网标识解析系统。建立健全工业互联网安全管理体系，实施分类分级管理策略，</w:t>
      </w:r>
      <w:r>
        <w:rPr>
          <w:rFonts w:hint="eastAsia" w:ascii="Times New Roman" w:hAnsi="Times New Roman" w:eastAsia="方正仿宋_GB2312" w:cs="Times New Roman"/>
          <w:color w:val="auto"/>
          <w:kern w:val="2"/>
          <w:sz w:val="32"/>
          <w:szCs w:val="32"/>
          <w:lang w:val="en-US" w:eastAsia="zh-CN" w:bidi="ar-SA"/>
        </w:rPr>
        <w:t>常态化开展工业信息安全防护星级企业培育和工业企业网络安全分类分级管理等工作；</w:t>
      </w:r>
      <w:r>
        <w:rPr>
          <w:rFonts w:hint="default" w:ascii="Times New Roman" w:hAnsi="Times New Roman" w:eastAsia="方正仿宋_GB2312" w:cs="Times New Roman"/>
          <w:color w:val="auto"/>
          <w:kern w:val="2"/>
          <w:sz w:val="32"/>
          <w:szCs w:val="32"/>
          <w:lang w:val="en-US" w:eastAsia="zh-CN" w:bidi="ar-SA"/>
        </w:rPr>
        <w:t>大力推动企业</w:t>
      </w:r>
      <w:r>
        <w:rPr>
          <w:rFonts w:hint="eastAsia" w:ascii="Times New Roman" w:hAnsi="Times New Roman" w:eastAsia="方正仿宋_GB2312" w:cs="Times New Roman"/>
          <w:color w:val="auto"/>
          <w:kern w:val="2"/>
          <w:sz w:val="32"/>
          <w:szCs w:val="32"/>
          <w:lang w:val="en-US" w:eastAsia="zh-CN" w:bidi="ar-SA"/>
        </w:rPr>
        <w:t>“</w:t>
      </w:r>
      <w:r>
        <w:rPr>
          <w:rFonts w:hint="default" w:ascii="Times New Roman" w:hAnsi="Times New Roman" w:eastAsia="方正仿宋_GB2312" w:cs="Times New Roman"/>
          <w:color w:val="auto"/>
          <w:kern w:val="2"/>
          <w:sz w:val="32"/>
          <w:szCs w:val="32"/>
          <w:lang w:val="en-US" w:eastAsia="zh-CN" w:bidi="ar-SA"/>
        </w:rPr>
        <w:t>上云用云</w:t>
      </w:r>
      <w:r>
        <w:rPr>
          <w:rFonts w:hint="eastAsia" w:ascii="Times New Roman" w:hAnsi="Times New Roman" w:eastAsia="方正仿宋_GB2312" w:cs="Times New Roman"/>
          <w:color w:val="auto"/>
          <w:kern w:val="2"/>
          <w:sz w:val="32"/>
          <w:szCs w:val="32"/>
          <w:lang w:val="en-US" w:eastAsia="zh-CN" w:bidi="ar-SA"/>
        </w:rPr>
        <w:t>”，积极提升上云用云在工业规上企业中的覆盖率。2025年，培育省级工业互联网平台1个，5G工厂1家。（牵头部门：市发改委，责任部门：市科技局、市商务局、市数据局）</w:t>
      </w:r>
    </w:p>
    <w:p w14:paraId="6873806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（六）实施科创人才强核驱动行动</w:t>
      </w:r>
    </w:p>
    <w:p w14:paraId="3AB7B34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2312" w:cs="Times New Roman"/>
          <w:b/>
          <w:bCs/>
          <w:color w:val="auto"/>
          <w:sz w:val="32"/>
          <w:szCs w:val="32"/>
          <w:lang w:val="en-US" w:eastAsia="zh-CN"/>
        </w:rPr>
      </w:pPr>
      <w:r>
        <w:rPr>
          <w:rFonts w:hint="eastAsia" w:ascii="Times New Roman" w:hAnsi="Times New Roman" w:eastAsia="方正仿宋_GB2312" w:cs="Times New Roman"/>
          <w:b/>
          <w:bCs/>
          <w:color w:val="auto"/>
          <w:sz w:val="32"/>
          <w:szCs w:val="32"/>
          <w:lang w:val="en-US" w:eastAsia="zh-CN"/>
        </w:rPr>
        <w:t>16．培育壮大产创平台。</w:t>
      </w:r>
      <w:r>
        <w:rPr>
          <w:rFonts w:hint="eastAsia" w:ascii="Times New Roman" w:hAnsi="Times New Roman" w:eastAsia="方正仿宋_GB2312" w:cs="Times New Roman"/>
          <w:color w:val="auto"/>
          <w:sz w:val="32"/>
          <w:szCs w:val="32"/>
        </w:rPr>
        <w:t>构建以企业为主体的科技创新体系，支持企业开展前沿引领技术、关键共性技术创新，积极承担国家、省重大科技项目。完善企业研发机构梯度培育机制，支持建设企业技术（工程研究、工程技术研究）中心、工业设计中心（研究院）等研发机构</w:t>
      </w:r>
      <w:r>
        <w:rPr>
          <w:rFonts w:hint="eastAsia" w:ascii="宋体" w:hAnsi="宋体" w:eastAsia="宋体" w:cs="宋体"/>
          <w:color w:val="auto"/>
          <w:sz w:val="32"/>
          <w:szCs w:val="32"/>
        </w:rPr>
        <w:t>,</w:t>
      </w:r>
      <w:r>
        <w:rPr>
          <w:rFonts w:hint="eastAsia" w:ascii="Times New Roman" w:hAnsi="Times New Roman" w:eastAsia="方正仿宋_GB2312" w:cs="Times New Roman"/>
          <w:color w:val="auto"/>
          <w:sz w:val="32"/>
          <w:szCs w:val="32"/>
        </w:rPr>
        <w:t>引导企业积极申报各类科技研发平台。</w:t>
      </w:r>
      <w:r>
        <w:rPr>
          <w:rFonts w:hint="eastAsia" w:ascii="Times New Roman" w:hAnsi="Times New Roman" w:eastAsia="方正仿宋_GB2312" w:cs="Times New Roman"/>
          <w:color w:val="auto"/>
          <w:kern w:val="2"/>
          <w:sz w:val="32"/>
          <w:szCs w:val="32"/>
          <w:lang w:val="en-US" w:eastAsia="zh-CN" w:bidi="ar-SA"/>
        </w:rPr>
        <w:t>高质量打好高新技术企业五年倍增计划收官战，</w:t>
      </w:r>
      <w:r>
        <w:rPr>
          <w:rFonts w:hint="default" w:ascii="Times New Roman" w:hAnsi="Times New Roman" w:eastAsia="方正仿宋_GB2312" w:cs="Times New Roman"/>
          <w:color w:val="auto"/>
          <w:kern w:val="2"/>
          <w:sz w:val="32"/>
          <w:szCs w:val="32"/>
          <w:lang w:val="en-US" w:eastAsia="zh-CN" w:bidi="ar-SA"/>
        </w:rPr>
        <w:t>加快引进培育高技术含量、高市场占有率的科技型企业，</w:t>
      </w:r>
      <w:r>
        <w:rPr>
          <w:rFonts w:hint="eastAsia" w:ascii="Times New Roman" w:hAnsi="Times New Roman" w:eastAsia="方正仿宋_GB2312" w:cs="Times New Roman"/>
          <w:color w:val="auto"/>
          <w:kern w:val="2"/>
          <w:sz w:val="32"/>
          <w:szCs w:val="32"/>
          <w:lang w:val="en-US" w:eastAsia="zh-CN" w:bidi="ar-SA"/>
        </w:rPr>
        <w:t>实行分类培育、分层指导，梯度培育高新技术企业、专精特新企业、“瞪羚”“独角兽”企业等科创型企业。2025年底净增高新技术企业45家，企业家数达460家；新入库科技型中小企业400家，省级以上专精特新企业超150家。</w:t>
      </w:r>
      <w:r>
        <w:rPr>
          <w:rFonts w:hint="eastAsia" w:ascii="Times New Roman" w:hAnsi="Times New Roman" w:eastAsia="方正仿宋_GB2312" w:cs="Times New Roman"/>
          <w:color w:val="auto"/>
          <w:sz w:val="32"/>
          <w:szCs w:val="32"/>
          <w:highlight w:val="none"/>
        </w:rPr>
        <w:t>面向</w:t>
      </w:r>
      <w:r>
        <w:rPr>
          <w:rFonts w:hint="eastAsia" w:ascii="Times New Roman" w:hAnsi="Times New Roman" w:eastAsia="方正仿宋_GB2312" w:cs="Times New Roman"/>
          <w:color w:val="auto"/>
          <w:sz w:val="32"/>
          <w:szCs w:val="32"/>
          <w:highlight w:val="none"/>
          <w:lang w:val="en-US" w:eastAsia="zh-CN"/>
        </w:rPr>
        <w:t>全球</w:t>
      </w:r>
      <w:r>
        <w:rPr>
          <w:rFonts w:hint="eastAsia" w:ascii="Times New Roman" w:hAnsi="Times New Roman" w:eastAsia="方正仿宋_GB2312" w:cs="Times New Roman"/>
          <w:color w:val="auto"/>
          <w:sz w:val="32"/>
          <w:szCs w:val="32"/>
          <w:highlight w:val="none"/>
        </w:rPr>
        <w:t>“揭榜挂帅”，</w:t>
      </w:r>
      <w:r>
        <w:rPr>
          <w:rFonts w:hint="eastAsia" w:ascii="Times New Roman" w:hAnsi="Times New Roman" w:eastAsia="方正仿宋_GB2312" w:cs="Times New Roman"/>
          <w:color w:val="auto"/>
          <w:sz w:val="32"/>
          <w:szCs w:val="32"/>
        </w:rPr>
        <w:t>支持龙头骨干企业整合高校、科研院所、供应链上下游资源开展协同攻关。强化首台（套）研发和应用，提升高端装备自研能力。</w:t>
      </w:r>
      <w:r>
        <w:rPr>
          <w:rFonts w:ascii="Times New Roman" w:hAnsi="Times New Roman" w:eastAsia="方正仿宋_GB2312" w:cs="Times New Roman"/>
          <w:color w:val="auto"/>
          <w:sz w:val="32"/>
          <w:szCs w:val="32"/>
        </w:rPr>
        <w:t>2025</w:t>
      </w:r>
      <w:r>
        <w:rPr>
          <w:rFonts w:hint="eastAsia" w:ascii="Times New Roman" w:hAnsi="Times New Roman" w:eastAsia="方正仿宋_GB2312" w:cs="Times New Roman"/>
          <w:color w:val="auto"/>
          <w:sz w:val="32"/>
          <w:szCs w:val="32"/>
        </w:rPr>
        <w:t>年，全市技术合同成交额超8</w:t>
      </w:r>
      <w:r>
        <w:rPr>
          <w:rFonts w:ascii="Times New Roman" w:hAnsi="Times New Roman" w:eastAsia="方正仿宋_GB2312" w:cs="Times New Roman"/>
          <w:color w:val="auto"/>
          <w:sz w:val="32"/>
          <w:szCs w:val="32"/>
        </w:rPr>
        <w:t>0</w:t>
      </w:r>
      <w:r>
        <w:rPr>
          <w:rFonts w:hint="eastAsia" w:ascii="Times New Roman" w:hAnsi="Times New Roman" w:eastAsia="方正仿宋_GB2312" w:cs="Times New Roman"/>
          <w:color w:val="auto"/>
          <w:sz w:val="32"/>
          <w:szCs w:val="32"/>
        </w:rPr>
        <w:t>亿。（牵头单位：市科技局，责任单位：市发改委）</w:t>
      </w:r>
    </w:p>
    <w:p w14:paraId="2ADFD45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2312" w:cs="Times New Roman"/>
          <w:b/>
          <w:bCs/>
          <w:color w:val="auto"/>
          <w:sz w:val="32"/>
          <w:szCs w:val="32"/>
          <w:lang w:val="en-US" w:eastAsia="zh-CN"/>
        </w:rPr>
      </w:pPr>
      <w:r>
        <w:rPr>
          <w:rFonts w:hint="eastAsia" w:ascii="Times New Roman" w:hAnsi="Times New Roman" w:eastAsia="方正仿宋_GB2312" w:cs="Times New Roman"/>
          <w:b/>
          <w:bCs/>
          <w:color w:val="auto"/>
          <w:sz w:val="32"/>
          <w:szCs w:val="32"/>
          <w:lang w:val="en-US" w:eastAsia="zh-CN"/>
        </w:rPr>
        <w:t>17．深化产教融合发展。</w:t>
      </w:r>
      <w:r>
        <w:rPr>
          <w:rFonts w:hint="eastAsia" w:ascii="Times New Roman" w:hAnsi="Times New Roman" w:eastAsia="方正仿宋_GB2312" w:cs="Times New Roman"/>
          <w:color w:val="auto"/>
          <w:sz w:val="32"/>
          <w:szCs w:val="32"/>
          <w:lang w:val="en-US" w:eastAsia="zh-CN"/>
        </w:rPr>
        <w:t>支持高校加强集成电路、人工智能、海工装备等领域学科设置。支持企业与本地职业院校、技术培训机构共建一批特色产业人才培养基地，聚焦集成电路、人工智能、海工装备等前沿领域，推动产教深度融合，培养适应地方产业发展需求的高素质技能型人才，加强博士后工作站及省创新实践基地的建设，探索建立校企“共引共享博士”机制。开展“十链百校千企”招才引智活动，以智能制造、工业互联网从业人员为重点，加快数字技能培训。围绕本土产业链条支持校企共建未来技术、新兴产业、专业特色学科或定单班培养高技术人才。（牵头单位：市教体局、市人社局，责任单位：市科技局、市发改委）</w:t>
      </w:r>
    </w:p>
    <w:p w14:paraId="05FC57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color w:val="auto"/>
          <w:lang w:val="en-US" w:eastAsia="zh-CN"/>
        </w:rPr>
      </w:pPr>
      <w:r>
        <w:rPr>
          <w:rFonts w:hint="eastAsia" w:ascii="Times New Roman" w:hAnsi="Times New Roman" w:eastAsia="方正仿宋_GB2312" w:cs="Times New Roman"/>
          <w:b/>
          <w:bCs/>
          <w:color w:val="auto"/>
          <w:sz w:val="32"/>
          <w:szCs w:val="32"/>
          <w:lang w:val="en-US" w:eastAsia="zh-CN"/>
        </w:rPr>
        <w:t>18．汇聚人才资源支撑。</w:t>
      </w:r>
      <w:r>
        <w:rPr>
          <w:rFonts w:hint="default" w:ascii="Times New Roman" w:hAnsi="Times New Roman" w:eastAsia="方正仿宋_GB2312" w:cs="Times New Roman"/>
          <w:color w:val="auto"/>
          <w:sz w:val="32"/>
          <w:szCs w:val="32"/>
          <w:lang w:val="en-US" w:eastAsia="zh-CN"/>
        </w:rPr>
        <w:t>聚焦我市产业发展需求，靶向招引一批能解决“卡脖子”难题的双创领军团队、卓越工程师、高技能工匠等“高精尖缺”顶尖人才。对产业链重点企业引进的紧缺高端人才，放宽市“东疆英才计划”申报限制。开展</w:t>
      </w:r>
      <w:r>
        <w:rPr>
          <w:rFonts w:hint="default" w:ascii="Times New Roman" w:hAnsi="Times New Roman" w:eastAsia="方正仿宋_GB2312" w:cs="Times New Roman"/>
          <w:color w:val="auto"/>
          <w:sz w:val="32"/>
          <w:szCs w:val="32"/>
          <w:highlight w:val="none"/>
          <w:lang w:val="en-US" w:eastAsia="zh-CN"/>
        </w:rPr>
        <w:t>“东疆引智名校行”系列活动，</w:t>
      </w:r>
      <w:r>
        <w:rPr>
          <w:rFonts w:hint="default" w:ascii="Times New Roman" w:hAnsi="Times New Roman" w:eastAsia="方正仿宋_GB2312" w:cs="Times New Roman"/>
          <w:color w:val="auto"/>
          <w:sz w:val="32"/>
          <w:szCs w:val="32"/>
          <w:lang w:val="en-US" w:eastAsia="zh-CN"/>
        </w:rPr>
        <w:t>赴国内重点高校开展人才对接、产学研、高校毕业生招聘等系列活动，引进更多名校</w:t>
      </w:r>
      <w:r>
        <w:rPr>
          <w:rFonts w:hint="default" w:ascii="Times New Roman" w:hAnsi="Times New Roman" w:eastAsia="方正仿宋_GB2312" w:cs="Times New Roman"/>
          <w:color w:val="auto"/>
          <w:sz w:val="32"/>
          <w:szCs w:val="32"/>
          <w:highlight w:val="none"/>
          <w:lang w:val="en-US" w:eastAsia="zh-CN"/>
        </w:rPr>
        <w:t>创新创业人才。编制发布《重点产业紧缺人才需求目录》，加大企业对关键人才的评价权重，择优资助紧缺技术人才。完善“启创无忧”人才服务工程，保障符合条件的产业人才，享受交通出行、人才安居、子女教育、父母养老、医疗保健等相应生活待遇。2025年，新增入选省级以上人才计划人才不少于</w:t>
      </w:r>
      <w:r>
        <w:rPr>
          <w:rFonts w:hint="eastAsia" w:ascii="Times New Roman" w:hAnsi="Times New Roman" w:eastAsia="方正仿宋_GB2312" w:cs="Times New Roman"/>
          <w:color w:val="auto"/>
          <w:sz w:val="32"/>
          <w:szCs w:val="32"/>
          <w:highlight w:val="none"/>
          <w:lang w:val="en-US" w:eastAsia="zh-CN"/>
        </w:rPr>
        <w:t>15</w:t>
      </w:r>
      <w:r>
        <w:rPr>
          <w:rFonts w:hint="default" w:ascii="Times New Roman" w:hAnsi="Times New Roman" w:eastAsia="方正仿宋_GB2312" w:cs="Times New Roman"/>
          <w:color w:val="auto"/>
          <w:sz w:val="32"/>
          <w:szCs w:val="32"/>
          <w:highlight w:val="none"/>
          <w:lang w:val="en-US" w:eastAsia="zh-CN"/>
        </w:rPr>
        <w:t>人，入选数保持全市前列。（牵头单位：市委人才办，责任单位：市人社局、市发改委、市教育</w:t>
      </w:r>
      <w:r>
        <w:rPr>
          <w:rFonts w:hint="eastAsia" w:ascii="Times New Roman" w:hAnsi="Times New Roman" w:eastAsia="方正仿宋_GB2312" w:cs="Times New Roman"/>
          <w:color w:val="auto"/>
          <w:sz w:val="32"/>
          <w:szCs w:val="32"/>
          <w:highlight w:val="none"/>
          <w:lang w:val="en-US" w:eastAsia="zh-CN"/>
        </w:rPr>
        <w:t>体育</w:t>
      </w:r>
      <w:r>
        <w:rPr>
          <w:rFonts w:hint="default" w:ascii="Times New Roman" w:hAnsi="Times New Roman" w:eastAsia="方正仿宋_GB2312" w:cs="Times New Roman"/>
          <w:color w:val="auto"/>
          <w:sz w:val="32"/>
          <w:szCs w:val="32"/>
          <w:highlight w:val="none"/>
          <w:lang w:val="en-US" w:eastAsia="zh-CN"/>
        </w:rPr>
        <w:t>局、市科技局、市交通局、市卫生健康委）</w:t>
      </w:r>
    </w:p>
    <w:p w14:paraId="373A452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2312" w:cs="Times New Roman"/>
          <w:color w:val="auto"/>
          <w:sz w:val="32"/>
          <w:szCs w:val="32"/>
          <w:lang w:eastAsia="zh-CN"/>
        </w:rPr>
      </w:pPr>
      <w:bookmarkStart w:id="3" w:name="_Hlk188035697"/>
      <w:r>
        <w:rPr>
          <w:rFonts w:hint="eastAsia" w:ascii="Times New Roman" w:hAnsi="Times New Roman" w:eastAsia="方正仿宋_GB2312" w:cs="Times New Roman"/>
          <w:b/>
          <w:bCs/>
          <w:color w:val="auto"/>
          <w:sz w:val="32"/>
          <w:szCs w:val="32"/>
          <w:lang w:val="en-US" w:eastAsia="zh-CN"/>
        </w:rPr>
        <w:t>19．加快成果转化进程。</w:t>
      </w:r>
      <w:r>
        <w:rPr>
          <w:rFonts w:hint="eastAsia" w:ascii="Times New Roman" w:hAnsi="Times New Roman" w:eastAsia="方正仿宋_GB2312" w:cs="Times New Roman"/>
          <w:color w:val="auto"/>
          <w:sz w:val="32"/>
          <w:szCs w:val="32"/>
          <w:lang w:val="en-US" w:eastAsia="zh-CN"/>
        </w:rPr>
        <w:t>做</w:t>
      </w:r>
      <w:r>
        <w:rPr>
          <w:rFonts w:hint="eastAsia" w:ascii="Times New Roman" w:hAnsi="Times New Roman" w:eastAsia="方正仿宋_GB2312" w:cs="Times New Roman"/>
          <w:color w:val="auto"/>
          <w:sz w:val="32"/>
          <w:szCs w:val="32"/>
        </w:rPr>
        <w:t>大科技成果转化项目库，联合高校院所举办科技成果转化对接会，争取更多科研成果落地转化，引导企业积极申报省科学技术奖。依托北大生科华东院等平台效应，推动重大原创成果在企业率先验证、中试和转化应用，畅通成果转化渠道。以首台（套）装备、首批（次）新材料、首版（次）软件和新技术、新产品为重点，建立自主创新产品评价体系</w:t>
      </w:r>
      <w:r>
        <w:rPr>
          <w:rFonts w:hint="eastAsia" w:ascii="Times New Roman" w:hAnsi="Times New Roman" w:eastAsia="方正仿宋_GB2312" w:cs="Times New Roman"/>
          <w:color w:val="auto"/>
          <w:sz w:val="32"/>
          <w:szCs w:val="32"/>
          <w:lang w:eastAsia="zh-CN"/>
        </w:rPr>
        <w:t>，</w:t>
      </w:r>
      <w:r>
        <w:rPr>
          <w:rFonts w:hint="eastAsia" w:ascii="Times New Roman" w:hAnsi="Times New Roman" w:eastAsia="方正仿宋_GB2312" w:cs="Times New Roman"/>
          <w:color w:val="auto"/>
          <w:sz w:val="32"/>
          <w:szCs w:val="32"/>
        </w:rPr>
        <w:t>2025年申报市成果转化项目1项。（牵头部门：市科技局，责任部门：市发改委</w:t>
      </w:r>
      <w:r>
        <w:rPr>
          <w:rFonts w:hint="eastAsia" w:ascii="Times New Roman" w:hAnsi="Times New Roman" w:eastAsia="方正仿宋_GB2312" w:cs="Times New Roman"/>
          <w:color w:val="auto"/>
          <w:sz w:val="32"/>
          <w:szCs w:val="32"/>
          <w:lang w:eastAsia="zh-CN"/>
        </w:rPr>
        <w:t>）</w:t>
      </w:r>
      <w:bookmarkEnd w:id="3"/>
    </w:p>
    <w:p w14:paraId="73F363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color w:val="auto"/>
          <w:lang w:val="en-US" w:eastAsia="zh-CN"/>
        </w:rPr>
      </w:pPr>
      <w:r>
        <w:rPr>
          <w:rFonts w:hint="eastAsia" w:ascii="Times New Roman" w:hAnsi="Times New Roman" w:eastAsia="方正仿宋_GB2312" w:cs="Times New Roman"/>
          <w:b/>
          <w:bCs/>
          <w:color w:val="auto"/>
          <w:sz w:val="32"/>
          <w:szCs w:val="32"/>
          <w:lang w:val="en-US" w:eastAsia="zh-CN"/>
        </w:rPr>
        <w:t>20．不断强化品牌塑造。</w:t>
      </w:r>
      <w:r>
        <w:rPr>
          <w:rFonts w:hint="eastAsia" w:ascii="Times New Roman" w:hAnsi="Times New Roman" w:eastAsia="方正仿宋_GB2312" w:cs="Times New Roman"/>
          <w:color w:val="auto"/>
          <w:sz w:val="32"/>
          <w:szCs w:val="32"/>
          <w:lang w:val="en-US" w:eastAsia="zh-CN"/>
        </w:rPr>
        <w:t>聚焦我市电动工具本土特色产业，打造电动工具快速维权中心，推动电动工具区域品牌保护，提升区域品牌效应。组建知识产权服务团队，开展知识产权政策辅导、业务培训、维权援助等服务。依托北京大学生命科学华东产业研究院公共服务网点，为启东高价值专利、知名商标品牌、地理标志培育提供知识产权信息服务支撑。以“江苏精品”为标准，培育制造业品牌企业梯队。实施商标品牌战略，构建技术、专利、标准联动创新体系，积极培育中国驰名商标，提升产业标准化水平。</w:t>
      </w:r>
      <w:r>
        <w:rPr>
          <w:rFonts w:hint="default" w:ascii="Times New Roman" w:hAnsi="Times New Roman" w:eastAsia="方正仿宋_GB2312" w:cs="Times New Roman"/>
          <w:color w:val="auto"/>
          <w:sz w:val="32"/>
          <w:szCs w:val="32"/>
          <w:lang w:val="en-US" w:eastAsia="zh-CN"/>
        </w:rPr>
        <w:t>2025</w:t>
      </w:r>
      <w:r>
        <w:rPr>
          <w:rFonts w:hint="eastAsia" w:ascii="Times New Roman" w:hAnsi="Times New Roman" w:eastAsia="方正仿宋_GB2312" w:cs="Times New Roman"/>
          <w:color w:val="auto"/>
          <w:sz w:val="32"/>
          <w:szCs w:val="32"/>
          <w:lang w:val="en-US" w:eastAsia="zh-CN"/>
        </w:rPr>
        <w:t>年，新增主导或参与起草制造业国家标准5项；新增江苏精品2个；2025年新增发明专利800件。（牵头部门：市市场监管局，责任部门：市发改委）</w:t>
      </w:r>
    </w:p>
    <w:p w14:paraId="5620850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（七）实施两业融合创新示范行动</w:t>
      </w:r>
    </w:p>
    <w:p w14:paraId="66949F3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b/>
          <w:bCs/>
          <w:color w:val="auto"/>
          <w:sz w:val="32"/>
          <w:szCs w:val="32"/>
          <w:lang w:val="en-US" w:eastAsia="zh-CN"/>
        </w:rPr>
        <w:t>21．助力产业链拓展延伸。</w:t>
      </w:r>
      <w:r>
        <w:rPr>
          <w:rFonts w:hint="eastAsia" w:ascii="Times New Roman" w:hAnsi="Times New Roman" w:eastAsia="方正仿宋_GB2312" w:cs="Times New Roman"/>
          <w:color w:val="auto"/>
          <w:sz w:val="32"/>
          <w:szCs w:val="32"/>
          <w:lang w:val="en-US" w:eastAsia="zh-CN"/>
        </w:rPr>
        <w:t>结合我市主导产业，精准发力、集中资源，优先发展科技研发、现代物流、软件信息等生产性服务业，为制造业发展提供高质量服务供给，着力打造一批生产性服务业示范单位；加快先进制造业与现代服务业融合发展，推动传统制造业向服务型制造转型业，鼓励制造业龙头企业向产业链下游延伸，通过提供工业设计、产品研发、供应链管理等综合解决方案，提升产业附加值。2025年，力争新增南通市工业设计中心超10家。（牵头单位：市发改委，责任单位：市科技局、市司法局、市财政局、市人社局、市交通局、市商务局、市市场监管局、</w:t>
      </w:r>
      <w:r>
        <w:rPr>
          <w:rFonts w:hint="eastAsia" w:ascii="Times New Roman" w:hAnsi="Times New Roman" w:eastAsia="方正仿宋_GB2312" w:cs="Times New Roman"/>
          <w:color w:val="auto"/>
          <w:sz w:val="32"/>
          <w:szCs w:val="32"/>
          <w:u w:val="none"/>
          <w:lang w:val="en-US" w:eastAsia="zh-CN"/>
        </w:rPr>
        <w:t>启东金融监管支局）</w:t>
      </w:r>
    </w:p>
    <w:p w14:paraId="69E2144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b/>
          <w:bCs/>
          <w:color w:val="auto"/>
          <w:sz w:val="32"/>
          <w:szCs w:val="32"/>
          <w:lang w:val="en-US" w:eastAsia="zh-CN"/>
        </w:rPr>
        <w:t>22．引导制造业增值服务。</w:t>
      </w:r>
      <w:r>
        <w:rPr>
          <w:rFonts w:hint="eastAsia" w:ascii="Times New Roman" w:hAnsi="Times New Roman" w:eastAsia="方正仿宋_GB2312" w:cs="Times New Roman"/>
          <w:color w:val="auto"/>
          <w:sz w:val="32"/>
          <w:szCs w:val="32"/>
          <w:lang w:val="en-US" w:eastAsia="zh-CN"/>
        </w:rPr>
        <w:t>引导制造企业从加工组装向“定制服务”转型，从产品销售向“增值服务”转变，增加服务要素在投入和产出中的占比，做大产业附加值。引导支持大型制造业企业开拓工业设计、产品研发、供应链管理、智能制造解决方案等服务领域，加快生产性服务业向专业化和价值链高端延伸。2025年，规上生产性服务业营收突破60亿元。（牵头单位：市发改委，责任单位：市科技局、市司法局、市财政局、市人社局、市商务局、市市场监管局、启东金融监管支局）</w:t>
      </w:r>
    </w:p>
    <w:p w14:paraId="19B6268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color w:val="auto"/>
          <w:lang w:val="en-US" w:eastAsia="zh-CN"/>
        </w:rPr>
      </w:pPr>
      <w:r>
        <w:rPr>
          <w:rFonts w:hint="eastAsia" w:ascii="Times New Roman" w:hAnsi="Times New Roman" w:eastAsia="方正仿宋_GB2312" w:cs="Times New Roman"/>
          <w:b/>
          <w:bCs/>
          <w:color w:val="auto"/>
          <w:sz w:val="32"/>
          <w:szCs w:val="32"/>
          <w:highlight w:val="none"/>
          <w:lang w:val="en-US" w:eastAsia="zh-CN"/>
        </w:rPr>
        <w:t>23．实现供应链一体发展。</w:t>
      </w:r>
      <w:r>
        <w:rPr>
          <w:rFonts w:hint="eastAsia" w:ascii="Times New Roman" w:hAnsi="Times New Roman" w:eastAsia="方正仿宋_GB2312" w:cs="Times New Roman"/>
          <w:color w:val="auto"/>
          <w:sz w:val="32"/>
          <w:szCs w:val="32"/>
          <w:lang w:val="en-US" w:eastAsia="zh-CN"/>
        </w:rPr>
        <w:t>整合启东特色的信息流、资金流、产品流资源，推动建立集联合采购、协同制造、信息共享、资源对接、智慧物流于一体的供应链服务平台。支持启东物流行业与先进制造业高效衔接、深度融合，推动港口型物流枢纽以及综合货运枢纽与启东的高端装备制造、海工船舶制造、海上风电装备等特色产业紧密对接。培育壮大启东的低空物流产业，推动无人机与无人驾驶智能车在物流运输中的实际应用。（牵头单位：市交通局，责任单位：吕四港经济开发区、市发改委、商务局、市域指挥中心、邮政管理局、移动公司、电信公司）</w:t>
      </w:r>
    </w:p>
    <w:p w14:paraId="65344F9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（八）实施开放协同双向融通行动 </w:t>
      </w:r>
    </w:p>
    <w:p w14:paraId="1BD43D3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b/>
          <w:bCs/>
          <w:color w:val="auto"/>
          <w:sz w:val="32"/>
          <w:szCs w:val="32"/>
          <w:highlight w:val="none"/>
          <w:lang w:val="en-US" w:eastAsia="zh-CN"/>
        </w:rPr>
        <w:t>24．拓宽海外市场。</w:t>
      </w:r>
      <w:r>
        <w:rPr>
          <w:rFonts w:hint="eastAsia" w:ascii="Times New Roman" w:hAnsi="Times New Roman" w:eastAsia="方正仿宋_GB2312" w:cs="Times New Roman"/>
          <w:color w:val="auto"/>
          <w:sz w:val="32"/>
          <w:szCs w:val="32"/>
          <w:lang w:val="en-US" w:eastAsia="zh-CN"/>
        </w:rPr>
        <w:t>加快推动我市外贸企业拓市场、争订单工作，稳定传统市场、开拓“一带一路”新兴市场，加快走出去步伐。每年通过政府组团等方式，组织企业积极参加国内外展会，对企业参加展会进行一定比例的资金补助，让企业更加积极的参加其中。另外，通过为企业争取广交会等重点展位、主动对接进博会专业采购商等方式，力争在企业开拓海外代展业务方面走在前列，加大出口规模。主动帮助我市中小微企业对接中信保，加大支持力度，为企业提供融资方面需求，解决保函问题，进一步提高企业接单能力，助力企业按时完成订单交付。加强与上海、浙江等华东总部经济区域领域的合作交流，加快引进相关总部经济落户启东，带动启东总部经济发展壮大。会同吕四港镇将电动工具产业和跨境电商有机结合，推动东成、仟得等龙头企业建设海外仓，放大“跨境电商+产业带+海外仓”协同效应，合作设立电动工具企业线上专区，培育外贸新增长点，新增跨境电商企业20家。（牵头单位：市商务局，责任单位：市工商联、市侨联、启东金融监管支局）</w:t>
      </w:r>
    </w:p>
    <w:p w14:paraId="176FB52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color w:val="auto"/>
          <w:lang w:val="en-US" w:eastAsia="zh-CN"/>
        </w:rPr>
      </w:pPr>
      <w:r>
        <w:rPr>
          <w:rFonts w:hint="eastAsia" w:ascii="Times New Roman" w:hAnsi="Times New Roman" w:eastAsia="方正仿宋_GB2312" w:cs="Times New Roman"/>
          <w:b/>
          <w:bCs/>
          <w:color w:val="auto"/>
          <w:sz w:val="32"/>
          <w:szCs w:val="32"/>
          <w:lang w:val="en-US" w:eastAsia="zh-CN"/>
        </w:rPr>
        <w:t>25．整合区域资源。</w:t>
      </w:r>
      <w:r>
        <w:rPr>
          <w:rFonts w:hint="eastAsia" w:ascii="Times New Roman" w:hAnsi="Times New Roman" w:eastAsia="方正仿宋_GB2312" w:cs="Times New Roman"/>
          <w:color w:val="auto"/>
          <w:sz w:val="32"/>
          <w:szCs w:val="32"/>
          <w:lang w:val="en-US" w:eastAsia="zh-CN"/>
        </w:rPr>
        <w:t>以共建长江口产业创新绿色发展协同区为抓手，加快沪苏启跨江融合发展，研究制定协同区建设方案，清单化、项目化推进重大事项。深度对接上海、苏南板块园区、国企平台，探索市场化运营机制，以龙头企业牵引打造专业平台，探索“基地</w:t>
      </w:r>
      <w:r>
        <w:rPr>
          <w:rFonts w:hint="default" w:ascii="Times New Roman" w:hAnsi="Times New Roman" w:eastAsia="方正仿宋_GB2312" w:cs="Times New Roman"/>
          <w:color w:val="auto"/>
          <w:sz w:val="32"/>
          <w:szCs w:val="32"/>
          <w:lang w:val="en-US" w:eastAsia="zh-CN"/>
        </w:rPr>
        <w:t>+</w:t>
      </w:r>
      <w:r>
        <w:rPr>
          <w:rFonts w:hint="eastAsia" w:ascii="Times New Roman" w:hAnsi="Times New Roman" w:eastAsia="方正仿宋_GB2312" w:cs="Times New Roman"/>
          <w:color w:val="auto"/>
          <w:sz w:val="32"/>
          <w:szCs w:val="32"/>
          <w:lang w:val="en-US" w:eastAsia="zh-CN"/>
        </w:rPr>
        <w:t>拓展区”“总部</w:t>
      </w:r>
      <w:r>
        <w:rPr>
          <w:rFonts w:hint="default" w:ascii="Times New Roman" w:hAnsi="Times New Roman" w:eastAsia="方正仿宋_GB2312" w:cs="Times New Roman"/>
          <w:color w:val="auto"/>
          <w:sz w:val="32"/>
          <w:szCs w:val="32"/>
          <w:lang w:val="en-US" w:eastAsia="zh-CN"/>
        </w:rPr>
        <w:t>+</w:t>
      </w:r>
      <w:r>
        <w:rPr>
          <w:rFonts w:hint="eastAsia" w:ascii="Times New Roman" w:hAnsi="Times New Roman" w:eastAsia="方正仿宋_GB2312" w:cs="Times New Roman"/>
          <w:color w:val="auto"/>
          <w:sz w:val="32"/>
          <w:szCs w:val="32"/>
          <w:lang w:val="en-US" w:eastAsia="zh-CN"/>
        </w:rPr>
        <w:t>协同中心”等路径，共建一批特色产业园区。加强产业链供应链配套协同，与周边昆山、太仓等发达县市区组团跟跑、配套融合、共拓飞地。瞄准电子及通信设备制造业、医药制造业、医疗仪器设备及仪器仪表制造业、计算机及办公设备、信息化学品、航空航天器及设备制造业等重点领域，探索搭建产业转移供需对接平台，积极承接沪苏高技术制造业产能扩增需求，推动更多项目落户和科技成果转化落地。2025年，签约亿元以上产业项目55个。（牵头部门：市发改委，责任部门：市科技局、市市场监管局）</w:t>
      </w:r>
    </w:p>
    <w:p w14:paraId="67FA0B6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（九）实施打造一流发展环境行动</w:t>
      </w:r>
    </w:p>
    <w:p w14:paraId="25B8EF9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2312" w:cs="Times New Roman"/>
          <w:b/>
          <w:bCs/>
          <w:color w:val="auto"/>
          <w:sz w:val="32"/>
          <w:szCs w:val="32"/>
          <w:lang w:val="en-US" w:eastAsia="zh-CN"/>
        </w:rPr>
      </w:pPr>
      <w:r>
        <w:rPr>
          <w:rFonts w:hint="eastAsia" w:ascii="Times New Roman" w:hAnsi="Times New Roman" w:eastAsia="方正仿宋_GB2312" w:cs="Times New Roman"/>
          <w:b/>
          <w:bCs/>
          <w:color w:val="auto"/>
          <w:sz w:val="32"/>
          <w:szCs w:val="32"/>
          <w:lang w:val="en-US" w:eastAsia="zh-CN"/>
        </w:rPr>
        <w:t>26．用好各级扶持政策。</w:t>
      </w:r>
      <w:r>
        <w:rPr>
          <w:rFonts w:hint="eastAsia" w:ascii="Times New Roman" w:hAnsi="Times New Roman" w:eastAsia="方正仿宋_GB2312" w:cs="Times New Roman"/>
          <w:color w:val="auto"/>
          <w:sz w:val="32"/>
          <w:szCs w:val="32"/>
          <w:lang w:val="en-US" w:eastAsia="zh-CN"/>
        </w:rPr>
        <w:t>发挥好市级产业、科技、人才等政策组合效应，加快制定出台推动经济高质量发展的激励意见，加大制造业设备更新、技术改造、智改数转网联、增资扩产等领域财政资金支持力度。积极争取国家、省专项资金支持，落实好国家、省大规模设备更新财政金融支持政策，国家先进制造业企业、工业母机、集成电路等增值税加计抵减等税收优惠政策。抢抓国家一揽子增量政策“窗口期”，用好用足上级政策工具，加强超长期特别国债工业重点领域设备更新改造项目谋划储备，对符合固定资产投资标准和申报条件的工业重点领域在建设备更新项目，积极帮助企业争取超长期特别国债资金。加快制定智能化技改设备奖励政策，落实相关奖励资金。根据南通工信局要求，结合启东实际，组织开展设备更新供需对接活动。（牵头部门：市财政局、市发改委，责任部门：市科技局、市税务局、启东金融监管支局）</w:t>
      </w:r>
    </w:p>
    <w:p w14:paraId="33F3EB7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2312" w:cs="Times New Roman"/>
          <w:b/>
          <w:bCs/>
          <w:color w:val="auto"/>
          <w:sz w:val="32"/>
          <w:szCs w:val="32"/>
          <w:lang w:val="en-US" w:eastAsia="zh-CN"/>
        </w:rPr>
      </w:pPr>
      <w:bookmarkStart w:id="4" w:name="_Hlk188035905"/>
      <w:r>
        <w:rPr>
          <w:rFonts w:hint="eastAsia" w:ascii="Times New Roman" w:hAnsi="Times New Roman" w:eastAsia="方正仿宋_GB2312" w:cs="Times New Roman"/>
          <w:b/>
          <w:bCs/>
          <w:color w:val="auto"/>
          <w:sz w:val="32"/>
          <w:szCs w:val="32"/>
          <w:lang w:val="en-US" w:eastAsia="zh-CN"/>
        </w:rPr>
        <w:t>27．统筹生产要素保障。</w:t>
      </w:r>
      <w:r>
        <w:rPr>
          <w:rFonts w:hint="eastAsia" w:ascii="Times New Roman" w:hAnsi="Times New Roman" w:eastAsia="方正仿宋_GB2312" w:cs="Times New Roman"/>
          <w:color w:val="auto"/>
          <w:sz w:val="32"/>
          <w:szCs w:val="32"/>
          <w:lang w:val="en-US" w:eastAsia="zh-CN"/>
        </w:rPr>
        <w:t>推行“标准地</w:t>
      </w:r>
      <w:r>
        <w:rPr>
          <w:rFonts w:hint="default" w:ascii="Times New Roman" w:hAnsi="Times New Roman" w:eastAsia="方正仿宋_GB2312" w:cs="Times New Roman"/>
          <w:color w:val="auto"/>
          <w:sz w:val="32"/>
          <w:szCs w:val="32"/>
          <w:lang w:val="en-US" w:eastAsia="zh-CN"/>
        </w:rPr>
        <w:t>+</w:t>
      </w:r>
      <w:r>
        <w:rPr>
          <w:rFonts w:hint="eastAsia" w:ascii="Times New Roman" w:hAnsi="Times New Roman" w:eastAsia="方正仿宋_GB2312" w:cs="Times New Roman"/>
          <w:color w:val="auto"/>
          <w:sz w:val="32"/>
          <w:szCs w:val="32"/>
          <w:lang w:val="en-US" w:eastAsia="zh-CN"/>
        </w:rPr>
        <w:t>双信地</w:t>
      </w:r>
      <w:r>
        <w:rPr>
          <w:rFonts w:hint="default" w:ascii="Times New Roman" w:hAnsi="Times New Roman" w:eastAsia="方正仿宋_GB2312" w:cs="Times New Roman"/>
          <w:color w:val="auto"/>
          <w:sz w:val="32"/>
          <w:szCs w:val="32"/>
          <w:lang w:val="en-US" w:eastAsia="zh-CN"/>
        </w:rPr>
        <w:t>+</w:t>
      </w:r>
      <w:r>
        <w:rPr>
          <w:rFonts w:hint="eastAsia" w:ascii="Times New Roman" w:hAnsi="Times New Roman" w:eastAsia="方正仿宋_GB2312" w:cs="Times New Roman"/>
          <w:color w:val="auto"/>
          <w:sz w:val="32"/>
          <w:szCs w:val="32"/>
          <w:lang w:val="en-US" w:eastAsia="zh-CN"/>
        </w:rPr>
        <w:t>定制地”供应模式，实行“土地出让合同</w:t>
      </w:r>
      <w:r>
        <w:rPr>
          <w:rFonts w:hint="default" w:ascii="Times New Roman" w:hAnsi="Times New Roman" w:eastAsia="方正仿宋_GB2312" w:cs="Times New Roman"/>
          <w:color w:val="auto"/>
          <w:sz w:val="32"/>
          <w:szCs w:val="32"/>
          <w:lang w:val="en-US" w:eastAsia="zh-CN"/>
        </w:rPr>
        <w:t>+</w:t>
      </w:r>
      <w:r>
        <w:rPr>
          <w:rFonts w:hint="eastAsia" w:ascii="Times New Roman" w:hAnsi="Times New Roman" w:eastAsia="方正仿宋_GB2312" w:cs="Times New Roman"/>
          <w:color w:val="auto"/>
          <w:sz w:val="32"/>
          <w:szCs w:val="32"/>
          <w:lang w:val="en-US" w:eastAsia="zh-CN"/>
        </w:rPr>
        <w:t>投资发展监管协议”配置，确保产业项目“应保尽保快保”。推广工业用地弹性年期出让，引导企业选择适合自身发展的供地模式。落实“增存挂钩”机制，通过城市更新、闲置扩能、成片开发等改造模式，推进存量换增量、地下换地上、资金技术换空间。</w:t>
      </w:r>
      <w:r>
        <w:rPr>
          <w:rFonts w:hint="default" w:ascii="Times New Roman" w:hAnsi="Times New Roman" w:eastAsia="方正仿宋_GB2312" w:cs="Times New Roman"/>
          <w:color w:val="auto"/>
          <w:sz w:val="32"/>
          <w:szCs w:val="32"/>
          <w:lang w:val="en-US" w:eastAsia="zh-CN"/>
        </w:rPr>
        <w:t>2025</w:t>
      </w:r>
      <w:r>
        <w:rPr>
          <w:rFonts w:hint="eastAsia" w:ascii="Times New Roman" w:hAnsi="Times New Roman" w:eastAsia="方正仿宋_GB2312" w:cs="Times New Roman"/>
          <w:color w:val="auto"/>
          <w:sz w:val="32"/>
          <w:szCs w:val="32"/>
          <w:lang w:val="en-US" w:eastAsia="zh-CN"/>
        </w:rPr>
        <w:t>年，供应产业用地不少于3500亩。发挥南通综合金融服务平台线上作用，推动金融机构推出“新型工业化系列贷”专项产品。大力发展天使投资、风险投资、私募股权投资，用好股权投资基金高质量发展支持政策。发挥政府投资基金作用，引导社会资本投早、投小、投长期、投硬科技。</w:t>
      </w:r>
      <w:r>
        <w:rPr>
          <w:rFonts w:hint="eastAsia" w:ascii="仿宋" w:hAnsi="仿宋" w:eastAsia="仿宋"/>
          <w:color w:val="auto"/>
          <w:sz w:val="32"/>
          <w:szCs w:val="32"/>
        </w:rPr>
        <w:t>积极引导辖内保险公司大力发展科技保险，积极开办科技型企业创业责任保险、科技成果转化费用损失保险等险种，有效满足科技企业风险保障需求。</w:t>
      </w:r>
      <w:r>
        <w:rPr>
          <w:rFonts w:hint="default" w:ascii="Times New Roman" w:hAnsi="Times New Roman" w:eastAsia="方正仿宋_GB2312" w:cs="Times New Roman"/>
          <w:color w:val="auto"/>
          <w:sz w:val="32"/>
          <w:szCs w:val="32"/>
          <w:lang w:val="en-US" w:eastAsia="zh-CN"/>
        </w:rPr>
        <w:t>2025</w:t>
      </w:r>
      <w:r>
        <w:rPr>
          <w:rFonts w:hint="eastAsia" w:ascii="Times New Roman" w:hAnsi="Times New Roman" w:eastAsia="方正仿宋_GB2312" w:cs="Times New Roman"/>
          <w:color w:val="auto"/>
          <w:sz w:val="32"/>
          <w:szCs w:val="32"/>
          <w:lang w:val="en-US" w:eastAsia="zh-CN"/>
        </w:rPr>
        <w:t>年，力争新增制造业贷款规模20亿元。（牵头单位：市政府办、市自然资源和规划局，责任单位：市发改委、市科技局、市财政局、市国资委、启东金融监管支局）</w:t>
      </w:r>
    </w:p>
    <w:bookmarkEnd w:id="4"/>
    <w:p w14:paraId="6AEBC83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b/>
          <w:bCs/>
          <w:color w:val="auto"/>
          <w:sz w:val="32"/>
          <w:szCs w:val="32"/>
          <w:lang w:val="en-US" w:eastAsia="zh-CN"/>
        </w:rPr>
        <w:t>28．完善涉企服务生态。</w:t>
      </w:r>
      <w:r>
        <w:rPr>
          <w:rFonts w:hint="eastAsia" w:ascii="Times New Roman" w:hAnsi="Times New Roman" w:eastAsia="方正仿宋_GB2312" w:cs="Times New Roman"/>
          <w:color w:val="auto"/>
          <w:sz w:val="32"/>
          <w:szCs w:val="32"/>
          <w:lang w:val="en-US" w:eastAsia="zh-CN"/>
        </w:rPr>
        <w:t>出台“万事好通•益启企”4.0版，拓展企业服务中心功能，指导企业灵活运用好“惠企通”、“企业服务E企通”等小程序，加大南通“政策小灵通”和“政策计算器”宣贯推广，优化惠企资金直达快享机制，逐步扩大免申即享、限时快享覆盖面，更好实现政策直达、诉求直报、政企直通等。纵深开展“千企大走访”，构建涉企需求快速响应、闭环解决机制。深度对接张謇企业家学院，</w:t>
      </w:r>
      <w:r>
        <w:rPr>
          <w:rFonts w:hint="eastAsia" w:ascii="Times New Roman" w:hAnsi="Times New Roman" w:eastAsia="方正仿宋_GB2312" w:cs="Times New Roman"/>
          <w:b w:val="0"/>
          <w:bCs w:val="0"/>
          <w:color w:val="auto"/>
          <w:sz w:val="32"/>
          <w:szCs w:val="32"/>
          <w:highlight w:val="none"/>
          <w:lang w:val="en-US" w:eastAsia="zh-CN"/>
        </w:rPr>
        <w:t>积极开展“东疆大讲坛”暨通商总会启东分会民营企业培训和“服务企业畅聊会”等活动，开展金银铜牌企业家评选，</w:t>
      </w:r>
      <w:r>
        <w:rPr>
          <w:rFonts w:hint="eastAsia" w:ascii="Times New Roman" w:hAnsi="Times New Roman" w:eastAsia="方正仿宋_GB2312" w:cs="Times New Roman"/>
          <w:color w:val="auto"/>
          <w:sz w:val="32"/>
          <w:szCs w:val="32"/>
          <w:lang w:val="en-US" w:eastAsia="zh-CN"/>
        </w:rPr>
        <w:t>加强本土企业家梯队建设，</w:t>
      </w:r>
      <w:r>
        <w:rPr>
          <w:rFonts w:hint="eastAsia" w:ascii="Times New Roman" w:hAnsi="Times New Roman" w:eastAsia="方正仿宋_GB2312" w:cs="Times New Roman"/>
          <w:b w:val="0"/>
          <w:bCs w:val="0"/>
          <w:color w:val="auto"/>
          <w:sz w:val="32"/>
          <w:szCs w:val="32"/>
          <w:highlight w:val="none"/>
          <w:lang w:val="en-US" w:eastAsia="zh-CN"/>
        </w:rPr>
        <w:t>搭建政企沟通服务新平台，</w:t>
      </w:r>
      <w:r>
        <w:rPr>
          <w:rFonts w:hint="eastAsia" w:ascii="Times New Roman" w:hAnsi="Times New Roman" w:eastAsia="方正仿宋_GB2312" w:cs="Times New Roman"/>
          <w:color w:val="auto"/>
          <w:sz w:val="32"/>
          <w:szCs w:val="32"/>
          <w:lang w:val="en-US" w:eastAsia="zh-CN"/>
        </w:rPr>
        <w:t>全面营造尊商亲商安商的浓厚氛围。巩固政务服务标准化国家试点成效，深化“高效办成一件事”改革，推动更多服务事项“一网通办”。推进综合集成监管，开展规范涉企执法专项行动，有效降低物流成本，让实体经济轻装上阵。</w:t>
      </w:r>
      <w:r>
        <w:rPr>
          <w:rFonts w:hint="default" w:ascii="Times New Roman" w:hAnsi="Times New Roman" w:eastAsia="方正仿宋_GB2312" w:cs="Times New Roman"/>
          <w:color w:val="auto"/>
          <w:sz w:val="32"/>
          <w:szCs w:val="32"/>
          <w:lang w:val="en-US" w:eastAsia="zh-CN"/>
        </w:rPr>
        <w:t>深化政务服务“免证办”改革，创新“人工智能+政务服务”模式，推进涉企服务高质量“小巧灵”应用落地推广</w:t>
      </w:r>
      <w:r>
        <w:rPr>
          <w:rFonts w:hint="eastAsia" w:ascii="Times New Roman" w:hAnsi="Times New Roman" w:eastAsia="方正仿宋_GB2312" w:cs="Times New Roman"/>
          <w:color w:val="auto"/>
          <w:sz w:val="32"/>
          <w:szCs w:val="32"/>
          <w:lang w:val="en-US" w:eastAsia="zh-CN"/>
        </w:rPr>
        <w:t>，不断提升政务服务标准化、规范化、便利化水平。（牵头单位：市数据局、市发改委、市司法局、市工商联，责任单位：市委编办、市科技局、市财政局、市人社局、市住建局、市商务局、市市场监管局、市税务局、市工商联、市法院、市检察院、启东海关、启东金融监管支局）</w:t>
      </w:r>
    </w:p>
    <w:p w14:paraId="30D2C51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（十）实施绿色安全双轨护航行动</w:t>
      </w:r>
    </w:p>
    <w:p w14:paraId="607AA8E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b/>
          <w:bCs/>
          <w:color w:val="auto"/>
          <w:sz w:val="32"/>
          <w:szCs w:val="32"/>
          <w:highlight w:val="none"/>
          <w:lang w:val="en-US" w:eastAsia="zh-CN"/>
        </w:rPr>
        <w:t>29．开启绿色转型蜕变。</w:t>
      </w:r>
      <w:r>
        <w:rPr>
          <w:rFonts w:hint="eastAsia" w:ascii="Times New Roman" w:hAnsi="Times New Roman" w:eastAsia="方正仿宋_GB2312" w:cs="Times New Roman"/>
          <w:color w:val="auto"/>
          <w:sz w:val="32"/>
          <w:szCs w:val="32"/>
          <w:lang w:val="en-US" w:eastAsia="zh-CN"/>
        </w:rPr>
        <w:t>强化绿色体系建设，持续优化能源结构，开发光伏、风电等绿电资源，推动能耗双控逐步向碳排放双控转变，强化“双控”及污染减排约束性指标管理。推动“工业互联网+绿色制造”，鼓励企业实施工艺技术、生产装备、用能设备等绿色改造。围绕省市重大项目，扎实推进规划环评与项目环评联动、环评与排污许可“两证联办”，全力保障通州湾绿色化工拓展区（吕四港）建设。用好工业企业资源集约利用综合评价结果，统筹全市土地、人力、环境容量、园区承载力等要素资源。2025年，力争新增省级以上绿色工厂2家、打造一批（近）零碳工厂。（牵头部门：南通市启东生态环境局，责任部门：市发改委、市科技局、市数据局、市自然资源和规划局）</w:t>
      </w:r>
    </w:p>
    <w:p w14:paraId="2E9566D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2312" w:cs="Times New Roman"/>
          <w:color w:val="auto"/>
          <w:sz w:val="32"/>
          <w:szCs w:val="32"/>
          <w:lang w:val="en-US" w:eastAsia="zh-CN"/>
        </w:rPr>
        <w:sectPr>
          <w:footerReference r:id="rId3" w:type="default"/>
          <w:pgSz w:w="11906" w:h="16838"/>
          <w:pgMar w:top="1474" w:right="1531" w:bottom="1474" w:left="1531" w:header="720" w:footer="1247" w:gutter="0"/>
          <w:paperSrc w:first="7" w:other="7"/>
          <w:pgNumType w:fmt="numberInDash"/>
          <w:cols w:space="720" w:num="1"/>
          <w:docGrid w:type="linesAndChars" w:linePitch="590" w:charSpace="-1024"/>
        </w:sectPr>
      </w:pPr>
      <w:r>
        <w:rPr>
          <w:rFonts w:hint="eastAsia" w:ascii="Times New Roman" w:hAnsi="Times New Roman" w:eastAsia="方正仿宋_GB2312" w:cs="Times New Roman"/>
          <w:b/>
          <w:bCs/>
          <w:color w:val="auto"/>
          <w:sz w:val="32"/>
          <w:szCs w:val="32"/>
          <w:lang w:val="en-US" w:eastAsia="zh-CN"/>
        </w:rPr>
        <w:t>30．加强安全生产保障。</w:t>
      </w:r>
      <w:r>
        <w:rPr>
          <w:rFonts w:hint="eastAsia" w:ascii="Times New Roman" w:hAnsi="Times New Roman" w:eastAsia="方正仿宋_GB2312" w:cs="Times New Roman"/>
          <w:color w:val="auto"/>
          <w:sz w:val="32"/>
          <w:szCs w:val="32"/>
          <w:lang w:val="en-US" w:eastAsia="zh-CN"/>
        </w:rPr>
        <w:t>深化“治本攻坚”三年行动，持续深化“一图、两单、三卡、八必须”安全风险辨识管控，动态更新安全风险分布图、辨识和管控清单、江苏省工业企业安全生产风险报告系统信息，持续提升行业本质安全水平。（牵头部门：</w:t>
      </w:r>
      <w:r>
        <w:rPr>
          <w:rFonts w:hint="eastAsia" w:ascii="Times New Roman" w:hAnsi="Times New Roman" w:eastAsia="方正仿宋_GB2312" w:cs="Times New Roman"/>
          <w:color w:val="auto"/>
          <w:sz w:val="32"/>
          <w:szCs w:val="32"/>
          <w:highlight w:val="none"/>
          <w:lang w:val="en-US" w:eastAsia="zh-CN"/>
        </w:rPr>
        <w:t>市应急局</w:t>
      </w:r>
      <w:r>
        <w:rPr>
          <w:rFonts w:hint="eastAsia" w:ascii="Times New Roman" w:hAnsi="Times New Roman" w:eastAsia="方正仿宋_GB2312" w:cs="Times New Roman"/>
          <w:color w:val="auto"/>
          <w:sz w:val="32"/>
          <w:szCs w:val="32"/>
          <w:lang w:val="en-US" w:eastAsia="zh-CN"/>
        </w:rPr>
        <w:t>，责任部门：市发改委、市生态环境局、市应急管理局、市住建局、市市场监管局、市农业农村局、市消防救援大队等负有安全生产监督管理职责的部门按职责分工负责）</w:t>
      </w:r>
    </w:p>
    <w:p w14:paraId="77AFD7A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楷体" w:hAnsi="楷体" w:eastAsia="楷体" w:cs="楷体"/>
          <w:sz w:val="32"/>
          <w:szCs w:val="32"/>
          <w:lang w:val="en-US" w:eastAsia="zh-CN"/>
        </w:rPr>
      </w:pPr>
    </w:p>
    <w:sectPr>
      <w:footerReference r:id="rId4" w:type="default"/>
      <w:pgSz w:w="11906" w:h="16838"/>
      <w:pgMar w:top="1474" w:right="1531" w:bottom="1474" w:left="1531" w:header="720" w:footer="1247" w:gutter="0"/>
      <w:paperSrc w:first="7" w:other="7"/>
      <w:pgNumType w:fmt="numberInDash"/>
      <w:cols w:space="720" w:num="1"/>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3BB9AC-C1B5-42E6-B5CC-AE4C00D3EC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0EEB85E8-F9AC-45E7-92E1-9ACA5A5174D4}"/>
  </w:font>
  <w:font w:name="方正楷体_GBK">
    <w:panose1 w:val="02000000000000000000"/>
    <w:charset w:val="86"/>
    <w:family w:val="script"/>
    <w:pitch w:val="default"/>
    <w:sig w:usb0="800002BF" w:usb1="38CF7CFA" w:usb2="00000016" w:usb3="00000000" w:csb0="00040000" w:csb1="00000000"/>
    <w:embedRegular r:id="rId3" w:fontKey="{DED1FF2A-4531-4965-AE65-B16FB0D025FE}"/>
  </w:font>
  <w:font w:name="Book Antiqua">
    <w:altName w:val="Segoe Print"/>
    <w:panose1 w:val="02040602050305030304"/>
    <w:charset w:val="00"/>
    <w:family w:val="roman"/>
    <w:pitch w:val="default"/>
    <w:sig w:usb0="00000000" w:usb1="00000000" w:usb2="00000000" w:usb3="00000000" w:csb0="2000009F" w:csb1="DFD70000"/>
  </w:font>
  <w:font w:name="方正仿宋_GB2312">
    <w:panose1 w:val="02000000000000000000"/>
    <w:charset w:val="86"/>
    <w:family w:val="auto"/>
    <w:pitch w:val="default"/>
    <w:sig w:usb0="A00002BF" w:usb1="184F6CFA" w:usb2="00000012" w:usb3="00000000" w:csb0="00040001" w:csb1="00000000"/>
    <w:embedRegular r:id="rId4" w:fontKey="{F303EAB9-8847-48BD-9540-E692C56B1509}"/>
  </w:font>
  <w:font w:name="楷体">
    <w:panose1 w:val="02010609060101010101"/>
    <w:charset w:val="86"/>
    <w:family w:val="auto"/>
    <w:pitch w:val="default"/>
    <w:sig w:usb0="800002BF" w:usb1="38CF7CFA" w:usb2="00000016" w:usb3="00000000" w:csb0="00040001" w:csb1="00000000"/>
    <w:embedRegular r:id="rId5" w:fontKey="{455FD336-3939-490E-99C1-81CD4B9077F0}"/>
  </w:font>
  <w:font w:name="仿宋_GB2312">
    <w:panose1 w:val="02010609030101010101"/>
    <w:charset w:val="86"/>
    <w:family w:val="modern"/>
    <w:pitch w:val="default"/>
    <w:sig w:usb0="00000001" w:usb1="080E0000" w:usb2="00000000" w:usb3="00000000" w:csb0="00040000" w:csb1="00000000"/>
    <w:embedRegular r:id="rId6" w:fontKey="{F43811B0-C69B-427B-8789-96BF22921C7D}"/>
  </w:font>
  <w:font w:name="方正仿宋_GBK">
    <w:panose1 w:val="02000000000000000000"/>
    <w:charset w:val="86"/>
    <w:family w:val="script"/>
    <w:pitch w:val="default"/>
    <w:sig w:usb0="A00002BF" w:usb1="38CF7CFA" w:usb2="00082016" w:usb3="00000000" w:csb0="00040001" w:csb1="00000000"/>
    <w:embedRegular r:id="rId7" w:fontKey="{0C07C5C1-A390-415F-9AB9-72AEC64E0B69}"/>
  </w:font>
  <w:font w:name="仿宋">
    <w:panose1 w:val="02010609060101010101"/>
    <w:charset w:val="86"/>
    <w:family w:val="modern"/>
    <w:pitch w:val="default"/>
    <w:sig w:usb0="800002BF" w:usb1="38CF7CFA" w:usb2="00000016" w:usb3="00000000" w:csb0="00040001" w:csb1="00000000"/>
    <w:embedRegular r:id="rId8" w:fontKey="{1DD9B97D-FB02-42A1-9ACC-B28B5ECA09E8}"/>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BDD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8B3EE">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C8B3EE">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749D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8D49A">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D8D49A">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YmQ3Zjk3ODM5YjE5YjFjYzQ3MmVkZjZhZWNkNTAifQ=="/>
  </w:docVars>
  <w:rsids>
    <w:rsidRoot w:val="2EC24F34"/>
    <w:rsid w:val="00406303"/>
    <w:rsid w:val="00A65D56"/>
    <w:rsid w:val="00FD3AF2"/>
    <w:rsid w:val="01990C87"/>
    <w:rsid w:val="01A23AC6"/>
    <w:rsid w:val="01E268F0"/>
    <w:rsid w:val="01F01BD2"/>
    <w:rsid w:val="01F77895"/>
    <w:rsid w:val="021B011B"/>
    <w:rsid w:val="021B6AF3"/>
    <w:rsid w:val="024261A6"/>
    <w:rsid w:val="029C4EE2"/>
    <w:rsid w:val="02C60B85"/>
    <w:rsid w:val="02E4100B"/>
    <w:rsid w:val="03404493"/>
    <w:rsid w:val="035613BE"/>
    <w:rsid w:val="037800D1"/>
    <w:rsid w:val="03A762C0"/>
    <w:rsid w:val="04255EC3"/>
    <w:rsid w:val="0451447E"/>
    <w:rsid w:val="049B3C94"/>
    <w:rsid w:val="04C44C50"/>
    <w:rsid w:val="04E735E0"/>
    <w:rsid w:val="0551724E"/>
    <w:rsid w:val="056C189E"/>
    <w:rsid w:val="05783352"/>
    <w:rsid w:val="06984B35"/>
    <w:rsid w:val="06BF66C6"/>
    <w:rsid w:val="074B1659"/>
    <w:rsid w:val="077F7927"/>
    <w:rsid w:val="07FB4994"/>
    <w:rsid w:val="082801D8"/>
    <w:rsid w:val="08340E22"/>
    <w:rsid w:val="08512C9F"/>
    <w:rsid w:val="08A2442A"/>
    <w:rsid w:val="08C47915"/>
    <w:rsid w:val="08D20978"/>
    <w:rsid w:val="08E75686"/>
    <w:rsid w:val="08F32E1C"/>
    <w:rsid w:val="09094905"/>
    <w:rsid w:val="094921B7"/>
    <w:rsid w:val="0A7E3AF3"/>
    <w:rsid w:val="0A9C6DD3"/>
    <w:rsid w:val="0AB16B35"/>
    <w:rsid w:val="0AF15C64"/>
    <w:rsid w:val="0B2D019C"/>
    <w:rsid w:val="0BA53A2D"/>
    <w:rsid w:val="0C195AFE"/>
    <w:rsid w:val="0C41302A"/>
    <w:rsid w:val="0C7E1E32"/>
    <w:rsid w:val="0CDF0BBA"/>
    <w:rsid w:val="0CE045F1"/>
    <w:rsid w:val="0D2766C4"/>
    <w:rsid w:val="0D3256B8"/>
    <w:rsid w:val="0D643474"/>
    <w:rsid w:val="0D7D7A2B"/>
    <w:rsid w:val="0DD73C46"/>
    <w:rsid w:val="0E226604"/>
    <w:rsid w:val="0E4D63EB"/>
    <w:rsid w:val="0E66622E"/>
    <w:rsid w:val="0E720255"/>
    <w:rsid w:val="0F231C5E"/>
    <w:rsid w:val="0F407BE6"/>
    <w:rsid w:val="0F543075"/>
    <w:rsid w:val="0FE60171"/>
    <w:rsid w:val="10947BCD"/>
    <w:rsid w:val="10D4446D"/>
    <w:rsid w:val="10E104AA"/>
    <w:rsid w:val="10E727FD"/>
    <w:rsid w:val="113C2571"/>
    <w:rsid w:val="11813F2D"/>
    <w:rsid w:val="11AD25D1"/>
    <w:rsid w:val="11B97FC2"/>
    <w:rsid w:val="11EF5B70"/>
    <w:rsid w:val="12687563"/>
    <w:rsid w:val="12823991"/>
    <w:rsid w:val="129D0A99"/>
    <w:rsid w:val="130C65B6"/>
    <w:rsid w:val="13DF3855"/>
    <w:rsid w:val="13F90BD0"/>
    <w:rsid w:val="14C173FE"/>
    <w:rsid w:val="15050CD8"/>
    <w:rsid w:val="15A369A1"/>
    <w:rsid w:val="16230469"/>
    <w:rsid w:val="1635775C"/>
    <w:rsid w:val="16493E28"/>
    <w:rsid w:val="166B5873"/>
    <w:rsid w:val="16802ECD"/>
    <w:rsid w:val="16B72FA4"/>
    <w:rsid w:val="17AF0406"/>
    <w:rsid w:val="17CB7A63"/>
    <w:rsid w:val="17E86A50"/>
    <w:rsid w:val="180D32C7"/>
    <w:rsid w:val="181C1BE6"/>
    <w:rsid w:val="187B3CA6"/>
    <w:rsid w:val="19691A7C"/>
    <w:rsid w:val="19AC5F87"/>
    <w:rsid w:val="19E00326"/>
    <w:rsid w:val="19FB2A6A"/>
    <w:rsid w:val="1A783642"/>
    <w:rsid w:val="1B2B737F"/>
    <w:rsid w:val="1BBE01F3"/>
    <w:rsid w:val="1C093B64"/>
    <w:rsid w:val="1C3B1844"/>
    <w:rsid w:val="1C611E11"/>
    <w:rsid w:val="1C961170"/>
    <w:rsid w:val="1D2664D3"/>
    <w:rsid w:val="1D293D92"/>
    <w:rsid w:val="1D484219"/>
    <w:rsid w:val="1D514B84"/>
    <w:rsid w:val="1E353974"/>
    <w:rsid w:val="1F011EA0"/>
    <w:rsid w:val="1F0E2273"/>
    <w:rsid w:val="1F2B53D2"/>
    <w:rsid w:val="1F6C7108"/>
    <w:rsid w:val="1F833C2E"/>
    <w:rsid w:val="1FC97167"/>
    <w:rsid w:val="20032679"/>
    <w:rsid w:val="20340A84"/>
    <w:rsid w:val="203E5A35"/>
    <w:rsid w:val="216D06F2"/>
    <w:rsid w:val="22EB3FC4"/>
    <w:rsid w:val="23377209"/>
    <w:rsid w:val="233D40F4"/>
    <w:rsid w:val="23BC326A"/>
    <w:rsid w:val="23BE4DFD"/>
    <w:rsid w:val="23DF356C"/>
    <w:rsid w:val="24262DDA"/>
    <w:rsid w:val="2454639A"/>
    <w:rsid w:val="24C148B0"/>
    <w:rsid w:val="24E778A0"/>
    <w:rsid w:val="25A246E2"/>
    <w:rsid w:val="25C94365"/>
    <w:rsid w:val="264A3FE1"/>
    <w:rsid w:val="2666570F"/>
    <w:rsid w:val="2668054E"/>
    <w:rsid w:val="269F5473"/>
    <w:rsid w:val="26A035F0"/>
    <w:rsid w:val="279F537D"/>
    <w:rsid w:val="284E33D6"/>
    <w:rsid w:val="28AA222B"/>
    <w:rsid w:val="297665B1"/>
    <w:rsid w:val="29890373"/>
    <w:rsid w:val="29D15596"/>
    <w:rsid w:val="29E62364"/>
    <w:rsid w:val="29EC042F"/>
    <w:rsid w:val="2A094D30"/>
    <w:rsid w:val="2A265198"/>
    <w:rsid w:val="2A590497"/>
    <w:rsid w:val="2AC62C21"/>
    <w:rsid w:val="2ACB7210"/>
    <w:rsid w:val="2AD76101"/>
    <w:rsid w:val="2B0B7403"/>
    <w:rsid w:val="2BA91F74"/>
    <w:rsid w:val="2BC03B14"/>
    <w:rsid w:val="2D4A18E7"/>
    <w:rsid w:val="2D6A40FF"/>
    <w:rsid w:val="2DE90B0E"/>
    <w:rsid w:val="2E100D83"/>
    <w:rsid w:val="2E276676"/>
    <w:rsid w:val="2E952C8E"/>
    <w:rsid w:val="2EBB7D94"/>
    <w:rsid w:val="2EC24F34"/>
    <w:rsid w:val="2F153806"/>
    <w:rsid w:val="2F2D326E"/>
    <w:rsid w:val="2FBE2DA0"/>
    <w:rsid w:val="2FE75AD0"/>
    <w:rsid w:val="2FF344B8"/>
    <w:rsid w:val="30366CE3"/>
    <w:rsid w:val="30B11C7D"/>
    <w:rsid w:val="310D15A9"/>
    <w:rsid w:val="312F0038"/>
    <w:rsid w:val="31A812D2"/>
    <w:rsid w:val="323A732E"/>
    <w:rsid w:val="32587AB1"/>
    <w:rsid w:val="327827C9"/>
    <w:rsid w:val="329219DE"/>
    <w:rsid w:val="32A61CB5"/>
    <w:rsid w:val="32F01183"/>
    <w:rsid w:val="33C52C50"/>
    <w:rsid w:val="33D72AA1"/>
    <w:rsid w:val="33EF4F96"/>
    <w:rsid w:val="345D2848"/>
    <w:rsid w:val="349D0E96"/>
    <w:rsid w:val="34D13E25"/>
    <w:rsid w:val="352F39DC"/>
    <w:rsid w:val="355B3238"/>
    <w:rsid w:val="35D73F34"/>
    <w:rsid w:val="36496DE4"/>
    <w:rsid w:val="365A46BD"/>
    <w:rsid w:val="366A78B8"/>
    <w:rsid w:val="36DD557A"/>
    <w:rsid w:val="375B6FEA"/>
    <w:rsid w:val="37A206B6"/>
    <w:rsid w:val="38066D52"/>
    <w:rsid w:val="38253699"/>
    <w:rsid w:val="38264DBC"/>
    <w:rsid w:val="388A7983"/>
    <w:rsid w:val="38A50319"/>
    <w:rsid w:val="38B247E4"/>
    <w:rsid w:val="38D97FC3"/>
    <w:rsid w:val="39204943"/>
    <w:rsid w:val="397B6AFE"/>
    <w:rsid w:val="39882115"/>
    <w:rsid w:val="39900FC9"/>
    <w:rsid w:val="399F43CA"/>
    <w:rsid w:val="3AA641C2"/>
    <w:rsid w:val="3AF54116"/>
    <w:rsid w:val="3B27770B"/>
    <w:rsid w:val="3B3360B0"/>
    <w:rsid w:val="3B8A37E2"/>
    <w:rsid w:val="3BB10829"/>
    <w:rsid w:val="3C177780"/>
    <w:rsid w:val="3C6037A5"/>
    <w:rsid w:val="3C6D55F2"/>
    <w:rsid w:val="3C7F70D3"/>
    <w:rsid w:val="3CC05722"/>
    <w:rsid w:val="3CF61721"/>
    <w:rsid w:val="3D055344"/>
    <w:rsid w:val="3DA908AC"/>
    <w:rsid w:val="3E553164"/>
    <w:rsid w:val="3E907376"/>
    <w:rsid w:val="3E9E7CE5"/>
    <w:rsid w:val="3EA1619E"/>
    <w:rsid w:val="3ECB66BE"/>
    <w:rsid w:val="3EE9214E"/>
    <w:rsid w:val="40532D51"/>
    <w:rsid w:val="41391F47"/>
    <w:rsid w:val="415437CF"/>
    <w:rsid w:val="427F607F"/>
    <w:rsid w:val="43402012"/>
    <w:rsid w:val="43472D70"/>
    <w:rsid w:val="43B34232"/>
    <w:rsid w:val="43DE0B83"/>
    <w:rsid w:val="43EC32A0"/>
    <w:rsid w:val="44810D01"/>
    <w:rsid w:val="451C2179"/>
    <w:rsid w:val="45402EB7"/>
    <w:rsid w:val="457C771A"/>
    <w:rsid w:val="45857508"/>
    <w:rsid w:val="458F482B"/>
    <w:rsid w:val="458F65D9"/>
    <w:rsid w:val="459A29C2"/>
    <w:rsid w:val="45F27B9E"/>
    <w:rsid w:val="46170CC7"/>
    <w:rsid w:val="462B5C27"/>
    <w:rsid w:val="46491E27"/>
    <w:rsid w:val="469D33CF"/>
    <w:rsid w:val="46A55F29"/>
    <w:rsid w:val="46D30747"/>
    <w:rsid w:val="47775577"/>
    <w:rsid w:val="47AA3864"/>
    <w:rsid w:val="47BB1401"/>
    <w:rsid w:val="47D429C9"/>
    <w:rsid w:val="47F96FE2"/>
    <w:rsid w:val="486503BD"/>
    <w:rsid w:val="48BC050B"/>
    <w:rsid w:val="48F71F27"/>
    <w:rsid w:val="491A265E"/>
    <w:rsid w:val="49240F82"/>
    <w:rsid w:val="495E6D91"/>
    <w:rsid w:val="496640E6"/>
    <w:rsid w:val="499E67F9"/>
    <w:rsid w:val="49CF51F6"/>
    <w:rsid w:val="4A080708"/>
    <w:rsid w:val="4A270BB0"/>
    <w:rsid w:val="4AAE7501"/>
    <w:rsid w:val="4B6054F8"/>
    <w:rsid w:val="4B876FA2"/>
    <w:rsid w:val="4C651E42"/>
    <w:rsid w:val="4C9E2CFD"/>
    <w:rsid w:val="4CC10439"/>
    <w:rsid w:val="4CCC133C"/>
    <w:rsid w:val="4D05239A"/>
    <w:rsid w:val="4D145D39"/>
    <w:rsid w:val="4D3A32CE"/>
    <w:rsid w:val="4D6E11CA"/>
    <w:rsid w:val="4D873765"/>
    <w:rsid w:val="4DE84AD8"/>
    <w:rsid w:val="4DF95230"/>
    <w:rsid w:val="4E0D067F"/>
    <w:rsid w:val="4E335AA9"/>
    <w:rsid w:val="4E3E5F8B"/>
    <w:rsid w:val="4E565022"/>
    <w:rsid w:val="4E9C3B15"/>
    <w:rsid w:val="4EA74993"/>
    <w:rsid w:val="4F18319B"/>
    <w:rsid w:val="4F6C34E7"/>
    <w:rsid w:val="4F7576B4"/>
    <w:rsid w:val="4F9C0909"/>
    <w:rsid w:val="4F9F2F22"/>
    <w:rsid w:val="501B4736"/>
    <w:rsid w:val="50600E53"/>
    <w:rsid w:val="506348EA"/>
    <w:rsid w:val="508605D9"/>
    <w:rsid w:val="50C86E43"/>
    <w:rsid w:val="510D2AA8"/>
    <w:rsid w:val="514B6B4E"/>
    <w:rsid w:val="52320A18"/>
    <w:rsid w:val="525E0507"/>
    <w:rsid w:val="52C27F9B"/>
    <w:rsid w:val="52E2745F"/>
    <w:rsid w:val="536015B5"/>
    <w:rsid w:val="53B65DDC"/>
    <w:rsid w:val="53D0673A"/>
    <w:rsid w:val="54721074"/>
    <w:rsid w:val="54D9517B"/>
    <w:rsid w:val="55774994"/>
    <w:rsid w:val="55E24503"/>
    <w:rsid w:val="563621E8"/>
    <w:rsid w:val="56E70D9A"/>
    <w:rsid w:val="570B7A8A"/>
    <w:rsid w:val="5737262D"/>
    <w:rsid w:val="57E502DB"/>
    <w:rsid w:val="58597BF0"/>
    <w:rsid w:val="58A43CF2"/>
    <w:rsid w:val="58E16CF4"/>
    <w:rsid w:val="59141635"/>
    <w:rsid w:val="59590D63"/>
    <w:rsid w:val="59845D68"/>
    <w:rsid w:val="59CC1752"/>
    <w:rsid w:val="59EC76FE"/>
    <w:rsid w:val="5AB971BA"/>
    <w:rsid w:val="5B236E6D"/>
    <w:rsid w:val="5B2757C0"/>
    <w:rsid w:val="5B713816"/>
    <w:rsid w:val="5BA44471"/>
    <w:rsid w:val="5BDB7088"/>
    <w:rsid w:val="5C00705F"/>
    <w:rsid w:val="5C3710A4"/>
    <w:rsid w:val="5CBD5382"/>
    <w:rsid w:val="5CE33B4D"/>
    <w:rsid w:val="5DA45F90"/>
    <w:rsid w:val="5DB8163F"/>
    <w:rsid w:val="5DD15589"/>
    <w:rsid w:val="5E4C363C"/>
    <w:rsid w:val="5F6261C5"/>
    <w:rsid w:val="5FC609F2"/>
    <w:rsid w:val="60305848"/>
    <w:rsid w:val="60327E35"/>
    <w:rsid w:val="60A76A75"/>
    <w:rsid w:val="61001CE1"/>
    <w:rsid w:val="61637227"/>
    <w:rsid w:val="61792D05"/>
    <w:rsid w:val="619057DE"/>
    <w:rsid w:val="6198016C"/>
    <w:rsid w:val="61BB3D26"/>
    <w:rsid w:val="61ED6709"/>
    <w:rsid w:val="62E22448"/>
    <w:rsid w:val="63040CFF"/>
    <w:rsid w:val="63915374"/>
    <w:rsid w:val="63931953"/>
    <w:rsid w:val="63DD1911"/>
    <w:rsid w:val="63FC5C4C"/>
    <w:rsid w:val="64095351"/>
    <w:rsid w:val="64195594"/>
    <w:rsid w:val="64977226"/>
    <w:rsid w:val="64B74DAD"/>
    <w:rsid w:val="64C37BF6"/>
    <w:rsid w:val="651D2E62"/>
    <w:rsid w:val="65252D20"/>
    <w:rsid w:val="655C6724"/>
    <w:rsid w:val="6565190F"/>
    <w:rsid w:val="657333CA"/>
    <w:rsid w:val="65A75264"/>
    <w:rsid w:val="65BB2E5D"/>
    <w:rsid w:val="65C625BF"/>
    <w:rsid w:val="666F70E7"/>
    <w:rsid w:val="668E1D73"/>
    <w:rsid w:val="67042D1C"/>
    <w:rsid w:val="670F2C7E"/>
    <w:rsid w:val="671224A1"/>
    <w:rsid w:val="67A33D07"/>
    <w:rsid w:val="67B9590A"/>
    <w:rsid w:val="67BB4BB4"/>
    <w:rsid w:val="67E97973"/>
    <w:rsid w:val="68725BBA"/>
    <w:rsid w:val="68CF0BBE"/>
    <w:rsid w:val="68EF2D67"/>
    <w:rsid w:val="68F71C1C"/>
    <w:rsid w:val="69131DCD"/>
    <w:rsid w:val="692F13B6"/>
    <w:rsid w:val="693C3AD3"/>
    <w:rsid w:val="694F224C"/>
    <w:rsid w:val="69B83AA1"/>
    <w:rsid w:val="69C77840"/>
    <w:rsid w:val="6A876FCF"/>
    <w:rsid w:val="6A8F0C39"/>
    <w:rsid w:val="6AD278A5"/>
    <w:rsid w:val="6AD832FE"/>
    <w:rsid w:val="6AED777A"/>
    <w:rsid w:val="6B4A0729"/>
    <w:rsid w:val="6B576ADB"/>
    <w:rsid w:val="6B647753"/>
    <w:rsid w:val="6B6878A6"/>
    <w:rsid w:val="6BAA05BF"/>
    <w:rsid w:val="6BBC7679"/>
    <w:rsid w:val="6C234C10"/>
    <w:rsid w:val="6CC364F9"/>
    <w:rsid w:val="6CD0178A"/>
    <w:rsid w:val="6CF42A55"/>
    <w:rsid w:val="6D042B59"/>
    <w:rsid w:val="6D617FAC"/>
    <w:rsid w:val="6D7B3575"/>
    <w:rsid w:val="6DBD74EB"/>
    <w:rsid w:val="6E0C7F17"/>
    <w:rsid w:val="6E251CDB"/>
    <w:rsid w:val="6E46167B"/>
    <w:rsid w:val="6E9A19C7"/>
    <w:rsid w:val="6EA12D56"/>
    <w:rsid w:val="6EE0503A"/>
    <w:rsid w:val="6F481423"/>
    <w:rsid w:val="6FB865A9"/>
    <w:rsid w:val="6FD607DD"/>
    <w:rsid w:val="7045318A"/>
    <w:rsid w:val="707324D0"/>
    <w:rsid w:val="70B623BC"/>
    <w:rsid w:val="7123407B"/>
    <w:rsid w:val="714479C8"/>
    <w:rsid w:val="718D5BE3"/>
    <w:rsid w:val="72383EF2"/>
    <w:rsid w:val="73040356"/>
    <w:rsid w:val="7315786E"/>
    <w:rsid w:val="735A34D3"/>
    <w:rsid w:val="7379604F"/>
    <w:rsid w:val="738A1700"/>
    <w:rsid w:val="73D47405"/>
    <w:rsid w:val="73DC77D2"/>
    <w:rsid w:val="745E051D"/>
    <w:rsid w:val="748051BB"/>
    <w:rsid w:val="74AE5ED3"/>
    <w:rsid w:val="74C11324"/>
    <w:rsid w:val="757271FA"/>
    <w:rsid w:val="76320737"/>
    <w:rsid w:val="7691545E"/>
    <w:rsid w:val="779A537B"/>
    <w:rsid w:val="78362761"/>
    <w:rsid w:val="783E7867"/>
    <w:rsid w:val="787010DF"/>
    <w:rsid w:val="78791F80"/>
    <w:rsid w:val="79370EC7"/>
    <w:rsid w:val="794C5FB4"/>
    <w:rsid w:val="79B435F8"/>
    <w:rsid w:val="79D12015"/>
    <w:rsid w:val="79FC7092"/>
    <w:rsid w:val="7A301431"/>
    <w:rsid w:val="7A717BE2"/>
    <w:rsid w:val="7AB011BF"/>
    <w:rsid w:val="7AE446F6"/>
    <w:rsid w:val="7B1228E5"/>
    <w:rsid w:val="7B784E3E"/>
    <w:rsid w:val="7B7A6E08"/>
    <w:rsid w:val="7BDC53CD"/>
    <w:rsid w:val="7C0709C5"/>
    <w:rsid w:val="7C1E3C37"/>
    <w:rsid w:val="7C586A49"/>
    <w:rsid w:val="7CB65C1E"/>
    <w:rsid w:val="7CDA6DD1"/>
    <w:rsid w:val="7CEC5E4E"/>
    <w:rsid w:val="7D1E2889"/>
    <w:rsid w:val="7D2C4132"/>
    <w:rsid w:val="7D4B5CCA"/>
    <w:rsid w:val="7D7261BA"/>
    <w:rsid w:val="7DA43CC8"/>
    <w:rsid w:val="7E4F632A"/>
    <w:rsid w:val="7EE06F82"/>
    <w:rsid w:val="7F0569E9"/>
    <w:rsid w:val="7F1C29A2"/>
    <w:rsid w:val="7FDB599C"/>
    <w:rsid w:val="7FE07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Body Text Indent"/>
    <w:basedOn w:val="1"/>
    <w:semiHidden/>
    <w:qFormat/>
    <w:uiPriority w:val="99"/>
    <w:pPr>
      <w:spacing w:after="120"/>
      <w:ind w:left="420" w:leftChars="200"/>
    </w:pPr>
    <w:rPr>
      <w:kern w:val="0"/>
      <w:sz w:val="20"/>
    </w:rPr>
  </w:style>
  <w:style w:type="paragraph" w:styleId="5">
    <w:name w:val="Block Text"/>
    <w:basedOn w:val="1"/>
    <w:qFormat/>
    <w:uiPriority w:val="99"/>
    <w:pPr>
      <w:spacing w:after="120"/>
      <w:ind w:left="1440" w:leftChars="700" w:right="700" w:rightChars="7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widowControl/>
      <w:spacing w:beforeAutospacing="1" w:afterAutospacing="1"/>
      <w:jc w:val="left"/>
    </w:pPr>
    <w:rPr>
      <w:rFonts w:ascii="宋体" w:hAnsi="宋体" w:eastAsia="宋体"/>
      <w:sz w:val="24"/>
      <w:szCs w:val="24"/>
    </w:rPr>
  </w:style>
  <w:style w:type="paragraph" w:styleId="9">
    <w:name w:val="Body Text First Indent 2"/>
    <w:basedOn w:val="4"/>
    <w:next w:val="5"/>
    <w:qFormat/>
    <w:uiPriority w:val="99"/>
    <w:pPr>
      <w:spacing w:after="0"/>
      <w:ind w:left="0" w:leftChars="0" w:firstLine="420" w:firstLineChars="200"/>
    </w:pPr>
    <w:rPr>
      <w:sz w:val="32"/>
      <w:szCs w:val="22"/>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paragraph" w:customStyle="1" w:styleId="15">
    <w:name w:val="标题1"/>
    <w:basedOn w:val="1"/>
    <w:next w:val="1"/>
    <w:qFormat/>
    <w:uiPriority w:val="0"/>
    <w:pPr>
      <w:tabs>
        <w:tab w:val="left" w:pos="9193"/>
        <w:tab w:val="left" w:pos="9827"/>
      </w:tabs>
      <w:spacing w:line="700" w:lineRule="atLeast"/>
      <w:ind w:firstLine="0"/>
      <w:jc w:val="center"/>
    </w:pPr>
    <w:rPr>
      <w:rFonts w:ascii="方正小标宋_GBK" w:eastAsia="方正小标宋_GBK"/>
      <w:sz w:val="44"/>
    </w:rPr>
  </w:style>
  <w:style w:type="paragraph" w:customStyle="1" w:styleId="16">
    <w:name w:val="标题2"/>
    <w:basedOn w:val="1"/>
    <w:next w:val="1"/>
    <w:qFormat/>
    <w:uiPriority w:val="0"/>
    <w:pPr>
      <w:ind w:firstLine="0"/>
      <w:jc w:val="center"/>
    </w:pPr>
    <w:rPr>
      <w:rFonts w:ascii="方正楷体_GBK" w:hAnsi="Book Antiqua" w:eastAsia="方正楷体_GBK"/>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9581</Words>
  <Characters>9801</Characters>
  <Lines>0</Lines>
  <Paragraphs>0</Paragraphs>
  <TotalTime>217</TotalTime>
  <ScaleCrop>false</ScaleCrop>
  <LinksUpToDate>false</LinksUpToDate>
  <CharactersWithSpaces>9803</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2025-01-24T09:21:00Z</dcterms:created>
  <dc:creator>炜炜</dc:creator>
  <cp:lastModifiedBy>炜炜</cp:lastModifiedBy>
  <cp:lastPrinted>2025-02-08T06:08:00Z</cp:lastPrinted>
  <dcterms:modified xsi:type="dcterms:W3CDTF">2025-02-10T08:18:48Z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888E60A40B7A4ABCAF1646E744048361_13</vt:lpwstr>
  </property>
  <property fmtid="{D5CDD505-2E9C-101B-9397-08002B2CF9AE}" pid="4" name="KSOTemplateDocerSaveRecord">
    <vt:lpwstr>eyJoZGlkIjoiNzI2OTM0NDc0NWZkN2I2M2NhMTgzMjAyZmIwNTRlMGIiLCJ1c2VySWQiOiIzMzcxMDg2MDMifQ==</vt:lpwstr>
  </property>
</Properties>
</file>