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597F5">
      <w:pPr>
        <w:autoSpaceDE w:val="0"/>
        <w:autoSpaceDN w:val="0"/>
        <w:adjustRightInd w:val="0"/>
        <w:spacing w:line="312" w:lineRule="auto"/>
        <w:jc w:val="center"/>
        <w:rPr>
          <w:rFonts w:hint="eastAsia" w:ascii="仿宋" w:hAnsi="仿宋" w:eastAsia="仿宋" w:cs="仿宋"/>
          <w:b/>
          <w:sz w:val="52"/>
          <w:szCs w:val="52"/>
          <w:highlight w:val="none"/>
          <w:lang w:eastAsia="zh-CN"/>
        </w:rPr>
      </w:pPr>
      <w:r>
        <w:rPr>
          <w:rFonts w:hint="eastAsia" w:ascii="仿宋" w:hAnsi="仿宋" w:eastAsia="仿宋" w:cs="仿宋"/>
          <w:b/>
          <w:sz w:val="52"/>
          <w:szCs w:val="52"/>
          <w:highlight w:val="none"/>
          <w:lang w:eastAsia="zh-CN"/>
        </w:rPr>
        <w:t>启东市吕四港镇人民政府吕四港镇路灯电缆工程项目（四次）</w:t>
      </w:r>
    </w:p>
    <w:p w14:paraId="7998D151">
      <w:pPr>
        <w:autoSpaceDE w:val="0"/>
        <w:autoSpaceDN w:val="0"/>
        <w:adjustRightInd w:val="0"/>
        <w:spacing w:line="312" w:lineRule="auto"/>
        <w:jc w:val="center"/>
        <w:rPr>
          <w:rFonts w:hint="eastAsia" w:ascii="仿宋" w:hAnsi="仿宋" w:eastAsia="仿宋" w:cs="仿宋"/>
          <w:b/>
          <w:bCs/>
          <w:sz w:val="100"/>
          <w:szCs w:val="100"/>
          <w:highlight w:val="none"/>
          <w:lang w:val="zh-CN"/>
        </w:rPr>
      </w:pPr>
    </w:p>
    <w:p w14:paraId="76A36745">
      <w:pPr>
        <w:autoSpaceDE w:val="0"/>
        <w:autoSpaceDN w:val="0"/>
        <w:adjustRightInd w:val="0"/>
        <w:spacing w:line="312" w:lineRule="auto"/>
        <w:jc w:val="center"/>
        <w:rPr>
          <w:rFonts w:hint="eastAsia" w:ascii="仿宋" w:hAnsi="仿宋" w:eastAsia="仿宋" w:cs="仿宋"/>
          <w:b/>
          <w:sz w:val="44"/>
          <w:szCs w:val="44"/>
          <w:highlight w:val="none"/>
          <w:lang w:val="zh-CN"/>
        </w:rPr>
      </w:pPr>
      <w:r>
        <w:rPr>
          <w:rFonts w:hint="eastAsia" w:ascii="仿宋" w:hAnsi="仿宋" w:eastAsia="仿宋" w:cs="仿宋"/>
          <w:b/>
          <w:bCs/>
          <w:sz w:val="100"/>
          <w:szCs w:val="100"/>
          <w:highlight w:val="none"/>
          <w:lang w:val="zh-CN"/>
        </w:rPr>
        <w:t>采购询价文件</w:t>
      </w:r>
    </w:p>
    <w:p w14:paraId="0A237637">
      <w:pPr>
        <w:pStyle w:val="2"/>
        <w:rPr>
          <w:rFonts w:hint="eastAsia" w:ascii="仿宋" w:hAnsi="仿宋" w:eastAsia="仿宋" w:cs="仿宋"/>
          <w:highlight w:val="none"/>
          <w:lang w:val="zh-CN"/>
        </w:rPr>
      </w:pPr>
    </w:p>
    <w:p w14:paraId="1E3C94F9">
      <w:pPr>
        <w:rPr>
          <w:rFonts w:hint="eastAsia"/>
          <w:lang w:val="zh-CN"/>
        </w:rPr>
      </w:pPr>
    </w:p>
    <w:p w14:paraId="0D7ADA66">
      <w:pPr>
        <w:pStyle w:val="2"/>
        <w:rPr>
          <w:rFonts w:hint="eastAsia" w:ascii="仿宋" w:hAnsi="仿宋" w:eastAsia="仿宋" w:cs="仿宋"/>
          <w:highlight w:val="none"/>
          <w:lang w:val="zh-CN"/>
        </w:rPr>
      </w:pPr>
    </w:p>
    <w:p w14:paraId="3D193A4B">
      <w:pPr>
        <w:pStyle w:val="2"/>
        <w:rPr>
          <w:rFonts w:hint="eastAsia" w:ascii="仿宋" w:hAnsi="仿宋" w:eastAsia="仿宋" w:cs="仿宋"/>
          <w:highlight w:val="none"/>
          <w:lang w:val="zh-CN"/>
        </w:rPr>
      </w:pPr>
    </w:p>
    <w:p w14:paraId="0BDE34C7">
      <w:pPr>
        <w:pStyle w:val="2"/>
        <w:rPr>
          <w:rFonts w:hint="eastAsia" w:ascii="仿宋" w:hAnsi="仿宋" w:eastAsia="仿宋" w:cs="仿宋"/>
          <w:highlight w:val="none"/>
          <w:lang w:val="zh-CN"/>
        </w:rPr>
      </w:pPr>
    </w:p>
    <w:p w14:paraId="669B6E7D">
      <w:pPr>
        <w:pStyle w:val="2"/>
        <w:widowControl/>
        <w:spacing w:line="312" w:lineRule="auto"/>
        <w:rPr>
          <w:rFonts w:hint="eastAsia" w:ascii="仿宋" w:hAnsi="仿宋" w:eastAsia="仿宋" w:cs="仿宋"/>
          <w:highlight w:val="none"/>
        </w:rPr>
      </w:pPr>
    </w:p>
    <w:p w14:paraId="2178EBC7">
      <w:pPr>
        <w:autoSpaceDE w:val="0"/>
        <w:autoSpaceDN w:val="0"/>
        <w:adjustRightInd w:val="0"/>
        <w:spacing w:line="312" w:lineRule="auto"/>
        <w:rPr>
          <w:rFonts w:hint="eastAsia" w:ascii="仿宋" w:hAnsi="仿宋" w:eastAsia="仿宋" w:cs="仿宋"/>
          <w:b/>
          <w:bCs/>
          <w:sz w:val="36"/>
          <w:szCs w:val="36"/>
          <w:highlight w:val="none"/>
          <w:lang w:val="zh-CN"/>
        </w:rPr>
      </w:pPr>
    </w:p>
    <w:p w14:paraId="36FA03A4">
      <w:pPr>
        <w:pStyle w:val="2"/>
        <w:rPr>
          <w:rFonts w:hint="eastAsia" w:ascii="仿宋" w:hAnsi="仿宋" w:eastAsia="仿宋" w:cs="仿宋"/>
          <w:highlight w:val="none"/>
          <w:lang w:val="zh-CN"/>
        </w:rPr>
      </w:pPr>
    </w:p>
    <w:p w14:paraId="306A75F5">
      <w:pPr>
        <w:rPr>
          <w:rFonts w:hint="eastAsia" w:ascii="仿宋" w:hAnsi="仿宋" w:eastAsia="仿宋" w:cs="仿宋"/>
          <w:highlight w:val="none"/>
          <w:lang w:val="zh-CN"/>
        </w:rPr>
      </w:pPr>
    </w:p>
    <w:p w14:paraId="7F3C0780">
      <w:pPr>
        <w:rPr>
          <w:rFonts w:hint="eastAsia" w:ascii="仿宋" w:hAnsi="仿宋" w:eastAsia="仿宋" w:cs="仿宋"/>
          <w:highlight w:val="none"/>
          <w:lang w:val="zh-CN"/>
        </w:rPr>
      </w:pPr>
    </w:p>
    <w:p w14:paraId="3CF8AEFD">
      <w:pPr>
        <w:spacing w:line="312" w:lineRule="auto"/>
        <w:jc w:val="center"/>
        <w:rPr>
          <w:rFonts w:hint="default" w:ascii="仿宋" w:hAnsi="仿宋" w:eastAsia="仿宋" w:cs="仿宋"/>
          <w:b/>
          <w:spacing w:val="20"/>
          <w:sz w:val="44"/>
          <w:highlight w:val="none"/>
          <w:lang w:val="en-US" w:eastAsia="zh-CN"/>
        </w:rPr>
      </w:pPr>
      <w:r>
        <w:rPr>
          <w:rFonts w:hint="eastAsia" w:ascii="仿宋" w:hAnsi="仿宋" w:eastAsia="仿宋" w:cs="仿宋"/>
          <w:b/>
          <w:spacing w:val="20"/>
          <w:sz w:val="44"/>
          <w:highlight w:val="none"/>
          <w:lang w:val="en-US" w:eastAsia="zh-CN"/>
        </w:rPr>
        <w:t>启东市吕四港镇人民政府</w:t>
      </w:r>
    </w:p>
    <w:p w14:paraId="2B5DF28F">
      <w:pPr>
        <w:spacing w:line="312" w:lineRule="auto"/>
        <w:jc w:val="center"/>
        <w:rPr>
          <w:rFonts w:hint="eastAsia" w:ascii="仿宋" w:hAnsi="仿宋" w:eastAsia="仿宋" w:cs="仿宋"/>
          <w:b/>
          <w:sz w:val="36"/>
          <w:szCs w:val="36"/>
          <w:highlight w:val="none"/>
        </w:rPr>
      </w:pPr>
      <w:r>
        <w:rPr>
          <w:rFonts w:hint="eastAsia" w:ascii="仿宋" w:hAnsi="仿宋" w:eastAsia="仿宋" w:cs="仿宋"/>
          <w:b/>
          <w:bCs/>
          <w:sz w:val="32"/>
          <w:highlight w:val="none"/>
          <w:u w:val="single"/>
          <w:lang w:val="en-US" w:eastAsia="zh-CN"/>
        </w:rPr>
        <w:t xml:space="preserve">  2026  </w:t>
      </w:r>
      <w:r>
        <w:rPr>
          <w:rFonts w:hint="eastAsia" w:ascii="仿宋" w:hAnsi="仿宋" w:eastAsia="仿宋" w:cs="仿宋"/>
          <w:b/>
          <w:sz w:val="36"/>
          <w:szCs w:val="36"/>
          <w:highlight w:val="none"/>
        </w:rPr>
        <w:t>年</w:t>
      </w:r>
      <w:r>
        <w:rPr>
          <w:rFonts w:hint="eastAsia" w:ascii="仿宋" w:hAnsi="仿宋" w:eastAsia="仿宋" w:cs="仿宋"/>
          <w:b/>
          <w:bCs/>
          <w:sz w:val="32"/>
          <w:highlight w:val="none"/>
          <w:u w:val="single"/>
          <w:lang w:val="en-US" w:eastAsia="zh-CN"/>
        </w:rPr>
        <w:t xml:space="preserve">  5  </w:t>
      </w:r>
      <w:r>
        <w:rPr>
          <w:rFonts w:hint="eastAsia" w:ascii="仿宋" w:hAnsi="仿宋" w:eastAsia="仿宋" w:cs="仿宋"/>
          <w:b/>
          <w:bCs/>
          <w:sz w:val="32"/>
          <w:highlight w:val="none"/>
          <w:u w:val="none"/>
          <w:lang w:val="en-US" w:eastAsia="zh-CN"/>
        </w:rPr>
        <w:t>月</w:t>
      </w:r>
      <w:r>
        <w:rPr>
          <w:rFonts w:hint="eastAsia" w:ascii="仿宋" w:hAnsi="仿宋" w:eastAsia="仿宋" w:cs="仿宋"/>
          <w:b/>
          <w:bCs/>
          <w:sz w:val="32"/>
          <w:highlight w:val="none"/>
          <w:u w:val="single"/>
          <w:lang w:val="en-US" w:eastAsia="zh-CN"/>
        </w:rPr>
        <w:t xml:space="preserve">  15 </w:t>
      </w:r>
      <w:bookmarkStart w:id="66" w:name="_GoBack"/>
      <w:bookmarkEnd w:id="66"/>
      <w:r>
        <w:rPr>
          <w:rFonts w:hint="eastAsia" w:ascii="仿宋" w:hAnsi="仿宋" w:eastAsia="仿宋" w:cs="仿宋"/>
          <w:b/>
          <w:bCs/>
          <w:sz w:val="32"/>
          <w:highlight w:val="none"/>
          <w:u w:val="single"/>
          <w:lang w:val="en-US" w:eastAsia="zh-CN"/>
        </w:rPr>
        <w:t xml:space="preserve"> </w:t>
      </w:r>
      <w:r>
        <w:rPr>
          <w:rFonts w:hint="eastAsia" w:ascii="仿宋" w:hAnsi="仿宋" w:eastAsia="仿宋" w:cs="仿宋"/>
          <w:b/>
          <w:bCs/>
          <w:sz w:val="32"/>
          <w:highlight w:val="none"/>
          <w:u w:val="none"/>
          <w:lang w:val="en-US" w:eastAsia="zh-CN"/>
        </w:rPr>
        <w:t>日</w:t>
      </w:r>
    </w:p>
    <w:p w14:paraId="4E2F18D6">
      <w:pPr>
        <w:adjustRightInd w:val="0"/>
        <w:snapToGrid w:val="0"/>
        <w:spacing w:line="312" w:lineRule="auto"/>
        <w:ind w:left="-157" w:leftChars="-75"/>
        <w:rPr>
          <w:rFonts w:hint="eastAsia" w:ascii="仿宋" w:hAnsi="仿宋" w:eastAsia="仿宋" w:cs="仿宋"/>
          <w:b/>
          <w:snapToGrid w:val="0"/>
          <w:sz w:val="26"/>
          <w:szCs w:val="28"/>
          <w:highlight w:val="none"/>
          <w:u w:val="single"/>
        </w:rPr>
      </w:pPr>
    </w:p>
    <w:p w14:paraId="7FD8AF1E">
      <w:pPr>
        <w:pStyle w:val="2"/>
        <w:rPr>
          <w:rFonts w:hint="eastAsia" w:ascii="仿宋" w:hAnsi="仿宋" w:eastAsia="仿宋" w:cs="仿宋"/>
          <w:highlight w:val="none"/>
        </w:rPr>
      </w:pPr>
    </w:p>
    <w:p w14:paraId="58ACCC2B">
      <w:pPr>
        <w:rPr>
          <w:rFonts w:hint="eastAsia" w:ascii="仿宋" w:hAnsi="仿宋" w:eastAsia="仿宋" w:cs="仿宋"/>
          <w:highlight w:val="none"/>
        </w:rPr>
      </w:pPr>
    </w:p>
    <w:p w14:paraId="39DFCF1A">
      <w:pPr>
        <w:rPr>
          <w:rFonts w:hint="eastAsia"/>
        </w:rPr>
      </w:pPr>
    </w:p>
    <w:p w14:paraId="1CF4689D">
      <w:pPr>
        <w:adjustRightInd w:val="0"/>
        <w:snapToGrid w:val="0"/>
        <w:spacing w:line="500" w:lineRule="exact"/>
        <w:ind w:left="-157" w:leftChars="-75"/>
        <w:rPr>
          <w:rFonts w:hint="eastAsia" w:ascii="仿宋" w:hAnsi="仿宋" w:eastAsia="仿宋" w:cs="仿宋"/>
          <w:b/>
          <w:snapToGrid w:val="0"/>
          <w:sz w:val="26"/>
          <w:szCs w:val="28"/>
          <w:highlight w:val="none"/>
          <w:u w:val="single"/>
        </w:rPr>
      </w:pPr>
      <w:r>
        <w:rPr>
          <w:rFonts w:hint="eastAsia" w:ascii="仿宋" w:hAnsi="仿宋" w:eastAsia="仿宋" w:cs="仿宋"/>
          <w:b/>
          <w:snapToGrid w:val="0"/>
          <w:sz w:val="26"/>
          <w:szCs w:val="28"/>
          <w:highlight w:val="none"/>
          <w:u w:val="single"/>
        </w:rPr>
        <w:t>________________________________________________________________</w:t>
      </w:r>
    </w:p>
    <w:p w14:paraId="45A2BD0A">
      <w:pPr>
        <w:adjustRightInd w:val="0"/>
        <w:snapToGrid w:val="0"/>
        <w:ind w:left="-157" w:leftChars="-75"/>
        <w:jc w:val="left"/>
        <w:rPr>
          <w:rFonts w:hint="eastAsia" w:ascii="仿宋" w:hAnsi="仿宋" w:eastAsia="仿宋" w:cs="仿宋"/>
          <w:snapToGrid w:val="0"/>
          <w:sz w:val="32"/>
          <w:szCs w:val="32"/>
          <w:highlight w:val="none"/>
          <w:lang w:eastAsia="zh-CN"/>
        </w:rPr>
      </w:pPr>
      <w:r>
        <w:rPr>
          <w:rFonts w:hint="eastAsia" w:ascii="仿宋" w:hAnsi="仿宋" w:eastAsia="仿宋" w:cs="仿宋"/>
          <w:b/>
          <w:snapToGrid w:val="0"/>
          <w:sz w:val="32"/>
          <w:szCs w:val="32"/>
          <w:highlight w:val="none"/>
        </w:rPr>
        <w:t>地址：</w:t>
      </w:r>
      <w:r>
        <w:rPr>
          <w:rFonts w:hint="eastAsia" w:ascii="仿宋" w:hAnsi="仿宋" w:eastAsia="仿宋" w:cs="仿宋"/>
          <w:snapToGrid w:val="0"/>
          <w:sz w:val="32"/>
          <w:szCs w:val="32"/>
          <w:highlight w:val="none"/>
          <w:lang w:val="en-US" w:eastAsia="zh-CN"/>
        </w:rPr>
        <w:t>启东市吕四港镇人民政府</w:t>
      </w:r>
    </w:p>
    <w:p w14:paraId="7338B105">
      <w:pPr>
        <w:adjustRightInd w:val="0"/>
        <w:snapToGrid w:val="0"/>
        <w:ind w:left="-157" w:leftChars="-75"/>
        <w:jc w:val="left"/>
        <w:rPr>
          <w:rFonts w:hint="eastAsia" w:ascii="仿宋" w:hAnsi="仿宋" w:eastAsia="仿宋" w:cs="仿宋"/>
          <w:snapToGrid w:val="0"/>
          <w:sz w:val="32"/>
          <w:szCs w:val="32"/>
          <w:highlight w:val="none"/>
        </w:rPr>
      </w:pPr>
      <w:r>
        <w:rPr>
          <w:rFonts w:hint="eastAsia" w:ascii="仿宋" w:hAnsi="仿宋" w:eastAsia="仿宋" w:cs="仿宋"/>
          <w:b/>
          <w:snapToGrid w:val="0"/>
          <w:sz w:val="32"/>
          <w:szCs w:val="32"/>
          <w:highlight w:val="none"/>
        </w:rPr>
        <w:t>邮政编码：</w:t>
      </w:r>
      <w:r>
        <w:rPr>
          <w:rFonts w:hint="eastAsia" w:ascii="仿宋" w:hAnsi="仿宋" w:eastAsia="仿宋" w:cs="仿宋"/>
          <w:snapToGrid w:val="0"/>
          <w:sz w:val="32"/>
          <w:szCs w:val="32"/>
          <w:highlight w:val="none"/>
        </w:rPr>
        <w:t>226200</w:t>
      </w:r>
    </w:p>
    <w:p w14:paraId="60EC14BC">
      <w:pPr>
        <w:adjustRightInd w:val="0"/>
        <w:snapToGrid w:val="0"/>
        <w:ind w:left="-157" w:leftChars="-75" w:right="-600" w:rightChars="-286"/>
        <w:rPr>
          <w:rFonts w:hint="default" w:ascii="仿宋" w:hAnsi="仿宋" w:eastAsia="仿宋" w:cs="仿宋"/>
          <w:snapToGrid w:val="0"/>
          <w:sz w:val="32"/>
          <w:szCs w:val="32"/>
          <w:highlight w:val="none"/>
          <w:lang w:val="en-US" w:eastAsia="zh-CN"/>
        </w:rPr>
      </w:pPr>
      <w:r>
        <w:rPr>
          <w:rFonts w:hint="eastAsia" w:ascii="仿宋" w:hAnsi="仿宋" w:eastAsia="仿宋" w:cs="仿宋"/>
          <w:b/>
          <w:snapToGrid w:val="0"/>
          <w:sz w:val="32"/>
          <w:szCs w:val="32"/>
          <w:highlight w:val="none"/>
          <w:lang w:val="en-US" w:eastAsia="zh-CN"/>
        </w:rPr>
        <w:t>网址：</w:t>
      </w:r>
      <w:r>
        <w:rPr>
          <w:rFonts w:hint="eastAsia" w:ascii="仿宋" w:hAnsi="仿宋" w:eastAsia="仿宋" w:cs="仿宋"/>
          <w:snapToGrid w:val="0"/>
          <w:sz w:val="32"/>
          <w:szCs w:val="32"/>
          <w:highlight w:val="none"/>
          <w:lang w:val="en-US" w:eastAsia="zh-CN"/>
        </w:rPr>
        <w:t>启东市人民政府网</w:t>
      </w:r>
    </w:p>
    <w:p w14:paraId="3E79392B">
      <w:pPr>
        <w:tabs>
          <w:tab w:val="left" w:pos="1260"/>
        </w:tabs>
        <w:adjustRightInd w:val="0"/>
        <w:snapToGrid w:val="0"/>
        <w:spacing w:line="312" w:lineRule="auto"/>
        <w:ind w:left="-157" w:leftChars="-75" w:right="-600" w:rightChars="-286"/>
        <w:rPr>
          <w:rFonts w:hint="eastAsia" w:ascii="仿宋" w:hAnsi="仿宋" w:eastAsia="仿宋" w:cs="仿宋"/>
          <w:sz w:val="32"/>
          <w:szCs w:val="32"/>
          <w:highlight w:val="none"/>
        </w:rPr>
        <w:sectPr>
          <w:pgSz w:w="11906" w:h="16838"/>
          <w:pgMar w:top="1440" w:right="1758" w:bottom="1440" w:left="1758" w:header="851" w:footer="850" w:gutter="0"/>
          <w:pgNumType w:start="132"/>
          <w:cols w:space="720" w:num="1"/>
          <w:docGrid w:type="linesAndChars" w:linePitch="312" w:charSpace="0"/>
        </w:sectPr>
      </w:pPr>
    </w:p>
    <w:p w14:paraId="4C557D5D">
      <w:pPr>
        <w:autoSpaceDE w:val="0"/>
        <w:autoSpaceDN w:val="0"/>
        <w:adjustRightInd w:val="0"/>
        <w:snapToGrid w:val="0"/>
        <w:spacing w:line="360" w:lineRule="auto"/>
        <w:jc w:val="center"/>
        <w:outlineLvl w:val="0"/>
        <w:rPr>
          <w:rFonts w:hint="eastAsia" w:ascii="仿宋" w:hAnsi="仿宋" w:eastAsia="仿宋" w:cs="仿宋"/>
          <w:bCs/>
          <w:spacing w:val="7"/>
          <w:kern w:val="0"/>
          <w:sz w:val="44"/>
          <w:szCs w:val="44"/>
          <w:highlight w:val="none"/>
        </w:rPr>
      </w:pPr>
      <w:r>
        <w:rPr>
          <w:rFonts w:hint="eastAsia" w:ascii="仿宋" w:hAnsi="仿宋" w:eastAsia="仿宋" w:cs="仿宋"/>
          <w:bCs/>
          <w:spacing w:val="7"/>
          <w:kern w:val="0"/>
          <w:sz w:val="44"/>
          <w:szCs w:val="44"/>
          <w:highlight w:val="none"/>
        </w:rPr>
        <w:t>目录</w:t>
      </w:r>
    </w:p>
    <w:p w14:paraId="06B73A32">
      <w:pPr>
        <w:autoSpaceDE w:val="0"/>
        <w:autoSpaceDN w:val="0"/>
        <w:adjustRightInd w:val="0"/>
        <w:snapToGrid w:val="0"/>
        <w:spacing w:line="360" w:lineRule="auto"/>
        <w:rPr>
          <w:rFonts w:hint="eastAsia" w:ascii="仿宋" w:hAnsi="仿宋" w:eastAsia="仿宋" w:cs="仿宋"/>
          <w:bCs/>
          <w:spacing w:val="7"/>
          <w:kern w:val="0"/>
          <w:sz w:val="28"/>
          <w:szCs w:val="28"/>
          <w:highlight w:val="none"/>
        </w:rPr>
      </w:pPr>
    </w:p>
    <w:p w14:paraId="3E4048BC">
      <w:pPr>
        <w:pStyle w:val="2"/>
        <w:adjustRightInd w:val="0"/>
        <w:snapToGrid w:val="0"/>
        <w:spacing w:after="0" w:line="360" w:lineRule="auto"/>
        <w:rPr>
          <w:rFonts w:hint="eastAsia" w:ascii="仿宋" w:hAnsi="仿宋" w:eastAsia="仿宋" w:cs="仿宋"/>
          <w:highlight w:val="none"/>
        </w:rPr>
      </w:pPr>
    </w:p>
    <w:p w14:paraId="43333375">
      <w:pPr>
        <w:adjustRightInd w:val="0"/>
        <w:snapToGrid w:val="0"/>
        <w:spacing w:line="360" w:lineRule="auto"/>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第一部分  询价采购公告</w:t>
      </w:r>
    </w:p>
    <w:p w14:paraId="1E49DD35">
      <w:pPr>
        <w:adjustRightInd w:val="0"/>
        <w:snapToGrid w:val="0"/>
        <w:spacing w:line="360" w:lineRule="auto"/>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第二部分  响应须知</w:t>
      </w:r>
    </w:p>
    <w:p w14:paraId="12B7FB98">
      <w:pPr>
        <w:adjustRightInd w:val="0"/>
        <w:snapToGrid w:val="0"/>
        <w:spacing w:line="360" w:lineRule="auto"/>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第三部分  项目需求</w:t>
      </w:r>
    </w:p>
    <w:p w14:paraId="373BB8AE">
      <w:pPr>
        <w:adjustRightInd w:val="0"/>
        <w:snapToGrid w:val="0"/>
        <w:spacing w:line="360" w:lineRule="auto"/>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第四部分  响应文件格式</w:t>
      </w:r>
    </w:p>
    <w:p w14:paraId="1AF8B2BF">
      <w:pPr>
        <w:autoSpaceDE w:val="0"/>
        <w:autoSpaceDN w:val="0"/>
        <w:adjustRightInd w:val="0"/>
        <w:snapToGrid w:val="0"/>
        <w:spacing w:line="500" w:lineRule="exact"/>
        <w:jc w:val="center"/>
        <w:outlineLvl w:val="0"/>
        <w:rPr>
          <w:rFonts w:hint="eastAsia" w:ascii="仿宋" w:hAnsi="仿宋" w:eastAsia="仿宋" w:cs="仿宋"/>
          <w:sz w:val="36"/>
          <w:szCs w:val="36"/>
          <w:highlight w:val="yellow"/>
          <w:lang w:val="zh-CN"/>
        </w:rPr>
        <w:sectPr>
          <w:footerReference r:id="rId3" w:type="default"/>
          <w:footerReference r:id="rId4" w:type="even"/>
          <w:pgSz w:w="11915" w:h="16840"/>
          <w:pgMar w:top="1440" w:right="1758" w:bottom="567" w:left="1758" w:header="851" w:footer="850" w:gutter="0"/>
          <w:pgNumType w:fmt="decimal" w:start="1"/>
          <w:cols w:space="720" w:num="1"/>
          <w:docGrid w:type="linesAndChars" w:linePitch="312" w:charSpace="0"/>
        </w:sectPr>
      </w:pPr>
      <w:bookmarkStart w:id="0" w:name="OLE_LINK6"/>
      <w:bookmarkStart w:id="1" w:name="OLE_LINK5"/>
      <w:bookmarkStart w:id="2" w:name="OLE_LINK1"/>
      <w:bookmarkStart w:id="3" w:name="OLE_LINK2"/>
      <w:bookmarkStart w:id="4" w:name="OLE_LINK3"/>
    </w:p>
    <w:p w14:paraId="0928C979">
      <w:pPr>
        <w:autoSpaceDE w:val="0"/>
        <w:autoSpaceDN w:val="0"/>
        <w:adjustRightInd w:val="0"/>
        <w:snapToGrid w:val="0"/>
        <w:spacing w:line="500" w:lineRule="exact"/>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val="zh-CN"/>
        </w:rPr>
        <w:t>第一部分  询价采购公告</w:t>
      </w:r>
    </w:p>
    <w:p w14:paraId="7CC5EDC3">
      <w:pPr>
        <w:adjustRightInd w:val="0"/>
        <w:snapToGrid w:val="0"/>
        <w:spacing w:line="5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受[启东市吕四港镇人民政府</w:t>
      </w:r>
      <w:r>
        <w:rPr>
          <w:rFonts w:hint="eastAsia" w:ascii="仿宋" w:hAnsi="仿宋" w:eastAsia="仿宋" w:cs="仿宋"/>
          <w:sz w:val="28"/>
          <w:szCs w:val="28"/>
          <w:highlight w:val="none"/>
        </w:rPr>
        <w:t>]的委托，</w:t>
      </w:r>
      <w:r>
        <w:rPr>
          <w:rFonts w:hint="eastAsia" w:ascii="仿宋" w:hAnsi="仿宋" w:eastAsia="仿宋" w:cs="仿宋"/>
          <w:sz w:val="28"/>
          <w:szCs w:val="28"/>
          <w:highlight w:val="none"/>
          <w:lang w:eastAsia="zh-CN"/>
        </w:rPr>
        <w:t>启东市吕四港镇人民政府</w:t>
      </w:r>
      <w:r>
        <w:rPr>
          <w:rFonts w:hint="eastAsia" w:ascii="仿宋" w:hAnsi="仿宋" w:eastAsia="仿宋" w:cs="仿宋"/>
          <w:sz w:val="28"/>
          <w:szCs w:val="28"/>
          <w:highlight w:val="none"/>
          <w:lang w:val="en-US" w:eastAsia="zh-CN"/>
        </w:rPr>
        <w:t>就</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启东市吕四港镇人民政府吕四港镇路灯电缆工程项目（四次）</w:t>
      </w:r>
      <w:r>
        <w:rPr>
          <w:rFonts w:hint="eastAsia" w:ascii="仿宋" w:hAnsi="仿宋" w:eastAsia="仿宋" w:cs="仿宋"/>
          <w:sz w:val="28"/>
          <w:szCs w:val="28"/>
          <w:highlight w:val="none"/>
        </w:rPr>
        <w:t>]进行询价采购，欢迎符合条件的供应商响应。</w:t>
      </w:r>
    </w:p>
    <w:p w14:paraId="503F44A1">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项目概况</w:t>
      </w:r>
    </w:p>
    <w:p w14:paraId="2638B8D2">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启东市吕四港镇人民政府吕四港镇路灯电缆工程项目（四次）</w:t>
      </w:r>
      <w:r>
        <w:rPr>
          <w:rFonts w:hint="eastAsia" w:ascii="仿宋" w:hAnsi="仿宋" w:eastAsia="仿宋" w:cs="仿宋"/>
          <w:sz w:val="28"/>
          <w:szCs w:val="28"/>
          <w:highlight w:val="none"/>
        </w:rPr>
        <w:t>]的潜在响应供应商应在</w:t>
      </w:r>
      <w:r>
        <w:rPr>
          <w:rFonts w:hint="eastAsia" w:ascii="仿宋" w:hAnsi="仿宋" w:eastAsia="仿宋" w:cs="仿宋"/>
          <w:sz w:val="28"/>
          <w:szCs w:val="28"/>
          <w:highlight w:val="none"/>
          <w:lang w:val="en-US" w:eastAsia="zh-CN"/>
        </w:rPr>
        <w:t>启东市人民政府网</w:t>
      </w:r>
      <w:r>
        <w:rPr>
          <w:rFonts w:hint="eastAsia" w:ascii="仿宋" w:hAnsi="仿宋" w:eastAsia="仿宋" w:cs="仿宋"/>
          <w:sz w:val="28"/>
          <w:szCs w:val="28"/>
          <w:highlight w:val="none"/>
        </w:rPr>
        <w:t>获取采购文件，并于</w:t>
      </w: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25</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点</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分（北京时间）前递交响应文件。</w:t>
      </w:r>
    </w:p>
    <w:p w14:paraId="34375985">
      <w:pPr>
        <w:adjustRightInd w:val="0"/>
        <w:snapToGrid w:val="0"/>
        <w:spacing w:line="500" w:lineRule="exact"/>
        <w:ind w:firstLine="562" w:firstLineChars="200"/>
        <w:rPr>
          <w:rFonts w:hint="default" w:ascii="仿宋" w:hAnsi="仿宋" w:eastAsia="仿宋" w:cs="仿宋"/>
          <w:sz w:val="28"/>
          <w:szCs w:val="28"/>
          <w:highlight w:val="none"/>
          <w:lang w:val="en-US" w:eastAsia="zh-CN"/>
        </w:rPr>
      </w:pPr>
      <w:bookmarkStart w:id="5" w:name="_Toc82505652"/>
      <w:r>
        <w:rPr>
          <w:rFonts w:hint="eastAsia" w:ascii="仿宋" w:hAnsi="仿宋" w:eastAsia="仿宋" w:cs="仿宋"/>
          <w:b/>
          <w:bCs/>
          <w:sz w:val="28"/>
          <w:szCs w:val="28"/>
          <w:highlight w:val="none"/>
        </w:rPr>
        <w:t>一、项目基本情况</w:t>
      </w:r>
      <w:bookmarkEnd w:id="5"/>
      <w:r>
        <w:rPr>
          <w:rFonts w:hint="eastAsia" w:ascii="仿宋" w:hAnsi="仿宋" w:eastAsia="仿宋" w:cs="仿宋"/>
          <w:sz w:val="28"/>
          <w:szCs w:val="28"/>
          <w:highlight w:val="none"/>
          <w:lang w:val="en-US" w:eastAsia="zh-CN"/>
        </w:rPr>
        <w:t xml:space="preserve">                          </w:t>
      </w:r>
    </w:p>
    <w:p w14:paraId="4A721FA1">
      <w:pPr>
        <w:adjustRightInd w:val="0"/>
        <w:snapToGrid w:val="0"/>
        <w:spacing w:line="50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eastAsia="zh-CN"/>
        </w:rPr>
        <w:t>启东市吕四港镇人民政府吕四港镇路灯电缆工程项目（四次）</w:t>
      </w:r>
    </w:p>
    <w:p w14:paraId="173434F0">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项目类型：货物</w:t>
      </w:r>
    </w:p>
    <w:p w14:paraId="48DF9FAC">
      <w:pPr>
        <w:adjustRightInd w:val="0"/>
        <w:snapToGrid w:val="0"/>
        <w:spacing w:line="50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所属行</w:t>
      </w:r>
      <w:r>
        <w:rPr>
          <w:rFonts w:hint="eastAsia" w:ascii="仿宋" w:hAnsi="仿宋" w:eastAsia="仿宋" w:cs="仿宋"/>
          <w:sz w:val="28"/>
          <w:szCs w:val="28"/>
          <w:highlight w:val="none"/>
          <w:lang w:eastAsia="zh-CN"/>
        </w:rPr>
        <w:t>业：工业</w:t>
      </w:r>
    </w:p>
    <w:p w14:paraId="7B6528CC">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预算金额：</w:t>
      </w:r>
      <w:r>
        <w:rPr>
          <w:rFonts w:hint="eastAsia" w:ascii="仿宋" w:hAnsi="仿宋" w:eastAsia="仿宋" w:cs="仿宋"/>
          <w:sz w:val="28"/>
          <w:szCs w:val="28"/>
          <w:highlight w:val="none"/>
          <w:lang w:val="en-US" w:eastAsia="zh-CN"/>
        </w:rPr>
        <w:t>90万元</w:t>
      </w:r>
    </w:p>
    <w:p w14:paraId="24F4F788">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最高限价</w:t>
      </w:r>
      <w:r>
        <w:rPr>
          <w:rFonts w:hint="eastAsia" w:ascii="仿宋" w:hAnsi="仿宋" w:eastAsia="仿宋" w:cs="仿宋"/>
          <w:sz w:val="28"/>
          <w:szCs w:val="28"/>
          <w:highlight w:val="none"/>
          <w:lang w:val="en-US" w:eastAsia="zh-CN"/>
        </w:rPr>
        <w:t>：779000.00元。</w:t>
      </w:r>
    </w:p>
    <w:p w14:paraId="64C8F2F2">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采购需求：详见询价文件，请仔细研究。</w:t>
      </w:r>
    </w:p>
    <w:p w14:paraId="5E318F66">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合同履行期限：详见询价文件第三部分项目需求。</w:t>
      </w:r>
    </w:p>
    <w:p w14:paraId="42749D0F">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本项目是否接受联合体投标：</w:t>
      </w:r>
      <w:r>
        <w:rPr>
          <w:rFonts w:hint="eastAsia" w:ascii="仿宋" w:hAnsi="仿宋" w:eastAsia="仿宋" w:cs="仿宋"/>
          <w:sz w:val="28"/>
          <w:szCs w:val="28"/>
          <w:highlight w:val="none"/>
          <w:lang w:val="en-US" w:eastAsia="zh-CN"/>
        </w:rPr>
        <w:t>否</w:t>
      </w:r>
      <w:r>
        <w:rPr>
          <w:rFonts w:hint="eastAsia" w:ascii="仿宋" w:hAnsi="仿宋" w:eastAsia="仿宋" w:cs="仿宋"/>
          <w:sz w:val="28"/>
          <w:szCs w:val="28"/>
          <w:highlight w:val="none"/>
        </w:rPr>
        <w:t>。</w:t>
      </w:r>
    </w:p>
    <w:p w14:paraId="274A79E9">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本项目是否接受分包：</w:t>
      </w:r>
      <w:r>
        <w:rPr>
          <w:rFonts w:hint="eastAsia" w:ascii="仿宋" w:hAnsi="仿宋" w:eastAsia="仿宋" w:cs="仿宋"/>
          <w:sz w:val="28"/>
          <w:szCs w:val="28"/>
          <w:highlight w:val="none"/>
          <w:lang w:val="en-US" w:eastAsia="zh-CN"/>
        </w:rPr>
        <w:t>否</w:t>
      </w:r>
      <w:r>
        <w:rPr>
          <w:rFonts w:hint="eastAsia" w:ascii="仿宋" w:hAnsi="仿宋" w:eastAsia="仿宋" w:cs="仿宋"/>
          <w:sz w:val="28"/>
          <w:szCs w:val="28"/>
          <w:highlight w:val="none"/>
        </w:rPr>
        <w:t>。</w:t>
      </w:r>
    </w:p>
    <w:p w14:paraId="6F33ACE5">
      <w:pPr>
        <w:adjustRightInd w:val="0"/>
        <w:snapToGrid w:val="0"/>
        <w:spacing w:line="500" w:lineRule="exact"/>
        <w:ind w:firstLine="562" w:firstLineChars="200"/>
        <w:rPr>
          <w:rFonts w:hint="eastAsia" w:ascii="仿宋" w:hAnsi="仿宋" w:eastAsia="仿宋" w:cs="仿宋"/>
          <w:b/>
          <w:bCs/>
          <w:sz w:val="28"/>
          <w:szCs w:val="28"/>
          <w:highlight w:val="none"/>
        </w:rPr>
      </w:pPr>
      <w:bookmarkStart w:id="6" w:name="_Toc82505653"/>
      <w:r>
        <w:rPr>
          <w:rFonts w:hint="eastAsia" w:ascii="仿宋" w:hAnsi="仿宋" w:eastAsia="仿宋" w:cs="仿宋"/>
          <w:b/>
          <w:bCs/>
          <w:sz w:val="28"/>
          <w:szCs w:val="28"/>
          <w:highlight w:val="none"/>
        </w:rPr>
        <w:t>二、响应供应商的资格要求：</w:t>
      </w:r>
      <w:bookmarkEnd w:id="6"/>
    </w:p>
    <w:p w14:paraId="2C7CB172">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1.满足《中华人民共和国政府采购法》第二十二条规定；</w:t>
      </w:r>
    </w:p>
    <w:p w14:paraId="46B03DC0">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2.落实政府采购政策需满足的资格要求：</w:t>
      </w:r>
      <w:r>
        <w:rPr>
          <w:rFonts w:hint="eastAsia" w:ascii="仿宋" w:hAnsi="仿宋" w:eastAsia="仿宋" w:cs="仿宋"/>
          <w:sz w:val="28"/>
          <w:szCs w:val="28"/>
          <w:highlight w:val="none"/>
          <w:lang w:val="en-US" w:eastAsia="zh-CN"/>
        </w:rPr>
        <w:t>本项目属于专门面向中小企业采购的项目（货物类项目响应供应商提供的货物应全部由符合政策要求的中小微企业制造或者服务类项目的服务全部由符合政策要求的中小微企业承接），残疾人福利性单位、监狱和戒毒企业（简称监狱企业）视同小型、微型企业，响应供应商应按采购文件要求填写并提供《中小企业声明函》或《残疾人福利性单位声明函》，或提供由省级以上监狱管理局、戒毒管理局(含新疆生产建设兵团)出具的属于监狱企业的证明文件。</w:t>
      </w:r>
    </w:p>
    <w:p w14:paraId="0B2810F7">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3.本项目的特定资格要求：</w:t>
      </w:r>
      <w:r>
        <w:rPr>
          <w:rFonts w:eastAsia="方正仿宋_GBK"/>
          <w:color w:val="000000"/>
          <w:sz w:val="28"/>
          <w:szCs w:val="28"/>
        </w:rPr>
        <w:t>在“信用中国”网站（www.creditchina.gov.cn）查询，无被列入失信被执行人、重大税收违法案件当事人名单、政府采购严重失信行为记录名单及其他不符合《中华人民共和国政府采购法》第二十二条规定条件的信用记录。（</w:t>
      </w:r>
      <w:r>
        <w:rPr>
          <w:rFonts w:hint="eastAsia" w:eastAsia="方正仿宋_GBK"/>
          <w:color w:val="000000"/>
          <w:sz w:val="28"/>
          <w:szCs w:val="28"/>
        </w:rPr>
        <w:t>响应</w:t>
      </w:r>
      <w:r>
        <w:rPr>
          <w:rFonts w:eastAsia="方正仿宋_GBK"/>
          <w:color w:val="000000"/>
          <w:sz w:val="28"/>
          <w:szCs w:val="28"/>
        </w:rPr>
        <w:t>文件中无需提供证明材料）</w:t>
      </w:r>
    </w:p>
    <w:p w14:paraId="137A3101">
      <w:pPr>
        <w:adjustRightInd w:val="0"/>
        <w:snapToGrid w:val="0"/>
        <w:spacing w:line="500" w:lineRule="exact"/>
        <w:ind w:firstLine="560" w:firstLineChars="200"/>
        <w:rPr>
          <w:rFonts w:hint="eastAsia"/>
        </w:rPr>
      </w:pPr>
      <w:r>
        <w:rPr>
          <w:rFonts w:hint="eastAsia" w:ascii="仿宋" w:hAnsi="仿宋" w:eastAsia="仿宋" w:cs="仿宋"/>
          <w:sz w:val="28"/>
          <w:szCs w:val="28"/>
          <w:highlight w:val="none"/>
          <w:lang w:val="en-US" w:eastAsia="zh-CN"/>
        </w:rPr>
        <w:t>4.本项目不接受联合体投标。</w:t>
      </w:r>
    </w:p>
    <w:p w14:paraId="49AF1EB9">
      <w:pPr>
        <w:adjustRightInd w:val="0"/>
        <w:snapToGrid w:val="0"/>
        <w:spacing w:line="500" w:lineRule="exact"/>
        <w:ind w:firstLine="562" w:firstLineChars="200"/>
        <w:rPr>
          <w:rFonts w:hint="eastAsia" w:ascii="仿宋" w:hAnsi="仿宋" w:eastAsia="仿宋" w:cs="仿宋"/>
          <w:b/>
          <w:bCs/>
          <w:sz w:val="28"/>
          <w:szCs w:val="28"/>
          <w:highlight w:val="none"/>
        </w:rPr>
      </w:pPr>
      <w:bookmarkStart w:id="7" w:name="_Toc82505654"/>
      <w:r>
        <w:rPr>
          <w:rFonts w:hint="eastAsia" w:ascii="仿宋" w:hAnsi="仿宋" w:eastAsia="仿宋" w:cs="仿宋"/>
          <w:b/>
          <w:bCs/>
          <w:sz w:val="28"/>
          <w:szCs w:val="28"/>
          <w:highlight w:val="none"/>
        </w:rPr>
        <w:t>三、获取采购文件</w:t>
      </w:r>
      <w:bookmarkEnd w:id="7"/>
    </w:p>
    <w:p w14:paraId="5E3A7500">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时间：自本公告发布之日起至</w:t>
      </w: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25</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点</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w:t>
      </w:r>
    </w:p>
    <w:p w14:paraId="03A75A05">
      <w:pPr>
        <w:adjustRightInd w:val="0"/>
        <w:snapToGrid w:val="0"/>
        <w:spacing w:line="5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地点：</w:t>
      </w:r>
      <w:r>
        <w:rPr>
          <w:rFonts w:hint="eastAsia" w:ascii="仿宋" w:hAnsi="仿宋" w:eastAsia="仿宋" w:cs="仿宋"/>
          <w:sz w:val="28"/>
          <w:szCs w:val="28"/>
          <w:highlight w:val="none"/>
          <w:lang w:val="en-US" w:eastAsia="zh-CN"/>
        </w:rPr>
        <w:t>启东市人民政府网</w:t>
      </w:r>
    </w:p>
    <w:p w14:paraId="02B4FD21">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方式：</w:t>
      </w:r>
      <w:bookmarkStart w:id="8" w:name="_Toc82505655"/>
      <w:r>
        <w:rPr>
          <w:rFonts w:hint="eastAsia" w:ascii="仿宋" w:hAnsi="仿宋" w:eastAsia="仿宋" w:cs="仿宋"/>
          <w:sz w:val="28"/>
          <w:szCs w:val="28"/>
          <w:highlight w:val="none"/>
        </w:rPr>
        <w:t>凡有意参与响应的供应商请登录启东市人民政府网自行下载采购文件。</w:t>
      </w:r>
    </w:p>
    <w:p w14:paraId="18D8A804">
      <w:pPr>
        <w:adjustRightInd w:val="0"/>
        <w:snapToGrid w:val="0"/>
        <w:spacing w:line="500" w:lineRule="exact"/>
        <w:ind w:firstLine="562" w:firstLineChars="200"/>
        <w:rPr>
          <w:rFonts w:hint="eastAsia" w:ascii="仿宋" w:hAnsi="仿宋" w:eastAsia="仿宋" w:cs="仿宋"/>
          <w:b/>
          <w:sz w:val="28"/>
          <w:szCs w:val="28"/>
          <w:highlight w:val="none"/>
        </w:rPr>
      </w:pPr>
      <w:r>
        <w:rPr>
          <w:rFonts w:hint="eastAsia" w:ascii="仿宋" w:hAnsi="仿宋" w:eastAsia="仿宋" w:cs="仿宋"/>
          <w:b/>
          <w:bCs/>
          <w:sz w:val="28"/>
          <w:szCs w:val="28"/>
          <w:highlight w:val="none"/>
        </w:rPr>
        <w:t>四、响应文件提交</w:t>
      </w:r>
      <w:bookmarkEnd w:id="8"/>
      <w:bookmarkStart w:id="9" w:name="_Toc82505657"/>
      <w:r>
        <w:rPr>
          <w:rFonts w:hint="eastAsia" w:ascii="仿宋" w:hAnsi="仿宋" w:eastAsia="仿宋" w:cs="仿宋"/>
          <w:b/>
          <w:sz w:val="28"/>
          <w:szCs w:val="28"/>
          <w:highlight w:val="none"/>
        </w:rPr>
        <w:t>截止时间、开标时间和地点</w:t>
      </w:r>
    </w:p>
    <w:p w14:paraId="1F1EC559">
      <w:pPr>
        <w:adjustRightInd w:val="0"/>
        <w:snapToGrid w:val="0"/>
        <w:spacing w:line="500" w:lineRule="exact"/>
        <w:ind w:firstLine="560" w:firstLineChars="200"/>
        <w:rPr>
          <w:rFonts w:hint="eastAsia" w:ascii="仿宋" w:hAnsi="仿宋" w:eastAsia="仿宋" w:cs="仿宋"/>
          <w:sz w:val="28"/>
          <w:szCs w:val="28"/>
          <w:highlight w:val="none"/>
        </w:rPr>
      </w:pPr>
      <w:bookmarkStart w:id="10" w:name="_Toc82505656"/>
      <w:r>
        <w:rPr>
          <w:rFonts w:hint="eastAsia" w:ascii="仿宋" w:hAnsi="仿宋" w:eastAsia="仿宋" w:cs="仿宋"/>
          <w:sz w:val="28"/>
          <w:szCs w:val="28"/>
          <w:highlight w:val="none"/>
        </w:rPr>
        <w:t>投标截止时间：202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25</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（北京时间）</w:t>
      </w:r>
    </w:p>
    <w:p w14:paraId="4D934B33">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开标时间：2025年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25</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（北京时间）</w:t>
      </w:r>
    </w:p>
    <w:bookmarkEnd w:id="10"/>
    <w:p w14:paraId="1A406889">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开标地点：苏州新天平工程咨询有限公司开标室（启东市华石路金双喜集团5楼501室）</w:t>
      </w:r>
    </w:p>
    <w:p w14:paraId="0088498B">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资料费：人民币100元，在投标截止前递交响应文件的同时收取，不论何种原因文件的相关费用售后不退。</w:t>
      </w:r>
    </w:p>
    <w:p w14:paraId="37D08F07">
      <w:pPr>
        <w:adjustRightInd w:val="0"/>
        <w:snapToGrid w:val="0"/>
        <w:spacing w:line="50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投标文件接收截止时间及接收地点：</w:t>
      </w:r>
    </w:p>
    <w:p w14:paraId="2297788B">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本项目为不见面开标，投标人须在规定的</w:t>
      </w: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文件接收截止时间前将投标文件（原件无需提交）邮寄（只接收顺丰）至规定接收地点。请各潜在投标人充分考虑天气、快递速度、路程等因素，不接受到付。未在规定时间内送达的投标文件将不予接收，后果由各潜在投标人自行承担</w:t>
      </w:r>
      <w:r>
        <w:rPr>
          <w:rFonts w:hint="eastAsia" w:ascii="仿宋" w:hAnsi="仿宋" w:eastAsia="仿宋" w:cs="仿宋"/>
          <w:sz w:val="28"/>
          <w:szCs w:val="28"/>
          <w:highlight w:val="none"/>
          <w:lang w:val="en-US" w:eastAsia="zh-CN"/>
        </w:rPr>
        <w:t>。</w:t>
      </w:r>
    </w:p>
    <w:p w14:paraId="0358D536">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投标文件接收截止时间及接收地点：202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25</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eastAsia="zh-CN"/>
        </w:rPr>
        <w:t>上</w:t>
      </w:r>
      <w:r>
        <w:rPr>
          <w:rFonts w:hint="eastAsia" w:ascii="仿宋" w:hAnsi="仿宋" w:eastAsia="仿宋" w:cs="仿宋"/>
          <w:sz w:val="28"/>
          <w:szCs w:val="28"/>
          <w:highlight w:val="none"/>
        </w:rPr>
        <w:t>午</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0前寄达（以送达签收时间为准），</w:t>
      </w:r>
      <w:r>
        <w:rPr>
          <w:rFonts w:hint="eastAsia" w:ascii="仿宋" w:hAnsi="仿宋" w:eastAsia="仿宋" w:cs="仿宋"/>
          <w:sz w:val="28"/>
          <w:szCs w:val="28"/>
          <w:highlight w:val="none"/>
          <w:lang w:eastAsia="zh-CN"/>
        </w:rPr>
        <w:t>接收地点（招标代理机构）：</w:t>
      </w:r>
      <w:r>
        <w:rPr>
          <w:rFonts w:hint="eastAsia" w:ascii="仿宋" w:hAnsi="仿宋" w:eastAsia="仿宋" w:cs="仿宋"/>
          <w:sz w:val="28"/>
          <w:szCs w:val="28"/>
          <w:highlight w:val="none"/>
          <w:lang w:val="en-US" w:eastAsia="zh-CN"/>
        </w:rPr>
        <w:t>启东市华石路金双喜集团5楼501室</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苏州新天平工程咨询有限公司</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，接收联系人：</w:t>
      </w:r>
      <w:r>
        <w:rPr>
          <w:rFonts w:hint="eastAsia" w:ascii="仿宋" w:hAnsi="仿宋" w:eastAsia="仿宋" w:cs="仿宋"/>
          <w:sz w:val="28"/>
          <w:szCs w:val="28"/>
          <w:highlight w:val="none"/>
          <w:lang w:val="en-US" w:eastAsia="zh-CN"/>
        </w:rPr>
        <w:t>吴女士</w:t>
      </w:r>
      <w:r>
        <w:rPr>
          <w:rFonts w:hint="eastAsia" w:ascii="仿宋" w:hAnsi="仿宋" w:eastAsia="仿宋" w:cs="仿宋"/>
          <w:sz w:val="28"/>
          <w:szCs w:val="28"/>
          <w:highlight w:val="none"/>
        </w:rPr>
        <w:t>，联系电话：</w:t>
      </w:r>
      <w:r>
        <w:rPr>
          <w:rFonts w:hint="eastAsia" w:ascii="仿宋" w:hAnsi="仿宋" w:eastAsia="仿宋" w:cs="仿宋"/>
          <w:sz w:val="28"/>
          <w:szCs w:val="28"/>
          <w:highlight w:val="none"/>
          <w:lang w:val="en-US" w:eastAsia="zh-CN"/>
        </w:rPr>
        <w:t>13912227671。</w:t>
      </w:r>
    </w:p>
    <w:p w14:paraId="14A1CA06">
      <w:pPr>
        <w:adjustRightInd w:val="0"/>
        <w:snapToGrid w:val="0"/>
        <w:spacing w:line="500" w:lineRule="exact"/>
        <w:ind w:firstLine="562" w:firstLineChars="200"/>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友情提醒：拒绝接收未按照询价文件要求密封的投标文件，拒绝接收在投标文件接收截止时间后寄达（以送达签收时间为准）的投标文件，上述情况各潜在投标人充分考虑相关因素，不得就此提出任何异议。</w:t>
      </w:r>
    </w:p>
    <w:p w14:paraId="19A6CB34">
      <w:pPr>
        <w:adjustRightInd w:val="0"/>
        <w:snapToGrid w:val="0"/>
        <w:spacing w:line="50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五、公告期限</w:t>
      </w:r>
      <w:bookmarkEnd w:id="9"/>
    </w:p>
    <w:p w14:paraId="2ECE5B57">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自本公告发布之日起3个工作日。</w:t>
      </w:r>
    </w:p>
    <w:p w14:paraId="3D92DD17">
      <w:pPr>
        <w:adjustRightInd w:val="0"/>
        <w:snapToGrid w:val="0"/>
        <w:spacing w:line="500" w:lineRule="exact"/>
        <w:ind w:firstLine="562" w:firstLineChars="200"/>
        <w:rPr>
          <w:rFonts w:hint="eastAsia" w:ascii="仿宋" w:hAnsi="仿宋" w:eastAsia="仿宋" w:cs="仿宋"/>
          <w:b/>
          <w:bCs/>
          <w:sz w:val="28"/>
          <w:szCs w:val="28"/>
          <w:highlight w:val="none"/>
        </w:rPr>
      </w:pPr>
      <w:bookmarkStart w:id="11" w:name="_Toc82505658"/>
      <w:r>
        <w:rPr>
          <w:rFonts w:hint="eastAsia" w:ascii="仿宋" w:hAnsi="仿宋" w:eastAsia="仿宋" w:cs="仿宋"/>
          <w:b/>
          <w:bCs/>
          <w:sz w:val="28"/>
          <w:szCs w:val="28"/>
          <w:highlight w:val="none"/>
        </w:rPr>
        <w:t>六、其他补充事宜</w:t>
      </w:r>
      <w:bookmarkEnd w:id="11"/>
    </w:p>
    <w:p w14:paraId="463895F2">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1．响应保证金：免收。</w:t>
      </w:r>
    </w:p>
    <w:p w14:paraId="03DD2F8C">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2．项目开标活动模式：</w:t>
      </w:r>
      <w:r>
        <w:rPr>
          <w:rFonts w:hint="eastAsia" w:ascii="仿宋" w:hAnsi="仿宋" w:eastAsia="仿宋" w:cs="仿宋"/>
          <w:sz w:val="28"/>
          <w:szCs w:val="28"/>
          <w:highlight w:val="none"/>
          <w:lang w:val="en-US" w:eastAsia="zh-CN"/>
        </w:rPr>
        <w:t>本项目为</w:t>
      </w:r>
      <w:r>
        <w:rPr>
          <w:rFonts w:hint="eastAsia" w:ascii="仿宋" w:hAnsi="仿宋" w:eastAsia="仿宋" w:cs="仿宋"/>
          <w:sz w:val="28"/>
          <w:szCs w:val="28"/>
          <w:highlight w:val="none"/>
        </w:rPr>
        <w:t>不见面开标模式。</w:t>
      </w:r>
    </w:p>
    <w:p w14:paraId="073EAA07">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3．项目演示、样品、答辩等：</w:t>
      </w:r>
      <w:r>
        <w:rPr>
          <w:rFonts w:hint="eastAsia" w:ascii="仿宋" w:hAnsi="仿宋" w:eastAsia="仿宋" w:cs="仿宋"/>
          <w:sz w:val="28"/>
          <w:szCs w:val="28"/>
          <w:highlight w:val="none"/>
          <w:lang w:val="en-US" w:eastAsia="zh-CN"/>
        </w:rPr>
        <w:t>无</w:t>
      </w:r>
    </w:p>
    <w:p w14:paraId="6A15A435">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4．对项目需求部分（供应商资格要求、项目需求）的询问、质疑请向采购人提出，由采购人负责答复；对项目采购文件其他部分的询问、质疑请向</w:t>
      </w:r>
      <w:r>
        <w:rPr>
          <w:rFonts w:hint="eastAsia" w:ascii="仿宋" w:hAnsi="仿宋" w:eastAsia="仿宋" w:cs="仿宋"/>
          <w:sz w:val="28"/>
          <w:szCs w:val="28"/>
          <w:highlight w:val="none"/>
          <w:lang w:val="en-US" w:eastAsia="zh-CN"/>
        </w:rPr>
        <w:t>代理机构提出。</w:t>
      </w:r>
    </w:p>
    <w:p w14:paraId="68868F85">
      <w:pPr>
        <w:adjustRightInd w:val="0"/>
        <w:snapToGrid w:val="0"/>
        <w:spacing w:line="500" w:lineRule="exact"/>
        <w:ind w:firstLine="560" w:firstLineChars="200"/>
        <w:rPr>
          <w:rFonts w:hint="eastAsia"/>
        </w:rPr>
      </w:pPr>
      <w:r>
        <w:rPr>
          <w:rFonts w:ascii="Times New Roman" w:hAnsi="Times New Roman" w:eastAsia="方正仿宋_GBK"/>
          <w:sz w:val="28"/>
          <w:szCs w:val="28"/>
        </w:rPr>
        <w:t>5</w:t>
      </w:r>
      <w:r>
        <w:rPr>
          <w:rFonts w:hint="eastAsia" w:ascii="Times New Roman" w:hAnsi="Times New Roman" w:eastAsia="方正仿宋_GBK"/>
          <w:sz w:val="28"/>
          <w:szCs w:val="28"/>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5B49695B">
      <w:pPr>
        <w:adjustRightInd w:val="0"/>
        <w:snapToGrid w:val="0"/>
        <w:spacing w:line="500" w:lineRule="exact"/>
        <w:ind w:firstLine="562" w:firstLineChars="200"/>
        <w:rPr>
          <w:rFonts w:hint="eastAsia" w:ascii="仿宋" w:hAnsi="仿宋" w:eastAsia="仿宋" w:cs="仿宋"/>
          <w:b/>
          <w:bCs/>
          <w:sz w:val="28"/>
          <w:szCs w:val="28"/>
          <w:highlight w:val="none"/>
        </w:rPr>
      </w:pPr>
      <w:bookmarkStart w:id="12" w:name="_Toc82505660"/>
      <w:r>
        <w:rPr>
          <w:rFonts w:hint="eastAsia" w:ascii="仿宋" w:hAnsi="仿宋" w:eastAsia="仿宋" w:cs="仿宋"/>
          <w:b/>
          <w:bCs/>
          <w:sz w:val="28"/>
          <w:szCs w:val="28"/>
          <w:highlight w:val="none"/>
        </w:rPr>
        <w:t>七、凡对本次采购提出询问，请按以下方式联系</w:t>
      </w:r>
      <w:bookmarkEnd w:id="12"/>
    </w:p>
    <w:p w14:paraId="2A5BBBAD">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1．采购人信息</w:t>
      </w:r>
    </w:p>
    <w:p w14:paraId="1C3B99BE">
      <w:pPr>
        <w:adjustRightInd w:val="0"/>
        <w:snapToGrid w:val="0"/>
        <w:spacing w:line="5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名  称：启东市吕四港镇人民政府</w:t>
      </w:r>
    </w:p>
    <w:p w14:paraId="3585C2D9">
      <w:pPr>
        <w:adjustRightInd w:val="0"/>
        <w:snapToGrid w:val="0"/>
        <w:spacing w:line="5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地  址：启东市吕四港镇人民政府</w:t>
      </w:r>
    </w:p>
    <w:p w14:paraId="4703D832">
      <w:pPr>
        <w:adjustRightInd w:val="0"/>
        <w:snapToGrid w:val="0"/>
        <w:spacing w:line="500" w:lineRule="exact"/>
        <w:ind w:firstLine="840" w:firstLineChars="3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施先生</w:t>
      </w:r>
    </w:p>
    <w:p w14:paraId="3B286C68">
      <w:pPr>
        <w:adjustRightInd w:val="0"/>
        <w:snapToGrid w:val="0"/>
        <w:spacing w:line="500" w:lineRule="exact"/>
        <w:ind w:firstLine="840" w:firstLineChars="3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联系方式：1894442215</w:t>
      </w:r>
      <w:r>
        <w:rPr>
          <w:rFonts w:hint="eastAsia" w:ascii="仿宋" w:hAnsi="仿宋" w:eastAsia="仿宋" w:cs="仿宋"/>
          <w:sz w:val="28"/>
          <w:szCs w:val="28"/>
          <w:highlight w:val="none"/>
          <w:lang w:val="en-US" w:eastAsia="zh-CN"/>
        </w:rPr>
        <w:t>5</w:t>
      </w:r>
    </w:p>
    <w:p w14:paraId="18D3A6C1">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2．采购代理机构</w:t>
      </w:r>
    </w:p>
    <w:p w14:paraId="0AB0ECD8">
      <w:pPr>
        <w:adjustRightInd w:val="0"/>
        <w:snapToGrid w:val="0"/>
        <w:spacing w:line="500" w:lineRule="exact"/>
        <w:ind w:firstLine="840" w:firstLineChars="3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名  称：</w:t>
      </w:r>
      <w:r>
        <w:rPr>
          <w:rFonts w:hint="eastAsia" w:ascii="仿宋" w:hAnsi="仿宋" w:eastAsia="仿宋" w:cs="仿宋"/>
          <w:sz w:val="28"/>
          <w:szCs w:val="28"/>
          <w:highlight w:val="none"/>
          <w:lang w:val="en-US" w:eastAsia="zh-CN"/>
        </w:rPr>
        <w:t>苏州新天平工程咨询有限公司</w:t>
      </w:r>
    </w:p>
    <w:p w14:paraId="407ACCD2">
      <w:pPr>
        <w:adjustRightInd w:val="0"/>
        <w:snapToGrid w:val="0"/>
        <w:spacing w:line="500" w:lineRule="exact"/>
        <w:ind w:firstLine="840" w:firstLineChars="3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lang w:val="en-US" w:eastAsia="zh-CN"/>
        </w:rPr>
        <w:t>启东市华石路金双喜大厦5楼501室</w:t>
      </w:r>
    </w:p>
    <w:p w14:paraId="34E27240">
      <w:pPr>
        <w:adjustRightInd w:val="0"/>
        <w:snapToGrid w:val="0"/>
        <w:spacing w:line="500" w:lineRule="exact"/>
        <w:ind w:firstLine="840" w:firstLineChars="300"/>
        <w:rPr>
          <w:rFonts w:hint="default" w:eastAsia="仿宋"/>
          <w:lang w:val="en-US" w:eastAsia="zh-CN"/>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吴女士</w:t>
      </w:r>
    </w:p>
    <w:p w14:paraId="42107087">
      <w:pPr>
        <w:adjustRightInd w:val="0"/>
        <w:snapToGrid w:val="0"/>
        <w:spacing w:line="500" w:lineRule="exact"/>
        <w:ind w:firstLine="840" w:firstLineChars="3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lang w:val="en-US" w:eastAsia="zh-CN"/>
        </w:rPr>
        <w:t>13912227671</w:t>
      </w:r>
    </w:p>
    <w:p w14:paraId="5FA8828F">
      <w:pPr>
        <w:adjustRightInd w:val="0"/>
        <w:snapToGrid w:val="0"/>
        <w:spacing w:line="260" w:lineRule="exact"/>
        <w:ind w:firstLine="840" w:firstLineChars="300"/>
        <w:rPr>
          <w:rFonts w:hint="eastAsia" w:ascii="仿宋" w:hAnsi="仿宋" w:eastAsia="仿宋" w:cs="仿宋"/>
          <w:sz w:val="28"/>
          <w:szCs w:val="28"/>
          <w:highlight w:val="none"/>
        </w:rPr>
      </w:pPr>
    </w:p>
    <w:bookmarkEnd w:id="0"/>
    <w:bookmarkEnd w:id="1"/>
    <w:bookmarkEnd w:id="2"/>
    <w:bookmarkEnd w:id="3"/>
    <w:bookmarkEnd w:id="4"/>
    <w:p w14:paraId="5EA59E8F">
      <w:pPr>
        <w:adjustRightInd w:val="0"/>
        <w:snapToGrid w:val="0"/>
        <w:spacing w:line="500" w:lineRule="exact"/>
        <w:jc w:val="center"/>
        <w:outlineLvl w:val="0"/>
        <w:rPr>
          <w:rFonts w:hint="eastAsia" w:ascii="仿宋" w:hAnsi="仿宋" w:eastAsia="仿宋" w:cs="仿宋"/>
          <w:b/>
          <w:bCs w:val="0"/>
          <w:i w:val="0"/>
          <w:iCs w:val="0"/>
          <w:sz w:val="36"/>
          <w:szCs w:val="36"/>
          <w:highlight w:val="none"/>
        </w:rPr>
      </w:pPr>
      <w:r>
        <w:rPr>
          <w:rFonts w:hint="eastAsia" w:ascii="仿宋" w:hAnsi="仿宋" w:eastAsia="仿宋" w:cs="仿宋"/>
          <w:b/>
          <w:bCs w:val="0"/>
          <w:i w:val="0"/>
          <w:iCs w:val="0"/>
          <w:sz w:val="36"/>
          <w:szCs w:val="36"/>
          <w:highlight w:val="none"/>
        </w:rPr>
        <w:t>第二部分  响应须知</w:t>
      </w:r>
    </w:p>
    <w:p w14:paraId="12C0C266">
      <w:pPr>
        <w:widowControl/>
        <w:adjustRightInd w:val="0"/>
        <w:snapToGrid w:val="0"/>
        <w:spacing w:line="500" w:lineRule="exact"/>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一、总则</w:t>
      </w:r>
    </w:p>
    <w:p w14:paraId="07EE6C7E">
      <w:pPr>
        <w:adjustRightInd w:val="0"/>
        <w:snapToGrid w:val="0"/>
        <w:spacing w:line="500" w:lineRule="exact"/>
        <w:rPr>
          <w:rFonts w:hint="eastAsia" w:ascii="仿宋" w:hAnsi="仿宋" w:eastAsia="仿宋" w:cs="仿宋"/>
          <w:sz w:val="28"/>
          <w:szCs w:val="28"/>
          <w:highlight w:val="none"/>
        </w:rPr>
      </w:pPr>
      <w:bookmarkStart w:id="13" w:name="_Toc458694821"/>
      <w:bookmarkStart w:id="14" w:name="_Toc20823276"/>
      <w:bookmarkStart w:id="15" w:name="_Toc513029204"/>
      <w:bookmarkStart w:id="16" w:name="_Toc16938520"/>
      <w:r>
        <w:rPr>
          <w:rFonts w:hint="eastAsia" w:ascii="仿宋" w:hAnsi="仿宋" w:eastAsia="仿宋" w:cs="仿宋"/>
          <w:sz w:val="28"/>
          <w:szCs w:val="28"/>
          <w:highlight w:val="none"/>
        </w:rPr>
        <w:t>1</w:t>
      </w:r>
      <w:bookmarkEnd w:id="13"/>
      <w:r>
        <w:rPr>
          <w:rFonts w:hint="eastAsia" w:ascii="仿宋" w:hAnsi="仿宋" w:eastAsia="仿宋" w:cs="仿宋"/>
          <w:sz w:val="28"/>
          <w:szCs w:val="28"/>
          <w:highlight w:val="none"/>
        </w:rPr>
        <w:t>.采购方式</w:t>
      </w:r>
      <w:bookmarkEnd w:id="14"/>
      <w:bookmarkEnd w:id="15"/>
      <w:bookmarkEnd w:id="16"/>
    </w:p>
    <w:p w14:paraId="60C4E26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本次采购采取询价方式，本询价文件仅适用于询价公告中所述项目。</w:t>
      </w:r>
    </w:p>
    <w:p w14:paraId="7C2E984E">
      <w:pPr>
        <w:adjustRightInd w:val="0"/>
        <w:snapToGrid w:val="0"/>
        <w:spacing w:line="500" w:lineRule="exact"/>
        <w:rPr>
          <w:rFonts w:hint="eastAsia" w:ascii="仿宋" w:hAnsi="仿宋" w:eastAsia="仿宋" w:cs="仿宋"/>
          <w:sz w:val="28"/>
          <w:szCs w:val="28"/>
          <w:highlight w:val="none"/>
        </w:rPr>
      </w:pPr>
      <w:bookmarkStart w:id="17" w:name="_Toc20823277"/>
      <w:bookmarkStart w:id="18" w:name="_Toc16938521"/>
      <w:bookmarkStart w:id="19" w:name="_Toc513029205"/>
      <w:r>
        <w:rPr>
          <w:rFonts w:hint="eastAsia" w:ascii="仿宋" w:hAnsi="仿宋" w:eastAsia="仿宋" w:cs="仿宋"/>
          <w:sz w:val="28"/>
          <w:szCs w:val="28"/>
          <w:highlight w:val="none"/>
        </w:rPr>
        <w:t>2.合格的</w:t>
      </w:r>
      <w:bookmarkEnd w:id="17"/>
      <w:bookmarkEnd w:id="18"/>
      <w:bookmarkEnd w:id="19"/>
      <w:r>
        <w:rPr>
          <w:rFonts w:hint="eastAsia" w:ascii="仿宋" w:hAnsi="仿宋" w:eastAsia="仿宋" w:cs="仿宋"/>
          <w:sz w:val="28"/>
          <w:szCs w:val="28"/>
          <w:highlight w:val="none"/>
        </w:rPr>
        <w:t>响应供应商</w:t>
      </w:r>
    </w:p>
    <w:p w14:paraId="2295D116">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2.1满足询价公告中供应商的资格要求的规定。</w:t>
      </w:r>
    </w:p>
    <w:p w14:paraId="6883106E">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2.2满足本文件实质性条款的规定。</w:t>
      </w:r>
    </w:p>
    <w:p w14:paraId="071A4B31">
      <w:pPr>
        <w:adjustRightInd w:val="0"/>
        <w:snapToGrid w:val="0"/>
        <w:spacing w:line="500" w:lineRule="exact"/>
        <w:rPr>
          <w:rFonts w:hint="eastAsia" w:ascii="仿宋" w:hAnsi="仿宋" w:eastAsia="仿宋" w:cs="仿宋"/>
          <w:sz w:val="28"/>
          <w:szCs w:val="28"/>
          <w:highlight w:val="none"/>
        </w:rPr>
      </w:pPr>
      <w:bookmarkStart w:id="20" w:name="_Toc513029206"/>
      <w:bookmarkStart w:id="21" w:name="_Toc16938522"/>
      <w:bookmarkStart w:id="22" w:name="_Toc20823278"/>
      <w:r>
        <w:rPr>
          <w:rFonts w:hint="eastAsia" w:ascii="仿宋" w:hAnsi="仿宋" w:eastAsia="仿宋" w:cs="仿宋"/>
          <w:sz w:val="28"/>
          <w:szCs w:val="28"/>
          <w:highlight w:val="none"/>
        </w:rPr>
        <w:t>3.适用法律</w:t>
      </w:r>
      <w:bookmarkEnd w:id="20"/>
      <w:bookmarkEnd w:id="21"/>
      <w:bookmarkEnd w:id="22"/>
    </w:p>
    <w:p w14:paraId="16C35A9D">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本次询价采购及由此产生的合同受中华人民共和国有关的法律法规制约和保护。</w:t>
      </w:r>
    </w:p>
    <w:p w14:paraId="5F77FB45">
      <w:pPr>
        <w:adjustRightInd w:val="0"/>
        <w:snapToGrid w:val="0"/>
        <w:spacing w:line="500" w:lineRule="exact"/>
        <w:rPr>
          <w:rFonts w:hint="eastAsia" w:ascii="仿宋" w:hAnsi="仿宋" w:eastAsia="仿宋" w:cs="仿宋"/>
          <w:sz w:val="28"/>
          <w:szCs w:val="28"/>
          <w:highlight w:val="none"/>
        </w:rPr>
      </w:pPr>
      <w:bookmarkStart w:id="23" w:name="_Toc20823279"/>
      <w:bookmarkStart w:id="24" w:name="_Toc513029207"/>
      <w:bookmarkStart w:id="25" w:name="_Toc462564067"/>
      <w:bookmarkStart w:id="26" w:name="_Toc16938523"/>
      <w:r>
        <w:rPr>
          <w:rFonts w:hint="eastAsia" w:ascii="仿宋" w:hAnsi="仿宋" w:eastAsia="仿宋" w:cs="仿宋"/>
          <w:sz w:val="28"/>
          <w:szCs w:val="28"/>
          <w:highlight w:val="none"/>
        </w:rPr>
        <w:t>4.响应费用</w:t>
      </w:r>
      <w:bookmarkEnd w:id="23"/>
      <w:bookmarkEnd w:id="24"/>
      <w:bookmarkEnd w:id="25"/>
      <w:bookmarkEnd w:id="26"/>
    </w:p>
    <w:p w14:paraId="18EF75CA">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响应供应商应自行承担所有与参加响应有关的费用，无论响应过程中的做法和结果如何，</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在任何情况下均无义务和责任承担这些费用。</w:t>
      </w:r>
    </w:p>
    <w:p w14:paraId="01FDEA1C">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5.采购文件的约束力</w:t>
      </w:r>
    </w:p>
    <w:p w14:paraId="050AD65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响应供应商一旦参加本项目采购活动，即被认为接受了本询价采购文件的规定和约束。</w:t>
      </w:r>
    </w:p>
    <w:p w14:paraId="0BCD9ADB">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6.采购文件的解释</w:t>
      </w:r>
    </w:p>
    <w:p w14:paraId="69BA8675">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本采购文件仅适用于本次询价采购，项目需求部分（供应商资格要求、项目需求）由采购人解释，其他部分由</w:t>
      </w:r>
      <w:r>
        <w:rPr>
          <w:rFonts w:hint="eastAsia" w:ascii="仿宋" w:hAnsi="仿宋" w:eastAsia="仿宋" w:cs="仿宋"/>
          <w:sz w:val="28"/>
          <w:szCs w:val="28"/>
          <w:highlight w:val="none"/>
          <w:lang w:val="en-US" w:eastAsia="zh-CN"/>
        </w:rPr>
        <w:t>代理机构</w:t>
      </w:r>
      <w:r>
        <w:rPr>
          <w:rFonts w:hint="eastAsia" w:ascii="仿宋" w:hAnsi="仿宋" w:eastAsia="仿宋" w:cs="仿宋"/>
          <w:sz w:val="28"/>
          <w:szCs w:val="28"/>
          <w:highlight w:val="none"/>
        </w:rPr>
        <w:t>解释。</w:t>
      </w:r>
    </w:p>
    <w:p w14:paraId="33C52F51">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7.报价要求</w:t>
      </w:r>
    </w:p>
    <w:p w14:paraId="40BBB2B7">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7.1询价为一次性报价，响应供应商应一次性报出不得更改的价格。供应商的报价应包括本项目所有涉及的全部费用，如设备、标准附件、运输、安装调试、人员培训、质保、售后服务、税金及其他一切有关为完成本项目发生的所有费用，采购文件中另有规定的除外。</w:t>
      </w:r>
    </w:p>
    <w:p w14:paraId="733AF280">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7.2采购人不接受任何可选择的报价，成交供应商不得在供货期间提出任何增加费用的要求。请各供应商在报价时充分考虑各种因素。</w:t>
      </w:r>
    </w:p>
    <w:p w14:paraId="349C818A">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7.3异常低价投标（响应）审查的情形和具体要求：</w:t>
      </w:r>
    </w:p>
    <w:p w14:paraId="7322657E">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（一）评审过程中出现下列情形之一的，询价小组应当启动异常低价投标（响应）审查程序：</w:t>
      </w:r>
    </w:p>
    <w:p w14:paraId="3E68D2F0">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1.投标（响应）报价低于全部通过符合性审查供应商投标（响应）报价平均值50%的，即投标（响应）报价&lt;全部通过符合性审查供应商投标（响应）报价平均值×50%；</w:t>
      </w:r>
    </w:p>
    <w:p w14:paraId="567121FE">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2.投标（响应）报价低于通过符合性审查的次低报价供应商投标（响应）报价50%的，即投标（响应）报价&lt;通过符合性审查的次低报价供应商投标（响应）报价×50%；</w:t>
      </w:r>
    </w:p>
    <w:p w14:paraId="4D320130">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3.投标（响应）报价低于采购项目最高限价45%的，即投标（响应）报价&lt;采购项目最高限价×45%；</w:t>
      </w:r>
    </w:p>
    <w:p w14:paraId="12646834">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4.询价小组基于专业判断，认为供应商报价过低，有可能影响产品质量或者不能诚信履约的其他情形。</w:t>
      </w:r>
    </w:p>
    <w:p w14:paraId="67BBF2DA">
      <w:pPr>
        <w:adjustRightInd w:val="0"/>
        <w:snapToGrid w:val="0"/>
        <w:spacing w:line="500" w:lineRule="exact"/>
        <w:ind w:firstLine="560" w:firstLineChars="200"/>
        <w:rPr>
          <w:rFonts w:eastAsia="方正仿宋_GBK"/>
          <w:bCs/>
          <w:sz w:val="28"/>
          <w:szCs w:val="28"/>
        </w:rPr>
      </w:pPr>
      <w:r>
        <w:rPr>
          <w:rFonts w:hint="eastAsia" w:ascii="仿宋" w:hAnsi="仿宋" w:eastAsia="仿宋" w:cs="仿宋"/>
          <w:sz w:val="28"/>
          <w:szCs w:val="28"/>
          <w:highlight w:val="none"/>
        </w:rPr>
        <w:t>（二）启动异常低价投标（响应）审查后，询价小组应当要求相关供应商在合理的时间内，</w:t>
      </w:r>
      <w:r>
        <w:rPr>
          <w:rFonts w:hint="eastAsia" w:ascii="仿宋" w:hAnsi="仿宋" w:eastAsia="仿宋" w:cs="仿宋"/>
          <w:sz w:val="28"/>
          <w:szCs w:val="28"/>
          <w:highlight w:val="none"/>
          <w:lang w:val="en-US" w:eastAsia="zh-CN"/>
        </w:rPr>
        <w:t>对</w:t>
      </w:r>
      <w:r>
        <w:rPr>
          <w:rFonts w:hint="eastAsia" w:eastAsia="方正仿宋_GBK"/>
          <w:bCs/>
          <w:sz w:val="28"/>
          <w:szCs w:val="28"/>
        </w:rPr>
        <w:t>投标（响应）价格作出解释，提供项目具体成本测算等与报价合理性相关的书面说明及必要的证明材料，包括但不限于原材料成本、人工成本、制造费用等，给予相关供应商的合理时间一般不少于</w:t>
      </w:r>
      <w:r>
        <w:rPr>
          <w:rFonts w:eastAsia="方正仿宋_GBK"/>
          <w:bCs/>
          <w:sz w:val="28"/>
          <w:szCs w:val="28"/>
        </w:rPr>
        <w:t xml:space="preserve">30 </w:t>
      </w:r>
      <w:r>
        <w:rPr>
          <w:rFonts w:hint="eastAsia" w:eastAsia="方正仿宋_GBK"/>
          <w:bCs/>
          <w:sz w:val="28"/>
          <w:szCs w:val="28"/>
        </w:rPr>
        <w:t>分钟。其中，属于第</w:t>
      </w:r>
      <w:r>
        <w:rPr>
          <w:rFonts w:eastAsia="方正仿宋_GBK"/>
          <w:bCs/>
          <w:sz w:val="28"/>
          <w:szCs w:val="28"/>
        </w:rPr>
        <w:t xml:space="preserve">3 </w:t>
      </w:r>
      <w:r>
        <w:rPr>
          <w:rFonts w:hint="eastAsia" w:eastAsia="方正仿宋_GBK"/>
          <w:bCs/>
          <w:sz w:val="28"/>
          <w:szCs w:val="28"/>
        </w:rPr>
        <w:t>项情形，供应商已随投标（响应）文件一并提交相关书面说明及必要的证明材料的，在评审时可不再重复提交。</w:t>
      </w:r>
    </w:p>
    <w:p w14:paraId="06553A76">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询价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询价小组应当将其作为无效投标（响应）处理。审查相关情况应当在评审报告中进行记录。</w:t>
      </w:r>
    </w:p>
    <w:p w14:paraId="58012A4B">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人、采购代理机构应当为询价小组在评审现场及时获取同类项目中标（成交）价格、类似产品市场价格水平、行业人工费用标准、国家有关部门指导行业协会发布的行业平均成本等相关信息资料提供便利。询价小组借助互联网等渠道查询相关信息的，应当严格遵守评审工作纪律，不得实施影响评审公正的行为。</w:t>
      </w:r>
    </w:p>
    <w:p w14:paraId="3A2C3107">
      <w:pPr>
        <w:adjustRightInd w:val="0"/>
        <w:snapToGrid w:val="0"/>
        <w:spacing w:line="500" w:lineRule="exact"/>
        <w:ind w:firstLine="560" w:firstLineChars="200"/>
        <w:rPr>
          <w:rFonts w:hint="eastAsia"/>
        </w:rPr>
      </w:pPr>
      <w:r>
        <w:rPr>
          <w:rFonts w:hint="eastAsia" w:ascii="仿宋" w:hAnsi="仿宋" w:eastAsia="仿宋" w:cs="仿宋"/>
          <w:sz w:val="28"/>
          <w:szCs w:val="28"/>
          <w:highlight w:val="none"/>
        </w:rPr>
        <w:t>异常低价投标（响应）审查的启动原因、审查意见和审查结果应当在评审报告中记录，并随供应商提供的相关书面说明及证明材料，以及询价小组有关互联网浏览、查询历史一并归档。</w:t>
      </w:r>
    </w:p>
    <w:p w14:paraId="492B5CBA">
      <w:pPr>
        <w:widowControl/>
        <w:adjustRightInd w:val="0"/>
        <w:snapToGrid w:val="0"/>
        <w:spacing w:line="500" w:lineRule="exact"/>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二、采购文件</w:t>
      </w:r>
    </w:p>
    <w:p w14:paraId="1F911AD9">
      <w:pPr>
        <w:widowControl/>
        <w:adjustRightInd w:val="0"/>
        <w:snapToGrid w:val="0"/>
        <w:spacing w:line="5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1.采购文件的构成</w:t>
      </w:r>
    </w:p>
    <w:p w14:paraId="1CBFB10E">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1.1采购文件由以下部分组成：</w:t>
      </w:r>
    </w:p>
    <w:p w14:paraId="00F81EBC">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（1）询价采购公告</w:t>
      </w:r>
    </w:p>
    <w:p w14:paraId="49BFD210">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（2）响应须知</w:t>
      </w:r>
    </w:p>
    <w:p w14:paraId="5EEA7964">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（3）项目需求</w:t>
      </w:r>
    </w:p>
    <w:p w14:paraId="643FE4DE">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（4）响应文件格式</w:t>
      </w:r>
    </w:p>
    <w:p w14:paraId="023BF5F0">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（5）附件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如有</w:t>
      </w:r>
      <w:r>
        <w:rPr>
          <w:rFonts w:hint="eastAsia" w:ascii="仿宋" w:hAnsi="仿宋" w:eastAsia="仿宋" w:cs="仿宋"/>
          <w:sz w:val="28"/>
          <w:szCs w:val="28"/>
          <w:highlight w:val="none"/>
          <w:lang w:eastAsia="zh-CN"/>
        </w:rPr>
        <w:t>）</w:t>
      </w:r>
    </w:p>
    <w:p w14:paraId="5156B122">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请响应供应商仔细检查采购文件是否齐全，如有缺漏请立即与</w:t>
      </w:r>
      <w:r>
        <w:rPr>
          <w:rFonts w:hint="eastAsia" w:ascii="仿宋" w:hAnsi="仿宋" w:eastAsia="仿宋" w:cs="仿宋"/>
          <w:sz w:val="28"/>
          <w:szCs w:val="28"/>
          <w:highlight w:val="none"/>
          <w:lang w:val="en-US" w:eastAsia="zh-CN"/>
        </w:rPr>
        <w:t>代理机构</w:t>
      </w:r>
      <w:r>
        <w:rPr>
          <w:rFonts w:hint="eastAsia" w:ascii="仿宋" w:hAnsi="仿宋" w:eastAsia="仿宋" w:cs="仿宋"/>
          <w:sz w:val="28"/>
          <w:szCs w:val="28"/>
          <w:highlight w:val="none"/>
        </w:rPr>
        <w:t>联系解决。</w:t>
      </w:r>
    </w:p>
    <w:p w14:paraId="05D640FF">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Cs/>
          <w:sz w:val="28"/>
          <w:szCs w:val="28"/>
          <w:highlight w:val="none"/>
        </w:rPr>
        <w:t>1.2</w:t>
      </w:r>
      <w:r>
        <w:rPr>
          <w:rFonts w:hint="eastAsia" w:ascii="仿宋" w:hAnsi="仿宋" w:eastAsia="仿宋" w:cs="仿宋"/>
          <w:sz w:val="28"/>
          <w:szCs w:val="28"/>
          <w:highlight w:val="none"/>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07882060">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2.询价采购文件的澄清</w:t>
      </w:r>
    </w:p>
    <w:p w14:paraId="0C4EBD06">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任何要求对采购文件进行澄清的响应供应商，应在响应截止期3日前按询价采购公告中的通讯地址，以书面形式通知采购人。采购人有权对发出的采购文件进行必要的澄清或修改。</w:t>
      </w:r>
    </w:p>
    <w:p w14:paraId="43B640DB">
      <w:pPr>
        <w:adjustRightInd w:val="0"/>
        <w:snapToGrid w:val="0"/>
        <w:spacing w:line="500" w:lineRule="exact"/>
        <w:rPr>
          <w:rFonts w:hint="eastAsia" w:ascii="仿宋" w:hAnsi="仿宋" w:eastAsia="仿宋" w:cs="仿宋"/>
          <w:sz w:val="28"/>
          <w:szCs w:val="28"/>
          <w:highlight w:val="none"/>
        </w:rPr>
      </w:pPr>
      <w:bookmarkStart w:id="27" w:name="_Toc16938528"/>
      <w:bookmarkStart w:id="28" w:name="_Toc513029212"/>
      <w:bookmarkStart w:id="29" w:name="_Toc20823284"/>
      <w:bookmarkStart w:id="30" w:name="_Toc462564071"/>
      <w:r>
        <w:rPr>
          <w:rFonts w:hint="eastAsia" w:ascii="仿宋" w:hAnsi="仿宋" w:eastAsia="仿宋" w:cs="仿宋"/>
          <w:sz w:val="28"/>
          <w:szCs w:val="28"/>
          <w:highlight w:val="none"/>
        </w:rPr>
        <w:t>3.询价采购文件的修改</w:t>
      </w:r>
      <w:bookmarkEnd w:id="27"/>
      <w:bookmarkEnd w:id="28"/>
      <w:bookmarkEnd w:id="29"/>
      <w:bookmarkEnd w:id="30"/>
    </w:p>
    <w:p w14:paraId="41E2FBCF">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Cs/>
          <w:sz w:val="28"/>
          <w:szCs w:val="28"/>
          <w:highlight w:val="none"/>
        </w:rPr>
        <w:t>3.1</w:t>
      </w:r>
      <w:r>
        <w:rPr>
          <w:rFonts w:hint="eastAsia" w:ascii="仿宋" w:hAnsi="仿宋" w:eastAsia="仿宋" w:cs="仿宋"/>
          <w:sz w:val="28"/>
          <w:szCs w:val="28"/>
          <w:highlight w:val="none"/>
        </w:rPr>
        <w:t>在响应截止时间前，</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可以对采购文件进行修改。</w:t>
      </w:r>
    </w:p>
    <w:p w14:paraId="3BE2FD6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Cs/>
          <w:sz w:val="28"/>
          <w:szCs w:val="28"/>
          <w:highlight w:val="none"/>
        </w:rPr>
        <w:t>3.2</w:t>
      </w:r>
      <w:r>
        <w:rPr>
          <w:rFonts w:hint="eastAsia" w:ascii="仿宋" w:hAnsi="仿宋" w:eastAsia="仿宋" w:cs="仿宋"/>
          <w:bCs/>
          <w:sz w:val="28"/>
          <w:szCs w:val="28"/>
          <w:highlight w:val="none"/>
          <w:lang w:val="en-US" w:eastAsia="zh-CN"/>
        </w:rPr>
        <w:t>采购人</w:t>
      </w:r>
      <w:r>
        <w:rPr>
          <w:rFonts w:hint="eastAsia" w:ascii="仿宋" w:hAnsi="仿宋" w:eastAsia="仿宋" w:cs="仿宋"/>
          <w:sz w:val="28"/>
          <w:szCs w:val="28"/>
          <w:highlight w:val="none"/>
        </w:rPr>
        <w:t>有权按照法定的要求推迟响应截止日期和开标日期。</w:t>
      </w:r>
    </w:p>
    <w:p w14:paraId="0E204405">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bCs/>
          <w:sz w:val="28"/>
          <w:szCs w:val="28"/>
          <w:highlight w:val="none"/>
        </w:rPr>
        <w:t>3.3</w:t>
      </w:r>
      <w:r>
        <w:rPr>
          <w:rFonts w:hint="eastAsia" w:ascii="仿宋" w:hAnsi="仿宋" w:eastAsia="仿宋" w:cs="仿宋"/>
          <w:sz w:val="28"/>
          <w:szCs w:val="28"/>
          <w:highlight w:val="none"/>
        </w:rPr>
        <w:t>采购文件的修改将在</w:t>
      </w:r>
      <w:r>
        <w:rPr>
          <w:rFonts w:hint="eastAsia" w:ascii="仿宋" w:hAnsi="仿宋" w:eastAsia="仿宋" w:cs="仿宋"/>
          <w:sz w:val="28"/>
          <w:szCs w:val="28"/>
          <w:highlight w:val="none"/>
          <w:lang w:val="en-US" w:eastAsia="zh-CN"/>
        </w:rPr>
        <w:t>启东市人民政府</w:t>
      </w:r>
      <w:r>
        <w:rPr>
          <w:rFonts w:hint="eastAsia" w:ascii="仿宋" w:hAnsi="仿宋" w:eastAsia="仿宋" w:cs="仿宋"/>
          <w:sz w:val="28"/>
          <w:szCs w:val="28"/>
          <w:highlight w:val="none"/>
        </w:rPr>
        <w:t>网公布，补充文件将作为采购文件的组成部分，并对响应供应商具有约束力，请供应商及时关注网站公告信息。</w:t>
      </w:r>
    </w:p>
    <w:p w14:paraId="06DE2101">
      <w:pPr>
        <w:widowControl/>
        <w:adjustRightInd w:val="0"/>
        <w:snapToGrid w:val="0"/>
        <w:spacing w:line="500" w:lineRule="exact"/>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三、响应文件的编制</w:t>
      </w:r>
    </w:p>
    <w:p w14:paraId="12A4C4C9">
      <w:pPr>
        <w:adjustRightInd w:val="0"/>
        <w:snapToGrid w:val="0"/>
        <w:spacing w:line="500" w:lineRule="exact"/>
        <w:rPr>
          <w:rFonts w:hint="eastAsia" w:ascii="仿宋" w:hAnsi="仿宋" w:eastAsia="仿宋" w:cs="仿宋"/>
          <w:bCs/>
          <w:sz w:val="28"/>
          <w:szCs w:val="28"/>
          <w:highlight w:val="none"/>
        </w:rPr>
      </w:pPr>
      <w:bookmarkStart w:id="31" w:name="_Toc462564073"/>
      <w:bookmarkStart w:id="32" w:name="_Toc16938530"/>
      <w:bookmarkStart w:id="33" w:name="_Toc513029214"/>
      <w:bookmarkStart w:id="34" w:name="_Toc20823286"/>
      <w:r>
        <w:rPr>
          <w:rFonts w:hint="eastAsia" w:ascii="仿宋" w:hAnsi="仿宋" w:eastAsia="仿宋" w:cs="仿宋"/>
          <w:bCs/>
          <w:sz w:val="28"/>
          <w:szCs w:val="28"/>
          <w:highlight w:val="none"/>
        </w:rPr>
        <w:t>1.响应文件的语言及度量衡单位</w:t>
      </w:r>
      <w:bookmarkEnd w:id="31"/>
      <w:bookmarkEnd w:id="32"/>
      <w:bookmarkEnd w:id="33"/>
      <w:bookmarkEnd w:id="34"/>
    </w:p>
    <w:p w14:paraId="561E06F2">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1.1响应供应商提交的响应文件以及响应供应商与</w:t>
      </w:r>
      <w:r>
        <w:rPr>
          <w:rFonts w:hint="eastAsia" w:ascii="仿宋" w:hAnsi="仿宋" w:eastAsia="仿宋" w:cs="仿宋"/>
          <w:bCs/>
          <w:sz w:val="28"/>
          <w:szCs w:val="28"/>
          <w:highlight w:val="none"/>
          <w:lang w:val="en-US" w:eastAsia="zh-CN"/>
        </w:rPr>
        <w:t>代理机构</w:t>
      </w:r>
      <w:r>
        <w:rPr>
          <w:rFonts w:hint="eastAsia" w:ascii="仿宋" w:hAnsi="仿宋" w:eastAsia="仿宋" w:cs="仿宋"/>
          <w:bCs/>
          <w:sz w:val="28"/>
          <w:szCs w:val="28"/>
          <w:highlight w:val="none"/>
        </w:rPr>
        <w:t>就有关响应的所有来往通知、函件和文件均应使用简体中文。</w:t>
      </w:r>
    </w:p>
    <w:p w14:paraId="58FD4708">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1.2除技术性能另有规定外，响应文件所使用的度量衡单位，均须采用国家法定计量单位。</w:t>
      </w:r>
    </w:p>
    <w:p w14:paraId="079AE4F0">
      <w:pPr>
        <w:adjustRightInd w:val="0"/>
        <w:snapToGrid w:val="0"/>
        <w:spacing w:line="500" w:lineRule="exact"/>
        <w:rPr>
          <w:rFonts w:hint="eastAsia" w:ascii="仿宋" w:hAnsi="仿宋" w:eastAsia="仿宋" w:cs="仿宋"/>
          <w:bCs/>
          <w:sz w:val="28"/>
          <w:szCs w:val="28"/>
          <w:highlight w:val="none"/>
        </w:rPr>
      </w:pPr>
      <w:bookmarkStart w:id="35" w:name="_Toc513029215"/>
      <w:bookmarkStart w:id="36" w:name="_Toc20823287"/>
      <w:bookmarkStart w:id="37" w:name="_Toc462564074"/>
      <w:bookmarkStart w:id="38" w:name="_Toc16938531"/>
      <w:r>
        <w:rPr>
          <w:rFonts w:hint="eastAsia" w:ascii="仿宋" w:hAnsi="仿宋" w:eastAsia="仿宋" w:cs="仿宋"/>
          <w:bCs/>
          <w:sz w:val="28"/>
          <w:szCs w:val="28"/>
          <w:highlight w:val="none"/>
        </w:rPr>
        <w:t>2.响应文件构成</w:t>
      </w:r>
      <w:bookmarkEnd w:id="35"/>
      <w:bookmarkEnd w:id="36"/>
      <w:bookmarkEnd w:id="37"/>
      <w:bookmarkEnd w:id="38"/>
    </w:p>
    <w:p w14:paraId="5C4D754C">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响应供应商应按“第四部分响应文件格式”要求编写响应文件。</w:t>
      </w:r>
    </w:p>
    <w:p w14:paraId="171F3985">
      <w:pPr>
        <w:adjustRightInd w:val="0"/>
        <w:snapToGrid w:val="0"/>
        <w:spacing w:line="5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3.响应文件的密封、签署、提交</w:t>
      </w:r>
    </w:p>
    <w:p w14:paraId="7E94A2EA">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3.1响应文件必须提供1份正本</w:t>
      </w:r>
      <w:r>
        <w:rPr>
          <w:rFonts w:hint="eastAsia" w:ascii="仿宋" w:hAnsi="仿宋" w:eastAsia="仿宋" w:cs="仿宋"/>
          <w:bCs/>
          <w:sz w:val="28"/>
          <w:szCs w:val="28"/>
          <w:highlight w:val="none"/>
          <w:lang w:val="en-US" w:eastAsia="zh-CN"/>
        </w:rPr>
        <w:t>3</w:t>
      </w:r>
      <w:r>
        <w:rPr>
          <w:rFonts w:hint="eastAsia" w:ascii="仿宋" w:hAnsi="仿宋" w:eastAsia="仿宋" w:cs="仿宋"/>
          <w:bCs/>
          <w:sz w:val="28"/>
          <w:szCs w:val="28"/>
          <w:highlight w:val="none"/>
        </w:rPr>
        <w:t>份副本。</w:t>
      </w:r>
    </w:p>
    <w:p w14:paraId="5D9170AC">
      <w:pPr>
        <w:adjustRightInd w:val="0"/>
        <w:snapToGrid w:val="0"/>
        <w:spacing w:line="500" w:lineRule="exact"/>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3.2</w:t>
      </w:r>
      <w:r>
        <w:rPr>
          <w:rFonts w:hint="eastAsia" w:ascii="仿宋" w:hAnsi="仿宋" w:eastAsia="仿宋" w:cs="仿宋"/>
          <w:bCs/>
          <w:sz w:val="28"/>
          <w:szCs w:val="28"/>
          <w:highlight w:val="none"/>
        </w:rPr>
        <w:t>响应文件统一采用顺丰快递方式提交（不得采用到付方式）。</w:t>
      </w:r>
    </w:p>
    <w:p w14:paraId="7F83CD96">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en-US" w:eastAsia="zh-CN"/>
        </w:rPr>
        <w:t>3</w:t>
      </w:r>
      <w:r>
        <w:rPr>
          <w:rFonts w:hint="eastAsia" w:ascii="仿宋" w:hAnsi="仿宋" w:eastAsia="仿宋" w:cs="仿宋"/>
          <w:bCs/>
          <w:sz w:val="28"/>
          <w:szCs w:val="28"/>
          <w:highlight w:val="none"/>
        </w:rPr>
        <w:t>响应文件均需采用A4纸（图纸等除外）打印并装订成册，不允许使用活页夹、拉杆夹、文件夹、塑料方便式书脊（插入式或穿孔式）装订，并应在响应文件封面的右上角清楚地注明“正本”或“副本”。正本和副本如有不一致之处，以正本为准。</w:t>
      </w:r>
    </w:p>
    <w:p w14:paraId="550CA2E2">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响应供应商应在响应文件密封袋上标明：采购人名称、项目名称、供应商名称、响应文件名称。</w:t>
      </w:r>
    </w:p>
    <w:p w14:paraId="60AAAE0B">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所有响应文件密封袋的封口处均应加盖供应商印章。</w:t>
      </w:r>
    </w:p>
    <w:p w14:paraId="71BE347E">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en-US" w:eastAsia="zh-CN"/>
        </w:rPr>
        <w:t>6</w:t>
      </w:r>
      <w:r>
        <w:rPr>
          <w:rFonts w:hint="eastAsia" w:ascii="仿宋" w:hAnsi="仿宋" w:eastAsia="仿宋" w:cs="仿宋"/>
          <w:bCs/>
          <w:sz w:val="28"/>
          <w:szCs w:val="28"/>
          <w:highlight w:val="none"/>
        </w:rPr>
        <w:t>如果响应供应商未按上述要求装订密封及加写标记，将作无效响应文件处理。</w:t>
      </w:r>
    </w:p>
    <w:p w14:paraId="7211CFFC">
      <w:pPr>
        <w:adjustRightInd w:val="0"/>
        <w:snapToGrid w:val="0"/>
        <w:spacing w:line="5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4.响应文件的盖章要求</w:t>
      </w:r>
    </w:p>
    <w:p w14:paraId="393E0666">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4.1响应文件必须加盖骑缝章或每页盖章。</w:t>
      </w:r>
    </w:p>
    <w:p w14:paraId="0CF8C5F7">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4.2响应文件如有修改、行间内插字和增删，修改处应由响应供应商加盖印章。</w:t>
      </w:r>
    </w:p>
    <w:p w14:paraId="47383536">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4.3响应文件均需打印并装订成册，签字使用不褪色的蓝、黑墨水笔书写，字迹应清晰易于辨认，如因响应文件字迹潦草或表达不清所引起的后果由响应供应商负责。响应供应商应在响应文件封面的右上角清楚地注明“正本”或“副本”，正本和副本如有不一致之处，以正本为准。</w:t>
      </w:r>
    </w:p>
    <w:p w14:paraId="3A9B200E">
      <w:pPr>
        <w:adjustRightInd w:val="0"/>
        <w:snapToGrid w:val="0"/>
        <w:spacing w:line="5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5.响应有效期</w:t>
      </w:r>
    </w:p>
    <w:p w14:paraId="5D181F44">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响应文件和响应供应商法定代表人或其授权委托人签署的文件、资料的有效期为自开标之日起60个日历日。响应有效期比规定短的将被视为非响应性响应而予以拒绝。</w:t>
      </w:r>
    </w:p>
    <w:p w14:paraId="4616C9DC">
      <w:pPr>
        <w:adjustRightInd w:val="0"/>
        <w:snapToGrid w:val="0"/>
        <w:spacing w:line="5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6.响应有效期的延长</w:t>
      </w:r>
    </w:p>
    <w:p w14:paraId="6BBB177E">
      <w:pPr>
        <w:adjustRightInd w:val="0"/>
        <w:snapToGrid w:val="0"/>
        <w:spacing w:line="500" w:lineRule="exact"/>
        <w:ind w:firstLine="560" w:firstLineChars="200"/>
        <w:rPr>
          <w:rFonts w:hint="eastAsia"/>
        </w:rPr>
      </w:pPr>
      <w:r>
        <w:rPr>
          <w:rFonts w:hint="eastAsia" w:ascii="仿宋" w:hAnsi="仿宋" w:eastAsia="仿宋" w:cs="仿宋"/>
          <w:bCs/>
          <w:sz w:val="28"/>
          <w:szCs w:val="28"/>
          <w:highlight w:val="none"/>
        </w:rPr>
        <w:t>在特殊情况下，采购人于原响应有效期满之前，可向响应供应商提出延长响应有效期的要求。这种要求与答复均应采用书面形式。响应供应商可以拒绝代理机构的这一要求而放弃响应，同意延长响应有效期的响应供应商既不能要求也不允许修改其响应文件。受响应有效期约束的所有权利与义务均延长至新的有效期。</w:t>
      </w:r>
    </w:p>
    <w:p w14:paraId="41C7FD4D">
      <w:pPr>
        <w:widowControl/>
        <w:adjustRightInd w:val="0"/>
        <w:snapToGrid w:val="0"/>
        <w:spacing w:line="500" w:lineRule="exact"/>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四、响应文件的递交</w:t>
      </w:r>
    </w:p>
    <w:p w14:paraId="304D520F">
      <w:pPr>
        <w:adjustRightInd w:val="0"/>
        <w:snapToGrid w:val="0"/>
        <w:spacing w:line="5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1.响应文件的递交</w:t>
      </w:r>
    </w:p>
    <w:p w14:paraId="3C4C4D3F">
      <w:pPr>
        <w:adjustRightInd w:val="0"/>
        <w:snapToGrid w:val="0"/>
        <w:spacing w:line="500" w:lineRule="exact"/>
        <w:ind w:firstLine="560" w:firstLineChars="200"/>
        <w:rPr>
          <w:rFonts w:hint="eastAsia" w:ascii="仿宋" w:hAnsi="仿宋" w:eastAsia="仿宋" w:cs="仿宋"/>
          <w:b/>
          <w:bCs/>
          <w:i/>
          <w:iCs/>
          <w:sz w:val="28"/>
          <w:szCs w:val="28"/>
          <w:highlight w:val="none"/>
        </w:rPr>
      </w:pPr>
      <w:r>
        <w:rPr>
          <w:rFonts w:hint="eastAsia" w:ascii="仿宋" w:hAnsi="仿宋" w:eastAsia="仿宋" w:cs="仿宋"/>
          <w:bCs/>
          <w:sz w:val="28"/>
          <w:szCs w:val="28"/>
          <w:highlight w:val="none"/>
        </w:rPr>
        <w:t>1.1</w:t>
      </w:r>
      <w:r>
        <w:rPr>
          <w:rFonts w:hint="eastAsia" w:ascii="仿宋" w:hAnsi="仿宋" w:eastAsia="仿宋" w:cs="仿宋"/>
          <w:bCs/>
          <w:sz w:val="28"/>
          <w:szCs w:val="28"/>
          <w:highlight w:val="none"/>
          <w:lang w:val="en-US" w:eastAsia="zh-CN"/>
        </w:rPr>
        <w:t>响应</w:t>
      </w:r>
      <w:r>
        <w:rPr>
          <w:rFonts w:hint="eastAsia" w:ascii="仿宋" w:hAnsi="仿宋" w:eastAsia="仿宋" w:cs="仿宋"/>
          <w:bCs/>
          <w:sz w:val="28"/>
          <w:szCs w:val="28"/>
          <w:highlight w:val="none"/>
        </w:rPr>
        <w:t>供应商应当在响应文件提交截止时间前按照采购文件要求密封的响应文件。</w:t>
      </w:r>
    </w:p>
    <w:p w14:paraId="5AAC608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1.2响应文件的内容不清楚或不清晰的，造成无法评审或部分影响评审的，导致评审差错的，责任由供应商自负。</w:t>
      </w:r>
    </w:p>
    <w:p w14:paraId="220029DC">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2.响应文件截止日期</w:t>
      </w:r>
    </w:p>
    <w:p w14:paraId="6AF4481D">
      <w:pPr>
        <w:adjustRightInd w:val="0"/>
        <w:snapToGrid w:val="0"/>
        <w:spacing w:line="500" w:lineRule="exact"/>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rPr>
        <w:t>2.1</w:t>
      </w:r>
      <w:r>
        <w:rPr>
          <w:rFonts w:hint="eastAsia" w:ascii="仿宋" w:hAnsi="仿宋" w:eastAsia="仿宋" w:cs="仿宋"/>
          <w:bCs/>
          <w:sz w:val="28"/>
          <w:szCs w:val="28"/>
          <w:highlight w:val="none"/>
          <w:lang w:val="en-US" w:eastAsia="zh-CN"/>
        </w:rPr>
        <w:t>响应</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en-US" w:eastAsia="zh-CN"/>
        </w:rPr>
        <w:t>提交的</w:t>
      </w:r>
      <w:r>
        <w:rPr>
          <w:rFonts w:hint="eastAsia" w:ascii="仿宋" w:hAnsi="仿宋" w:eastAsia="仿宋" w:cs="仿宋"/>
          <w:bCs/>
          <w:sz w:val="28"/>
          <w:szCs w:val="28"/>
          <w:highlight w:val="none"/>
        </w:rPr>
        <w:t>响应文件的时间不得迟于采购公告中规定</w:t>
      </w:r>
      <w:r>
        <w:rPr>
          <w:rFonts w:hint="eastAsia" w:ascii="仿宋" w:hAnsi="仿宋" w:eastAsia="仿宋" w:cs="仿宋"/>
          <w:bCs/>
          <w:sz w:val="28"/>
          <w:szCs w:val="28"/>
          <w:highlight w:val="none"/>
          <w:lang w:val="en-US" w:eastAsia="zh-CN"/>
        </w:rPr>
        <w:t>的响应文件提交截止时间。响应供应商应充分考虑天气、快递速度、路程等因素，如因供应商自身原因造成的后果由响应供应商自行承担全部责任。</w:t>
      </w:r>
    </w:p>
    <w:p w14:paraId="50EDDED9">
      <w:pPr>
        <w:adjustRightInd w:val="0"/>
        <w:snapToGrid w:val="0"/>
        <w:spacing w:line="500" w:lineRule="exact"/>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2.2 采购人可以按照规定，通过修改响应文件酌情延长响应文件提交截止日期，在此情况下，响应供应商的所有权利和义务以及响应供应商受制的截止日期均应以延长后新的截止日期为准。</w:t>
      </w:r>
    </w:p>
    <w:p w14:paraId="36A466CD">
      <w:pPr>
        <w:adjustRightInd w:val="0"/>
        <w:snapToGrid w:val="0"/>
        <w:spacing w:line="500" w:lineRule="exact"/>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3.响应文件的拒收</w:t>
      </w:r>
    </w:p>
    <w:p w14:paraId="2E2F6EB0">
      <w:pPr>
        <w:adjustRightInd w:val="0"/>
        <w:snapToGrid w:val="0"/>
        <w:spacing w:line="500" w:lineRule="exact"/>
        <w:ind w:firstLine="560" w:firstLineChars="200"/>
        <w:rPr>
          <w:rFonts w:hint="eastAsia" w:ascii="仿宋" w:hAnsi="仿宋" w:eastAsia="仿宋" w:cs="仿宋"/>
          <w:bCs/>
          <w:sz w:val="28"/>
          <w:szCs w:val="28"/>
          <w:highlight w:val="none"/>
          <w:lang w:val="en-US" w:eastAsia="zh-CN"/>
        </w:rPr>
      </w:pPr>
      <w:bookmarkStart w:id="39" w:name="_Toc513029228"/>
      <w:bookmarkStart w:id="40" w:name="_Toc20823300"/>
      <w:bookmarkStart w:id="41" w:name="_Toc16938544"/>
      <w:r>
        <w:rPr>
          <w:rFonts w:hint="eastAsia" w:ascii="仿宋" w:hAnsi="仿宋" w:eastAsia="仿宋" w:cs="仿宋"/>
          <w:bCs/>
          <w:sz w:val="28"/>
          <w:szCs w:val="28"/>
          <w:highlight w:val="none"/>
          <w:lang w:val="en-US" w:eastAsia="zh-CN"/>
        </w:rPr>
        <w:t>采购人拒绝接收未按照采购文件要求密封的响应文件，拒绝接收在响应文件接收截止时间后送达（以送达签收时间为准）的响应文件。</w:t>
      </w:r>
    </w:p>
    <w:p w14:paraId="6C544E74">
      <w:pPr>
        <w:adjustRightInd w:val="0"/>
        <w:snapToGrid w:val="0"/>
        <w:spacing w:line="500" w:lineRule="exact"/>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4.响应文件的修改</w:t>
      </w:r>
      <w:bookmarkEnd w:id="39"/>
      <w:bookmarkEnd w:id="40"/>
      <w:bookmarkEnd w:id="41"/>
    </w:p>
    <w:p w14:paraId="48893531">
      <w:pPr>
        <w:adjustRightInd w:val="0"/>
        <w:snapToGrid w:val="0"/>
        <w:spacing w:line="500" w:lineRule="exact"/>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4.1 在响应文件提交截止时间之后，响应供应商不得对其响应文件作任何修改。</w:t>
      </w:r>
    </w:p>
    <w:p w14:paraId="3ED784EA">
      <w:pPr>
        <w:adjustRightInd w:val="0"/>
        <w:snapToGrid w:val="0"/>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lang w:val="en-US" w:eastAsia="zh-CN"/>
        </w:rPr>
        <w:t>4.2 在响应文件提交截止时间至采购文件中规定的响应有效期满之间的这段时间内，响应供应商不得撤回其响应。</w:t>
      </w:r>
    </w:p>
    <w:p w14:paraId="77D862E4">
      <w:pPr>
        <w:adjustRightInd w:val="0"/>
        <w:snapToGrid w:val="0"/>
        <w:spacing w:line="500" w:lineRule="exact"/>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五、询价采购程序</w:t>
      </w:r>
    </w:p>
    <w:p w14:paraId="033D99C1">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1.询价小组</w:t>
      </w:r>
    </w:p>
    <w:p w14:paraId="7FBDD2A4">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1.1 开标后，采购人将立即组织询价小组进行评标。</w:t>
      </w:r>
    </w:p>
    <w:p w14:paraId="62EB5C5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1.2 询价小组由</w:t>
      </w:r>
      <w:r>
        <w:rPr>
          <w:rFonts w:hint="eastAsia" w:ascii="仿宋" w:hAnsi="仿宋" w:eastAsia="仿宋" w:cs="仿宋"/>
          <w:sz w:val="28"/>
          <w:szCs w:val="28"/>
          <w:highlight w:val="none"/>
          <w:lang w:eastAsia="zh-CN"/>
        </w:rPr>
        <w:t>政府</w:t>
      </w:r>
      <w:r>
        <w:rPr>
          <w:rFonts w:hint="eastAsia" w:ascii="仿宋" w:hAnsi="仿宋" w:eastAsia="仿宋" w:cs="仿宋"/>
          <w:sz w:val="28"/>
          <w:szCs w:val="28"/>
          <w:highlight w:val="none"/>
        </w:rPr>
        <w:t>采购评审专家</w:t>
      </w:r>
      <w:r>
        <w:rPr>
          <w:rFonts w:hint="eastAsia" w:ascii="仿宋" w:hAnsi="仿宋" w:eastAsia="仿宋" w:cs="仿宋"/>
          <w:sz w:val="28"/>
          <w:szCs w:val="28"/>
          <w:highlight w:val="none"/>
          <w:lang w:eastAsia="zh-CN"/>
        </w:rPr>
        <w:t>和</w:t>
      </w:r>
      <w:r>
        <w:rPr>
          <w:rFonts w:hint="eastAsia" w:ascii="仿宋" w:hAnsi="仿宋" w:eastAsia="仿宋" w:cs="仿宋"/>
          <w:sz w:val="28"/>
          <w:szCs w:val="28"/>
          <w:highlight w:val="none"/>
        </w:rPr>
        <w:t>采购人代表组成，且人员构成符合政府采购有关规定。</w:t>
      </w:r>
    </w:p>
    <w:p w14:paraId="458E64D0">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1.3询价小组应当按照客观、公正、审慎的原则评审响应供应商的响应文件。</w:t>
      </w:r>
    </w:p>
    <w:p w14:paraId="7C7EC70B">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2.响应的澄清</w:t>
      </w:r>
    </w:p>
    <w:p w14:paraId="48A36F4B">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2.1评审期间，为有助于对响应文件的审查、评价和比较，询价小组有权要求供应商对其响应文件进行澄清，但并非对每个供应商都作澄清要求。</w:t>
      </w:r>
    </w:p>
    <w:p w14:paraId="63031467">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2.2接到询价小组澄清要求的供应商应派人按询价小组规定的时间和格式作出澄清，澄清的内容作为响应文件的补充部分，但响应的价格和实质性的内容不得做任何更改。</w:t>
      </w:r>
    </w:p>
    <w:p w14:paraId="462383E9">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2.3 接到询价小组澄清要求的供应商如未按规定做出澄清，其风险由供应商自行承担。</w:t>
      </w:r>
    </w:p>
    <w:p w14:paraId="4E8CFE8D">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3.对响应文件的初审</w:t>
      </w:r>
    </w:p>
    <w:p w14:paraId="7D3E52E5">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3.1响应文件初审分为资格性检查和符合性检查。</w:t>
      </w:r>
    </w:p>
    <w:p w14:paraId="4113C10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资格性检查：依据法律法规和采购文件的规定，</w:t>
      </w:r>
      <w:r>
        <w:rPr>
          <w:rFonts w:hint="eastAsia" w:ascii="仿宋" w:hAnsi="仿宋" w:eastAsia="仿宋" w:cs="仿宋"/>
          <w:sz w:val="28"/>
          <w:szCs w:val="28"/>
          <w:highlight w:val="none"/>
          <w:lang w:val="en-US" w:eastAsia="zh-CN"/>
        </w:rPr>
        <w:t>询价小组</w:t>
      </w:r>
      <w:r>
        <w:rPr>
          <w:rFonts w:hint="eastAsia" w:ascii="仿宋" w:hAnsi="仿宋" w:eastAsia="仿宋" w:cs="仿宋"/>
          <w:sz w:val="28"/>
          <w:szCs w:val="28"/>
          <w:highlight w:val="none"/>
        </w:rPr>
        <w:t>对响应文件中的资格证明文件等进行审查，以确定供应商是否具备参加询价的资格。</w:t>
      </w:r>
    </w:p>
    <w:p w14:paraId="0DDBAAEE">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询价小组在进行资格性审查的同时，将在“信用中国”网站对供应商是否被列入失信被执行人、重大税收违法案件当事人名单、政府采购严重失信行为记录名单情况进行查询，以确定供应商是否具备参加询价的资格，查询结果留存并归档。</w:t>
      </w:r>
    </w:p>
    <w:p w14:paraId="3F391586">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161304B1">
      <w:pPr>
        <w:adjustRightInd w:val="0"/>
        <w:snapToGrid w:val="0"/>
        <w:spacing w:line="500" w:lineRule="exact"/>
        <w:ind w:firstLine="560" w:firstLineChars="200"/>
        <w:jc w:val="left"/>
        <w:rPr>
          <w:rFonts w:hint="eastAsia"/>
          <w:highlight w:val="none"/>
        </w:rPr>
      </w:pPr>
      <w:r>
        <w:rPr>
          <w:rFonts w:ascii="Times New Roman" w:hAnsi="Times New Roman" w:eastAsia="方正仿宋_GBK"/>
          <w:sz w:val="28"/>
          <w:szCs w:val="28"/>
          <w:highlight w:val="none"/>
        </w:rPr>
        <w:t>资格性审查未通过的响应供应商作无效响应处理。</w:t>
      </w:r>
    </w:p>
    <w:p w14:paraId="68FFFD09">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（2）符合性检查：依据采购文件的规定，从响应文件的有效性、完整性和对采购文件的响应程度进行审查，以确定是否对采购文件的实质性要求作出响应。符合性审查未通过的响应供应商作无效响应处理。</w:t>
      </w:r>
    </w:p>
    <w:p w14:paraId="4033F894">
      <w:pPr>
        <w:adjustRightInd w:val="0"/>
        <w:snapToGrid w:val="0"/>
        <w:spacing w:line="500" w:lineRule="exact"/>
        <w:ind w:firstLine="42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（3）未通过资格性审查或符合性审查的响应供应商，代理机构将告知其未通过资格性审查或符合性审查的原因</w:t>
      </w:r>
      <w:r>
        <w:rPr>
          <w:rFonts w:hint="eastAsia" w:ascii="仿宋" w:hAnsi="仿宋" w:eastAsia="仿宋" w:cs="仿宋"/>
          <w:sz w:val="28"/>
          <w:szCs w:val="28"/>
          <w:highlight w:val="none"/>
          <w:lang w:eastAsia="zh-CN"/>
        </w:rPr>
        <w:t>，</w:t>
      </w:r>
      <w:r>
        <w:rPr>
          <w:rFonts w:eastAsia="方正仿宋_GBK"/>
          <w:bCs/>
          <w:sz w:val="28"/>
          <w:szCs w:val="28"/>
          <w:highlight w:val="none"/>
        </w:rPr>
        <w:t>评审结束后，</w:t>
      </w:r>
      <w:r>
        <w:rPr>
          <w:rFonts w:hint="eastAsia" w:eastAsia="方正仿宋_GBK"/>
          <w:bCs/>
          <w:sz w:val="28"/>
          <w:szCs w:val="28"/>
          <w:highlight w:val="none"/>
          <w:lang w:val="en-US" w:eastAsia="zh-CN"/>
        </w:rPr>
        <w:t>代理机构</w:t>
      </w:r>
      <w:r>
        <w:rPr>
          <w:rFonts w:eastAsia="方正仿宋_GBK"/>
          <w:bCs/>
          <w:sz w:val="28"/>
          <w:szCs w:val="28"/>
        </w:rPr>
        <w:t>将不再告知未通过资格审查或符合性审查的原因。</w:t>
      </w:r>
    </w:p>
    <w:p w14:paraId="08F940E9">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3.2询价小组将对确定为实质性响应的响应进行进一步审核，看其是否有计算上或累加上的算术错误，修正错误的原则如下：</w:t>
      </w:r>
    </w:p>
    <w:p w14:paraId="30B5211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（1）响应文件中</w:t>
      </w:r>
      <w:r>
        <w:rPr>
          <w:rFonts w:hint="eastAsia" w:ascii="仿宋" w:hAnsi="仿宋" w:eastAsia="仿宋" w:cs="仿宋"/>
          <w:sz w:val="28"/>
          <w:szCs w:val="28"/>
          <w:highlight w:val="none"/>
          <w:lang w:eastAsia="zh-CN"/>
        </w:rPr>
        <w:t>报价总表</w:t>
      </w:r>
      <w:r>
        <w:rPr>
          <w:rFonts w:hint="eastAsia" w:ascii="仿宋" w:hAnsi="仿宋" w:eastAsia="仿宋" w:cs="仿宋"/>
          <w:sz w:val="28"/>
          <w:szCs w:val="28"/>
          <w:highlight w:val="none"/>
        </w:rPr>
        <w:t>内容与响应文件中相应内容不一致的，以报价</w:t>
      </w:r>
      <w:r>
        <w:rPr>
          <w:rFonts w:hint="eastAsia" w:ascii="仿宋" w:hAnsi="仿宋" w:eastAsia="仿宋" w:cs="仿宋"/>
          <w:sz w:val="28"/>
          <w:szCs w:val="28"/>
          <w:highlight w:val="none"/>
          <w:lang w:eastAsia="zh-CN"/>
        </w:rPr>
        <w:t>总</w:t>
      </w:r>
      <w:r>
        <w:rPr>
          <w:rFonts w:hint="eastAsia" w:ascii="仿宋" w:hAnsi="仿宋" w:eastAsia="仿宋" w:cs="仿宋"/>
          <w:sz w:val="28"/>
          <w:szCs w:val="28"/>
          <w:highlight w:val="none"/>
        </w:rPr>
        <w:t>表为准。</w:t>
      </w:r>
    </w:p>
    <w:p w14:paraId="16575E7D">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（2）大写金额和小写金额不一致的，以大写金额为准。</w:t>
      </w:r>
    </w:p>
    <w:p w14:paraId="35E7A395">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（3）总价金额与按单价汇总金额不一致的，以单价金额计算结果为准。</w:t>
      </w:r>
    </w:p>
    <w:p w14:paraId="502EC4D3">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同时出现两种以上错误的，按照前款规定的顺序修正。</w:t>
      </w:r>
    </w:p>
    <w:p w14:paraId="1E0101C5">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3.3询价小组将按上述修正错误的方法调整响应文件中的响应报价，并告知响应供应商，调整后的价格应对响应供应商具有约束力。如果响应供应商不接受修正后的价格，则其响应将被拒绝。</w:t>
      </w:r>
    </w:p>
    <w:p w14:paraId="7F8503F5">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3.4本采购项目为一个完整标的，询价小组不接受不完整的响应报价。响应供应商或其授权委托人必须对所有项目分别报单价，并合计总价。询价小组有权将未按规定填写的报价视为无效响应。</w:t>
      </w:r>
    </w:p>
    <w:p w14:paraId="142ACBDD">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3.5询价小组允许修正响应文件中不构成重大偏离的、微小的、非正规的、不一致的或不规则的地方，但这些修改不能影响任何响应供应商相应的名次排列。</w:t>
      </w:r>
    </w:p>
    <w:p w14:paraId="3F13E5E9">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60E95DB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非单一产品采购项目，采购文件中将载明其中的核心产品。多家响应供应商提供的核心产品为同一品牌同一型号的，按前款规定处理。</w:t>
      </w:r>
    </w:p>
    <w:p w14:paraId="7AB66217">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3.7响应供应商在询价采购活动全过程中应保持通讯畅通，并安排专人与采购人及询价小组联系。</w:t>
      </w:r>
    </w:p>
    <w:p w14:paraId="29F4CBAD">
      <w:pPr>
        <w:adjustRightInd w:val="0"/>
        <w:snapToGrid w:val="0"/>
        <w:spacing w:line="50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4.无效响应及废标情形</w:t>
      </w:r>
    </w:p>
    <w:p w14:paraId="1782BDC3">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4.1符合下列情形之一者，响应供应商响应无效：</w:t>
      </w:r>
    </w:p>
    <w:p w14:paraId="2FAC7FFA">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（1）响应供应商未按本采购文件要求进行制作或密封的；</w:t>
      </w:r>
    </w:p>
    <w:p w14:paraId="269493EE">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（2）响应文件未按采购文件的要求签字或盖章的；</w:t>
      </w:r>
    </w:p>
    <w:p w14:paraId="682A23E7">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（3）响应文件未按规定加盖供应商印章，投标报价部分未盖章的；</w:t>
      </w:r>
    </w:p>
    <w:p w14:paraId="27A221B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（4）响应文件的关键内容字迹模糊，无法辨认的；</w:t>
      </w:r>
    </w:p>
    <w:p w14:paraId="44F877D4">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（5）同一响应供应商提交两个（含两个）以上不同的响应报价的；</w:t>
      </w:r>
    </w:p>
    <w:p w14:paraId="04C4D4A4">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（6）响应供应商不具备采购文件中规定资格要求的；</w:t>
      </w:r>
    </w:p>
    <w:p w14:paraId="751FA347">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（7）响应供应商的报价超过了采购预算或最高限价的；</w:t>
      </w:r>
    </w:p>
    <w:p w14:paraId="18309007">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（8）未通过资格性、符合性审查的；</w:t>
      </w:r>
    </w:p>
    <w:p w14:paraId="3EA54F34">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）不符合询价采购文件中规定的其他实质性要求和条件的；</w:t>
      </w:r>
    </w:p>
    <w:p w14:paraId="67A4AB11">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6F51F91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）响应文件含有采购人不能接受的附加条件的；</w:t>
      </w:r>
    </w:p>
    <w:p w14:paraId="41DA90B3">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本项目采购产品被财政部、国家发展和改革委员会、生态环境部等列入“节能产品品目清单”、“环境标志产品品目清单”强制采购范围，而供应商所响应产品不在强制采购范围内的。（响应产品如属于政府强制采购节能产品品目清单范围内，响应文件中必须提供国家确定的认证机构出具的、处于有效期之内的该节能产品认证证书</w:t>
      </w:r>
      <w:r>
        <w:rPr>
          <w:rFonts w:hint="eastAsia" w:ascii="仿宋" w:hAnsi="仿宋" w:eastAsia="仿宋" w:cs="仿宋"/>
          <w:sz w:val="28"/>
          <w:szCs w:val="28"/>
          <w:highlight w:val="none"/>
          <w:lang w:val="en-US" w:eastAsia="zh-CN"/>
        </w:rPr>
        <w:t>复印</w:t>
      </w:r>
      <w:r>
        <w:rPr>
          <w:rFonts w:hint="eastAsia" w:ascii="仿宋" w:hAnsi="仿宋" w:eastAsia="仿宋" w:cs="仿宋"/>
          <w:sz w:val="28"/>
          <w:szCs w:val="28"/>
          <w:highlight w:val="none"/>
        </w:rPr>
        <w:t>件）；</w:t>
      </w:r>
    </w:p>
    <w:p w14:paraId="3BE3FFC0">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）其他法律、法规及本采购文件规定的属无效响应的情形。</w:t>
      </w:r>
    </w:p>
    <w:p w14:paraId="06005EE4">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4.2符合下列情形之一者，本采购项目废标：</w:t>
      </w:r>
    </w:p>
    <w:p w14:paraId="323BCAA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（1）符合专业条件的供应商或者对采购文件作实质响应的供应商不足三家的；</w:t>
      </w:r>
    </w:p>
    <w:p w14:paraId="402B48C4">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（2）所有合格响应供应商的报价均超过本项目预算金额或最高限价的；</w:t>
      </w:r>
    </w:p>
    <w:p w14:paraId="65D83192">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（3）出现影响采购公正的违法、违规行为的；</w:t>
      </w:r>
    </w:p>
    <w:p w14:paraId="2099994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（4）因重大变故，采购任务取消的；</w:t>
      </w:r>
    </w:p>
    <w:p w14:paraId="0BE977F8">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废标后，对于特殊紧急的采购项目，经监管部门批准后采购人可直接改变采购方式，现场继续组织采购活动。</w:t>
      </w:r>
    </w:p>
    <w:p w14:paraId="07DFEA5D">
      <w:pPr>
        <w:adjustRightInd w:val="0"/>
        <w:snapToGrid w:val="0"/>
        <w:spacing w:line="50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六、成交原则</w:t>
      </w:r>
    </w:p>
    <w:p w14:paraId="342EAE2E">
      <w:pPr>
        <w:adjustRightInd w:val="0"/>
        <w:snapToGrid w:val="0"/>
        <w:spacing w:line="50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1.确定成交单位</w:t>
      </w:r>
    </w:p>
    <w:p w14:paraId="7DDCDD9E">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1.1询价小组将从质量和服务均能满足采购文件实质性响应要求的供应商中，按照报价由低到高顺序推荐1名成交候选供应商，</w:t>
      </w:r>
      <w:r>
        <w:rPr>
          <w:rFonts w:hint="eastAsia" w:eastAsia="方正仿宋_GBK"/>
          <w:sz w:val="28"/>
          <w:szCs w:val="28"/>
        </w:rPr>
        <w:t>若报价相同时则通过抽签方式随机确定排名顺序，</w:t>
      </w:r>
      <w:r>
        <w:rPr>
          <w:rFonts w:ascii="Times New Roman" w:hAnsi="Times New Roman" w:eastAsia="方正仿宋_GBK"/>
          <w:sz w:val="28"/>
          <w:szCs w:val="28"/>
        </w:rPr>
        <w:t>并编写评审报告。</w:t>
      </w:r>
    </w:p>
    <w:p w14:paraId="1D2EFE78">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采购人</w:t>
      </w:r>
      <w:r>
        <w:rPr>
          <w:rFonts w:hint="eastAsia" w:eastAsia="方正仿宋_GBK"/>
          <w:sz w:val="28"/>
          <w:szCs w:val="28"/>
        </w:rPr>
        <w:t>应按照询价</w:t>
      </w:r>
      <w:r>
        <w:rPr>
          <w:rFonts w:eastAsia="方正仿宋_GBK"/>
          <w:sz w:val="28"/>
          <w:szCs w:val="28"/>
        </w:rPr>
        <w:t>小组推荐的成交候选</w:t>
      </w:r>
      <w:r>
        <w:rPr>
          <w:rFonts w:hint="eastAsia" w:eastAsia="方正仿宋_GBK"/>
          <w:sz w:val="28"/>
          <w:szCs w:val="28"/>
        </w:rPr>
        <w:t>供应商确定</w:t>
      </w:r>
      <w:r>
        <w:rPr>
          <w:rFonts w:ascii="Times New Roman" w:hAnsi="Times New Roman" w:eastAsia="方正仿宋_GBK"/>
          <w:sz w:val="28"/>
          <w:szCs w:val="28"/>
        </w:rPr>
        <w:t>成交供应商。</w:t>
      </w:r>
    </w:p>
    <w:p w14:paraId="1A52646A">
      <w:pPr>
        <w:adjustRightInd w:val="0"/>
        <w:snapToGrid w:val="0"/>
        <w:spacing w:line="500" w:lineRule="exact"/>
        <w:ind w:firstLine="570"/>
        <w:rPr>
          <w:rFonts w:ascii="Times New Roman" w:hAnsi="Times New Roman" w:eastAsia="方正仿宋_GBK"/>
          <w:sz w:val="28"/>
          <w:szCs w:val="28"/>
        </w:rPr>
      </w:pPr>
      <w:r>
        <w:rPr>
          <w:rFonts w:ascii="Times New Roman" w:hAnsi="Times New Roman" w:eastAsia="方正仿宋_GBK"/>
          <w:sz w:val="28"/>
          <w:szCs w:val="28"/>
        </w:rPr>
        <w:t>1.2政府采购政策功能落实</w:t>
      </w:r>
    </w:p>
    <w:p w14:paraId="10FCAACD">
      <w:pPr>
        <w:adjustRightInd w:val="0"/>
        <w:snapToGrid w:val="0"/>
        <w:spacing w:line="500" w:lineRule="exact"/>
        <w:ind w:firstLine="570"/>
        <w:rPr>
          <w:rFonts w:eastAsia="方正仿宋_GBK"/>
          <w:bCs/>
          <w:sz w:val="28"/>
          <w:szCs w:val="28"/>
        </w:rPr>
      </w:pPr>
      <w:r>
        <w:rPr>
          <w:rFonts w:hint="eastAsia" w:ascii="Times New Roman" w:hAnsi="Times New Roman" w:eastAsia="方正仿宋_GBK"/>
          <w:sz w:val="28"/>
          <w:szCs w:val="28"/>
        </w:rPr>
        <w:t>1</w:t>
      </w:r>
      <w:r>
        <w:rPr>
          <w:rFonts w:ascii="Times New Roman" w:hAnsi="Times New Roman" w:eastAsia="方正仿宋_GBK"/>
          <w:sz w:val="28"/>
          <w:szCs w:val="28"/>
        </w:rPr>
        <w:t>.2.1</w:t>
      </w:r>
      <w:r>
        <w:rPr>
          <w:rFonts w:hint="eastAsia" w:eastAsia="方正仿宋_GBK"/>
          <w:bCs/>
          <w:sz w:val="28"/>
          <w:szCs w:val="28"/>
        </w:rPr>
        <w:t>非专门面向中小企业采购的项目或者采购包，执行以下价格评审优惠的扶持政策。</w:t>
      </w:r>
    </w:p>
    <w:p w14:paraId="48312435">
      <w:pPr>
        <w:adjustRightInd w:val="0"/>
        <w:snapToGrid w:val="0"/>
        <w:spacing w:line="500" w:lineRule="exact"/>
        <w:ind w:firstLine="570"/>
        <w:rPr>
          <w:rFonts w:eastAsia="方正仿宋_GBK"/>
          <w:bCs/>
          <w:sz w:val="28"/>
          <w:szCs w:val="28"/>
        </w:rPr>
      </w:pPr>
      <w:r>
        <w:rPr>
          <w:rFonts w:hint="eastAsia" w:eastAsia="方正仿宋_GBK"/>
          <w:bCs/>
          <w:sz w:val="28"/>
          <w:szCs w:val="28"/>
        </w:rPr>
        <w:t>（</w:t>
      </w:r>
      <w:r>
        <w:rPr>
          <w:rFonts w:eastAsia="方正仿宋_GBK"/>
          <w:bCs/>
          <w:sz w:val="28"/>
          <w:szCs w:val="28"/>
        </w:rPr>
        <w:t>1</w:t>
      </w:r>
      <w:r>
        <w:rPr>
          <w:rFonts w:hint="eastAsia" w:eastAsia="方正仿宋_GBK"/>
          <w:bCs/>
          <w:sz w:val="28"/>
          <w:szCs w:val="28"/>
        </w:rPr>
        <w:t>）小微型企业价格扣除：</w:t>
      </w:r>
    </w:p>
    <w:p w14:paraId="2046E5C4">
      <w:pPr>
        <w:adjustRightInd w:val="0"/>
        <w:snapToGrid w:val="0"/>
        <w:spacing w:line="500" w:lineRule="exact"/>
        <w:ind w:firstLine="570"/>
        <w:rPr>
          <w:rFonts w:eastAsia="方正仿宋_GBK"/>
          <w:bCs/>
          <w:sz w:val="28"/>
          <w:szCs w:val="28"/>
        </w:rPr>
      </w:pPr>
      <w:r>
        <w:rPr>
          <w:rFonts w:eastAsia="方正仿宋_GBK"/>
          <w:bCs/>
          <w:sz w:val="28"/>
          <w:szCs w:val="28"/>
        </w:rPr>
        <w:fldChar w:fldCharType="begin"/>
      </w:r>
      <w:r>
        <w:rPr>
          <w:rFonts w:eastAsia="方正仿宋_GBK"/>
          <w:bCs/>
          <w:sz w:val="28"/>
          <w:szCs w:val="28"/>
        </w:rPr>
        <w:instrText xml:space="preserve"> eq \o\ac(</w:instrText>
      </w:r>
      <w:r>
        <w:rPr>
          <w:rFonts w:hint="eastAsia" w:ascii="方正仿宋_GBK" w:eastAsia="方正仿宋_GBK"/>
          <w:bCs/>
          <w:position w:val="-5"/>
          <w:sz w:val="42"/>
          <w:szCs w:val="28"/>
        </w:rPr>
        <w:instrText xml:space="preserve">○</w:instrText>
      </w:r>
      <w:r>
        <w:rPr>
          <w:rFonts w:eastAsia="方正仿宋_GBK"/>
          <w:bCs/>
          <w:sz w:val="28"/>
          <w:szCs w:val="28"/>
        </w:rPr>
        <w:instrText xml:space="preserve">,1)</w:instrText>
      </w:r>
      <w:r>
        <w:rPr>
          <w:rFonts w:eastAsia="方正仿宋_GBK"/>
          <w:bCs/>
          <w:sz w:val="28"/>
          <w:szCs w:val="28"/>
        </w:rPr>
        <w:fldChar w:fldCharType="end"/>
      </w:r>
      <w:r>
        <w:rPr>
          <w:rFonts w:hint="eastAsia" w:eastAsia="方正仿宋_GBK"/>
          <w:bCs/>
          <w:sz w:val="28"/>
          <w:szCs w:val="28"/>
        </w:rPr>
        <w:t>对小型和微型企业产品给予</w:t>
      </w:r>
      <w:r>
        <w:rPr>
          <w:rFonts w:eastAsia="方正仿宋_GBK"/>
          <w:bCs/>
          <w:sz w:val="28"/>
          <w:szCs w:val="28"/>
        </w:rPr>
        <w:t>10%</w:t>
      </w:r>
      <w:r>
        <w:rPr>
          <w:rFonts w:hint="eastAsia" w:eastAsia="方正仿宋_GBK"/>
          <w:bCs/>
          <w:sz w:val="28"/>
          <w:szCs w:val="28"/>
        </w:rPr>
        <w:t>的扣除价格，用扣除后的价格参与评审。</w:t>
      </w:r>
    </w:p>
    <w:p w14:paraId="5AE941E1">
      <w:pPr>
        <w:adjustRightInd w:val="0"/>
        <w:snapToGrid w:val="0"/>
        <w:spacing w:line="500" w:lineRule="exact"/>
        <w:ind w:firstLine="570"/>
        <w:rPr>
          <w:rFonts w:eastAsia="方正仿宋_GBK"/>
          <w:bCs/>
          <w:sz w:val="28"/>
          <w:szCs w:val="28"/>
        </w:rPr>
      </w:pPr>
      <w:r>
        <w:rPr>
          <w:rFonts w:eastAsia="方正仿宋_GBK"/>
          <w:bCs/>
          <w:sz w:val="28"/>
          <w:szCs w:val="28"/>
        </w:rPr>
        <w:fldChar w:fldCharType="begin"/>
      </w:r>
      <w:r>
        <w:rPr>
          <w:rFonts w:eastAsia="方正仿宋_GBK"/>
          <w:bCs/>
          <w:sz w:val="28"/>
          <w:szCs w:val="28"/>
        </w:rPr>
        <w:instrText xml:space="preserve"> eq \o\ac(</w:instrText>
      </w:r>
      <w:r>
        <w:rPr>
          <w:rFonts w:hint="eastAsia" w:ascii="方正仿宋_GBK" w:eastAsia="方正仿宋_GBK"/>
          <w:bCs/>
          <w:position w:val="-5"/>
          <w:sz w:val="42"/>
          <w:szCs w:val="28"/>
        </w:rPr>
        <w:instrText xml:space="preserve">○</w:instrText>
      </w:r>
      <w:r>
        <w:rPr>
          <w:rFonts w:eastAsia="方正仿宋_GBK"/>
          <w:bCs/>
          <w:sz w:val="28"/>
          <w:szCs w:val="28"/>
        </w:rPr>
        <w:instrText xml:space="preserve">,2)</w:instrText>
      </w:r>
      <w:r>
        <w:rPr>
          <w:rFonts w:eastAsia="方正仿宋_GBK"/>
          <w:bCs/>
          <w:sz w:val="28"/>
          <w:szCs w:val="28"/>
        </w:rPr>
        <w:fldChar w:fldCharType="end"/>
      </w:r>
      <w:r>
        <w:rPr>
          <w:rFonts w:hint="eastAsia" w:eastAsia="方正仿宋_GBK"/>
          <w:bCs/>
          <w:sz w:val="28"/>
          <w:szCs w:val="28"/>
        </w:rPr>
        <w:t>供应商需按照《政府采购促进中小企业发展管理办法》（财库</w:t>
      </w:r>
      <w:r>
        <w:rPr>
          <w:rFonts w:hint="eastAsia" w:eastAsia="方正仿宋_GBK"/>
          <w:sz w:val="28"/>
          <w:szCs w:val="28"/>
        </w:rPr>
        <w:t>〔</w:t>
      </w:r>
      <w:r>
        <w:rPr>
          <w:rFonts w:eastAsia="方正仿宋_GBK"/>
          <w:bCs/>
          <w:sz w:val="28"/>
          <w:szCs w:val="28"/>
        </w:rPr>
        <w:t>2020</w:t>
      </w:r>
      <w:r>
        <w:rPr>
          <w:rFonts w:hint="eastAsia" w:eastAsia="方正仿宋_GBK"/>
          <w:sz w:val="28"/>
          <w:szCs w:val="28"/>
        </w:rPr>
        <w:t>〕</w:t>
      </w:r>
      <w:r>
        <w:rPr>
          <w:rFonts w:eastAsia="方正仿宋_GBK"/>
          <w:bCs/>
          <w:sz w:val="28"/>
          <w:szCs w:val="28"/>
        </w:rPr>
        <w:t>46</w:t>
      </w:r>
      <w:r>
        <w:rPr>
          <w:rFonts w:hint="eastAsia" w:eastAsia="方正仿宋_GBK"/>
          <w:bCs/>
          <w:sz w:val="28"/>
          <w:szCs w:val="28"/>
        </w:rPr>
        <w:t>号）的规定提供相应的《中小企业声明函》。</w:t>
      </w:r>
    </w:p>
    <w:p w14:paraId="41913EFD">
      <w:pPr>
        <w:adjustRightInd w:val="0"/>
        <w:snapToGrid w:val="0"/>
        <w:spacing w:line="500" w:lineRule="exact"/>
        <w:ind w:firstLine="570"/>
        <w:rPr>
          <w:rFonts w:eastAsia="方正仿宋_GBK"/>
          <w:bCs/>
          <w:sz w:val="28"/>
          <w:szCs w:val="28"/>
        </w:rPr>
      </w:pPr>
      <w:r>
        <w:rPr>
          <w:rFonts w:eastAsia="方正仿宋_GBK"/>
          <w:bCs/>
          <w:sz w:val="28"/>
          <w:szCs w:val="28"/>
        </w:rPr>
        <w:fldChar w:fldCharType="begin"/>
      </w:r>
      <w:r>
        <w:rPr>
          <w:rFonts w:eastAsia="方正仿宋_GBK"/>
          <w:bCs/>
          <w:sz w:val="28"/>
          <w:szCs w:val="28"/>
        </w:rPr>
        <w:instrText xml:space="preserve"> eq \o\ac(</w:instrText>
      </w:r>
      <w:r>
        <w:rPr>
          <w:rFonts w:hint="eastAsia" w:ascii="方正仿宋_GBK" w:eastAsia="方正仿宋_GBK"/>
          <w:bCs/>
          <w:position w:val="-5"/>
          <w:sz w:val="42"/>
          <w:szCs w:val="28"/>
        </w:rPr>
        <w:instrText xml:space="preserve">○</w:instrText>
      </w:r>
      <w:r>
        <w:rPr>
          <w:rFonts w:eastAsia="方正仿宋_GBK"/>
          <w:bCs/>
          <w:sz w:val="28"/>
          <w:szCs w:val="28"/>
        </w:rPr>
        <w:instrText xml:space="preserve">,3)</w:instrText>
      </w:r>
      <w:r>
        <w:rPr>
          <w:rFonts w:eastAsia="方正仿宋_GBK"/>
          <w:bCs/>
          <w:sz w:val="28"/>
          <w:szCs w:val="28"/>
        </w:rPr>
        <w:fldChar w:fldCharType="end"/>
      </w:r>
      <w:r>
        <w:rPr>
          <w:rFonts w:hint="eastAsia" w:eastAsia="方正仿宋_GBK"/>
          <w:bCs/>
          <w:sz w:val="28"/>
          <w:szCs w:val="28"/>
        </w:rPr>
        <w:t>企业标准请参照《关于印发中小企业划型标准规定的通知》（工信部联企业</w:t>
      </w:r>
      <w:r>
        <w:rPr>
          <w:rFonts w:hint="eastAsia" w:eastAsia="方正仿宋_GBK"/>
          <w:kern w:val="0"/>
          <w:sz w:val="28"/>
          <w:szCs w:val="28"/>
          <w:lang w:val="zh-CN"/>
        </w:rPr>
        <w:t>〔</w:t>
      </w:r>
      <w:r>
        <w:rPr>
          <w:rFonts w:eastAsia="方正仿宋_GBK"/>
          <w:bCs/>
          <w:sz w:val="28"/>
          <w:szCs w:val="28"/>
        </w:rPr>
        <w:t>2011</w:t>
      </w:r>
      <w:r>
        <w:rPr>
          <w:rFonts w:hint="eastAsia" w:eastAsia="方正仿宋_GBK"/>
          <w:kern w:val="0"/>
          <w:sz w:val="28"/>
          <w:szCs w:val="28"/>
          <w:lang w:val="zh-CN"/>
        </w:rPr>
        <w:t>〕</w:t>
      </w:r>
      <w:r>
        <w:rPr>
          <w:rFonts w:eastAsia="方正仿宋_GBK"/>
          <w:bCs/>
          <w:sz w:val="28"/>
          <w:szCs w:val="28"/>
        </w:rPr>
        <w:t>300</w:t>
      </w:r>
      <w:r>
        <w:rPr>
          <w:rFonts w:hint="eastAsia" w:eastAsia="方正仿宋_GBK"/>
          <w:bCs/>
          <w:sz w:val="28"/>
          <w:szCs w:val="28"/>
        </w:rPr>
        <w:t>号）文件规定自行填写。</w:t>
      </w:r>
    </w:p>
    <w:p w14:paraId="7C2A391D">
      <w:pPr>
        <w:adjustRightInd w:val="0"/>
        <w:snapToGrid w:val="0"/>
        <w:spacing w:line="500" w:lineRule="exact"/>
        <w:ind w:firstLine="570"/>
        <w:rPr>
          <w:rFonts w:eastAsia="方正仿宋_GBK"/>
          <w:bCs/>
          <w:sz w:val="28"/>
          <w:szCs w:val="28"/>
        </w:rPr>
      </w:pPr>
      <w:r>
        <w:rPr>
          <w:rFonts w:hint="eastAsia" w:eastAsia="方正仿宋_GBK"/>
          <w:bCs/>
          <w:sz w:val="28"/>
          <w:szCs w:val="28"/>
        </w:rPr>
        <w:t>（</w:t>
      </w:r>
      <w:r>
        <w:rPr>
          <w:rFonts w:eastAsia="方正仿宋_GBK"/>
          <w:bCs/>
          <w:sz w:val="28"/>
          <w:szCs w:val="28"/>
        </w:rPr>
        <w:t>2</w:t>
      </w:r>
      <w:r>
        <w:rPr>
          <w:rFonts w:hint="eastAsia" w:eastAsia="方正仿宋_GBK"/>
          <w:bCs/>
          <w:sz w:val="28"/>
          <w:szCs w:val="28"/>
        </w:rPr>
        <w:t>）残疾人福利单位价格扣除：</w:t>
      </w:r>
    </w:p>
    <w:p w14:paraId="7ADDF921">
      <w:pPr>
        <w:adjustRightInd w:val="0"/>
        <w:snapToGrid w:val="0"/>
        <w:spacing w:line="500" w:lineRule="exact"/>
        <w:ind w:firstLine="570"/>
        <w:rPr>
          <w:rFonts w:eastAsia="方正仿宋_GBK"/>
          <w:bCs/>
          <w:sz w:val="28"/>
          <w:szCs w:val="28"/>
        </w:rPr>
      </w:pPr>
      <w:r>
        <w:rPr>
          <w:rFonts w:eastAsia="方正仿宋_GBK"/>
          <w:bCs/>
          <w:sz w:val="28"/>
          <w:szCs w:val="28"/>
        </w:rPr>
        <w:fldChar w:fldCharType="begin"/>
      </w:r>
      <w:r>
        <w:rPr>
          <w:rFonts w:eastAsia="方正仿宋_GBK"/>
          <w:bCs/>
          <w:sz w:val="28"/>
          <w:szCs w:val="28"/>
        </w:rPr>
        <w:instrText xml:space="preserve"> eq \o\ac(</w:instrText>
      </w:r>
      <w:r>
        <w:rPr>
          <w:rFonts w:hint="eastAsia" w:ascii="方正仿宋_GBK" w:eastAsia="方正仿宋_GBK"/>
          <w:bCs/>
          <w:position w:val="-5"/>
          <w:sz w:val="42"/>
          <w:szCs w:val="28"/>
        </w:rPr>
        <w:instrText xml:space="preserve">○</w:instrText>
      </w:r>
      <w:r>
        <w:rPr>
          <w:rFonts w:eastAsia="方正仿宋_GBK"/>
          <w:bCs/>
          <w:sz w:val="28"/>
          <w:szCs w:val="28"/>
        </w:rPr>
        <w:instrText xml:space="preserve">,1)</w:instrText>
      </w:r>
      <w:r>
        <w:rPr>
          <w:rFonts w:eastAsia="方正仿宋_GBK"/>
          <w:bCs/>
          <w:sz w:val="28"/>
          <w:szCs w:val="28"/>
        </w:rPr>
        <w:fldChar w:fldCharType="end"/>
      </w:r>
      <w:r>
        <w:rPr>
          <w:rFonts w:hint="eastAsia" w:eastAsia="方正仿宋_GBK"/>
          <w:bCs/>
          <w:sz w:val="28"/>
          <w:szCs w:val="28"/>
        </w:rPr>
        <w:t>对残疾人福利性单位，给予</w:t>
      </w:r>
      <w:r>
        <w:rPr>
          <w:rFonts w:eastAsia="方正仿宋_GBK"/>
          <w:bCs/>
          <w:sz w:val="28"/>
          <w:szCs w:val="28"/>
        </w:rPr>
        <w:t>10%</w:t>
      </w:r>
      <w:r>
        <w:rPr>
          <w:rFonts w:hint="eastAsia" w:eastAsia="方正仿宋_GBK"/>
          <w:bCs/>
          <w:sz w:val="28"/>
          <w:szCs w:val="28"/>
        </w:rPr>
        <w:t>的价格扣除，用扣除后的价格参与评审。</w:t>
      </w:r>
    </w:p>
    <w:p w14:paraId="30AB60E6">
      <w:pPr>
        <w:adjustRightInd w:val="0"/>
        <w:snapToGrid w:val="0"/>
        <w:spacing w:line="500" w:lineRule="exact"/>
        <w:ind w:firstLine="570"/>
        <w:rPr>
          <w:rFonts w:eastAsia="方正仿宋_GBK"/>
          <w:bCs/>
          <w:sz w:val="28"/>
          <w:szCs w:val="28"/>
        </w:rPr>
      </w:pPr>
      <w:r>
        <w:rPr>
          <w:rFonts w:eastAsia="方正仿宋_GBK"/>
          <w:bCs/>
          <w:sz w:val="28"/>
          <w:szCs w:val="28"/>
        </w:rPr>
        <w:fldChar w:fldCharType="begin"/>
      </w:r>
      <w:r>
        <w:rPr>
          <w:rFonts w:eastAsia="方正仿宋_GBK"/>
          <w:bCs/>
          <w:sz w:val="28"/>
          <w:szCs w:val="28"/>
        </w:rPr>
        <w:instrText xml:space="preserve"> eq \o\ac(</w:instrText>
      </w:r>
      <w:r>
        <w:rPr>
          <w:rFonts w:hint="eastAsia" w:ascii="方正仿宋_GBK" w:eastAsia="方正仿宋_GBK"/>
          <w:bCs/>
          <w:position w:val="-5"/>
          <w:sz w:val="42"/>
          <w:szCs w:val="28"/>
        </w:rPr>
        <w:instrText xml:space="preserve">○</w:instrText>
      </w:r>
      <w:r>
        <w:rPr>
          <w:rFonts w:eastAsia="方正仿宋_GBK"/>
          <w:bCs/>
          <w:sz w:val="28"/>
          <w:szCs w:val="28"/>
        </w:rPr>
        <w:instrText xml:space="preserve">,2)</w:instrText>
      </w:r>
      <w:r>
        <w:rPr>
          <w:rFonts w:eastAsia="方正仿宋_GBK"/>
          <w:bCs/>
          <w:sz w:val="28"/>
          <w:szCs w:val="28"/>
        </w:rPr>
        <w:fldChar w:fldCharType="end"/>
      </w:r>
      <w:r>
        <w:rPr>
          <w:rFonts w:hint="eastAsia" w:eastAsia="方正仿宋_GBK"/>
          <w:bCs/>
          <w:sz w:val="28"/>
          <w:szCs w:val="28"/>
        </w:rPr>
        <w:t>残疾人福利单位需按照采购文件的要求提供《残疾人福利性单位声明函》。</w:t>
      </w:r>
    </w:p>
    <w:p w14:paraId="39B11F69">
      <w:pPr>
        <w:adjustRightInd w:val="0"/>
        <w:snapToGrid w:val="0"/>
        <w:spacing w:line="500" w:lineRule="exact"/>
        <w:ind w:firstLine="570"/>
        <w:rPr>
          <w:rFonts w:eastAsia="方正仿宋_GBK"/>
          <w:bCs/>
          <w:sz w:val="28"/>
          <w:szCs w:val="28"/>
        </w:rPr>
      </w:pPr>
      <w:r>
        <w:rPr>
          <w:rFonts w:eastAsia="方正仿宋_GBK"/>
          <w:bCs/>
          <w:sz w:val="28"/>
          <w:szCs w:val="28"/>
        </w:rPr>
        <w:fldChar w:fldCharType="begin"/>
      </w:r>
      <w:r>
        <w:rPr>
          <w:rFonts w:eastAsia="方正仿宋_GBK"/>
          <w:bCs/>
          <w:sz w:val="28"/>
          <w:szCs w:val="28"/>
        </w:rPr>
        <w:instrText xml:space="preserve"> eq \o\ac(</w:instrText>
      </w:r>
      <w:r>
        <w:rPr>
          <w:rFonts w:hint="eastAsia" w:ascii="方正仿宋_GBK" w:eastAsia="方正仿宋_GBK"/>
          <w:bCs/>
          <w:position w:val="-5"/>
          <w:sz w:val="42"/>
          <w:szCs w:val="28"/>
        </w:rPr>
        <w:instrText xml:space="preserve">○</w:instrText>
      </w:r>
      <w:r>
        <w:rPr>
          <w:rFonts w:eastAsia="方正仿宋_GBK"/>
          <w:bCs/>
          <w:sz w:val="28"/>
          <w:szCs w:val="28"/>
        </w:rPr>
        <w:instrText xml:space="preserve">,3)</w:instrText>
      </w:r>
      <w:r>
        <w:rPr>
          <w:rFonts w:eastAsia="方正仿宋_GBK"/>
          <w:bCs/>
          <w:sz w:val="28"/>
          <w:szCs w:val="28"/>
        </w:rPr>
        <w:fldChar w:fldCharType="end"/>
      </w:r>
      <w:r>
        <w:rPr>
          <w:rFonts w:hint="eastAsia" w:eastAsia="方正仿宋_GBK"/>
          <w:bCs/>
          <w:sz w:val="28"/>
          <w:szCs w:val="28"/>
        </w:rPr>
        <w:t>残疾人福利单位标准请参照《关于促进残疾人就业政府采购政策的通知》（财库〔</w:t>
      </w:r>
      <w:r>
        <w:rPr>
          <w:rFonts w:eastAsia="方正仿宋_GBK"/>
          <w:bCs/>
          <w:sz w:val="28"/>
          <w:szCs w:val="28"/>
        </w:rPr>
        <w:t>2017</w:t>
      </w:r>
      <w:r>
        <w:rPr>
          <w:rFonts w:hint="eastAsia" w:eastAsia="方正仿宋_GBK"/>
          <w:bCs/>
          <w:sz w:val="28"/>
          <w:szCs w:val="28"/>
        </w:rPr>
        <w:t>〕</w:t>
      </w:r>
      <w:r>
        <w:rPr>
          <w:rFonts w:eastAsia="方正仿宋_GBK"/>
          <w:bCs/>
          <w:sz w:val="28"/>
          <w:szCs w:val="28"/>
        </w:rPr>
        <w:t>141</w:t>
      </w:r>
      <w:r>
        <w:rPr>
          <w:rFonts w:hint="eastAsia" w:eastAsia="方正仿宋_GBK"/>
          <w:bCs/>
          <w:sz w:val="28"/>
          <w:szCs w:val="28"/>
        </w:rPr>
        <w:t>号）。</w:t>
      </w:r>
    </w:p>
    <w:p w14:paraId="5B0EE066">
      <w:pPr>
        <w:adjustRightInd w:val="0"/>
        <w:snapToGrid w:val="0"/>
        <w:spacing w:line="500" w:lineRule="exact"/>
        <w:ind w:firstLine="570"/>
        <w:rPr>
          <w:rFonts w:eastAsia="方正仿宋_GBK"/>
          <w:bCs/>
          <w:sz w:val="28"/>
          <w:szCs w:val="28"/>
        </w:rPr>
      </w:pPr>
      <w:r>
        <w:rPr>
          <w:rFonts w:hint="eastAsia" w:eastAsia="方正仿宋_GBK"/>
          <w:bCs/>
          <w:sz w:val="28"/>
          <w:szCs w:val="28"/>
        </w:rPr>
        <w:t>（</w:t>
      </w:r>
      <w:r>
        <w:rPr>
          <w:rFonts w:eastAsia="方正仿宋_GBK"/>
          <w:bCs/>
          <w:sz w:val="28"/>
          <w:szCs w:val="28"/>
        </w:rPr>
        <w:t>3</w:t>
      </w:r>
      <w:r>
        <w:rPr>
          <w:rFonts w:hint="eastAsia" w:eastAsia="方正仿宋_GBK"/>
          <w:bCs/>
          <w:sz w:val="28"/>
          <w:szCs w:val="28"/>
        </w:rPr>
        <w:t>）监狱和戒毒企业价格扣除</w:t>
      </w:r>
    </w:p>
    <w:p w14:paraId="64C3A06A">
      <w:pPr>
        <w:adjustRightInd w:val="0"/>
        <w:snapToGrid w:val="0"/>
        <w:spacing w:line="500" w:lineRule="exact"/>
        <w:ind w:firstLine="570"/>
        <w:rPr>
          <w:rFonts w:eastAsia="方正仿宋_GBK"/>
          <w:bCs/>
          <w:sz w:val="28"/>
          <w:szCs w:val="28"/>
        </w:rPr>
      </w:pPr>
      <w:r>
        <w:rPr>
          <w:rFonts w:eastAsia="方正仿宋_GBK"/>
          <w:bCs/>
          <w:sz w:val="28"/>
          <w:szCs w:val="28"/>
        </w:rPr>
        <w:fldChar w:fldCharType="begin"/>
      </w:r>
      <w:r>
        <w:rPr>
          <w:rFonts w:eastAsia="方正仿宋_GBK"/>
          <w:bCs/>
          <w:sz w:val="28"/>
          <w:szCs w:val="28"/>
        </w:rPr>
        <w:instrText xml:space="preserve"> eq \o\ac(</w:instrText>
      </w:r>
      <w:r>
        <w:rPr>
          <w:rFonts w:hint="eastAsia" w:ascii="方正仿宋_GBK" w:eastAsia="方正仿宋_GBK"/>
          <w:bCs/>
          <w:position w:val="-5"/>
          <w:sz w:val="42"/>
          <w:szCs w:val="28"/>
        </w:rPr>
        <w:instrText xml:space="preserve">○</w:instrText>
      </w:r>
      <w:r>
        <w:rPr>
          <w:rFonts w:eastAsia="方正仿宋_GBK"/>
          <w:bCs/>
          <w:sz w:val="28"/>
          <w:szCs w:val="28"/>
        </w:rPr>
        <w:instrText xml:space="preserve">,1)</w:instrText>
      </w:r>
      <w:r>
        <w:rPr>
          <w:rFonts w:eastAsia="方正仿宋_GBK"/>
          <w:bCs/>
          <w:sz w:val="28"/>
          <w:szCs w:val="28"/>
        </w:rPr>
        <w:fldChar w:fldCharType="end"/>
      </w:r>
      <w:r>
        <w:rPr>
          <w:rFonts w:hint="eastAsia" w:eastAsia="方正仿宋_GBK"/>
          <w:bCs/>
          <w:sz w:val="28"/>
          <w:szCs w:val="28"/>
        </w:rPr>
        <w:t>对监狱和戒毒企业（简称监狱企业）给予</w:t>
      </w:r>
      <w:r>
        <w:rPr>
          <w:rFonts w:eastAsia="方正仿宋_GBK"/>
          <w:bCs/>
          <w:sz w:val="28"/>
          <w:szCs w:val="28"/>
        </w:rPr>
        <w:t>10%</w:t>
      </w:r>
      <w:r>
        <w:rPr>
          <w:rFonts w:hint="eastAsia" w:eastAsia="方正仿宋_GBK"/>
          <w:bCs/>
          <w:sz w:val="28"/>
          <w:szCs w:val="28"/>
        </w:rPr>
        <w:t>的价格扣除，用扣除后的价格参与评审。</w:t>
      </w:r>
    </w:p>
    <w:p w14:paraId="3FEDE9E9">
      <w:pPr>
        <w:adjustRightInd w:val="0"/>
        <w:snapToGrid w:val="0"/>
        <w:spacing w:line="500" w:lineRule="exact"/>
        <w:ind w:firstLine="570"/>
        <w:rPr>
          <w:rFonts w:eastAsia="方正仿宋_GBK"/>
          <w:bCs/>
          <w:sz w:val="28"/>
          <w:szCs w:val="28"/>
        </w:rPr>
      </w:pPr>
      <w:r>
        <w:rPr>
          <w:rFonts w:eastAsia="方正仿宋_GBK"/>
          <w:bCs/>
          <w:sz w:val="28"/>
          <w:szCs w:val="28"/>
        </w:rPr>
        <w:fldChar w:fldCharType="begin"/>
      </w:r>
      <w:r>
        <w:rPr>
          <w:rFonts w:eastAsia="方正仿宋_GBK"/>
          <w:bCs/>
          <w:sz w:val="28"/>
          <w:szCs w:val="28"/>
        </w:rPr>
        <w:instrText xml:space="preserve"> eq \o\ac(</w:instrText>
      </w:r>
      <w:r>
        <w:rPr>
          <w:rFonts w:hint="eastAsia" w:ascii="方正仿宋_GBK" w:eastAsia="方正仿宋_GBK"/>
          <w:bCs/>
          <w:position w:val="-5"/>
          <w:sz w:val="42"/>
          <w:szCs w:val="28"/>
        </w:rPr>
        <w:instrText xml:space="preserve">○</w:instrText>
      </w:r>
      <w:r>
        <w:rPr>
          <w:rFonts w:eastAsia="方正仿宋_GBK"/>
          <w:bCs/>
          <w:sz w:val="28"/>
          <w:szCs w:val="28"/>
        </w:rPr>
        <w:instrText xml:space="preserve">,2)</w:instrText>
      </w:r>
      <w:r>
        <w:rPr>
          <w:rFonts w:eastAsia="方正仿宋_GBK"/>
          <w:bCs/>
          <w:sz w:val="28"/>
          <w:szCs w:val="28"/>
        </w:rPr>
        <w:fldChar w:fldCharType="end"/>
      </w:r>
      <w:r>
        <w:rPr>
          <w:rFonts w:hint="eastAsia" w:eastAsia="方正仿宋_GBK"/>
          <w:bCs/>
          <w:sz w:val="28"/>
          <w:szCs w:val="28"/>
        </w:rPr>
        <w:t>监狱企业参加政府采购活动时，需提供由省级以上监狱管理局、戒毒管理局</w:t>
      </w:r>
      <w:r>
        <w:rPr>
          <w:rFonts w:eastAsia="方正仿宋_GBK"/>
          <w:bCs/>
          <w:sz w:val="28"/>
          <w:szCs w:val="28"/>
        </w:rPr>
        <w:t>(</w:t>
      </w:r>
      <w:r>
        <w:rPr>
          <w:rFonts w:hint="eastAsia" w:eastAsia="方正仿宋_GBK"/>
          <w:bCs/>
          <w:sz w:val="28"/>
          <w:szCs w:val="28"/>
        </w:rPr>
        <w:t>含新疆生产建设兵团</w:t>
      </w:r>
      <w:r>
        <w:rPr>
          <w:rFonts w:eastAsia="方正仿宋_GBK"/>
          <w:bCs/>
          <w:sz w:val="28"/>
          <w:szCs w:val="28"/>
        </w:rPr>
        <w:t>)</w:t>
      </w:r>
      <w:r>
        <w:rPr>
          <w:rFonts w:hint="eastAsia" w:eastAsia="方正仿宋_GBK"/>
          <w:bCs/>
          <w:sz w:val="28"/>
          <w:szCs w:val="28"/>
        </w:rPr>
        <w:t>出具的属于监狱企业的证明文件。供应商如不提供上述证明文件，价格将不做相应扣除。</w:t>
      </w:r>
    </w:p>
    <w:p w14:paraId="25335C99">
      <w:pPr>
        <w:adjustRightInd w:val="0"/>
        <w:snapToGrid w:val="0"/>
        <w:spacing w:line="500" w:lineRule="exact"/>
        <w:ind w:firstLine="570"/>
        <w:rPr>
          <w:rFonts w:eastAsia="方正仿宋_GBK"/>
          <w:bCs/>
          <w:sz w:val="28"/>
          <w:szCs w:val="28"/>
        </w:rPr>
      </w:pPr>
      <w:r>
        <w:rPr>
          <w:rFonts w:eastAsia="方正仿宋_GBK"/>
          <w:bCs/>
          <w:sz w:val="28"/>
          <w:szCs w:val="28"/>
        </w:rPr>
        <w:fldChar w:fldCharType="begin"/>
      </w:r>
      <w:r>
        <w:rPr>
          <w:rFonts w:eastAsia="方正仿宋_GBK"/>
          <w:bCs/>
          <w:sz w:val="28"/>
          <w:szCs w:val="28"/>
        </w:rPr>
        <w:instrText xml:space="preserve"> eq \o\ac(</w:instrText>
      </w:r>
      <w:r>
        <w:rPr>
          <w:rFonts w:hint="eastAsia" w:ascii="方正仿宋_GBK" w:eastAsia="方正仿宋_GBK"/>
          <w:bCs/>
          <w:position w:val="-5"/>
          <w:sz w:val="42"/>
          <w:szCs w:val="28"/>
        </w:rPr>
        <w:instrText xml:space="preserve">○</w:instrText>
      </w:r>
      <w:r>
        <w:rPr>
          <w:rFonts w:eastAsia="方正仿宋_GBK"/>
          <w:bCs/>
          <w:sz w:val="28"/>
          <w:szCs w:val="28"/>
        </w:rPr>
        <w:instrText xml:space="preserve">,3)</w:instrText>
      </w:r>
      <w:r>
        <w:rPr>
          <w:rFonts w:eastAsia="方正仿宋_GBK"/>
          <w:bCs/>
          <w:sz w:val="28"/>
          <w:szCs w:val="28"/>
        </w:rPr>
        <w:fldChar w:fldCharType="end"/>
      </w:r>
      <w:r>
        <w:rPr>
          <w:rFonts w:hint="eastAsia" w:eastAsia="方正仿宋_GBK"/>
          <w:bCs/>
          <w:sz w:val="28"/>
          <w:szCs w:val="28"/>
        </w:rPr>
        <w:t>监狱企业标准请参照《关于政府采购支持监狱企业发展有关问题的通知》（财库〔</w:t>
      </w:r>
      <w:r>
        <w:rPr>
          <w:rFonts w:eastAsia="方正仿宋_GBK"/>
          <w:bCs/>
          <w:sz w:val="28"/>
          <w:szCs w:val="28"/>
        </w:rPr>
        <w:t>2014</w:t>
      </w:r>
      <w:r>
        <w:rPr>
          <w:rFonts w:hint="eastAsia" w:eastAsia="方正仿宋_GBK"/>
          <w:kern w:val="0"/>
          <w:sz w:val="28"/>
          <w:szCs w:val="28"/>
          <w:lang w:val="zh-CN"/>
        </w:rPr>
        <w:t>〕</w:t>
      </w:r>
      <w:r>
        <w:rPr>
          <w:rFonts w:eastAsia="方正仿宋_GBK"/>
          <w:bCs/>
          <w:sz w:val="28"/>
          <w:szCs w:val="28"/>
        </w:rPr>
        <w:t>68</w:t>
      </w:r>
      <w:r>
        <w:rPr>
          <w:rFonts w:hint="eastAsia" w:eastAsia="方正仿宋_GBK"/>
          <w:bCs/>
          <w:sz w:val="28"/>
          <w:szCs w:val="28"/>
        </w:rPr>
        <w:t>号）。</w:t>
      </w:r>
    </w:p>
    <w:p w14:paraId="3E7421F7">
      <w:pPr>
        <w:adjustRightInd w:val="0"/>
        <w:snapToGrid w:val="0"/>
        <w:spacing w:line="500" w:lineRule="exact"/>
        <w:ind w:firstLine="570"/>
        <w:rPr>
          <w:rFonts w:eastAsia="方正仿宋_GBK"/>
          <w:bCs/>
          <w:sz w:val="28"/>
          <w:szCs w:val="28"/>
        </w:rPr>
      </w:pPr>
      <w:r>
        <w:rPr>
          <w:rFonts w:hint="eastAsia" w:eastAsia="方正仿宋_GBK"/>
          <w:bCs/>
          <w:sz w:val="28"/>
          <w:szCs w:val="28"/>
        </w:rPr>
        <w:t>（</w:t>
      </w:r>
      <w:r>
        <w:rPr>
          <w:rFonts w:eastAsia="方正仿宋_GBK"/>
          <w:bCs/>
          <w:sz w:val="28"/>
          <w:szCs w:val="28"/>
        </w:rPr>
        <w:t>4</w:t>
      </w:r>
      <w:r>
        <w:rPr>
          <w:rFonts w:hint="eastAsia" w:eastAsia="方正仿宋_GBK"/>
          <w:bCs/>
          <w:sz w:val="28"/>
          <w:szCs w:val="28"/>
        </w:rPr>
        <w:t>）残疾人福利单位、监狱企业属于小型、微型企业的，不重复享受政策。</w:t>
      </w:r>
    </w:p>
    <w:p w14:paraId="0847C60B">
      <w:pPr>
        <w:adjustRightInd w:val="0"/>
        <w:snapToGrid w:val="0"/>
        <w:spacing w:line="500" w:lineRule="exact"/>
        <w:ind w:firstLine="570"/>
        <w:rPr>
          <w:rFonts w:eastAsia="方正仿宋_GBK"/>
          <w:bCs/>
          <w:sz w:val="28"/>
          <w:szCs w:val="28"/>
        </w:rPr>
      </w:pPr>
      <w:r>
        <w:rPr>
          <w:rFonts w:hint="eastAsia" w:eastAsia="方正仿宋_GBK"/>
          <w:bCs/>
          <w:sz w:val="28"/>
          <w:szCs w:val="28"/>
        </w:rPr>
        <w:t>（</w:t>
      </w:r>
      <w:r>
        <w:rPr>
          <w:rFonts w:eastAsia="方正仿宋_GBK"/>
          <w:bCs/>
          <w:sz w:val="28"/>
          <w:szCs w:val="28"/>
        </w:rPr>
        <w:t>5</w:t>
      </w:r>
      <w:r>
        <w:rPr>
          <w:rFonts w:hint="eastAsia" w:eastAsia="方正仿宋_GBK"/>
          <w:bCs/>
          <w:sz w:val="28"/>
          <w:szCs w:val="28"/>
        </w:rPr>
        <w:t>）大中型企业与小微企业（残疾人福利单位、监狱企业）组成联合体或者大中型企业向小微企业（残疾人福利单位、监狱企业）分包的，对联合协议或者分包意向协议约定小微企业合同份额占到合同总金额</w:t>
      </w:r>
      <w:r>
        <w:rPr>
          <w:rFonts w:eastAsia="方正仿宋_GBK"/>
          <w:bCs/>
          <w:sz w:val="28"/>
          <w:szCs w:val="28"/>
        </w:rPr>
        <w:t>30%</w:t>
      </w:r>
      <w:r>
        <w:rPr>
          <w:rFonts w:hint="eastAsia" w:eastAsia="方正仿宋_GBK"/>
          <w:bCs/>
          <w:sz w:val="28"/>
          <w:szCs w:val="28"/>
        </w:rPr>
        <w:t>以上的，对联合体或者大中型企业的报价给予</w:t>
      </w:r>
      <w:r>
        <w:rPr>
          <w:rFonts w:eastAsia="方正仿宋_GBK"/>
          <w:bCs/>
          <w:sz w:val="28"/>
          <w:szCs w:val="28"/>
        </w:rPr>
        <w:t>6%</w:t>
      </w:r>
      <w:r>
        <w:rPr>
          <w:rFonts w:hint="eastAsia" w:eastAsia="方正仿宋_GBK"/>
          <w:bCs/>
          <w:sz w:val="28"/>
          <w:szCs w:val="28"/>
        </w:rPr>
        <w:t>的扣除，用扣除后的价格参与评审。</w:t>
      </w:r>
    </w:p>
    <w:p w14:paraId="44854825">
      <w:pPr>
        <w:adjustRightInd w:val="0"/>
        <w:snapToGrid w:val="0"/>
        <w:spacing w:line="500" w:lineRule="exact"/>
        <w:ind w:firstLine="570"/>
        <w:rPr>
          <w:rFonts w:eastAsia="方正仿宋_GBK"/>
          <w:bCs/>
          <w:sz w:val="28"/>
          <w:szCs w:val="28"/>
        </w:rPr>
      </w:pPr>
      <w:r>
        <w:rPr>
          <w:rFonts w:hint="eastAsia" w:eastAsia="方正仿宋_GBK"/>
          <w:bCs/>
          <w:sz w:val="28"/>
          <w:szCs w:val="28"/>
        </w:rPr>
        <w:t>（</w:t>
      </w:r>
      <w:r>
        <w:rPr>
          <w:rFonts w:eastAsia="方正仿宋_GBK"/>
          <w:bCs/>
          <w:sz w:val="28"/>
          <w:szCs w:val="28"/>
        </w:rPr>
        <w:t>6</w:t>
      </w:r>
      <w:r>
        <w:rPr>
          <w:rFonts w:hint="eastAsia" w:eastAsia="方正仿宋_GBK"/>
          <w:bCs/>
          <w:sz w:val="28"/>
          <w:szCs w:val="28"/>
        </w:rPr>
        <w:t>）联合体各方均为小型、微型企业（残疾人福利单位、监狱企业）的，联合体享受上述同类价格扣除，用扣除后的价格参与评审。</w:t>
      </w:r>
    </w:p>
    <w:p w14:paraId="76585610">
      <w:pPr>
        <w:adjustRightInd w:val="0"/>
        <w:snapToGrid w:val="0"/>
        <w:spacing w:line="500" w:lineRule="exact"/>
        <w:ind w:firstLine="570"/>
        <w:rPr>
          <w:rFonts w:ascii="Times New Roman" w:hAnsi="Times New Roman" w:eastAsia="方正仿宋_GBK"/>
          <w:bCs/>
          <w:sz w:val="28"/>
          <w:szCs w:val="28"/>
        </w:rPr>
      </w:pPr>
      <w:r>
        <w:rPr>
          <w:rFonts w:hint="eastAsia" w:eastAsia="方正仿宋_GBK"/>
          <w:bCs/>
          <w:sz w:val="28"/>
          <w:szCs w:val="28"/>
        </w:rPr>
        <w:t>1</w:t>
      </w:r>
      <w:r>
        <w:rPr>
          <w:rFonts w:eastAsia="方正仿宋_GBK"/>
          <w:bCs/>
          <w:sz w:val="28"/>
          <w:szCs w:val="28"/>
        </w:rPr>
        <w:t>.2.2</w:t>
      </w:r>
      <w:r>
        <w:rPr>
          <w:rFonts w:hint="eastAsia" w:eastAsia="方正仿宋_GBK"/>
          <w:bCs/>
          <w:sz w:val="28"/>
          <w:szCs w:val="28"/>
        </w:rPr>
        <w:t>专门面向中小企业采购的项目或者采购包，不再执行上述价格评审优惠的扶持政策。</w:t>
      </w:r>
    </w:p>
    <w:p w14:paraId="1E53F533">
      <w:pPr>
        <w:adjustRightInd w:val="0"/>
        <w:snapToGrid w:val="0"/>
        <w:spacing w:line="500" w:lineRule="exact"/>
        <w:ind w:firstLine="570"/>
        <w:rPr>
          <w:rFonts w:eastAsia="方正仿宋_GBK"/>
          <w:bCs/>
          <w:sz w:val="28"/>
          <w:szCs w:val="28"/>
        </w:rPr>
      </w:pPr>
      <w:r>
        <w:rPr>
          <w:rFonts w:hint="eastAsia" w:eastAsia="方正仿宋_GBK"/>
          <w:bCs/>
          <w:sz w:val="28"/>
          <w:szCs w:val="28"/>
        </w:rPr>
        <w:t>1</w:t>
      </w:r>
      <w:r>
        <w:rPr>
          <w:rFonts w:eastAsia="方正仿宋_GBK"/>
          <w:bCs/>
          <w:sz w:val="28"/>
          <w:szCs w:val="28"/>
        </w:rPr>
        <w:t>.2.3</w:t>
      </w:r>
      <w:r>
        <w:rPr>
          <w:rFonts w:hint="eastAsia" w:eastAsia="方正仿宋_GBK"/>
          <w:bCs/>
          <w:sz w:val="28"/>
          <w:szCs w:val="28"/>
        </w:rPr>
        <w:t>采购本国产品的支持政策</w:t>
      </w:r>
    </w:p>
    <w:p w14:paraId="15F25735">
      <w:pPr>
        <w:adjustRightInd w:val="0"/>
        <w:snapToGrid w:val="0"/>
        <w:spacing w:line="500" w:lineRule="exact"/>
        <w:ind w:firstLine="570"/>
        <w:rPr>
          <w:rFonts w:eastAsia="方正仿宋_GBK"/>
          <w:bCs/>
          <w:sz w:val="28"/>
          <w:szCs w:val="28"/>
        </w:rPr>
      </w:pPr>
      <w:r>
        <w:rPr>
          <w:rFonts w:hint="eastAsia" w:eastAsia="方正仿宋_GBK"/>
          <w:bCs/>
          <w:sz w:val="28"/>
          <w:szCs w:val="28"/>
        </w:rPr>
        <w:t>（1）</w:t>
      </w:r>
      <w:r>
        <w:rPr>
          <w:rFonts w:ascii="Times New Roman" w:hAnsi="Times New Roman" w:eastAsia="方正仿宋_GBK"/>
          <w:bCs/>
          <w:sz w:val="28"/>
          <w:szCs w:val="28"/>
        </w:rPr>
        <w:t>当采购项目或采购包的采购标的仅包含单一产品时，</w:t>
      </w:r>
      <w:r>
        <w:rPr>
          <w:rFonts w:hint="eastAsia" w:eastAsia="方正仿宋_GBK"/>
          <w:bCs/>
          <w:sz w:val="28"/>
          <w:szCs w:val="28"/>
        </w:rPr>
        <w:t>政府采购活动中既有本国产品又有非本国产品参与竞争的，依法对本国产品给予价格评审优惠，对本国产品的报价给予20%的价格扣除，用扣除后的价格参与评审。</w:t>
      </w:r>
    </w:p>
    <w:p w14:paraId="394F49BB">
      <w:pPr>
        <w:adjustRightInd w:val="0"/>
        <w:snapToGrid w:val="0"/>
        <w:spacing w:line="500" w:lineRule="exact"/>
        <w:ind w:firstLine="570"/>
        <w:rPr>
          <w:rFonts w:eastAsia="方正仿宋_GBK"/>
          <w:bCs/>
          <w:sz w:val="28"/>
          <w:szCs w:val="28"/>
          <w:highlight w:val="none"/>
        </w:rPr>
      </w:pPr>
      <w:r>
        <w:rPr>
          <w:rFonts w:hint="eastAsia" w:eastAsia="方正仿宋_GBK"/>
          <w:bCs/>
          <w:sz w:val="28"/>
          <w:szCs w:val="28"/>
          <w:highlight w:val="none"/>
        </w:rPr>
        <w:t>（2）当采购项目或者采购包</w:t>
      </w:r>
      <w:r>
        <w:rPr>
          <w:rFonts w:ascii="Times New Roman" w:hAnsi="Times New Roman" w:eastAsia="方正仿宋_GBK"/>
          <w:bCs/>
          <w:sz w:val="28"/>
          <w:szCs w:val="28"/>
          <w:highlight w:val="none"/>
        </w:rPr>
        <w:t>的采购标的</w:t>
      </w:r>
      <w:r>
        <w:rPr>
          <w:rFonts w:hint="eastAsia" w:eastAsia="方正仿宋_GBK"/>
          <w:bCs/>
          <w:sz w:val="28"/>
          <w:szCs w:val="28"/>
          <w:highlight w:val="none"/>
        </w:rPr>
        <w:t>中含有多种产品，供应商为该采购项目或者采购包提供的符合本国产品标准的产品成本之和占该供应商提供的全部产品成本之和的比例达到80%以上时（</w:t>
      </w:r>
      <w:r>
        <w:rPr>
          <w:rFonts w:hint="eastAsia" w:eastAsia="方正仿宋_GBK"/>
          <w:b/>
          <w:sz w:val="28"/>
          <w:szCs w:val="28"/>
          <w:highlight w:val="none"/>
        </w:rPr>
        <w:t>供应商需在“第四部分 响应文件格式”的“附件</w:t>
      </w:r>
      <w:r>
        <w:rPr>
          <w:rFonts w:hint="eastAsia" w:eastAsia="方正仿宋_GBK"/>
          <w:b/>
          <w:sz w:val="28"/>
          <w:szCs w:val="28"/>
          <w:highlight w:val="none"/>
          <w:lang w:val="en-US" w:eastAsia="zh-CN"/>
        </w:rPr>
        <w:t>12</w:t>
      </w:r>
      <w:r>
        <w:rPr>
          <w:rFonts w:eastAsia="方正仿宋_GBK"/>
          <w:b/>
          <w:sz w:val="28"/>
          <w:szCs w:val="28"/>
          <w:highlight w:val="none"/>
        </w:rPr>
        <w:t xml:space="preserve"> </w:t>
      </w:r>
      <w:r>
        <w:rPr>
          <w:rFonts w:hint="eastAsia" w:eastAsia="方正仿宋_GBK"/>
          <w:b/>
          <w:sz w:val="28"/>
          <w:szCs w:val="28"/>
          <w:highlight w:val="none"/>
        </w:rPr>
        <w:t>分项报价明细表”中填写比例数值</w:t>
      </w:r>
      <w:r>
        <w:rPr>
          <w:rFonts w:hint="eastAsia" w:eastAsia="方正仿宋_GBK"/>
          <w:bCs/>
          <w:sz w:val="28"/>
          <w:szCs w:val="28"/>
          <w:highlight w:val="none"/>
        </w:rPr>
        <w:t>），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5BE3157D">
      <w:pPr>
        <w:adjustRightInd w:val="0"/>
        <w:snapToGrid w:val="0"/>
        <w:spacing w:line="500" w:lineRule="exact"/>
        <w:ind w:firstLine="570"/>
        <w:rPr>
          <w:rFonts w:ascii="宋体" w:hAnsi="宋体" w:cs="宋体"/>
          <w:kern w:val="0"/>
          <w:sz w:val="24"/>
        </w:rPr>
      </w:pPr>
      <w:r>
        <w:rPr>
          <w:rFonts w:hint="eastAsia" w:eastAsia="方正仿宋_GBK"/>
          <w:bCs/>
          <w:sz w:val="28"/>
          <w:szCs w:val="28"/>
          <w:highlight w:val="none"/>
        </w:rPr>
        <w:t>（3）</w:t>
      </w:r>
      <w:r>
        <w:rPr>
          <w:rFonts w:eastAsia="方正仿宋_GBK"/>
          <w:bCs/>
          <w:sz w:val="28"/>
          <w:szCs w:val="28"/>
          <w:highlight w:val="none"/>
        </w:rPr>
        <w:t>对于仅有本国产品参与竞争的政府采购项目，本国产</w:t>
      </w:r>
      <w:r>
        <w:rPr>
          <w:rFonts w:eastAsia="方正仿宋_GBK"/>
          <w:bCs/>
          <w:sz w:val="28"/>
          <w:szCs w:val="28"/>
        </w:rPr>
        <w:t>品不享受价格扣除评审优惠。</w:t>
      </w:r>
    </w:p>
    <w:p w14:paraId="12F73E49">
      <w:pPr>
        <w:adjustRightInd w:val="0"/>
        <w:snapToGrid w:val="0"/>
        <w:spacing w:line="500" w:lineRule="exact"/>
        <w:ind w:firstLine="570"/>
        <w:rPr>
          <w:rFonts w:eastAsia="方正仿宋_GBK"/>
          <w:bCs/>
          <w:sz w:val="28"/>
          <w:szCs w:val="28"/>
        </w:rPr>
      </w:pPr>
      <w:r>
        <w:rPr>
          <w:rFonts w:hint="eastAsia" w:eastAsia="方正仿宋_GBK"/>
          <w:bCs/>
          <w:sz w:val="28"/>
          <w:szCs w:val="28"/>
        </w:rPr>
        <w:t>（4）供应商需按照询价文件的要求提供《关于符合本国产品标准的声明函》（以下简称《声明函》），如不提供将不享受本国产品价格评审优惠。</w:t>
      </w:r>
    </w:p>
    <w:p w14:paraId="321D3BC1">
      <w:pPr>
        <w:adjustRightInd w:val="0"/>
        <w:snapToGrid w:val="0"/>
        <w:spacing w:line="500" w:lineRule="exact"/>
        <w:ind w:firstLine="570"/>
        <w:rPr>
          <w:rFonts w:eastAsia="方正仿宋_GBK"/>
          <w:bCs/>
          <w:sz w:val="28"/>
          <w:szCs w:val="28"/>
        </w:rPr>
      </w:pPr>
      <w:r>
        <w:rPr>
          <w:rFonts w:hint="eastAsia" w:eastAsia="方正仿宋_GBK"/>
          <w:bCs/>
          <w:sz w:val="28"/>
          <w:szCs w:val="28"/>
        </w:rPr>
        <w:t>（5）供应商需在《声明函》中逐一、</w:t>
      </w:r>
      <w:r>
        <w:rPr>
          <w:rFonts w:eastAsia="方正仿宋_GBK"/>
          <w:bCs/>
          <w:sz w:val="28"/>
          <w:szCs w:val="28"/>
        </w:rPr>
        <w:t>准确</w:t>
      </w:r>
      <w:r>
        <w:rPr>
          <w:rFonts w:hint="eastAsia" w:eastAsia="方正仿宋_GBK"/>
          <w:bCs/>
          <w:sz w:val="28"/>
          <w:szCs w:val="28"/>
        </w:rPr>
        <w:t>填写产品名称、厂名、生产厂址三项信息（</w:t>
      </w:r>
      <w:r>
        <w:rPr>
          <w:rFonts w:hint="eastAsia" w:eastAsia="方正仿宋_GBK"/>
          <w:b/>
          <w:sz w:val="28"/>
          <w:szCs w:val="28"/>
        </w:rPr>
        <w:t>《声明函》中用斜线划除的地方无需填写</w:t>
      </w:r>
      <w:r>
        <w:rPr>
          <w:rFonts w:hint="eastAsia" w:eastAsia="方正仿宋_GBK"/>
          <w:bCs/>
          <w:sz w:val="28"/>
          <w:szCs w:val="28"/>
        </w:rPr>
        <w:t>），三</w:t>
      </w:r>
      <w:r>
        <w:rPr>
          <w:rFonts w:eastAsia="方正仿宋_GBK"/>
          <w:bCs/>
          <w:sz w:val="28"/>
          <w:szCs w:val="28"/>
        </w:rPr>
        <w:t>项信息中</w:t>
      </w:r>
      <w:r>
        <w:rPr>
          <w:rFonts w:hint="eastAsia" w:eastAsia="方正仿宋_GBK"/>
          <w:bCs/>
          <w:sz w:val="28"/>
          <w:szCs w:val="28"/>
        </w:rPr>
        <w:t>任意一项未填写的视为该项产品不符合本国产品标准，不享受本国产品价格评审优惠。</w:t>
      </w:r>
    </w:p>
    <w:p w14:paraId="00DC0851">
      <w:pPr>
        <w:adjustRightInd w:val="0"/>
        <w:snapToGrid w:val="0"/>
        <w:spacing w:line="500" w:lineRule="exact"/>
        <w:ind w:firstLine="570"/>
        <w:rPr>
          <w:rFonts w:eastAsia="方正仿宋_GBK"/>
          <w:bCs/>
          <w:sz w:val="28"/>
          <w:szCs w:val="28"/>
        </w:rPr>
      </w:pPr>
      <w:r>
        <w:rPr>
          <w:rFonts w:hint="eastAsia" w:eastAsia="方正仿宋_GBK"/>
          <w:bCs/>
          <w:sz w:val="28"/>
          <w:szCs w:val="28"/>
        </w:rPr>
        <w:t>（6）评标过程中，如发现供应商在《声明函》内容</w:t>
      </w:r>
      <w:r>
        <w:rPr>
          <w:rFonts w:eastAsia="方正仿宋_GBK"/>
          <w:bCs/>
          <w:sz w:val="28"/>
          <w:szCs w:val="28"/>
        </w:rPr>
        <w:t>含义不明确、同类事项与投</w:t>
      </w:r>
      <w:r>
        <w:rPr>
          <w:rFonts w:hint="eastAsia" w:eastAsia="方正仿宋_GBK"/>
          <w:bCs/>
          <w:sz w:val="28"/>
          <w:szCs w:val="28"/>
        </w:rPr>
        <w:t>标</w:t>
      </w:r>
      <w:r>
        <w:rPr>
          <w:rFonts w:eastAsia="方正仿宋_GBK"/>
          <w:bCs/>
          <w:sz w:val="28"/>
          <w:szCs w:val="28"/>
        </w:rPr>
        <w:t>（</w:t>
      </w:r>
      <w:r>
        <w:rPr>
          <w:rFonts w:hint="eastAsia" w:eastAsia="方正仿宋_GBK"/>
          <w:bCs/>
          <w:sz w:val="28"/>
          <w:szCs w:val="28"/>
        </w:rPr>
        <w:t>响应</w:t>
      </w:r>
      <w:r>
        <w:rPr>
          <w:rFonts w:eastAsia="方正仿宋_GBK"/>
          <w:bCs/>
          <w:sz w:val="28"/>
          <w:szCs w:val="28"/>
        </w:rPr>
        <w:t>）</w:t>
      </w:r>
      <w:r>
        <w:rPr>
          <w:rFonts w:hint="eastAsia" w:eastAsia="方正仿宋_GBK"/>
          <w:bCs/>
          <w:sz w:val="28"/>
          <w:szCs w:val="28"/>
        </w:rPr>
        <w:t>文件</w:t>
      </w:r>
      <w:r>
        <w:rPr>
          <w:rFonts w:eastAsia="方正仿宋_GBK"/>
          <w:bCs/>
          <w:sz w:val="28"/>
          <w:szCs w:val="28"/>
        </w:rPr>
        <w:t>表述不一致或者有</w:t>
      </w:r>
      <w:r>
        <w:rPr>
          <w:rFonts w:hint="eastAsia" w:eastAsia="方正仿宋_GBK"/>
          <w:bCs/>
          <w:sz w:val="28"/>
          <w:szCs w:val="28"/>
        </w:rPr>
        <w:t>明显</w:t>
      </w:r>
      <w:r>
        <w:rPr>
          <w:rFonts w:eastAsia="方正仿宋_GBK"/>
          <w:bCs/>
          <w:sz w:val="28"/>
          <w:szCs w:val="28"/>
        </w:rPr>
        <w:t>文字错误等情况的</w:t>
      </w:r>
      <w:r>
        <w:rPr>
          <w:rFonts w:hint="eastAsia" w:eastAsia="方正仿宋_GBK"/>
          <w:bCs/>
          <w:sz w:val="28"/>
          <w:szCs w:val="28"/>
        </w:rPr>
        <w:t>，评标委员会应当以书面形式要求供应商作出必要的澄清、说明或者补正。经澄清、说明或者补正的《声明函》仍然不符合《国务院办公厅关于在政府采购中实施本国产品标准及相关政策的通知》（国办发〔2025〕34号）和询价文件规定的，供应商提供的相关产品视为不符合本国产品标准。</w:t>
      </w:r>
    </w:p>
    <w:p w14:paraId="1437C486">
      <w:pPr>
        <w:adjustRightInd w:val="0"/>
        <w:snapToGrid w:val="0"/>
        <w:spacing w:line="500" w:lineRule="exact"/>
        <w:ind w:firstLine="570"/>
        <w:rPr>
          <w:rFonts w:eastAsia="方正仿宋_GBK"/>
          <w:bCs/>
          <w:sz w:val="28"/>
          <w:szCs w:val="28"/>
        </w:rPr>
      </w:pPr>
      <w:r>
        <w:rPr>
          <w:rFonts w:hint="eastAsia" w:eastAsia="方正仿宋_GBK"/>
          <w:bCs/>
          <w:sz w:val="28"/>
          <w:szCs w:val="28"/>
        </w:rPr>
        <w:t>（7）</w:t>
      </w:r>
      <w:r>
        <w:rPr>
          <w:rFonts w:ascii="Times New Roman" w:hAnsi="Times New Roman" w:eastAsia="方正仿宋_GBK"/>
          <w:bCs/>
          <w:sz w:val="28"/>
          <w:szCs w:val="28"/>
        </w:rPr>
        <w:t>对于非专门面向中小企业的采购项目，既有本国产品也有非本国产品参与竞争，且提供本国产品的供应商同时为小微企业的，应按照《国务院办公厅关于在政府采购中实施本国产品标准及相关政策的通知》（国办发〔2025〕34 号）、《政府采购促进中小企业发展管理办法》、《财政部关于进一步加大政府采购支持中小企业力度的通知》规定，对该供应商的产品同时给予支持本国产品和小微企业产品的价格评审优惠。相关价格评审扣除优惠，均应该在供应商原始报价基础上计算，用扣除后的价格参与评审。</w:t>
      </w:r>
    </w:p>
    <w:p w14:paraId="7A10CC82">
      <w:pPr>
        <w:adjustRightInd w:val="0"/>
        <w:snapToGrid w:val="0"/>
        <w:spacing w:line="500" w:lineRule="exact"/>
        <w:ind w:firstLine="570"/>
        <w:rPr>
          <w:rFonts w:ascii="Times New Roman" w:hAnsi="Times New Roman" w:eastAsia="方正仿宋_GBK"/>
          <w:sz w:val="28"/>
          <w:szCs w:val="28"/>
        </w:rPr>
      </w:pPr>
      <w:r>
        <w:rPr>
          <w:rFonts w:eastAsia="方正仿宋_GBK"/>
          <w:bCs/>
          <w:sz w:val="28"/>
          <w:szCs w:val="28"/>
        </w:rPr>
        <w:t>1.3</w:t>
      </w:r>
      <w:r>
        <w:rPr>
          <w:rFonts w:ascii="Times New Roman" w:hAnsi="Times New Roman" w:eastAsia="方正仿宋_GBK"/>
          <w:sz w:val="28"/>
          <w:szCs w:val="28"/>
        </w:rPr>
        <w:t>如出现供应商最低报价相同的情况，则优先采购“环境标志产品”或“节能产品”。</w:t>
      </w:r>
    </w:p>
    <w:p w14:paraId="0EB8A5D7">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（1）如出现最低报价相同，且响应产品均属于“环境标志产品”和“节能产品”，则将优先采购交货期短者。</w:t>
      </w:r>
    </w:p>
    <w:p w14:paraId="0D8BAB0E">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（2）如出现最低报价相同，且响应产品不能同时满足“环境标志产品”和“节能产品”（只能满足其中一项），则将优先采购交货期短者。</w:t>
      </w:r>
    </w:p>
    <w:p w14:paraId="0605723C">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1.4如出现供应商最低报价相同的情况，且响应产品均不是“环境标志产品”或“节能产品”，则将优先采购交货期短者。</w:t>
      </w:r>
    </w:p>
    <w:p w14:paraId="255E7E97">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对于同时列入环境标志产品政府采购品目清单和节能产品政府采购品目清单的产品，则其优先于只列入其中一个品目清单的产品。</w:t>
      </w:r>
    </w:p>
    <w:p w14:paraId="26D66589">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环境标志产品是指列入财政部、生态环境部最新公布的《环境标志产品政府采购品目清单》内的产品。</w:t>
      </w:r>
    </w:p>
    <w:p w14:paraId="5B244734">
      <w:pPr>
        <w:adjustRightInd w:val="0"/>
        <w:snapToGrid w:val="0"/>
        <w:spacing w:line="50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节能产品是指列入财政部、国家</w:t>
      </w:r>
      <w:r>
        <w:rPr>
          <w:rFonts w:hint="eastAsia" w:ascii="Times New Roman" w:hAnsi="Times New Roman" w:eastAsia="方正仿宋_GBK"/>
          <w:sz w:val="28"/>
          <w:szCs w:val="28"/>
        </w:rPr>
        <w:t>发展和</w:t>
      </w:r>
      <w:r>
        <w:rPr>
          <w:rFonts w:ascii="Times New Roman" w:hAnsi="Times New Roman" w:eastAsia="方正仿宋_GBK"/>
          <w:sz w:val="28"/>
          <w:szCs w:val="28"/>
        </w:rPr>
        <w:t>改革委员会最新公布的《节能产品政府采购品目清单》内的产品。</w:t>
      </w:r>
    </w:p>
    <w:p w14:paraId="38B8AB0B">
      <w:pPr>
        <w:adjustRightInd w:val="0"/>
        <w:snapToGrid w:val="0"/>
        <w:spacing w:line="50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注意：响应主要产品如为节能及环境标志产品的，响应供应商必须提供有关证明材料。</w:t>
      </w:r>
    </w:p>
    <w:p w14:paraId="4392EA71">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1.5成交结果公告</w:t>
      </w:r>
    </w:p>
    <w:p w14:paraId="26FA55E1">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采购人将在“启东市人民政府网”网站发布成交公告，公告期限为1个工作日。</w:t>
      </w:r>
    </w:p>
    <w:p w14:paraId="6A6C85DD">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若有充分证据证明，成交供应商出现下列情况之一的，一经查实，将被取消成交资格：</w:t>
      </w:r>
    </w:p>
    <w:p w14:paraId="3D294E1C">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（1）提供虚假材料谋取成交的；</w:t>
      </w:r>
    </w:p>
    <w:p w14:paraId="554A24DD">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（2）向采购人、代理机构行贿或者提供其他不正当利益的；</w:t>
      </w:r>
    </w:p>
    <w:p w14:paraId="1FE95296">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（3）恶意竞争，响应总报价明显低于其自身合理成本且又无法提供证明的；</w:t>
      </w:r>
    </w:p>
    <w:p w14:paraId="312253F3">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（4）属于本文件规定的无效条件，但在评审过程中又未被询价小组发现的；</w:t>
      </w:r>
    </w:p>
    <w:p w14:paraId="3A81DB49">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（5）与采购人或者其他供应商恶意串通的；</w:t>
      </w:r>
    </w:p>
    <w:p w14:paraId="02236846">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（6）采取不正当手段诋毁、排挤其他供应商的；</w:t>
      </w:r>
    </w:p>
    <w:p w14:paraId="3F22DEA8">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（7）如有涉及对采购文件实质性内容的隐瞒、欺诈或违法违规行为的。</w:t>
      </w:r>
    </w:p>
    <w:p w14:paraId="1DE1FFE0">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有下列情形之一的，视为响应供应商串通响应，响应无效：</w:t>
      </w:r>
    </w:p>
    <w:p w14:paraId="38A38C25">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（1）不同响应供应商的响应文件由同一单位或者个人编制；</w:t>
      </w:r>
    </w:p>
    <w:p w14:paraId="5CA6B242">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（2）不同响应供应商委托同一单位或者个人办理响应事宜；</w:t>
      </w:r>
    </w:p>
    <w:p w14:paraId="45EEBA26">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（3）不同响应供应商的响应文件载明的项目管理成员或者联系人员为同一人；</w:t>
      </w:r>
    </w:p>
    <w:p w14:paraId="3260B64F">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（4）不同响应供应商的响应文件异常一致或者响应报价呈规律性差异；</w:t>
      </w:r>
    </w:p>
    <w:p w14:paraId="0E85D148">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（5）不同响应供应商的响应文件相互混装。</w:t>
      </w:r>
    </w:p>
    <w:p w14:paraId="347230FE">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2.质疑处理</w:t>
      </w:r>
    </w:p>
    <w:p w14:paraId="530A2B8C">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2.1 提出质疑的供应商应当是参与所质疑项目采购活动的供应商。潜在供应商依法获取其可质疑的采购文件的，可以对采购文件提出质疑。</w:t>
      </w:r>
    </w:p>
    <w:p w14:paraId="45BC5995">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2.2供应商认为采购文件、采购过程和采购结果使自己的权益受到损害的，可以在知道或应知其权益受到损害之日起七个工作日内，以书面形式向采购人或代理机构提出质疑。上述应知其权益受到损害之日，是指：</w:t>
      </w:r>
    </w:p>
    <w:p w14:paraId="111D1E35">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（1）对可以质疑的采购文件提出质疑的，为收到采购文件之日或者采购文件公告期限届满之日；</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（2）对采购过程提出质疑的，为各采购程序环节结束之日；</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（3）对中标或者成交结果提出质疑的，为中标或者成交结果公告期限届满之日。供应商应当在法定质疑期内一次性提出针对同一采购程序环节的质疑。</w:t>
      </w:r>
    </w:p>
    <w:p w14:paraId="0E6B62C0">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2.3质疑函必须按照本采购文件中《质疑函范本》（附件1</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）要求的格式和内容进行填写。供应商如组成联合体参加响应，则《质疑函范本》中要求签字、盖章、加盖公章之处，联合体各方均须按要求签字、盖章、加盖公章。</w:t>
      </w:r>
    </w:p>
    <w:p w14:paraId="384218F9">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2.4对采购方式、采购文件中项目需求、供应商资格条件等应当由采购人答复的质疑，请向采购人提出，由采购人负责答复。为方便供应商提起质疑，供应商向采购人以书面形式提交质疑函。</w:t>
      </w:r>
    </w:p>
    <w:p w14:paraId="1A3B1422">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采购人质疑接收人及联系方式，见采购文件第一部分。</w:t>
      </w:r>
    </w:p>
    <w:p w14:paraId="0FB0FF84">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2.5 以下情形的质疑不予受理</w:t>
      </w:r>
    </w:p>
    <w:p w14:paraId="7E23ADAC">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（1）内容不符合《政府采购质疑和投诉办法》第十二条规定的质疑。</w:t>
      </w:r>
    </w:p>
    <w:p w14:paraId="20B0FD4A">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（2）超出政府采购法定期限的质疑。</w:t>
      </w:r>
    </w:p>
    <w:p w14:paraId="1CE0EE1D">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（3）未参加响应活动的供应商或在响应活动中自身权益未受到损害的供应商所提出的质疑。</w:t>
      </w:r>
    </w:p>
    <w:p w14:paraId="256B4FC0">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（4）供应商组成联合体参加响应，联合体中任何一方或多方未按要求签字、盖章、加盖公章的质疑。</w:t>
      </w:r>
    </w:p>
    <w:p w14:paraId="0CC56EDD">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2.6 供应商提出书面质疑必须有理、有据，不得捏造事实、提供虚假材料进行恶意质疑。否则，一经查实，采购人及采购代理有权依据政府采购的有关规定，报请政府采购监管部门对该供应商进行相应的行政处罚和记录该供应商的失信信息。</w:t>
      </w:r>
    </w:p>
    <w:p w14:paraId="5149F2CA">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3.成交通知书</w:t>
      </w:r>
    </w:p>
    <w:p w14:paraId="706D1D3D">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公告成交结果的同时，采购人向成交供应商发放成交通知书。</w:t>
      </w:r>
    </w:p>
    <w:p w14:paraId="6854FBEF">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成交通知书发出后，采购人不得违法改变成交结果，成交供应商无正当理由不得放弃成交。</w:t>
      </w:r>
    </w:p>
    <w:p w14:paraId="78670B51">
      <w:pPr>
        <w:adjustRightInd w:val="0"/>
        <w:snapToGrid w:val="0"/>
        <w:spacing w:line="50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七、授予合同</w:t>
      </w:r>
    </w:p>
    <w:p w14:paraId="242A1A9D">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1.签订合同</w:t>
      </w:r>
    </w:p>
    <w:p w14:paraId="7E4BB9FF">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1.1成交供应商应当在成交通知书发出之日起三十日内，按照采购文件确定的事项与采购人签订政府采购合同。</w:t>
      </w:r>
    </w:p>
    <w:p w14:paraId="3A2B57FC">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1.2采购文件、成交供应商的响应文件及采购过程中有关澄清、承诺文件均应作为合同附件。</w:t>
      </w:r>
    </w:p>
    <w:p w14:paraId="2BDB2B33">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12151667">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2.货物和服务的追加、减少和添购</w:t>
      </w:r>
    </w:p>
    <w:p w14:paraId="4E091CD9">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2.1政府采购合同履行中，采购人需追加与合同标的相同的货物和服务的，在不改变合同其他条款的前提下，可以与成交供应商协商签订补充合同，但所有补充合同的采购金额不超过原合同金额10%。</w:t>
      </w:r>
    </w:p>
    <w:p w14:paraId="4EA489D9">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2.2采购结束后，采购人若由于各种客观原因，必须对采购项目所牵涉的货物和服务进行适当的减少时，在双方协商一致的前提下，可以按照询价采购时的价格水平做相应的调减，并据此签订补充合同。</w:t>
      </w:r>
    </w:p>
    <w:p w14:paraId="2336DEBB">
      <w:pPr>
        <w:adjustRightInd w:val="0"/>
        <w:snapToGrid w:val="0"/>
        <w:spacing w:line="500" w:lineRule="exact"/>
        <w:rPr>
          <w:rFonts w:hint="eastAsia" w:ascii="仿宋" w:hAnsi="仿宋" w:eastAsia="仿宋" w:cs="仿宋"/>
          <w:sz w:val="28"/>
          <w:szCs w:val="28"/>
          <w:highlight w:val="none"/>
        </w:rPr>
      </w:pPr>
      <w:r>
        <w:rPr>
          <w:rFonts w:hint="eastAsia" w:ascii="仿宋" w:hAnsi="仿宋" w:eastAsia="仿宋" w:cs="仿宋"/>
          <w:b/>
          <w:sz w:val="28"/>
          <w:szCs w:val="28"/>
          <w:highlight w:val="none"/>
        </w:rPr>
        <w:t>八、其他说明</w:t>
      </w:r>
    </w:p>
    <w:p w14:paraId="2AFC1B79">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1.法定代表人为同一个人的两个及两个以上法人，母公司、全资子公司及其控股公司，只能有一家单位参加本项目的响应。</w:t>
      </w:r>
    </w:p>
    <w:p w14:paraId="793E15F2">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2.采购人和询价小组不向未成交的响应供应商解释未成交原因，也不公布评审过程中的相关细节。</w:t>
      </w:r>
    </w:p>
    <w:p w14:paraId="353C07F8">
      <w:pPr>
        <w:adjustRightInd w:val="0"/>
        <w:snapToGrid w:val="0"/>
        <w:spacing w:line="500" w:lineRule="exact"/>
        <w:ind w:firstLine="560" w:firstLineChars="200"/>
        <w:rPr>
          <w:rFonts w:hint="eastAsia" w:ascii="仿宋" w:hAnsi="仿宋" w:eastAsia="仿宋" w:cs="仿宋"/>
          <w:sz w:val="28"/>
          <w:szCs w:val="28"/>
          <w:highlight w:val="none"/>
        </w:rPr>
      </w:pPr>
    </w:p>
    <w:p w14:paraId="3C8E335D">
      <w:pPr>
        <w:adjustRightInd w:val="0"/>
        <w:snapToGrid w:val="0"/>
        <w:spacing w:line="500" w:lineRule="exact"/>
        <w:rPr>
          <w:rFonts w:hint="eastAsia" w:ascii="仿宋" w:hAnsi="仿宋" w:eastAsia="仿宋" w:cs="仿宋"/>
          <w:bCs/>
          <w:sz w:val="36"/>
          <w:szCs w:val="36"/>
          <w:highlight w:val="none"/>
        </w:rPr>
      </w:pPr>
      <w:bookmarkStart w:id="42" w:name="_Toc32735"/>
      <w:r>
        <w:rPr>
          <w:rFonts w:hint="eastAsia" w:ascii="仿宋" w:hAnsi="仿宋" w:eastAsia="仿宋" w:cs="仿宋"/>
          <w:bCs/>
          <w:sz w:val="36"/>
          <w:szCs w:val="36"/>
          <w:highlight w:val="none"/>
        </w:rPr>
        <w:br w:type="page"/>
      </w:r>
    </w:p>
    <w:p w14:paraId="36553AD2">
      <w:pPr>
        <w:pStyle w:val="3"/>
        <w:widowControl/>
        <w:adjustRightInd w:val="0"/>
        <w:snapToGrid w:val="0"/>
        <w:spacing w:before="0" w:after="0" w:line="500" w:lineRule="exact"/>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第三部分  项目需求</w:t>
      </w:r>
    </w:p>
    <w:p w14:paraId="7EBE616D">
      <w:pPr>
        <w:adjustRightInd w:val="0"/>
        <w:snapToGrid w:val="0"/>
        <w:spacing w:line="500" w:lineRule="exact"/>
        <w:ind w:firstLine="562" w:firstLineChars="200"/>
        <w:rPr>
          <w:rFonts w:hint="eastAsia" w:ascii="仿宋" w:hAnsi="仿宋" w:eastAsia="仿宋" w:cs="仿宋"/>
          <w:b/>
          <w:bCs/>
          <w:sz w:val="28"/>
          <w:szCs w:val="28"/>
          <w:highlight w:val="none"/>
        </w:rPr>
      </w:pPr>
      <w:bookmarkStart w:id="43" w:name="_Toc82505662"/>
      <w:r>
        <w:rPr>
          <w:rFonts w:hint="eastAsia" w:ascii="仿宋" w:hAnsi="仿宋" w:eastAsia="仿宋" w:cs="仿宋"/>
          <w:b/>
          <w:bCs/>
          <w:sz w:val="28"/>
          <w:szCs w:val="28"/>
          <w:highlight w:val="none"/>
        </w:rPr>
        <w:t>响应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68AC9C50">
      <w:pPr>
        <w:adjustRightInd w:val="0"/>
        <w:snapToGrid w:val="0"/>
        <w:spacing w:line="50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响应供应商不能简单照搬照抄采购文件项目需求说明中的技术、商务要求，必须作实事求是的响应。如响应供应商提供的货物和服务同采购人提出的项目需求说明中的技术、商务要求不同的，必须在《商务部分正负偏离表》和《技术部分正负偏离表》上明示。</w:t>
      </w:r>
    </w:p>
    <w:p w14:paraId="40F5A3DF">
      <w:pPr>
        <w:adjustRightInd w:val="0"/>
        <w:snapToGrid w:val="0"/>
        <w:spacing w:line="500" w:lineRule="exact"/>
        <w:ind w:firstLine="562" w:firstLineChars="200"/>
        <w:rPr>
          <w:rFonts w:hint="eastAsia" w:ascii="仿宋" w:hAnsi="仿宋" w:eastAsia="仿宋" w:cs="仿宋"/>
          <w:b/>
          <w:sz w:val="28"/>
          <w:szCs w:val="28"/>
          <w:highlight w:val="none"/>
        </w:rPr>
      </w:pPr>
      <w:r>
        <w:rPr>
          <w:rFonts w:hint="eastAsia" w:ascii="仿宋" w:hAnsi="仿宋" w:eastAsia="仿宋" w:cs="仿宋"/>
          <w:b/>
          <w:bCs/>
          <w:sz w:val="28"/>
          <w:szCs w:val="28"/>
          <w:highlight w:val="none"/>
        </w:rPr>
        <w:t>其内容包含：</w:t>
      </w:r>
    </w:p>
    <w:p w14:paraId="5B5DC6CA">
      <w:pPr>
        <w:numPr>
          <w:ilvl w:val="0"/>
          <w:numId w:val="1"/>
        </w:num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项目需求：</w:t>
      </w:r>
    </w:p>
    <w:p w14:paraId="7AED7C98">
      <w:pPr>
        <w:pStyle w:val="2"/>
        <w:keepNext w:val="0"/>
        <w:keepLines w:val="0"/>
        <w:pageBreakBefore w:val="0"/>
        <w:widowControl w:val="0"/>
        <w:kinsoku/>
        <w:wordWrap/>
        <w:overflowPunct/>
        <w:topLinePunct w:val="0"/>
        <w:autoSpaceDE/>
        <w:autoSpaceDN/>
        <w:bidi w:val="0"/>
        <w:spacing w:line="500" w:lineRule="exact"/>
        <w:ind w:left="0" w:leftChars="0" w:firstLine="0" w:firstLineChars="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1、采购货物清单：</w:t>
      </w:r>
    </w:p>
    <w:tbl>
      <w:tblPr>
        <w:tblStyle w:val="28"/>
        <w:tblW w:w="104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512"/>
        <w:gridCol w:w="1422"/>
        <w:gridCol w:w="2382"/>
        <w:gridCol w:w="750"/>
        <w:gridCol w:w="2667"/>
      </w:tblGrid>
      <w:tr w14:paraId="5BF3FF6B">
        <w:tblPrEx>
          <w:tblLayout w:type="fixed"/>
        </w:tblPrEx>
        <w:trPr>
          <w:trHeight w:val="419" w:hRule="atLeast"/>
          <w:jc w:val="center"/>
        </w:trPr>
        <w:tc>
          <w:tcPr>
            <w:tcW w:w="752" w:type="dxa"/>
            <w:vAlign w:val="center"/>
          </w:tcPr>
          <w:p w14:paraId="4DDDB90D">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2512" w:type="dxa"/>
            <w:vAlign w:val="center"/>
          </w:tcPr>
          <w:p w14:paraId="5B0F7263">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地点</w:t>
            </w:r>
          </w:p>
        </w:tc>
        <w:tc>
          <w:tcPr>
            <w:tcW w:w="1422" w:type="dxa"/>
            <w:vAlign w:val="center"/>
          </w:tcPr>
          <w:p w14:paraId="575A3B16">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规格型号</w:t>
            </w:r>
          </w:p>
        </w:tc>
        <w:tc>
          <w:tcPr>
            <w:tcW w:w="3132" w:type="dxa"/>
            <w:gridSpan w:val="2"/>
            <w:vAlign w:val="center"/>
          </w:tcPr>
          <w:p w14:paraId="2AC48D77">
            <w:pPr>
              <w:ind w:firstLine="120" w:firstLineChars="5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长度/米</w:t>
            </w:r>
          </w:p>
        </w:tc>
        <w:tc>
          <w:tcPr>
            <w:tcW w:w="2667" w:type="dxa"/>
            <w:vAlign w:val="center"/>
          </w:tcPr>
          <w:p w14:paraId="0DED2BCB">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备注</w:t>
            </w:r>
          </w:p>
        </w:tc>
      </w:tr>
      <w:tr w14:paraId="78DD1EE7">
        <w:tblPrEx>
          <w:tblLayout w:type="fixed"/>
        </w:tblPrEx>
        <w:trPr>
          <w:jc w:val="center"/>
        </w:trPr>
        <w:tc>
          <w:tcPr>
            <w:tcW w:w="752" w:type="dxa"/>
            <w:vAlign w:val="center"/>
          </w:tcPr>
          <w:p w14:paraId="7302D31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512" w:type="dxa"/>
            <w:vAlign w:val="center"/>
          </w:tcPr>
          <w:p w14:paraId="3A68F8DC">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军工河路</w:t>
            </w:r>
          </w:p>
          <w:p w14:paraId="7B573EB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（二院-南二环路）</w:t>
            </w:r>
          </w:p>
        </w:tc>
        <w:tc>
          <w:tcPr>
            <w:tcW w:w="1422" w:type="dxa"/>
            <w:vAlign w:val="center"/>
          </w:tcPr>
          <w:p w14:paraId="732FCAC4">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YJV5*16</w:t>
            </w:r>
          </w:p>
        </w:tc>
        <w:tc>
          <w:tcPr>
            <w:tcW w:w="2382" w:type="dxa"/>
            <w:vAlign w:val="center"/>
          </w:tcPr>
          <w:p w14:paraId="7F65AD7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32m*28段+204m</w:t>
            </w:r>
          </w:p>
        </w:tc>
        <w:tc>
          <w:tcPr>
            <w:tcW w:w="750" w:type="dxa"/>
            <w:vAlign w:val="center"/>
          </w:tcPr>
          <w:p w14:paraId="178AF73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1100</w:t>
            </w:r>
          </w:p>
        </w:tc>
        <w:tc>
          <w:tcPr>
            <w:tcW w:w="2667" w:type="dxa"/>
            <w:vAlign w:val="center"/>
          </w:tcPr>
          <w:p w14:paraId="5836F48A">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含路灯熔断器、电缆头、配线等辅材及安装费</w:t>
            </w:r>
          </w:p>
        </w:tc>
      </w:tr>
      <w:tr w14:paraId="0DE48A61">
        <w:tblPrEx>
          <w:tblLayout w:type="fixed"/>
        </w:tblPrEx>
        <w:trPr>
          <w:jc w:val="center"/>
        </w:trPr>
        <w:tc>
          <w:tcPr>
            <w:tcW w:w="752" w:type="dxa"/>
            <w:vAlign w:val="center"/>
          </w:tcPr>
          <w:p w14:paraId="685278C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512" w:type="dxa"/>
            <w:vAlign w:val="center"/>
          </w:tcPr>
          <w:p w14:paraId="542D0A1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兆天线</w:t>
            </w:r>
          </w:p>
        </w:tc>
        <w:tc>
          <w:tcPr>
            <w:tcW w:w="1422" w:type="dxa"/>
            <w:vAlign w:val="center"/>
          </w:tcPr>
          <w:p w14:paraId="4111EF53">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YJV5*10</w:t>
            </w:r>
          </w:p>
        </w:tc>
        <w:tc>
          <w:tcPr>
            <w:tcW w:w="2382" w:type="dxa"/>
            <w:vAlign w:val="center"/>
          </w:tcPr>
          <w:p w14:paraId="332A0B1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35m*96段</w:t>
            </w:r>
          </w:p>
        </w:tc>
        <w:tc>
          <w:tcPr>
            <w:tcW w:w="750" w:type="dxa"/>
            <w:vAlign w:val="center"/>
          </w:tcPr>
          <w:p w14:paraId="1BA51F01">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3360</w:t>
            </w:r>
          </w:p>
        </w:tc>
        <w:tc>
          <w:tcPr>
            <w:tcW w:w="2667" w:type="dxa"/>
            <w:vAlign w:val="center"/>
          </w:tcPr>
          <w:p w14:paraId="3E79B8FB">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含路灯熔断器、电缆头、配线等辅材及安装费</w:t>
            </w:r>
          </w:p>
        </w:tc>
      </w:tr>
      <w:tr w14:paraId="7E422121">
        <w:tblPrEx>
          <w:tblLayout w:type="fixed"/>
        </w:tblPrEx>
        <w:trPr>
          <w:jc w:val="center"/>
        </w:trPr>
        <w:tc>
          <w:tcPr>
            <w:tcW w:w="752" w:type="dxa"/>
            <w:vAlign w:val="center"/>
          </w:tcPr>
          <w:p w14:paraId="56ABCAFD">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2512" w:type="dxa"/>
            <w:vAlign w:val="center"/>
          </w:tcPr>
          <w:p w14:paraId="0FDB21E0">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鹤港路</w:t>
            </w:r>
          </w:p>
          <w:p w14:paraId="76EEFA5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（鹤飞路往北-G328）</w:t>
            </w:r>
          </w:p>
        </w:tc>
        <w:tc>
          <w:tcPr>
            <w:tcW w:w="1422" w:type="dxa"/>
            <w:vAlign w:val="center"/>
          </w:tcPr>
          <w:p w14:paraId="0E844B71">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YJV5*16</w:t>
            </w:r>
          </w:p>
        </w:tc>
        <w:tc>
          <w:tcPr>
            <w:tcW w:w="2382" w:type="dxa"/>
            <w:vAlign w:val="center"/>
          </w:tcPr>
          <w:p w14:paraId="20A4539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34m*7段*双线</w:t>
            </w:r>
          </w:p>
        </w:tc>
        <w:tc>
          <w:tcPr>
            <w:tcW w:w="750" w:type="dxa"/>
            <w:vAlign w:val="center"/>
          </w:tcPr>
          <w:p w14:paraId="3D279B08">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476</w:t>
            </w:r>
          </w:p>
        </w:tc>
        <w:tc>
          <w:tcPr>
            <w:tcW w:w="2667" w:type="dxa"/>
            <w:vAlign w:val="center"/>
          </w:tcPr>
          <w:p w14:paraId="31D2A14D">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含路灯熔断器、电缆头、配线等辅材及安装费</w:t>
            </w:r>
          </w:p>
        </w:tc>
      </w:tr>
      <w:tr w14:paraId="342E7957">
        <w:tblPrEx>
          <w:tblLayout w:type="fixed"/>
        </w:tblPrEx>
        <w:trPr>
          <w:jc w:val="center"/>
        </w:trPr>
        <w:tc>
          <w:tcPr>
            <w:tcW w:w="752" w:type="dxa"/>
            <w:vAlign w:val="center"/>
          </w:tcPr>
          <w:p w14:paraId="515460B5">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2512" w:type="dxa"/>
            <w:vAlign w:val="center"/>
          </w:tcPr>
          <w:p w14:paraId="182F22F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富港路（天斧路-G328）</w:t>
            </w:r>
          </w:p>
        </w:tc>
        <w:tc>
          <w:tcPr>
            <w:tcW w:w="1422" w:type="dxa"/>
            <w:vAlign w:val="center"/>
          </w:tcPr>
          <w:p w14:paraId="2736B88F">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YJV5*16</w:t>
            </w:r>
          </w:p>
        </w:tc>
        <w:tc>
          <w:tcPr>
            <w:tcW w:w="2382" w:type="dxa"/>
            <w:vAlign w:val="center"/>
          </w:tcPr>
          <w:p w14:paraId="6470878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33m*21段*双线</w:t>
            </w:r>
          </w:p>
        </w:tc>
        <w:tc>
          <w:tcPr>
            <w:tcW w:w="750" w:type="dxa"/>
            <w:vAlign w:val="center"/>
          </w:tcPr>
          <w:p w14:paraId="2F2F1F7F">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1386</w:t>
            </w:r>
          </w:p>
        </w:tc>
        <w:tc>
          <w:tcPr>
            <w:tcW w:w="2667" w:type="dxa"/>
            <w:vAlign w:val="center"/>
          </w:tcPr>
          <w:p w14:paraId="5C3F9AC7">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含路灯熔断器、电缆头、配线等辅材及安装费</w:t>
            </w:r>
          </w:p>
        </w:tc>
      </w:tr>
      <w:tr w14:paraId="44A26F06">
        <w:tblPrEx>
          <w:tblLayout w:type="fixed"/>
        </w:tblPrEx>
        <w:trPr>
          <w:jc w:val="center"/>
        </w:trPr>
        <w:tc>
          <w:tcPr>
            <w:tcW w:w="752" w:type="dxa"/>
            <w:vAlign w:val="center"/>
          </w:tcPr>
          <w:p w14:paraId="12E78963">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2512" w:type="dxa"/>
            <w:vAlign w:val="center"/>
          </w:tcPr>
          <w:p w14:paraId="4A466E4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南二环路(建设南路-通港大道）南侧</w:t>
            </w:r>
          </w:p>
        </w:tc>
        <w:tc>
          <w:tcPr>
            <w:tcW w:w="1422" w:type="dxa"/>
            <w:vAlign w:val="center"/>
          </w:tcPr>
          <w:p w14:paraId="4EFAF3C9">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YJV5*16</w:t>
            </w:r>
          </w:p>
        </w:tc>
        <w:tc>
          <w:tcPr>
            <w:tcW w:w="2382" w:type="dxa"/>
            <w:vAlign w:val="center"/>
          </w:tcPr>
          <w:p w14:paraId="4AA032C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33m*20段+33m*21段</w:t>
            </w:r>
          </w:p>
        </w:tc>
        <w:tc>
          <w:tcPr>
            <w:tcW w:w="750" w:type="dxa"/>
            <w:vAlign w:val="center"/>
          </w:tcPr>
          <w:p w14:paraId="235A3E95">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1353</w:t>
            </w:r>
          </w:p>
        </w:tc>
        <w:tc>
          <w:tcPr>
            <w:tcW w:w="2667" w:type="dxa"/>
            <w:vAlign w:val="center"/>
          </w:tcPr>
          <w:p w14:paraId="095E10F4">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含路灯熔断器、电缆头、配线等辅材及安装费</w:t>
            </w:r>
          </w:p>
        </w:tc>
      </w:tr>
      <w:tr w14:paraId="0D740FFB">
        <w:tblPrEx>
          <w:tblLayout w:type="fixed"/>
        </w:tblPrEx>
        <w:trPr>
          <w:jc w:val="center"/>
        </w:trPr>
        <w:tc>
          <w:tcPr>
            <w:tcW w:w="752" w:type="dxa"/>
            <w:vAlign w:val="center"/>
          </w:tcPr>
          <w:p w14:paraId="570C6EFD">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2512" w:type="dxa"/>
            <w:vAlign w:val="center"/>
          </w:tcPr>
          <w:p w14:paraId="0FB384B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经九路、纬九路</w:t>
            </w:r>
          </w:p>
        </w:tc>
        <w:tc>
          <w:tcPr>
            <w:tcW w:w="1422" w:type="dxa"/>
            <w:vAlign w:val="center"/>
          </w:tcPr>
          <w:p w14:paraId="45E53C67">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YJV5*10</w:t>
            </w:r>
          </w:p>
        </w:tc>
        <w:tc>
          <w:tcPr>
            <w:tcW w:w="2382" w:type="dxa"/>
            <w:vAlign w:val="center"/>
          </w:tcPr>
          <w:p w14:paraId="3FB04FB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35m*12段</w:t>
            </w:r>
          </w:p>
        </w:tc>
        <w:tc>
          <w:tcPr>
            <w:tcW w:w="750" w:type="dxa"/>
            <w:vAlign w:val="center"/>
          </w:tcPr>
          <w:p w14:paraId="5D6F48B5">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420</w:t>
            </w:r>
          </w:p>
        </w:tc>
        <w:tc>
          <w:tcPr>
            <w:tcW w:w="2667" w:type="dxa"/>
            <w:vAlign w:val="center"/>
          </w:tcPr>
          <w:p w14:paraId="61999C9A">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含路灯熔断器、电缆头、配线等辅材及安装费</w:t>
            </w:r>
          </w:p>
        </w:tc>
      </w:tr>
      <w:tr w14:paraId="18B107CE">
        <w:tblPrEx>
          <w:tblLayout w:type="fixed"/>
        </w:tblPrEx>
        <w:trPr>
          <w:jc w:val="center"/>
        </w:trPr>
        <w:tc>
          <w:tcPr>
            <w:tcW w:w="752" w:type="dxa"/>
            <w:vAlign w:val="center"/>
          </w:tcPr>
          <w:p w14:paraId="0B4AE676">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2512" w:type="dxa"/>
            <w:vAlign w:val="center"/>
          </w:tcPr>
          <w:p w14:paraId="42BD9C36">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兴港路</w:t>
            </w:r>
          </w:p>
          <w:p w14:paraId="2F95201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（人民路-来鹤路）</w:t>
            </w:r>
          </w:p>
        </w:tc>
        <w:tc>
          <w:tcPr>
            <w:tcW w:w="1422" w:type="dxa"/>
            <w:vAlign w:val="center"/>
          </w:tcPr>
          <w:p w14:paraId="2FF2A4A3">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YJV5*16</w:t>
            </w:r>
          </w:p>
        </w:tc>
        <w:tc>
          <w:tcPr>
            <w:tcW w:w="2382" w:type="dxa"/>
            <w:vAlign w:val="center"/>
          </w:tcPr>
          <w:p w14:paraId="4C3C75D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32m*20段</w:t>
            </w:r>
          </w:p>
        </w:tc>
        <w:tc>
          <w:tcPr>
            <w:tcW w:w="750" w:type="dxa"/>
            <w:vAlign w:val="center"/>
          </w:tcPr>
          <w:p w14:paraId="6C13011F">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640</w:t>
            </w:r>
          </w:p>
        </w:tc>
        <w:tc>
          <w:tcPr>
            <w:tcW w:w="2667" w:type="dxa"/>
            <w:vAlign w:val="center"/>
          </w:tcPr>
          <w:p w14:paraId="421F0A5C">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含路灯熔断器、电缆头、配线等辅材及安装费</w:t>
            </w:r>
          </w:p>
        </w:tc>
      </w:tr>
      <w:tr w14:paraId="145A9921">
        <w:tblPrEx>
          <w:tblLayout w:type="fixed"/>
        </w:tblPrEx>
        <w:trPr>
          <w:jc w:val="center"/>
        </w:trPr>
        <w:tc>
          <w:tcPr>
            <w:tcW w:w="10485" w:type="dxa"/>
            <w:gridSpan w:val="6"/>
            <w:vAlign w:val="center"/>
          </w:tcPr>
          <w:p w14:paraId="41D88481">
            <w:pPr>
              <w:jc w:val="left"/>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备注：</w:t>
            </w:r>
          </w:p>
          <w:p w14:paraId="10AC11BC">
            <w:pPr>
              <w:jc w:val="left"/>
              <w:rPr>
                <w:rFonts w:hint="eastAsia" w:ascii="仿宋" w:hAnsi="仿宋" w:eastAsia="仿宋" w:cs="仿宋"/>
                <w:b/>
                <w:bCs/>
                <w:sz w:val="22"/>
                <w:szCs w:val="22"/>
                <w:highlight w:val="none"/>
                <w:lang w:val="en-US" w:eastAsia="zh-CN"/>
              </w:rPr>
            </w:pPr>
            <w:r>
              <w:rPr>
                <w:rFonts w:hint="eastAsia" w:ascii="仿宋" w:hAnsi="仿宋" w:eastAsia="仿宋" w:cs="仿宋"/>
                <w:b/>
                <w:bCs/>
                <w:sz w:val="22"/>
                <w:szCs w:val="22"/>
                <w:highlight w:val="none"/>
                <w:lang w:val="en-US" w:eastAsia="zh-CN"/>
              </w:rPr>
              <w:t>1.现场路灯杆已经安装结束，请供应商实地考察现场，综合考虑各种因素后报价。</w:t>
            </w:r>
          </w:p>
          <w:p w14:paraId="247A1F4B">
            <w:pPr>
              <w:jc w:val="left"/>
              <w:rPr>
                <w:rFonts w:hint="eastAsia" w:ascii="仿宋" w:hAnsi="仿宋" w:eastAsia="仿宋" w:cs="仿宋"/>
                <w:b/>
                <w:bCs/>
                <w:sz w:val="22"/>
                <w:szCs w:val="22"/>
                <w:highlight w:val="none"/>
                <w:lang w:val="en-US" w:eastAsia="zh-CN"/>
              </w:rPr>
            </w:pPr>
            <w:r>
              <w:rPr>
                <w:rFonts w:hint="eastAsia" w:ascii="仿宋" w:hAnsi="仿宋" w:eastAsia="仿宋" w:cs="仿宋"/>
                <w:b/>
                <w:bCs/>
                <w:sz w:val="22"/>
                <w:szCs w:val="22"/>
                <w:highlight w:val="none"/>
                <w:lang w:val="en-US" w:eastAsia="zh-CN"/>
              </w:rPr>
              <w:t xml:space="preserve">2.采购标准要求以采购要求、相关国家标准为准，在标准和采购要求不一致时，按要求高的标准执行。 </w:t>
            </w:r>
          </w:p>
          <w:p w14:paraId="485929A6">
            <w:pPr>
              <w:jc w:val="left"/>
              <w:rPr>
                <w:rFonts w:hint="eastAsia" w:ascii="仿宋" w:hAnsi="仿宋" w:eastAsia="仿宋" w:cs="仿宋"/>
                <w:b/>
                <w:bCs/>
                <w:sz w:val="22"/>
                <w:szCs w:val="22"/>
                <w:highlight w:val="none"/>
                <w:lang w:val="en-US" w:eastAsia="zh-CN"/>
              </w:rPr>
            </w:pPr>
            <w:r>
              <w:rPr>
                <w:rFonts w:hint="eastAsia" w:ascii="仿宋" w:hAnsi="仿宋" w:eastAsia="仿宋" w:cs="仿宋"/>
                <w:b/>
                <w:bCs/>
                <w:sz w:val="22"/>
                <w:szCs w:val="22"/>
                <w:highlight w:val="none"/>
                <w:lang w:val="en-US" w:eastAsia="zh-CN"/>
              </w:rPr>
              <w:t>3.成交供应商提供的所有货物都必须为全新的原厂正品，不接受翻新产品，一经查实，取消成交资格，并列入采购人的采购黑名单，同时对成交供应商及负责人追究相关法律责任。</w:t>
            </w:r>
          </w:p>
          <w:p w14:paraId="2B9BA306">
            <w:pPr>
              <w:jc w:val="left"/>
              <w:rPr>
                <w:rFonts w:hint="eastAsia" w:ascii="仿宋" w:hAnsi="仿宋" w:eastAsia="仿宋" w:cs="仿宋"/>
                <w:b/>
                <w:bCs/>
                <w:sz w:val="22"/>
                <w:szCs w:val="22"/>
                <w:highlight w:val="none"/>
                <w:lang w:val="en-US" w:eastAsia="zh-CN"/>
              </w:rPr>
            </w:pPr>
            <w:r>
              <w:rPr>
                <w:rFonts w:hint="eastAsia" w:ascii="仿宋" w:hAnsi="仿宋" w:eastAsia="仿宋" w:cs="仿宋"/>
                <w:b/>
                <w:bCs/>
                <w:sz w:val="22"/>
                <w:szCs w:val="22"/>
                <w:highlight w:val="none"/>
                <w:lang w:val="en-US" w:eastAsia="zh-CN"/>
              </w:rPr>
              <w:t xml:space="preserve">4.考虑电缆长度可能适当调整，按业主实际使用要求而定。采购清单中电缆长度有可能增加及减少，最终按实际长度结算，请供应商投标报价时自行考虑该风险，工程量增加及减少单价不作调整。 </w:t>
            </w:r>
          </w:p>
          <w:p w14:paraId="7D351FCB">
            <w:pPr>
              <w:jc w:val="left"/>
              <w:rPr>
                <w:rFonts w:hint="eastAsia" w:ascii="仿宋" w:hAnsi="仿宋" w:eastAsia="仿宋" w:cs="仿宋"/>
                <w:b/>
                <w:bCs/>
                <w:sz w:val="22"/>
                <w:szCs w:val="22"/>
                <w:highlight w:val="none"/>
                <w:lang w:val="en-US" w:eastAsia="zh-CN"/>
              </w:rPr>
            </w:pPr>
            <w:r>
              <w:rPr>
                <w:rFonts w:hint="eastAsia" w:ascii="仿宋" w:hAnsi="仿宋" w:eastAsia="仿宋" w:cs="仿宋"/>
                <w:b/>
                <w:bCs/>
                <w:sz w:val="22"/>
                <w:szCs w:val="22"/>
                <w:highlight w:val="none"/>
                <w:lang w:val="en-US" w:eastAsia="zh-CN"/>
              </w:rPr>
              <w:t>5.供货前实际供货数量必须得到业主书面确认，否则后果自负。</w:t>
            </w:r>
          </w:p>
          <w:p w14:paraId="30FBC597">
            <w:pPr>
              <w:jc w:val="left"/>
              <w:rPr>
                <w:rFonts w:hint="eastAsia" w:ascii="仿宋" w:hAnsi="仿宋" w:eastAsia="仿宋" w:cs="仿宋"/>
                <w:b/>
                <w:bCs/>
                <w:sz w:val="22"/>
                <w:szCs w:val="22"/>
                <w:highlight w:val="none"/>
                <w:lang w:val="en-US" w:eastAsia="zh-CN"/>
              </w:rPr>
            </w:pPr>
            <w:r>
              <w:rPr>
                <w:rFonts w:hint="eastAsia" w:ascii="仿宋" w:hAnsi="仿宋" w:eastAsia="仿宋" w:cs="仿宋"/>
                <w:b/>
                <w:bCs/>
                <w:sz w:val="22"/>
                <w:szCs w:val="22"/>
                <w:highlight w:val="none"/>
                <w:lang w:val="en-US" w:eastAsia="zh-CN"/>
              </w:rPr>
              <w:t>6.供应商报价的所有电缆产品必须为同一品牌，并且须在报价表上明确所投电缆产品的品牌及型号，否则视为无效响应。</w:t>
            </w:r>
          </w:p>
          <w:p w14:paraId="450643C9">
            <w:pPr>
              <w:jc w:val="left"/>
              <w:rPr>
                <w:rFonts w:hint="eastAsia" w:ascii="仿宋" w:hAnsi="仿宋" w:eastAsia="仿宋" w:cs="仿宋"/>
                <w:b/>
                <w:bCs/>
                <w:sz w:val="22"/>
                <w:szCs w:val="22"/>
                <w:highlight w:val="none"/>
                <w:lang w:val="en-US" w:eastAsia="zh-CN"/>
              </w:rPr>
            </w:pPr>
            <w:r>
              <w:rPr>
                <w:rFonts w:hint="eastAsia" w:ascii="仿宋" w:hAnsi="仿宋" w:eastAsia="仿宋" w:cs="仿宋"/>
                <w:b/>
                <w:bCs/>
                <w:sz w:val="22"/>
                <w:szCs w:val="22"/>
                <w:highlight w:val="none"/>
                <w:lang w:val="en-US" w:eastAsia="zh-CN"/>
              </w:rPr>
              <w:t>7.本项目中的参考品牌为远东、江南、熊猫、上上、江扬、正泰，只是采购产品的参考档次。报价供应商如拟投产品不在参考品牌之列的，报价货物品牌的技术参数不得低于参考的品牌，同时报价供应商应当在开标前两天向采购单位提供货物的技术资料、相关证明材料及相关单位的成功使用案例，采购单位将组织进行评审，当三分之二及以上评委认定，所投品牌、型号档次等于或高于建议品牌档次的，将以补充通知的形式在相关网站予以公布，所投品牌档次低于参考品牌档次的，则不予受理。询价响应文件中报价品牌、型号为非参考品牌且未在规定时间内经采购单位评审通过以补充通知形式发布的，将被视作无效报价。</w:t>
            </w:r>
          </w:p>
          <w:p w14:paraId="3E350C14">
            <w:pPr>
              <w:pStyle w:val="2"/>
              <w:jc w:val="left"/>
              <w:rPr>
                <w:rFonts w:hint="eastAsia" w:ascii="仿宋" w:hAnsi="仿宋" w:eastAsia="仿宋" w:cs="仿宋"/>
                <w:highlight w:val="none"/>
                <w:lang w:val="en-US" w:eastAsia="zh-CN"/>
              </w:rPr>
            </w:pPr>
            <w:r>
              <w:rPr>
                <w:rFonts w:hint="eastAsia" w:ascii="仿宋" w:hAnsi="仿宋" w:eastAsia="仿宋" w:cs="仿宋"/>
                <w:b/>
                <w:bCs/>
                <w:sz w:val="22"/>
                <w:szCs w:val="22"/>
                <w:highlight w:val="none"/>
                <w:lang w:val="en-US" w:eastAsia="zh-CN"/>
              </w:rPr>
              <w:t>8.本项目不接受进口产品响应。</w:t>
            </w:r>
          </w:p>
        </w:tc>
      </w:tr>
    </w:tbl>
    <w:p w14:paraId="64C1B69E">
      <w:pPr>
        <w:numPr>
          <w:ilvl w:val="0"/>
          <w:numId w:val="0"/>
        </w:numPr>
        <w:adjustRightInd w:val="0"/>
        <w:snapToGrid w:val="0"/>
        <w:spacing w:line="500" w:lineRule="exact"/>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注：</w:t>
      </w:r>
      <w:r>
        <w:rPr>
          <w:rFonts w:hint="eastAsia" w:ascii="仿宋" w:hAnsi="仿宋" w:eastAsia="仿宋" w:cs="仿宋"/>
          <w:b/>
          <w:bCs/>
          <w:sz w:val="28"/>
          <w:szCs w:val="28"/>
          <w:highlight w:val="none"/>
          <w:lang w:val="zh-CN" w:eastAsia="zh-CN"/>
        </w:rPr>
        <w:t>上述采购要求为最低要求，不得负偏离，否则视为无效报价。</w:t>
      </w:r>
    </w:p>
    <w:p w14:paraId="2544D29A">
      <w:pPr>
        <w:numPr>
          <w:ilvl w:val="0"/>
          <w:numId w:val="0"/>
        </w:num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采用固定单价报价，投标报价包括但不仅限于①货物的材料价：包括原材料费、辅助材料费、利润、增值税专用发票；②货物的运杂费：货物运至最终目的地的运输费、装车费、卸车费（含业主要求分多批次进行供货,同一批次卸货地点可以有多个地点，供应商考虑上述因素后进行综合报价）、有关部门的手续费、采购与保管费、包装费；③含路灯变压器、电缆头、配线等辅材及安装费；④风险费:原材料的价格波动超出±10%部分、政策性调整等风险；⑤如取得合同，对货物将支付的任何销售税和其他税费；⑥验收、税金、检测、售后服务等所有相关费用；请各供应商在报价时充分考虑上述各种因素。报价人必须采用人民币报价。</w:t>
      </w:r>
    </w:p>
    <w:p w14:paraId="5190750E">
      <w:pPr>
        <w:numPr>
          <w:ilvl w:val="0"/>
          <w:numId w:val="0"/>
        </w:numPr>
        <w:adjustRightInd w:val="0"/>
        <w:snapToGrid w:val="0"/>
        <w:spacing w:line="500" w:lineRule="exac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2、约定事项：     </w:t>
      </w:r>
    </w:p>
    <w:p w14:paraId="72137DD0">
      <w:pPr>
        <w:numPr>
          <w:ilvl w:val="0"/>
          <w:numId w:val="0"/>
        </w:num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在供方供货完毕后，需方将组织验收小组根据询价文件和供方报价文件对供方所供货物进行验收。如验收时发现所供货物的数量、参数等与招投标文件不一致，或无有效产品合格证、存在安全隐患等，需方将向供方签发整改通知书。供方在收到整改通知书后七日内必须按要求整改，如再次不符合要求或逾期，采购人将视作项目整体验收不合格，终止合同履行，履约保证金不予退还并报相关部门进行处理。</w:t>
      </w:r>
    </w:p>
    <w:p w14:paraId="608610D7">
      <w:pPr>
        <w:numPr>
          <w:ilvl w:val="0"/>
          <w:numId w:val="0"/>
        </w:num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（2）在合同的履行过程中对标的物的质量发生争议时，以质量技术监督部门或有权鉴定部门的质量鉴定结果为准，由此所产生的一切费用由供方承担。</w:t>
      </w:r>
    </w:p>
    <w:p w14:paraId="6380D5CA">
      <w:pPr>
        <w:numPr>
          <w:ilvl w:val="0"/>
          <w:numId w:val="0"/>
        </w:num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（3）投标保证金：根据省财政厅要求，免收投标保证金。</w:t>
      </w:r>
    </w:p>
    <w:p w14:paraId="5F5F8D4A">
      <w:pPr>
        <w:numPr>
          <w:ilvl w:val="0"/>
          <w:numId w:val="0"/>
        </w:numPr>
        <w:adjustRightInd w:val="0"/>
        <w:snapToGrid w:val="0"/>
        <w:spacing w:line="500" w:lineRule="exact"/>
        <w:ind w:firstLine="560" w:firstLineChars="200"/>
        <w:rPr>
          <w:rFonts w:hint="eastAsia"/>
          <w:highlight w:val="none"/>
          <w:lang w:val="en-US" w:eastAsia="zh-CN"/>
        </w:rPr>
      </w:pPr>
      <w:r>
        <w:rPr>
          <w:rFonts w:hint="eastAsia" w:ascii="仿宋" w:hAnsi="仿宋" w:eastAsia="仿宋" w:cs="仿宋"/>
          <w:sz w:val="28"/>
          <w:szCs w:val="28"/>
          <w:highlight w:val="none"/>
          <w:lang w:val="en-US" w:eastAsia="zh-CN"/>
        </w:rPr>
        <w:t>一、在合同的履行过程中对标的物的质量发生争议时，以质量技术监督部门或有权鉴定部门的质量鉴定结果为准，由此所产生的一切费用由供方承担。</w:t>
      </w:r>
    </w:p>
    <w:p w14:paraId="2A9C70B0">
      <w:pPr>
        <w:numPr>
          <w:ilvl w:val="0"/>
          <w:numId w:val="1"/>
        </w:num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质量要求：产品必须是全新、未使用过的符合采购需求、符合国家相关标准、行业标准、地方标准或者其他标准、规范。</w:t>
      </w:r>
    </w:p>
    <w:p w14:paraId="4E9BDF23">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三、质保要求：三年。自验收合格报告签字确认日起，开始进入质保期。</w:t>
      </w:r>
    </w:p>
    <w:p w14:paraId="1567D7FD">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四、交货周期：合同签订后40日内完成供货，具体时间以采购人通知为准。如不能及时提供货物的，则按延期每天2000元进行扣款，所发生的所有损失由供货商承担。</w:t>
      </w:r>
    </w:p>
    <w:p w14:paraId="4D4148A5">
      <w:p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五、交货地点：成交供应商应按照采购单位的要求将货物运至采购单位指定地点，确保正常使用。并承担包装、运输和装卸费用。交付时应同时交付产品的检测报告、产品合格证。（分批次、数量不等）</w:t>
      </w:r>
    </w:p>
    <w:p w14:paraId="2B8103AA">
      <w:pPr>
        <w:numPr>
          <w:ilvl w:val="0"/>
          <w:numId w:val="0"/>
        </w:num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六</w:t>
      </w:r>
      <w:r>
        <w:rPr>
          <w:rFonts w:hint="eastAsia" w:ascii="仿宋" w:hAnsi="仿宋" w:eastAsia="仿宋" w:cs="仿宋"/>
          <w:sz w:val="28"/>
          <w:szCs w:val="28"/>
          <w:highlight w:val="none"/>
        </w:rPr>
        <w:t>、采购标的的验收标准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在供方供货完毕后，需方将组织验收小组根据询价文件和供方报价文件对供方所供货物进行验收。如验收时发现所供货物的数量、参数等与招投标文件不一致，或无有效产品合格证、存在安全隐患等，需方将向供方签发整改通知书。供方在收到整改通知书后七日内必须按要求整改，如再次不符合要求或逾期，采购人将视作项目整体验收不合格，终止合同履行，履约保证金不予退还并报相关部门进行处理。</w:t>
      </w:r>
    </w:p>
    <w:p w14:paraId="2859A651">
      <w:pPr>
        <w:numPr>
          <w:ilvl w:val="0"/>
          <w:numId w:val="0"/>
        </w:numPr>
        <w:adjustRightInd w:val="0"/>
        <w:snapToGrid w:val="0"/>
        <w:spacing w:line="500" w:lineRule="exact"/>
        <w:ind w:firstLine="560" w:firstLineChars="200"/>
        <w:rPr>
          <w:rFonts w:hint="eastAsia"/>
          <w:highlight w:val="none"/>
          <w:lang w:eastAsia="zh-CN"/>
        </w:rPr>
      </w:pPr>
      <w:r>
        <w:rPr>
          <w:rFonts w:hint="eastAsia" w:ascii="仿宋" w:hAnsi="仿宋" w:eastAsia="仿宋" w:cs="仿宋"/>
          <w:sz w:val="28"/>
          <w:szCs w:val="28"/>
          <w:highlight w:val="none"/>
          <w:lang w:val="en-US" w:eastAsia="zh-CN"/>
        </w:rPr>
        <w:t>七、在合同的履行过程中对标的物的质量发生争议时，以质量技术监督部门或有权鉴定部门的质量鉴定结果为准，由此所产生的一切费用由供方承担。</w:t>
      </w:r>
    </w:p>
    <w:p w14:paraId="66EA6985">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rPr>
        <w:t>、采购标的的其他技术、服务等要求</w:t>
      </w:r>
    </w:p>
    <w:p w14:paraId="527121B4">
      <w:pPr>
        <w:numPr>
          <w:ilvl w:val="0"/>
          <w:numId w:val="0"/>
        </w:num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（一）、政府采购中实施本国产品标准及相关政策</w:t>
      </w:r>
    </w:p>
    <w:p w14:paraId="2D1EFA29">
      <w:pPr>
        <w:numPr>
          <w:ilvl w:val="0"/>
          <w:numId w:val="0"/>
        </w:num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1.本项目对采购本国产品给予政策支持，具体内容见询价文件“第二部分 响应须知”。</w:t>
      </w:r>
    </w:p>
    <w:p w14:paraId="04A21A4B">
      <w:pPr>
        <w:numPr>
          <w:ilvl w:val="0"/>
          <w:numId w:val="0"/>
        </w:num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3625FF4">
      <w:pPr>
        <w:numPr>
          <w:ilvl w:val="0"/>
          <w:numId w:val="0"/>
        </w:num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4680EBCC">
      <w:pPr>
        <w:numPr>
          <w:ilvl w:val="0"/>
          <w:numId w:val="0"/>
        </w:num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本次采购需切实履行绿色采购，参照《江苏省财政厅关于加强政府绿色采购有关事项的通知》（苏财购〔2023〕65号），严格落实节能环保产品采购政策，严格执行绿色采购需求标准，推广使用低挥发性有机化合物产品，确保绿色采购落实到位。</w:t>
      </w:r>
    </w:p>
    <w:p w14:paraId="1C34DA6E">
      <w:pPr>
        <w:numPr>
          <w:ilvl w:val="0"/>
          <w:numId w:val="0"/>
        </w:num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品目清单见《关于印发环境标志产品政府采购品目清单的通知》（财库〔2019〕18号）、《关于印发节能产品政府采购品目清单的通知》（财库〔2019〕19号）。</w:t>
      </w:r>
    </w:p>
    <w:p w14:paraId="5F29AFED">
      <w:pPr>
        <w:numPr>
          <w:ilvl w:val="0"/>
          <w:numId w:val="0"/>
        </w:numPr>
        <w:adjustRightInd w:val="0"/>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需求标准见《商品包装政府采购需求标准（试行）》《快递包装政府采购需求标准（试行）》（财办库〔2020〕123号）、《绿色数据中心政府采购需求标准（试行）》（财库〔2023〕7号）。</w:t>
      </w:r>
    </w:p>
    <w:p w14:paraId="62CBAB28">
      <w:pPr>
        <w:numPr>
          <w:ilvl w:val="0"/>
          <w:numId w:val="0"/>
        </w:numPr>
        <w:adjustRightInd w:val="0"/>
        <w:snapToGrid w:val="0"/>
        <w:spacing w:line="50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lang w:val="en-US" w:eastAsia="zh-CN"/>
        </w:rPr>
        <w:t>九、</w:t>
      </w:r>
      <w:r>
        <w:rPr>
          <w:rFonts w:hint="eastAsia" w:ascii="仿宋" w:hAnsi="仿宋" w:eastAsia="仿宋" w:cs="仿宋"/>
          <w:sz w:val="28"/>
          <w:szCs w:val="28"/>
          <w:highlight w:val="none"/>
        </w:rPr>
        <w:t>付款方式：</w:t>
      </w:r>
      <w:r>
        <w:rPr>
          <w:rFonts w:hint="eastAsia" w:ascii="仿宋" w:hAnsi="仿宋" w:eastAsia="仿宋" w:cs="仿宋"/>
          <w:sz w:val="28"/>
          <w:szCs w:val="28"/>
          <w:highlight w:val="none"/>
          <w:u w:val="single"/>
        </w:rPr>
        <w:t>凭启东市市场监督管理局合格的检测报告或有效的证明文件作为付款依据；设备到场安装调试完毕，经验收合格后付合同价的90%；余款从验收合格之日算起至三年服务期满，经采购单位认可后一次性付清。结算时开具正式税务发票。</w:t>
      </w:r>
    </w:p>
    <w:p w14:paraId="1D118834">
      <w:pPr>
        <w:pStyle w:val="8"/>
        <w:keepNext w:val="0"/>
        <w:keepLines w:val="0"/>
        <w:pageBreakBefore w:val="0"/>
        <w:widowControl w:val="0"/>
        <w:kinsoku/>
        <w:wordWrap/>
        <w:overflowPunct/>
        <w:topLinePunct w:val="0"/>
        <w:autoSpaceDE/>
        <w:autoSpaceDN/>
        <w:bidi w:val="0"/>
        <w:spacing w:line="440" w:lineRule="exact"/>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注：对于本合同生效后，需方根据《中华人民共和国招标投标法实施条例》第九条第一款第（四）项规定，直接向卖方采购的货物，卖方承诺货物单价不高于本项目采购合同《采购货物清单》所列单价。</w:t>
      </w:r>
    </w:p>
    <w:p w14:paraId="7A79555B">
      <w:pPr>
        <w:pStyle w:val="8"/>
        <w:keepNext w:val="0"/>
        <w:keepLines w:val="0"/>
        <w:pageBreakBefore w:val="0"/>
        <w:widowControl w:val="0"/>
        <w:kinsoku/>
        <w:wordWrap/>
        <w:overflowPunct/>
        <w:topLinePunct w:val="0"/>
        <w:autoSpaceDE/>
        <w:autoSpaceDN/>
        <w:bidi w:val="0"/>
        <w:spacing w:line="440" w:lineRule="exact"/>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涉及原材料价格波动较大的（单价波动幅度±3%及以上）的，以双方共同确认的公共价格信息平台发布的价格数据信息为准，按约定计算并调整原材料价格波动对应的价款。</w:t>
      </w:r>
    </w:p>
    <w:p w14:paraId="4883855D">
      <w:pPr>
        <w:pStyle w:val="8"/>
        <w:keepNext w:val="0"/>
        <w:keepLines w:val="0"/>
        <w:pageBreakBefore w:val="0"/>
        <w:widowControl w:val="0"/>
        <w:kinsoku/>
        <w:wordWrap/>
        <w:overflowPunct/>
        <w:topLinePunct w:val="0"/>
        <w:autoSpaceDE/>
        <w:autoSpaceDN/>
        <w:bidi w:val="0"/>
        <w:spacing w:line="440" w:lineRule="exact"/>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合同供货期限内，对项目采购货物清单所列合同货物原材料的有色金属（铜）实行价格联动，联动价格计算公式：</w:t>
      </w:r>
    </w:p>
    <w:p w14:paraId="7F3FC0E2">
      <w:pPr>
        <w:pStyle w:val="8"/>
        <w:keepNext w:val="0"/>
        <w:keepLines w:val="0"/>
        <w:pageBreakBefore w:val="0"/>
        <w:widowControl w:val="0"/>
        <w:kinsoku/>
        <w:wordWrap/>
        <w:overflowPunct/>
        <w:topLinePunct w:val="0"/>
        <w:autoSpaceDE/>
        <w:autoSpaceDN/>
        <w:bidi w:val="0"/>
        <w:spacing w:line="440" w:lineRule="exact"/>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导地线、10kV及以下电缆：</w:t>
      </w:r>
    </w:p>
    <w:p w14:paraId="6B426B2E">
      <w:pPr>
        <w:pStyle w:val="8"/>
        <w:keepNext w:val="0"/>
        <w:keepLines w:val="0"/>
        <w:pageBreakBefore w:val="0"/>
        <w:widowControl w:val="0"/>
        <w:kinsoku/>
        <w:wordWrap/>
        <w:overflowPunct/>
        <w:topLinePunct w:val="0"/>
        <w:autoSpaceDE/>
        <w:autoSpaceDN/>
        <w:bidi w:val="0"/>
        <w:spacing w:line="440" w:lineRule="exact"/>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P＝K×(B-A)*L</w:t>
      </w:r>
    </w:p>
    <w:p w14:paraId="797B0950">
      <w:pPr>
        <w:pStyle w:val="8"/>
        <w:keepNext w:val="0"/>
        <w:keepLines w:val="0"/>
        <w:pageBreakBefore w:val="0"/>
        <w:widowControl w:val="0"/>
        <w:kinsoku/>
        <w:wordWrap/>
        <w:overflowPunct/>
        <w:topLinePunct w:val="0"/>
        <w:autoSpaceDE/>
        <w:autoSpaceDN/>
        <w:bidi w:val="0"/>
        <w:spacing w:line="440" w:lineRule="exact"/>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其中：</w:t>
      </w:r>
    </w:p>
    <w:p w14:paraId="3225446E">
      <w:pPr>
        <w:pStyle w:val="8"/>
        <w:keepNext w:val="0"/>
        <w:keepLines w:val="0"/>
        <w:pageBreakBefore w:val="0"/>
        <w:widowControl w:val="0"/>
        <w:kinsoku/>
        <w:wordWrap/>
        <w:overflowPunct/>
        <w:topLinePunct w:val="0"/>
        <w:autoSpaceDE/>
        <w:autoSpaceDN/>
        <w:bidi w:val="0"/>
        <w:spacing w:line="440" w:lineRule="exact"/>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A：投标截止日上海有色网（SMM）公布的1#电解铜收盘日均价（单位：元/公斤）；若为非交易日，取前一交易日价格。</w:t>
      </w:r>
    </w:p>
    <w:p w14:paraId="2F6CA111">
      <w:pPr>
        <w:pStyle w:val="8"/>
        <w:keepNext w:val="0"/>
        <w:keepLines w:val="0"/>
        <w:pageBreakBefore w:val="0"/>
        <w:widowControl w:val="0"/>
        <w:kinsoku/>
        <w:wordWrap/>
        <w:overflowPunct/>
        <w:topLinePunct w:val="0"/>
        <w:autoSpaceDE/>
        <w:autoSpaceDN/>
        <w:bidi w:val="0"/>
        <w:spacing w:line="440" w:lineRule="exact"/>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B：订单匹配日（合同签订日期）上一周（五个工作日）上海有色网（SMM）公布的1#电解铜收盘日均价的算术平均值（单位：元/公斤）。</w:t>
      </w:r>
    </w:p>
    <w:p w14:paraId="41B2A6ED">
      <w:pPr>
        <w:pStyle w:val="8"/>
        <w:keepNext w:val="0"/>
        <w:keepLines w:val="0"/>
        <w:pageBreakBefore w:val="0"/>
        <w:widowControl w:val="0"/>
        <w:kinsoku/>
        <w:wordWrap/>
        <w:overflowPunct/>
        <w:topLinePunct w:val="0"/>
        <w:autoSpaceDE/>
        <w:autoSpaceDN/>
        <w:bidi w:val="0"/>
        <w:spacing w:line="440" w:lineRule="exact"/>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L：工程量长度（m）。</w:t>
      </w:r>
    </w:p>
    <w:p w14:paraId="58070778">
      <w:pPr>
        <w:pStyle w:val="8"/>
        <w:keepNext w:val="0"/>
        <w:keepLines w:val="0"/>
        <w:pageBreakBefore w:val="0"/>
        <w:widowControl w:val="0"/>
        <w:kinsoku/>
        <w:wordWrap/>
        <w:overflowPunct/>
        <w:topLinePunct w:val="0"/>
        <w:autoSpaceDE/>
        <w:autoSpaceDN/>
        <w:bidi w:val="0"/>
        <w:spacing w:line="440" w:lineRule="exact"/>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K：铜重量系数，具体数值详见附表1 。</w:t>
      </w:r>
    </w:p>
    <w:p w14:paraId="4AC1EDD2">
      <w:pPr>
        <w:pStyle w:val="8"/>
        <w:keepNext w:val="0"/>
        <w:keepLines w:val="0"/>
        <w:pageBreakBefore w:val="0"/>
        <w:widowControl w:val="0"/>
        <w:kinsoku/>
        <w:wordWrap/>
        <w:overflowPunct/>
        <w:topLinePunct w:val="0"/>
        <w:autoSpaceDE/>
        <w:autoSpaceDN/>
        <w:bidi w:val="0"/>
        <w:spacing w:line="440" w:lineRule="exact"/>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价格调整规则：</w:t>
      </w:r>
    </w:p>
    <w:p w14:paraId="07A50866">
      <w:pPr>
        <w:pStyle w:val="8"/>
        <w:keepNext w:val="0"/>
        <w:keepLines w:val="0"/>
        <w:pageBreakBefore w:val="0"/>
        <w:widowControl w:val="0"/>
        <w:kinsoku/>
        <w:wordWrap/>
        <w:overflowPunct/>
        <w:topLinePunct w:val="0"/>
        <w:autoSpaceDE/>
        <w:autoSpaceDN/>
        <w:bidi w:val="0"/>
        <w:spacing w:line="440" w:lineRule="exact"/>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当 |(B-A)/A| ＜ 3% 时，执行中标单价，不予调整；</w:t>
      </w:r>
    </w:p>
    <w:p w14:paraId="375075D3">
      <w:pPr>
        <w:pStyle w:val="8"/>
        <w:keepNext w:val="0"/>
        <w:keepLines w:val="0"/>
        <w:pageBreakBefore w:val="0"/>
        <w:widowControl w:val="0"/>
        <w:kinsoku/>
        <w:wordWrap/>
        <w:overflowPunct/>
        <w:topLinePunct w:val="0"/>
        <w:autoSpaceDE/>
        <w:autoSpaceDN/>
        <w:bidi w:val="0"/>
        <w:spacing w:line="440" w:lineRule="exact"/>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当 |(B-A)/A| ≥ 3% 时，按上述公式计算并执行联动价格。</w:t>
      </w:r>
    </w:p>
    <w:p w14:paraId="6E23D163">
      <w:pPr>
        <w:pStyle w:val="8"/>
        <w:keepNext w:val="0"/>
        <w:keepLines w:val="0"/>
        <w:pageBreakBefore w:val="0"/>
        <w:widowControl w:val="0"/>
        <w:kinsoku/>
        <w:wordWrap/>
        <w:overflowPunct/>
        <w:topLinePunct w:val="0"/>
        <w:autoSpaceDE/>
        <w:autoSpaceDN/>
        <w:bidi w:val="0"/>
        <w:spacing w:line="440" w:lineRule="exact"/>
        <w:ind w:left="0" w:leftChars="0" w:firstLine="562" w:firstLineChars="200"/>
        <w:rPr>
          <w:rFonts w:hint="eastAsia" w:ascii="宋体" w:hAnsi="宋体" w:eastAsia="宋体" w:cs="宋体"/>
          <w:b/>
          <w:bCs/>
          <w:color w:val="auto"/>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•合同履行期间，因有色金属价格波动调整后的最终结算总</w:t>
      </w:r>
      <w:r>
        <w:rPr>
          <w:rFonts w:hint="eastAsia" w:ascii="宋体" w:hAnsi="宋体" w:eastAsia="宋体" w:cs="宋体"/>
          <w:b/>
          <w:bCs/>
          <w:color w:val="auto"/>
          <w:kern w:val="2"/>
          <w:sz w:val="28"/>
          <w:szCs w:val="28"/>
          <w:highlight w:val="none"/>
          <w:lang w:val="en-US" w:eastAsia="zh-CN" w:bidi="ar-SA"/>
        </w:rPr>
        <w:t>价，无论增减，均不超过本合同总价的±10%；超出部分按±9.9%执行；超出9.9%部分的风险由投标人自行承担。</w:t>
      </w:r>
    </w:p>
    <w:p w14:paraId="79C2F822">
      <w:pPr>
        <w:numPr>
          <w:ilvl w:val="0"/>
          <w:numId w:val="0"/>
        </w:num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十</w:t>
      </w:r>
      <w:r>
        <w:rPr>
          <w:rFonts w:hint="eastAsia" w:ascii="仿宋" w:hAnsi="仿宋" w:eastAsia="仿宋" w:cs="仿宋"/>
          <w:sz w:val="28"/>
          <w:szCs w:val="28"/>
          <w:highlight w:val="none"/>
        </w:rPr>
        <w:t>、履约保证金：</w:t>
      </w:r>
    </w:p>
    <w:p w14:paraId="7694DF17">
      <w:pPr>
        <w:adjustRightInd w:val="0"/>
        <w:snapToGrid w:val="0"/>
        <w:spacing w:line="500" w:lineRule="exact"/>
        <w:ind w:firstLine="560" w:firstLineChars="200"/>
        <w:rPr>
          <w:rFonts w:hint="eastAsia" w:ascii="Times New Roman" w:hAnsi="Times New Roman" w:eastAsia="方正仿宋_GBK"/>
          <w:sz w:val="28"/>
          <w:szCs w:val="28"/>
        </w:rPr>
      </w:pPr>
      <w:r>
        <w:rPr>
          <w:rFonts w:hint="eastAsia" w:ascii="仿宋" w:hAnsi="仿宋" w:eastAsia="仿宋" w:cs="仿宋"/>
          <w:sz w:val="28"/>
          <w:szCs w:val="28"/>
          <w:highlight w:val="none"/>
        </w:rPr>
        <w:t>1．本项目</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后的履约保证金为</w:t>
      </w:r>
      <w:r>
        <w:rPr>
          <w:rFonts w:hint="eastAsia" w:ascii="仿宋" w:hAnsi="仿宋" w:eastAsia="仿宋" w:cs="仿宋"/>
          <w:sz w:val="28"/>
          <w:szCs w:val="28"/>
          <w:highlight w:val="none"/>
          <w:lang w:val="en-US" w:eastAsia="zh-CN"/>
        </w:rPr>
        <w:t>项目成交价</w:t>
      </w:r>
      <w:r>
        <w:rPr>
          <w:rFonts w:hint="eastAsia" w:ascii="仿宋" w:hAnsi="仿宋" w:eastAsia="仿宋" w:cs="仿宋"/>
          <w:sz w:val="28"/>
          <w:szCs w:val="28"/>
          <w:highlight w:val="none"/>
        </w:rPr>
        <w:t>的10%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成交资格。</w:t>
      </w:r>
    </w:p>
    <w:p w14:paraId="4095D13B">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2．成交供应商全部履约合同义务，经采购单位验收合格无质量、进度等问题的，采购人在验收合格后一次性退还履约保证金，采购人若逾期退还履约保证金的，按照逾期部分的</w:t>
      </w:r>
      <w:r>
        <w:rPr>
          <w:rFonts w:hint="eastAsia" w:ascii="仿宋" w:hAnsi="仿宋" w:eastAsia="仿宋" w:cs="仿宋"/>
          <w:sz w:val="28"/>
          <w:szCs w:val="28"/>
          <w:highlight w:val="none"/>
          <w:u w:val="single"/>
        </w:rPr>
        <w:t>每日0.05%</w:t>
      </w:r>
      <w:r>
        <w:rPr>
          <w:rFonts w:hint="eastAsia" w:ascii="仿宋" w:hAnsi="仿宋" w:eastAsia="仿宋" w:cs="仿宋"/>
          <w:sz w:val="28"/>
          <w:szCs w:val="28"/>
          <w:highlight w:val="none"/>
        </w:rPr>
        <w:t>支付违约金。</w:t>
      </w:r>
    </w:p>
    <w:p w14:paraId="4E88A65D">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3．发生以下情况的，履约保证金不予退还或部分退还：</w:t>
      </w:r>
    </w:p>
    <w:p w14:paraId="6B632722">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a.签订合同后，成交供应商不履行合同义务的，采购单位有权全额扣除履约保证金，全额不予退还，同时采购单位亦有权终止合同，成交供应商还须承担相应的法律赔偿责任。</w:t>
      </w:r>
    </w:p>
    <w:p w14:paraId="55E12C06">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b.成交供应商在履约过程中发生违约行为，给采购单位造成损失的，采购单位有权在成交供应商缴纳的履约保证金中予以扣款，以弥补采购单位经济损失，不足的部分成交供应商另外补齐。</w:t>
      </w:r>
    </w:p>
    <w:p w14:paraId="04353864">
      <w:pPr>
        <w:tabs>
          <w:tab w:val="left" w:pos="2520"/>
        </w:tabs>
        <w:adjustRightInd w:val="0"/>
        <w:snapToGrid w:val="0"/>
        <w:spacing w:line="500" w:lineRule="exact"/>
        <w:ind w:firstLine="562" w:firstLineChars="200"/>
        <w:rPr>
          <w:rFonts w:hint="eastAsia" w:ascii="仿宋" w:hAnsi="仿宋" w:eastAsia="仿宋" w:cs="仿宋"/>
          <w:sz w:val="28"/>
          <w:szCs w:val="28"/>
          <w:highlight w:val="none"/>
        </w:rPr>
      </w:pPr>
      <w:r>
        <w:rPr>
          <w:rFonts w:hint="eastAsia" w:ascii="仿宋" w:hAnsi="仿宋" w:eastAsia="仿宋" w:cs="仿宋"/>
          <w:b/>
          <w:sz w:val="28"/>
          <w:szCs w:val="28"/>
          <w:highlight w:val="none"/>
        </w:rPr>
        <w:t>十</w:t>
      </w:r>
      <w:r>
        <w:rPr>
          <w:rFonts w:hint="eastAsia" w:ascii="仿宋" w:hAnsi="仿宋" w:eastAsia="仿宋" w:cs="仿宋"/>
          <w:b/>
          <w:sz w:val="28"/>
          <w:szCs w:val="28"/>
          <w:highlight w:val="none"/>
          <w:lang w:val="en-US" w:eastAsia="zh-CN"/>
        </w:rPr>
        <w:t>一</w:t>
      </w:r>
      <w:r>
        <w:rPr>
          <w:rFonts w:hint="eastAsia" w:ascii="仿宋" w:hAnsi="仿宋" w:eastAsia="仿宋" w:cs="仿宋"/>
          <w:b/>
          <w:sz w:val="28"/>
          <w:szCs w:val="28"/>
          <w:highlight w:val="none"/>
        </w:rPr>
        <w:t>、本项目不接受进口产品响应</w:t>
      </w:r>
    </w:p>
    <w:p w14:paraId="08C1009D">
      <w:pPr>
        <w:ind w:firstLine="562" w:firstLineChars="200"/>
        <w:rPr>
          <w:rFonts w:hint="eastAsia" w:ascii="仿宋" w:hAnsi="仿宋" w:eastAsia="仿宋" w:cs="仿宋"/>
          <w:highlight w:val="none"/>
        </w:rPr>
      </w:pPr>
      <w:r>
        <w:rPr>
          <w:rFonts w:hint="eastAsia" w:ascii="仿宋" w:hAnsi="仿宋" w:eastAsia="仿宋" w:cs="仿宋"/>
          <w:b/>
          <w:sz w:val="28"/>
          <w:szCs w:val="28"/>
          <w:highlight w:val="none"/>
        </w:rPr>
        <w:t>十</w:t>
      </w:r>
      <w:r>
        <w:rPr>
          <w:rFonts w:hint="eastAsia" w:ascii="仿宋" w:hAnsi="仿宋" w:eastAsia="仿宋" w:cs="仿宋"/>
          <w:b/>
          <w:sz w:val="28"/>
          <w:szCs w:val="28"/>
          <w:highlight w:val="none"/>
          <w:lang w:val="en-US" w:eastAsia="zh-CN"/>
        </w:rPr>
        <w:t>二</w:t>
      </w:r>
      <w:r>
        <w:rPr>
          <w:rFonts w:hint="eastAsia" w:ascii="仿宋" w:hAnsi="仿宋" w:eastAsia="仿宋" w:cs="仿宋"/>
          <w:b/>
          <w:sz w:val="28"/>
          <w:szCs w:val="28"/>
          <w:highlight w:val="none"/>
        </w:rPr>
        <w:t>、合同条款</w:t>
      </w:r>
    </w:p>
    <w:bookmarkEnd w:id="43"/>
    <w:p w14:paraId="3F66C535">
      <w:pPr>
        <w:spacing w:line="360" w:lineRule="auto"/>
        <w:ind w:firstLine="482" w:firstLineChars="200"/>
        <w:rPr>
          <w:rFonts w:hint="eastAsia" w:ascii="仿宋" w:hAnsi="仿宋" w:eastAsia="仿宋" w:cs="仿宋"/>
          <w:b/>
          <w:color w:val="000000"/>
          <w:sz w:val="24"/>
          <w:szCs w:val="24"/>
          <w:highlight w:val="none"/>
          <w:u w:val="single"/>
          <w:lang w:eastAsia="zh-CN"/>
        </w:rPr>
      </w:pPr>
      <w:r>
        <w:rPr>
          <w:rFonts w:hint="eastAsia" w:ascii="仿宋" w:hAnsi="仿宋" w:eastAsia="仿宋" w:cs="仿宋"/>
          <w:b/>
          <w:color w:val="000000"/>
          <w:sz w:val="24"/>
          <w:szCs w:val="24"/>
          <w:highlight w:val="none"/>
          <w:lang w:bidi="ar"/>
        </w:rPr>
        <w:t>甲</w:t>
      </w:r>
      <w:r>
        <w:rPr>
          <w:rFonts w:hint="eastAsia" w:ascii="仿宋" w:hAnsi="仿宋" w:eastAsia="仿宋" w:cs="仿宋"/>
          <w:b/>
          <w:color w:val="000000"/>
          <w:sz w:val="24"/>
          <w:szCs w:val="24"/>
          <w:highlight w:val="none"/>
          <w:lang w:val="en-US" w:eastAsia="zh-CN" w:bidi="ar"/>
        </w:rPr>
        <w:t xml:space="preserve">     </w:t>
      </w:r>
      <w:r>
        <w:rPr>
          <w:rFonts w:hint="eastAsia" w:ascii="仿宋" w:hAnsi="仿宋" w:eastAsia="仿宋" w:cs="仿宋"/>
          <w:b/>
          <w:color w:val="000000"/>
          <w:sz w:val="24"/>
          <w:szCs w:val="24"/>
          <w:highlight w:val="none"/>
          <w:lang w:bidi="ar"/>
        </w:rPr>
        <w:t>方：</w:t>
      </w:r>
      <w:r>
        <w:rPr>
          <w:rFonts w:hint="eastAsia" w:ascii="仿宋" w:hAnsi="仿宋" w:eastAsia="仿宋" w:cs="仿宋"/>
          <w:b/>
          <w:color w:val="000000"/>
          <w:sz w:val="24"/>
          <w:highlight w:val="none"/>
          <w:u w:val="single"/>
          <w:lang w:bidi="ar"/>
        </w:rPr>
        <w:t>启东市吕四港镇人民政府</w:t>
      </w:r>
    </w:p>
    <w:p w14:paraId="6261C310">
      <w:pPr>
        <w:spacing w:line="360" w:lineRule="auto"/>
        <w:ind w:firstLine="482" w:firstLineChars="200"/>
        <w:rPr>
          <w:rFonts w:hint="eastAsia" w:ascii="仿宋" w:hAnsi="仿宋" w:eastAsia="仿宋" w:cs="仿宋"/>
          <w:color w:val="000000"/>
          <w:sz w:val="24"/>
          <w:szCs w:val="24"/>
          <w:highlight w:val="none"/>
          <w:lang w:bidi="ar"/>
        </w:rPr>
      </w:pPr>
      <w:r>
        <w:rPr>
          <w:rFonts w:hint="eastAsia" w:ascii="仿宋" w:hAnsi="仿宋" w:eastAsia="仿宋" w:cs="仿宋"/>
          <w:b/>
          <w:color w:val="000000"/>
          <w:sz w:val="24"/>
          <w:szCs w:val="24"/>
          <w:highlight w:val="none"/>
          <w:lang w:bidi="ar"/>
        </w:rPr>
        <w:t>乙</w:t>
      </w:r>
      <w:r>
        <w:rPr>
          <w:rFonts w:hint="eastAsia" w:ascii="仿宋" w:hAnsi="仿宋" w:eastAsia="仿宋" w:cs="仿宋"/>
          <w:b/>
          <w:color w:val="000000"/>
          <w:sz w:val="24"/>
          <w:szCs w:val="24"/>
          <w:highlight w:val="none"/>
          <w:lang w:val="en-US" w:eastAsia="zh-CN" w:bidi="ar"/>
        </w:rPr>
        <w:t xml:space="preserve">     </w:t>
      </w:r>
      <w:r>
        <w:rPr>
          <w:rFonts w:hint="eastAsia" w:ascii="仿宋" w:hAnsi="仿宋" w:eastAsia="仿宋" w:cs="仿宋"/>
          <w:b/>
          <w:color w:val="000000"/>
          <w:sz w:val="24"/>
          <w:szCs w:val="24"/>
          <w:highlight w:val="none"/>
          <w:lang w:bidi="ar"/>
        </w:rPr>
        <w:t>方：</w:t>
      </w:r>
      <w:r>
        <w:rPr>
          <w:rFonts w:hint="eastAsia" w:ascii="仿宋" w:hAnsi="仿宋" w:eastAsia="仿宋" w:cs="仿宋"/>
          <w:b/>
          <w:color w:val="000000"/>
          <w:sz w:val="24"/>
          <w:highlight w:val="none"/>
          <w:u w:val="single"/>
          <w:lang w:val="en-US" w:eastAsia="zh-CN" w:bidi="ar"/>
        </w:rPr>
        <w:t xml:space="preserve">                     </w:t>
      </w:r>
      <w:r>
        <w:rPr>
          <w:rFonts w:hint="eastAsia" w:ascii="仿宋" w:hAnsi="仿宋" w:eastAsia="仿宋" w:cs="仿宋"/>
          <w:b/>
          <w:color w:val="000000"/>
          <w:sz w:val="24"/>
          <w:szCs w:val="24"/>
          <w:highlight w:val="none"/>
          <w:u w:val="single"/>
          <w:lang w:val="en-US" w:eastAsia="zh-CN" w:bidi="ar"/>
        </w:rPr>
        <w:t xml:space="preserve"> </w:t>
      </w:r>
    </w:p>
    <w:p w14:paraId="1C272C5A">
      <w:pPr>
        <w:keepNext w:val="0"/>
        <w:keepLines w:val="0"/>
        <w:pageBreakBefore w:val="0"/>
        <w:widowControl w:val="0"/>
        <w:kinsoku/>
        <w:wordWrap/>
        <w:overflowPunct/>
        <w:topLinePunct w:val="0"/>
        <w:autoSpaceDE/>
        <w:autoSpaceDN/>
        <w:bidi w:val="0"/>
        <w:adjustRightInd w:val="0"/>
        <w:snapToGrid w:val="0"/>
        <w:spacing w:line="600" w:lineRule="exact"/>
        <w:ind w:firstLine="700" w:firstLineChars="250"/>
        <w:textAlignment w:val="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bidi="ar"/>
        </w:rPr>
        <w:t>根据《中华人民共和国政府采购法》规定，</w:t>
      </w:r>
      <w:r>
        <w:rPr>
          <w:rFonts w:hint="eastAsia" w:ascii="仿宋" w:hAnsi="仿宋" w:eastAsia="仿宋" w:cs="仿宋"/>
          <w:b/>
          <w:color w:val="auto"/>
          <w:sz w:val="28"/>
          <w:szCs w:val="28"/>
          <w:highlight w:val="none"/>
          <w:u w:val="single"/>
          <w:lang w:eastAsia="zh-CN" w:bidi="ar"/>
        </w:rPr>
        <w:t>启东市吕四港镇人民政府吕四港镇路灯电缆工程项目（四次）</w:t>
      </w:r>
      <w:r>
        <w:rPr>
          <w:rFonts w:hint="eastAsia" w:ascii="仿宋" w:hAnsi="仿宋" w:eastAsia="仿宋" w:cs="仿宋"/>
          <w:color w:val="auto"/>
          <w:sz w:val="28"/>
          <w:szCs w:val="28"/>
          <w:highlight w:val="none"/>
          <w:lang w:bidi="ar"/>
        </w:rPr>
        <w:t>本着公开、公平、公正和择优的原则，经评标委员会评审并推荐乙方为成交供应商。甲、乙双方根据《</w:t>
      </w:r>
      <w:bookmarkStart w:id="44" w:name="_Hlk134798833"/>
      <w:r>
        <w:rPr>
          <w:rFonts w:hint="eastAsia" w:ascii="仿宋" w:hAnsi="仿宋" w:eastAsia="仿宋" w:cs="仿宋"/>
          <w:color w:val="auto"/>
          <w:sz w:val="28"/>
          <w:szCs w:val="28"/>
          <w:highlight w:val="none"/>
          <w:lang w:bidi="ar"/>
        </w:rPr>
        <w:t>中华人民共和国民法典</w:t>
      </w:r>
      <w:bookmarkEnd w:id="44"/>
      <w:r>
        <w:rPr>
          <w:rFonts w:hint="eastAsia" w:ascii="仿宋" w:hAnsi="仿宋" w:eastAsia="仿宋" w:cs="仿宋"/>
          <w:color w:val="auto"/>
          <w:sz w:val="28"/>
          <w:szCs w:val="28"/>
          <w:highlight w:val="none"/>
          <w:lang w:bidi="ar"/>
        </w:rPr>
        <w:t>》、《中华人民共和国招标投标法》和其他法律、法规的规定，并按照公正、平等、自愿、诚实信用的原则，同意按照以下条款和条件，签署本合同。</w:t>
      </w:r>
    </w:p>
    <w:p w14:paraId="3E7420F9">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一、项目基本情况</w:t>
      </w:r>
    </w:p>
    <w:p w14:paraId="503986A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bCs/>
          <w:color w:val="auto"/>
          <w:sz w:val="28"/>
          <w:szCs w:val="28"/>
          <w:highlight w:val="none"/>
          <w:u w:val="single"/>
          <w:lang w:eastAsia="zh-CN" w:bidi="ar"/>
        </w:rPr>
      </w:pPr>
      <w:r>
        <w:rPr>
          <w:rFonts w:hint="eastAsia" w:ascii="仿宋" w:hAnsi="仿宋" w:eastAsia="仿宋" w:cs="仿宋"/>
          <w:color w:val="auto"/>
          <w:sz w:val="28"/>
          <w:szCs w:val="28"/>
          <w:highlight w:val="none"/>
          <w:lang w:bidi="ar"/>
        </w:rPr>
        <w:t>（一）</w:t>
      </w:r>
      <w:bookmarkStart w:id="45" w:name="auto_fouce_1"/>
      <w:r>
        <w:rPr>
          <w:rFonts w:hint="eastAsia" w:ascii="仿宋" w:hAnsi="仿宋" w:eastAsia="仿宋" w:cs="仿宋"/>
          <w:color w:val="auto"/>
          <w:sz w:val="28"/>
          <w:szCs w:val="28"/>
          <w:highlight w:val="none"/>
          <w:lang w:bidi="ar"/>
        </w:rPr>
        <w:t>项目名称：</w:t>
      </w:r>
      <w:r>
        <w:rPr>
          <w:rFonts w:hint="eastAsia" w:ascii="仿宋" w:hAnsi="仿宋" w:eastAsia="仿宋" w:cs="仿宋"/>
          <w:b/>
          <w:color w:val="auto"/>
          <w:sz w:val="28"/>
          <w:szCs w:val="28"/>
          <w:highlight w:val="none"/>
          <w:u w:val="single"/>
          <w:lang w:eastAsia="zh-CN" w:bidi="ar"/>
        </w:rPr>
        <w:t>启东市吕四港镇人民政府吕四港镇路灯电缆工程项目</w:t>
      </w:r>
      <w:bookmarkEnd w:id="45"/>
      <w:r>
        <w:rPr>
          <w:rFonts w:hint="eastAsia" w:ascii="仿宋" w:hAnsi="仿宋" w:eastAsia="仿宋" w:cs="仿宋"/>
          <w:b/>
          <w:color w:val="auto"/>
          <w:sz w:val="28"/>
          <w:szCs w:val="28"/>
          <w:highlight w:val="none"/>
          <w:u w:val="single"/>
          <w:lang w:eastAsia="zh-CN" w:bidi="ar"/>
        </w:rPr>
        <w:t>（四次）</w:t>
      </w:r>
    </w:p>
    <w:p w14:paraId="1378E51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bCs/>
          <w:color w:val="auto"/>
          <w:sz w:val="28"/>
          <w:szCs w:val="28"/>
          <w:highlight w:val="none"/>
          <w:u w:val="single"/>
          <w:lang w:bidi="ar"/>
        </w:rPr>
      </w:pPr>
      <w:r>
        <w:rPr>
          <w:rFonts w:hint="eastAsia" w:ascii="仿宋" w:hAnsi="仿宋" w:eastAsia="仿宋" w:cs="仿宋"/>
          <w:color w:val="auto"/>
          <w:sz w:val="28"/>
          <w:szCs w:val="28"/>
          <w:highlight w:val="none"/>
          <w:lang w:bidi="ar"/>
        </w:rPr>
        <w:t>（二）项目地点：</w:t>
      </w:r>
      <w:r>
        <w:rPr>
          <w:rFonts w:hint="eastAsia" w:ascii="仿宋" w:hAnsi="仿宋" w:eastAsia="仿宋" w:cs="仿宋"/>
          <w:b/>
          <w:color w:val="auto"/>
          <w:sz w:val="28"/>
          <w:szCs w:val="28"/>
          <w:highlight w:val="none"/>
          <w:u w:val="single"/>
          <w:lang w:bidi="ar"/>
        </w:rPr>
        <w:t>启东市吕四港镇</w:t>
      </w:r>
    </w:p>
    <w:p w14:paraId="54AC3E3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bCs/>
          <w:color w:val="auto"/>
          <w:sz w:val="28"/>
          <w:szCs w:val="28"/>
          <w:highlight w:val="none"/>
          <w:u w:val="single"/>
          <w:lang w:val="en-US" w:eastAsia="zh-CN" w:bidi="ar"/>
        </w:rPr>
      </w:pPr>
      <w:r>
        <w:rPr>
          <w:rFonts w:hint="eastAsia" w:ascii="仿宋" w:hAnsi="仿宋" w:eastAsia="仿宋" w:cs="仿宋"/>
          <w:b w:val="0"/>
          <w:bCs w:val="0"/>
          <w:color w:val="auto"/>
          <w:sz w:val="28"/>
          <w:szCs w:val="28"/>
          <w:highlight w:val="none"/>
          <w:u w:val="none"/>
          <w:lang w:eastAsia="zh-CN" w:bidi="ar"/>
        </w:rPr>
        <w:t>（三）合同价格：</w:t>
      </w:r>
      <w:r>
        <w:rPr>
          <w:rFonts w:hint="eastAsia" w:ascii="仿宋" w:hAnsi="仿宋" w:eastAsia="仿宋" w:cs="仿宋"/>
          <w:b/>
          <w:bCs/>
          <w:color w:val="auto"/>
          <w:sz w:val="28"/>
          <w:szCs w:val="28"/>
          <w:highlight w:val="none"/>
          <w:u w:val="single"/>
          <w:lang w:val="en-US" w:eastAsia="zh-CN" w:bidi="ar"/>
        </w:rPr>
        <w:t xml:space="preserve">                   </w:t>
      </w:r>
      <w:r>
        <w:rPr>
          <w:rFonts w:hint="eastAsia" w:ascii="仿宋" w:hAnsi="仿宋" w:eastAsia="仿宋" w:cs="仿宋"/>
          <w:b/>
          <w:bCs/>
          <w:color w:val="auto"/>
          <w:sz w:val="28"/>
          <w:szCs w:val="28"/>
          <w:highlight w:val="none"/>
          <w:u w:val="single"/>
          <w:lang w:eastAsia="zh-CN" w:bidi="ar"/>
        </w:rPr>
        <w:t>（小写：</w:t>
      </w:r>
      <w:r>
        <w:rPr>
          <w:rFonts w:hint="eastAsia" w:ascii="仿宋" w:hAnsi="仿宋" w:eastAsia="仿宋" w:cs="仿宋"/>
          <w:b/>
          <w:bCs/>
          <w:color w:val="auto"/>
          <w:sz w:val="28"/>
          <w:szCs w:val="28"/>
          <w:highlight w:val="none"/>
          <w:u w:val="single"/>
          <w:lang w:val="en-US" w:eastAsia="zh-CN" w:bidi="ar"/>
        </w:rPr>
        <w:t xml:space="preserve">             元</w:t>
      </w:r>
      <w:r>
        <w:rPr>
          <w:rFonts w:hint="eastAsia" w:ascii="仿宋" w:hAnsi="仿宋" w:eastAsia="仿宋" w:cs="仿宋"/>
          <w:b/>
          <w:bCs/>
          <w:color w:val="auto"/>
          <w:sz w:val="28"/>
          <w:szCs w:val="28"/>
          <w:highlight w:val="none"/>
          <w:u w:val="single"/>
          <w:lang w:eastAsia="zh-CN" w:bidi="ar"/>
        </w:rPr>
        <w:t>）</w:t>
      </w:r>
    </w:p>
    <w:p w14:paraId="5C5D1DD2">
      <w:pPr>
        <w:pStyle w:val="31"/>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b/>
          <w:color w:val="auto"/>
          <w:kern w:val="2"/>
          <w:sz w:val="28"/>
          <w:szCs w:val="28"/>
          <w:highlight w:val="none"/>
          <w:lang w:val="en-US" w:eastAsia="zh-CN" w:bidi="ar"/>
        </w:rPr>
      </w:pPr>
      <w:r>
        <w:rPr>
          <w:rFonts w:hint="eastAsia" w:ascii="仿宋" w:hAnsi="仿宋" w:eastAsia="仿宋" w:cs="仿宋"/>
          <w:b/>
          <w:color w:val="auto"/>
          <w:kern w:val="2"/>
          <w:sz w:val="28"/>
          <w:szCs w:val="28"/>
          <w:highlight w:val="none"/>
          <w:lang w:val="en-US" w:eastAsia="zh-CN" w:bidi="ar"/>
        </w:rPr>
        <w:t>二、本项目货物采购明细：见招标文件的第三部分项目需求。</w:t>
      </w:r>
      <w:bookmarkStart w:id="46" w:name="auto_fouce_2"/>
    </w:p>
    <w:p w14:paraId="00C49529">
      <w:pPr>
        <w:pStyle w:val="31"/>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b/>
          <w:color w:val="auto"/>
          <w:kern w:val="2"/>
          <w:sz w:val="28"/>
          <w:szCs w:val="28"/>
          <w:highlight w:val="none"/>
          <w:lang w:val="en-US" w:eastAsia="zh-CN" w:bidi="ar"/>
        </w:rPr>
      </w:pPr>
      <w:r>
        <w:rPr>
          <w:rFonts w:hint="eastAsia" w:ascii="仿宋" w:hAnsi="仿宋" w:eastAsia="仿宋" w:cs="仿宋"/>
          <w:b/>
          <w:color w:val="auto"/>
          <w:kern w:val="2"/>
          <w:sz w:val="28"/>
          <w:szCs w:val="28"/>
          <w:highlight w:val="none"/>
          <w:lang w:val="en-US" w:eastAsia="zh-CN" w:bidi="ar"/>
        </w:rPr>
        <w:t>招标文件第三部分项目需求作为本合同附件，与本合同具有同等法律效力。附件内容与本合同条款冲突时，以要求更严格的内容为准。</w:t>
      </w:r>
      <w:bookmarkEnd w:id="46"/>
    </w:p>
    <w:p w14:paraId="79241F9A">
      <w:pPr>
        <w:pStyle w:val="31"/>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bidi="ar"/>
        </w:rPr>
        <w:t>三、</w:t>
      </w:r>
      <w:bookmarkStart w:id="47" w:name="auto_fouce_3"/>
      <w:r>
        <w:rPr>
          <w:rFonts w:hint="eastAsia" w:ascii="仿宋" w:hAnsi="仿宋" w:eastAsia="仿宋" w:cs="仿宋"/>
          <w:b/>
          <w:bCs/>
          <w:color w:val="auto"/>
          <w:sz w:val="28"/>
          <w:szCs w:val="28"/>
          <w:highlight w:val="none"/>
          <w:lang w:val="en-US" w:eastAsia="zh-CN" w:bidi="ar"/>
        </w:rPr>
        <w:t>供货与安装周期：</w:t>
      </w:r>
      <w:r>
        <w:rPr>
          <w:rFonts w:hint="eastAsia" w:ascii="仿宋" w:hAnsi="仿宋" w:eastAsia="仿宋" w:cs="仿宋"/>
          <w:color w:val="auto"/>
          <w:sz w:val="28"/>
          <w:szCs w:val="28"/>
          <w:highlight w:val="none"/>
          <w:lang w:val="en-US" w:eastAsia="zh-CN"/>
        </w:rPr>
        <w:t>甲方应在合同签订后30日内发出供货通知，乙方须在书面通知送达后40日历天内完成供货且安装调试完毕（因不可抗力或甲方书面同意延期的情形除外），否则按违约处理。</w:t>
      </w:r>
      <w:bookmarkEnd w:id="47"/>
    </w:p>
    <w:p w14:paraId="16DAF31C">
      <w:pPr>
        <w:pStyle w:val="31"/>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bCs/>
          <w:color w:val="auto"/>
          <w:sz w:val="28"/>
          <w:szCs w:val="28"/>
          <w:highlight w:val="none"/>
          <w:lang w:val="en-US" w:eastAsia="zh-CN"/>
        </w:rPr>
        <w:t>四、</w:t>
      </w:r>
      <w:bookmarkStart w:id="48" w:name="auto_fouce_5"/>
      <w:r>
        <w:rPr>
          <w:rFonts w:hint="eastAsia" w:ascii="仿宋" w:hAnsi="仿宋" w:eastAsia="仿宋" w:cs="仿宋"/>
          <w:b/>
          <w:bCs/>
          <w:color w:val="auto"/>
          <w:sz w:val="28"/>
          <w:szCs w:val="28"/>
          <w:highlight w:val="none"/>
          <w:lang w:val="en-US" w:eastAsia="zh-CN" w:bidi="ar"/>
        </w:rPr>
        <w:t>交货、安装地点：乙方</w:t>
      </w:r>
      <w:r>
        <w:rPr>
          <w:rFonts w:hint="eastAsia" w:ascii="仿宋" w:hAnsi="仿宋" w:eastAsia="仿宋" w:cs="仿宋"/>
          <w:b w:val="0"/>
          <w:bCs w:val="0"/>
          <w:color w:val="auto"/>
          <w:sz w:val="28"/>
          <w:szCs w:val="28"/>
          <w:highlight w:val="none"/>
          <w:lang w:val="en-US" w:eastAsia="zh-CN" w:bidi="ar"/>
        </w:rPr>
        <w:t>应按照甲方的要求将货物运至采购单位指定地点，确保正常使用。</w:t>
      </w:r>
      <w:bookmarkEnd w:id="48"/>
      <w:r>
        <w:rPr>
          <w:rFonts w:hint="eastAsia" w:ascii="仿宋" w:hAnsi="仿宋" w:eastAsia="仿宋" w:cs="仿宋"/>
          <w:b w:val="0"/>
          <w:bCs w:val="0"/>
          <w:color w:val="auto"/>
          <w:sz w:val="28"/>
          <w:szCs w:val="28"/>
          <w:highlight w:val="none"/>
          <w:lang w:val="en-US" w:eastAsia="zh-CN" w:bidi="ar"/>
        </w:rPr>
        <w:t xml:space="preserve"> </w:t>
      </w:r>
      <w:bookmarkStart w:id="49" w:name="auto_fouce_4"/>
    </w:p>
    <w:p w14:paraId="0CBE22B9">
      <w:pPr>
        <w:pStyle w:val="31"/>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val="0"/>
          <w:bCs w:val="0"/>
          <w:color w:val="auto"/>
          <w:sz w:val="28"/>
          <w:szCs w:val="28"/>
          <w:highlight w:val="none"/>
          <w:lang w:val="en-US" w:eastAsia="zh-CN" w:bidi="ar"/>
        </w:rPr>
        <w:t>乙方应在货物运输前48小时向甲方提交运输方案及应急预案，经甲方书面认可后方可实施运输。</w:t>
      </w:r>
      <w:bookmarkEnd w:id="49"/>
    </w:p>
    <w:p w14:paraId="400EE97D">
      <w:pPr>
        <w:pStyle w:val="31"/>
        <w:keepNext w:val="0"/>
        <w:keepLines w:val="0"/>
        <w:pageBreakBefore w:val="0"/>
        <w:widowControl w:val="0"/>
        <w:kinsoku/>
        <w:wordWrap/>
        <w:overflowPunct/>
        <w:topLinePunct w:val="0"/>
        <w:autoSpaceDE/>
        <w:autoSpaceDN/>
        <w:bidi w:val="0"/>
        <w:spacing w:line="600" w:lineRule="exact"/>
        <w:ind w:firstLine="0" w:firstLineChars="0"/>
        <w:textAlignment w:val="auto"/>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bCs/>
          <w:color w:val="auto"/>
          <w:sz w:val="28"/>
          <w:szCs w:val="28"/>
          <w:highlight w:val="none"/>
          <w:lang w:val="en-US" w:eastAsia="zh-CN" w:bidi="ar"/>
        </w:rPr>
        <w:t>五、</w:t>
      </w:r>
      <w:bookmarkStart w:id="50" w:name="auto_fouce_6"/>
      <w:r>
        <w:rPr>
          <w:rFonts w:hint="eastAsia" w:ascii="仿宋" w:hAnsi="仿宋" w:eastAsia="仿宋" w:cs="仿宋"/>
          <w:b/>
          <w:bCs/>
          <w:color w:val="auto"/>
          <w:sz w:val="28"/>
          <w:szCs w:val="28"/>
          <w:highlight w:val="none"/>
          <w:lang w:val="en-US" w:eastAsia="zh-CN" w:bidi="ar"/>
        </w:rPr>
        <w:t>履约保证金：</w:t>
      </w:r>
      <w:r>
        <w:rPr>
          <w:rFonts w:hint="eastAsia" w:ascii="仿宋" w:hAnsi="仿宋" w:eastAsia="仿宋" w:cs="仿宋"/>
          <w:b w:val="0"/>
          <w:bCs w:val="0"/>
          <w:color w:val="auto"/>
          <w:sz w:val="28"/>
          <w:szCs w:val="28"/>
          <w:highlight w:val="none"/>
          <w:lang w:val="en-US" w:eastAsia="zh-CN" w:bidi="ar"/>
        </w:rPr>
        <w:t>合同总价的10%。</w:t>
      </w:r>
      <w:r>
        <w:rPr>
          <w:rFonts w:hint="eastAsia" w:ascii="仿宋" w:hAnsi="仿宋" w:eastAsia="仿宋" w:cs="仿宋"/>
          <w:b w:val="0"/>
          <w:bCs w:val="0"/>
          <w:color w:val="auto"/>
          <w:sz w:val="28"/>
          <w:szCs w:val="28"/>
          <w:highlight w:val="none"/>
          <w:u w:val="single"/>
          <w:lang w:val="en-US" w:eastAsia="zh-CN" w:bidi="ar"/>
        </w:rPr>
        <w:t>（      （小写：      元））</w:t>
      </w:r>
      <w:r>
        <w:rPr>
          <w:rFonts w:hint="eastAsia" w:ascii="仿宋" w:hAnsi="仿宋" w:eastAsia="仿宋" w:cs="仿宋"/>
          <w:b w:val="0"/>
          <w:bCs w:val="0"/>
          <w:color w:val="auto"/>
          <w:sz w:val="28"/>
          <w:szCs w:val="28"/>
          <w:highlight w:val="none"/>
          <w:lang w:val="en-US" w:eastAsia="zh-CN" w:bidi="ar"/>
        </w:rPr>
        <w:t>签订合同前交至招标人指定账户。形式：数字人民币或银行转账或银行汇票或银行保函或保险保函；（以现金形式提交履约保证金的，同时退还保证金本金和银行同期存款利息）。</w:t>
      </w:r>
    </w:p>
    <w:p w14:paraId="26500BE7">
      <w:pPr>
        <w:pStyle w:val="31"/>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val="0"/>
          <w:bCs w:val="0"/>
          <w:color w:val="auto"/>
          <w:sz w:val="28"/>
          <w:szCs w:val="28"/>
          <w:highlight w:val="none"/>
          <w:lang w:val="en-US" w:eastAsia="zh-CN" w:bidi="ar"/>
        </w:rPr>
        <w:t>1. 履约保函仅作为实际损失的担保工具，乙方不得以履约保函替代违约金支付。</w:t>
      </w:r>
    </w:p>
    <w:p w14:paraId="11E6037F">
      <w:pPr>
        <w:pStyle w:val="31"/>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val="0"/>
          <w:bCs w:val="0"/>
          <w:color w:val="auto"/>
          <w:sz w:val="28"/>
          <w:szCs w:val="28"/>
          <w:highlight w:val="none"/>
          <w:lang w:val="en-US" w:eastAsia="zh-CN" w:bidi="ar"/>
        </w:rPr>
        <w:t>2. 如工程结束前履约保函到期，乙方须提前不少于30日完成保函续期或重新提交等额保函。若乙方未按时续期或重新提交保函，甲方有权暂停付款、暂停验收或采取其他必要措施以保障自身权益，直至乙方履行续期义务。</w:t>
      </w:r>
    </w:p>
    <w:p w14:paraId="4A2F6B98">
      <w:pPr>
        <w:adjustRightInd w:val="0"/>
        <w:snapToGrid w:val="0"/>
        <w:spacing w:line="500" w:lineRule="exact"/>
        <w:ind w:firstLine="560" w:firstLineChars="200"/>
        <w:rPr>
          <w:rFonts w:hint="eastAsia" w:ascii="仿宋" w:hAnsi="仿宋" w:eastAsia="仿宋" w:cs="仿宋"/>
          <w:b w:val="0"/>
          <w:bCs w:val="0"/>
          <w:color w:val="auto"/>
          <w:kern w:val="2"/>
          <w:sz w:val="28"/>
          <w:szCs w:val="28"/>
          <w:highlight w:val="none"/>
          <w:lang w:val="en-US" w:eastAsia="zh-CN" w:bidi="ar"/>
        </w:rPr>
      </w:pPr>
      <w:r>
        <w:rPr>
          <w:rFonts w:hint="eastAsia" w:ascii="仿宋" w:hAnsi="仿宋" w:eastAsia="仿宋" w:cs="仿宋"/>
          <w:b w:val="0"/>
          <w:bCs w:val="0"/>
          <w:color w:val="auto"/>
          <w:kern w:val="2"/>
          <w:sz w:val="28"/>
          <w:szCs w:val="28"/>
          <w:highlight w:val="none"/>
          <w:lang w:val="en-US" w:eastAsia="zh-CN" w:bidi="ar"/>
        </w:rPr>
        <w:t>3．成交供应商全部履约合同义务，经采购单位验收合格无质量、进度等问题的，采购人在验收合格后一次性退还履约保证金，采购人若逾期退还履约保证金的，按照逾期部分的</w:t>
      </w:r>
      <w:r>
        <w:rPr>
          <w:rFonts w:hint="eastAsia" w:ascii="仿宋" w:hAnsi="仿宋" w:eastAsia="仿宋" w:cs="仿宋"/>
          <w:b w:val="0"/>
          <w:bCs w:val="0"/>
          <w:color w:val="auto"/>
          <w:kern w:val="2"/>
          <w:sz w:val="28"/>
          <w:szCs w:val="28"/>
          <w:highlight w:val="none"/>
          <w:u w:val="single"/>
          <w:lang w:val="en-US" w:eastAsia="zh-CN" w:bidi="ar"/>
        </w:rPr>
        <w:t>每日0.05%</w:t>
      </w:r>
      <w:r>
        <w:rPr>
          <w:rFonts w:hint="eastAsia" w:ascii="仿宋" w:hAnsi="仿宋" w:eastAsia="仿宋" w:cs="仿宋"/>
          <w:b w:val="0"/>
          <w:bCs w:val="0"/>
          <w:color w:val="auto"/>
          <w:kern w:val="2"/>
          <w:sz w:val="28"/>
          <w:szCs w:val="28"/>
          <w:highlight w:val="none"/>
          <w:lang w:val="en-US" w:eastAsia="zh-CN" w:bidi="ar"/>
        </w:rPr>
        <w:t>支付违约金。</w:t>
      </w:r>
    </w:p>
    <w:p w14:paraId="7DAFE7A0">
      <w:pPr>
        <w:adjustRightInd w:val="0"/>
        <w:snapToGrid w:val="0"/>
        <w:spacing w:line="500" w:lineRule="exact"/>
        <w:ind w:firstLine="560" w:firstLineChars="200"/>
        <w:rPr>
          <w:rFonts w:hint="eastAsia" w:ascii="仿宋" w:hAnsi="仿宋" w:eastAsia="仿宋" w:cs="仿宋"/>
          <w:b w:val="0"/>
          <w:bCs w:val="0"/>
          <w:color w:val="auto"/>
          <w:kern w:val="2"/>
          <w:sz w:val="28"/>
          <w:szCs w:val="28"/>
          <w:highlight w:val="none"/>
          <w:lang w:val="en-US" w:eastAsia="zh-CN" w:bidi="ar"/>
        </w:rPr>
      </w:pPr>
      <w:r>
        <w:rPr>
          <w:rFonts w:hint="eastAsia" w:ascii="仿宋" w:hAnsi="仿宋" w:eastAsia="仿宋" w:cs="仿宋"/>
          <w:b w:val="0"/>
          <w:bCs w:val="0"/>
          <w:color w:val="auto"/>
          <w:kern w:val="2"/>
          <w:sz w:val="28"/>
          <w:szCs w:val="28"/>
          <w:highlight w:val="none"/>
          <w:lang w:val="en-US" w:eastAsia="zh-CN" w:bidi="ar"/>
        </w:rPr>
        <w:t>4．发生以下情况的，履约保证金不予退还或部分退还：</w:t>
      </w:r>
    </w:p>
    <w:p w14:paraId="40FDEC1E">
      <w:pPr>
        <w:adjustRightInd w:val="0"/>
        <w:snapToGrid w:val="0"/>
        <w:spacing w:line="500" w:lineRule="exact"/>
        <w:ind w:firstLine="560" w:firstLineChars="200"/>
        <w:rPr>
          <w:rFonts w:hint="eastAsia" w:ascii="仿宋" w:hAnsi="仿宋" w:eastAsia="仿宋" w:cs="仿宋"/>
          <w:b w:val="0"/>
          <w:bCs w:val="0"/>
          <w:color w:val="auto"/>
          <w:kern w:val="2"/>
          <w:sz w:val="28"/>
          <w:szCs w:val="28"/>
          <w:highlight w:val="none"/>
          <w:lang w:val="en-US" w:eastAsia="zh-CN" w:bidi="ar"/>
        </w:rPr>
      </w:pPr>
      <w:r>
        <w:rPr>
          <w:rFonts w:hint="eastAsia" w:ascii="仿宋" w:hAnsi="仿宋" w:eastAsia="仿宋" w:cs="仿宋"/>
          <w:b w:val="0"/>
          <w:bCs w:val="0"/>
          <w:color w:val="auto"/>
          <w:kern w:val="2"/>
          <w:sz w:val="28"/>
          <w:szCs w:val="28"/>
          <w:highlight w:val="none"/>
          <w:lang w:val="en-US" w:eastAsia="zh-CN" w:bidi="ar"/>
        </w:rPr>
        <w:t>a.签订合同后，成交供应商不履行合同义务的，采购单位有权全额扣除履约保证金，全额不予退还，同时采购单位亦有权终止合同，成交供应商还须承担相应的法律赔偿责任。</w:t>
      </w:r>
    </w:p>
    <w:p w14:paraId="56CCE49A">
      <w:pPr>
        <w:adjustRightInd w:val="0"/>
        <w:snapToGrid w:val="0"/>
        <w:spacing w:line="500" w:lineRule="exact"/>
        <w:ind w:firstLine="560" w:firstLineChars="200"/>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val="0"/>
          <w:bCs w:val="0"/>
          <w:color w:val="auto"/>
          <w:kern w:val="2"/>
          <w:sz w:val="28"/>
          <w:szCs w:val="28"/>
          <w:highlight w:val="none"/>
          <w:lang w:val="en-US" w:eastAsia="zh-CN" w:bidi="ar"/>
        </w:rPr>
        <w:t>b.成交供应商在履约过程中发生违约行为，给采购单位造成损失的，采购单位有权在成交供应商缴纳的履约保证金中予以扣款，以弥补采购单位经济损失，不足的部分成交供应商另外补齐。</w:t>
      </w:r>
    </w:p>
    <w:bookmarkEnd w:id="50"/>
    <w:p w14:paraId="71887EF9">
      <w:pPr>
        <w:pStyle w:val="31"/>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b/>
          <w:bCs/>
          <w:color w:val="auto"/>
          <w:sz w:val="28"/>
          <w:szCs w:val="28"/>
          <w:highlight w:val="none"/>
          <w:lang w:val="en-US" w:eastAsia="zh-CN" w:bidi="ar"/>
        </w:rPr>
      </w:pPr>
      <w:r>
        <w:rPr>
          <w:rFonts w:hint="eastAsia" w:ascii="仿宋" w:hAnsi="仿宋" w:eastAsia="仿宋" w:cs="仿宋"/>
          <w:b/>
          <w:bCs/>
          <w:color w:val="auto"/>
          <w:sz w:val="28"/>
          <w:szCs w:val="28"/>
          <w:highlight w:val="none"/>
          <w:lang w:val="en-US" w:eastAsia="zh-CN" w:bidi="ar"/>
        </w:rPr>
        <w:t>六、其他事项：</w:t>
      </w:r>
    </w:p>
    <w:p w14:paraId="06997680">
      <w:pPr>
        <w:keepNext w:val="0"/>
        <w:keepLines w:val="0"/>
        <w:pageBreakBefore w:val="0"/>
        <w:widowControl w:val="0"/>
        <w:kinsoku/>
        <w:wordWrap/>
        <w:overflowPunct/>
        <w:topLinePunct w:val="0"/>
        <w:autoSpaceDE/>
        <w:autoSpaceDN/>
        <w:bidi w:val="0"/>
        <w:adjustRightInd w:val="0"/>
        <w:snapToGrid w:val="0"/>
        <w:spacing w:line="600" w:lineRule="exact"/>
        <w:ind w:firstLine="700" w:firstLineChars="250"/>
        <w:textAlignment w:val="auto"/>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val="0"/>
          <w:bCs w:val="0"/>
          <w:color w:val="auto"/>
          <w:sz w:val="28"/>
          <w:szCs w:val="28"/>
          <w:highlight w:val="none"/>
          <w:lang w:val="en-US" w:eastAsia="zh-CN" w:bidi="ar"/>
        </w:rPr>
        <w:t>1.质量要求：产品必须是全新、未使用过的符合采购需求、符合国家相关标准、行业标准、地方标准或者其他标准、规范。</w:t>
      </w:r>
    </w:p>
    <w:p w14:paraId="348C4C33">
      <w:pPr>
        <w:keepNext w:val="0"/>
        <w:keepLines w:val="0"/>
        <w:pageBreakBefore w:val="0"/>
        <w:widowControl w:val="0"/>
        <w:kinsoku/>
        <w:wordWrap/>
        <w:overflowPunct/>
        <w:topLinePunct w:val="0"/>
        <w:autoSpaceDE/>
        <w:autoSpaceDN/>
        <w:bidi w:val="0"/>
        <w:adjustRightInd w:val="0"/>
        <w:snapToGrid w:val="0"/>
        <w:spacing w:line="600" w:lineRule="exact"/>
        <w:ind w:firstLine="700" w:firstLineChars="250"/>
        <w:textAlignment w:val="auto"/>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val="0"/>
          <w:bCs w:val="0"/>
          <w:color w:val="auto"/>
          <w:sz w:val="28"/>
          <w:szCs w:val="28"/>
          <w:highlight w:val="none"/>
          <w:lang w:val="en-US" w:eastAsia="zh-CN" w:bidi="ar"/>
        </w:rPr>
        <w:t>2.</w:t>
      </w:r>
      <w:bookmarkStart w:id="51" w:name="auto_fouce_7"/>
      <w:r>
        <w:rPr>
          <w:rFonts w:hint="eastAsia" w:ascii="仿宋" w:hAnsi="仿宋" w:eastAsia="仿宋" w:cs="仿宋"/>
          <w:b w:val="0"/>
          <w:bCs w:val="0"/>
          <w:color w:val="auto"/>
          <w:sz w:val="28"/>
          <w:szCs w:val="28"/>
          <w:highlight w:val="none"/>
          <w:lang w:val="en-US" w:eastAsia="zh-CN" w:bidi="ar"/>
        </w:rPr>
        <w:t>质保、售后服务要求：三年。自甲方签发最终验收合格证书之日起，开始进入质保期。项目要求提供的所有货物提供全免费上门质保（含部件及人工）及售后维保服务。乙方接到甲方维修通知后应在24小时内响应，72小时内解决故障，否则每次支付违约金5000元。</w:t>
      </w:r>
      <w:bookmarkEnd w:id="51"/>
    </w:p>
    <w:p w14:paraId="6F36FD22">
      <w:pPr>
        <w:keepNext w:val="0"/>
        <w:keepLines w:val="0"/>
        <w:pageBreakBefore w:val="0"/>
        <w:widowControl w:val="0"/>
        <w:kinsoku/>
        <w:wordWrap/>
        <w:overflowPunct/>
        <w:topLinePunct w:val="0"/>
        <w:autoSpaceDE/>
        <w:autoSpaceDN/>
        <w:bidi w:val="0"/>
        <w:adjustRightInd w:val="0"/>
        <w:snapToGrid w:val="0"/>
        <w:spacing w:line="600" w:lineRule="exact"/>
        <w:ind w:firstLine="700" w:firstLineChars="25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bidi="ar"/>
        </w:rPr>
        <w:t>3、</w:t>
      </w:r>
      <w:bookmarkStart w:id="52" w:name="auto_fouce_8"/>
      <w:r>
        <w:rPr>
          <w:rFonts w:hint="eastAsia" w:ascii="仿宋" w:hAnsi="仿宋" w:eastAsia="仿宋" w:cs="仿宋"/>
          <w:b w:val="0"/>
          <w:bCs w:val="0"/>
          <w:color w:val="auto"/>
          <w:sz w:val="28"/>
          <w:szCs w:val="28"/>
          <w:highlight w:val="none"/>
          <w:lang w:val="en-US" w:eastAsia="zh-CN" w:bidi="ar"/>
        </w:rPr>
        <w:t>在成交供应商供货安装完毕后，需方将组织验收小组根据询价文件和供方报价文件对供方所供货物进行验收。如验收时发现所供货物的数量、参数等与招投标文件不一致，或无有效产品合格证、存在安全隐患等，需方将向供方签发整改通知书。供方在收到整改通知书后七日内必须按要求完成整改并通过甲方组织的专项复验，如再次不符合要求或逾期，采购人将视作项目整体验收不合格，终止合同履行，履约保证金不予退还并报相关部门进行处理。</w:t>
      </w:r>
      <w:bookmarkEnd w:id="52"/>
    </w:p>
    <w:p w14:paraId="545C3E5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562" w:firstLineChars="200"/>
        <w:textAlignment w:val="auto"/>
        <w:rPr>
          <w:rFonts w:hint="eastAsia" w:ascii="仿宋" w:hAnsi="仿宋" w:eastAsia="仿宋" w:cs="仿宋"/>
          <w:b/>
          <w:bCs/>
          <w:color w:val="auto"/>
          <w:sz w:val="28"/>
          <w:szCs w:val="28"/>
          <w:highlight w:val="none"/>
          <w:lang w:val="en-US" w:eastAsia="zh-CN" w:bidi="ar"/>
        </w:rPr>
      </w:pPr>
      <w:r>
        <w:rPr>
          <w:rFonts w:hint="eastAsia" w:ascii="仿宋" w:hAnsi="仿宋" w:eastAsia="仿宋" w:cs="仿宋"/>
          <w:b/>
          <w:bCs/>
          <w:color w:val="auto"/>
          <w:sz w:val="28"/>
          <w:szCs w:val="28"/>
          <w:highlight w:val="none"/>
          <w:lang w:val="en-US" w:eastAsia="zh-CN" w:bidi="ar"/>
        </w:rPr>
        <w:t>七、</w:t>
      </w:r>
      <w:bookmarkStart w:id="53" w:name="auto_fouce_9"/>
      <w:r>
        <w:rPr>
          <w:rFonts w:hint="eastAsia" w:ascii="仿宋" w:hAnsi="仿宋" w:eastAsia="仿宋" w:cs="仿宋"/>
          <w:b/>
          <w:bCs/>
          <w:color w:val="auto"/>
          <w:sz w:val="28"/>
          <w:szCs w:val="28"/>
          <w:highlight w:val="none"/>
          <w:lang w:val="en-US" w:eastAsia="zh-CN" w:bidi="ar"/>
        </w:rPr>
        <w:t>付款方式：凭经甲方书面确认的启东市市场监督管理局合格检测报告作为付款依据；设备到场安装调试完毕，经验收合格后付合同价的90%；余款从验收合格之日算起至三年服务期满，且乙方无未解决的质保投诉及质量缺陷，经采购单位认可后一次性付清。结算时开具正式税务发票。</w:t>
      </w:r>
      <w:bookmarkEnd w:id="53"/>
    </w:p>
    <w:p w14:paraId="33F73E8C">
      <w:pPr>
        <w:keepNext w:val="0"/>
        <w:keepLines w:val="0"/>
        <w:pageBreakBefore w:val="0"/>
        <w:widowControl w:val="0"/>
        <w:kinsoku/>
        <w:wordWrap/>
        <w:overflowPunct/>
        <w:topLinePunct w:val="0"/>
        <w:autoSpaceDE/>
        <w:autoSpaceDN/>
        <w:bidi w:val="0"/>
        <w:adjustRightInd w:val="0"/>
        <w:snapToGrid w:val="0"/>
        <w:spacing w:line="600" w:lineRule="exact"/>
        <w:ind w:firstLine="703" w:firstLineChars="250"/>
        <w:textAlignment w:val="auto"/>
        <w:rPr>
          <w:rFonts w:hint="eastAsia" w:ascii="仿宋" w:hAnsi="仿宋" w:eastAsia="仿宋" w:cs="仿宋"/>
          <w:b/>
          <w:bCs/>
          <w:color w:val="auto"/>
          <w:sz w:val="28"/>
          <w:szCs w:val="28"/>
          <w:highlight w:val="none"/>
          <w:lang w:val="en-US" w:eastAsia="zh-CN" w:bidi="ar"/>
        </w:rPr>
      </w:pPr>
      <w:r>
        <w:rPr>
          <w:rFonts w:hint="eastAsia" w:ascii="仿宋" w:hAnsi="仿宋" w:eastAsia="仿宋" w:cs="仿宋"/>
          <w:b/>
          <w:bCs/>
          <w:color w:val="auto"/>
          <w:sz w:val="28"/>
          <w:szCs w:val="28"/>
          <w:highlight w:val="none"/>
          <w:lang w:val="en-US" w:eastAsia="zh-CN" w:bidi="ar"/>
        </w:rPr>
        <w:t>注：付款前中标（成交）人需向采购人提供有效发票。</w:t>
      </w:r>
    </w:p>
    <w:p w14:paraId="657CA16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25" w:leftChars="250"/>
        <w:textAlignment w:val="auto"/>
        <w:rPr>
          <w:rFonts w:hint="eastAsia" w:ascii="仿宋" w:hAnsi="仿宋" w:eastAsia="仿宋" w:cs="仿宋"/>
          <w:b/>
          <w:bCs/>
          <w:color w:val="auto"/>
          <w:sz w:val="28"/>
          <w:szCs w:val="28"/>
          <w:highlight w:val="none"/>
          <w:lang w:val="en-US" w:eastAsia="zh-CN" w:bidi="ar"/>
        </w:rPr>
      </w:pPr>
      <w:r>
        <w:rPr>
          <w:rFonts w:hint="eastAsia" w:ascii="仿宋" w:hAnsi="仿宋" w:eastAsia="仿宋" w:cs="仿宋"/>
          <w:b/>
          <w:bCs/>
          <w:color w:val="auto"/>
          <w:sz w:val="28"/>
          <w:szCs w:val="28"/>
          <w:highlight w:val="none"/>
          <w:lang w:val="en-US" w:eastAsia="zh-CN" w:bidi="ar"/>
        </w:rPr>
        <w:t>八、违约责任：</w:t>
      </w:r>
    </w:p>
    <w:p w14:paraId="0E48EF8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25" w:leftChars="250"/>
        <w:textAlignment w:val="auto"/>
        <w:rPr>
          <w:rFonts w:hint="eastAsia" w:ascii="仿宋" w:hAnsi="仿宋" w:eastAsia="仿宋" w:cs="仿宋"/>
          <w:b/>
          <w:bCs/>
          <w:color w:val="auto"/>
          <w:sz w:val="28"/>
          <w:szCs w:val="28"/>
          <w:highlight w:val="none"/>
          <w:lang w:val="en-US" w:eastAsia="zh-CN" w:bidi="ar"/>
        </w:rPr>
      </w:pPr>
      <w:bookmarkStart w:id="54" w:name="auto_fouce_10"/>
      <w:r>
        <w:rPr>
          <w:rFonts w:hint="eastAsia" w:ascii="仿宋" w:hAnsi="仿宋" w:eastAsia="仿宋" w:cs="仿宋"/>
          <w:b/>
          <w:bCs/>
          <w:color w:val="auto"/>
          <w:sz w:val="28"/>
          <w:szCs w:val="28"/>
          <w:highlight w:val="none"/>
          <w:lang w:val="en-US" w:eastAsia="zh-CN" w:bidi="ar"/>
        </w:rPr>
        <w:t>任何一方违约，均需按照下列约定向对方支付违约金。</w:t>
      </w:r>
    </w:p>
    <w:p w14:paraId="1DCB9692">
      <w:pPr>
        <w:keepNext w:val="0"/>
        <w:keepLines w:val="0"/>
        <w:pageBreakBefore w:val="0"/>
        <w:widowControl w:val="0"/>
        <w:kinsoku/>
        <w:wordWrap/>
        <w:overflowPunct/>
        <w:topLinePunct w:val="0"/>
        <w:autoSpaceDE/>
        <w:autoSpaceDN/>
        <w:bidi w:val="0"/>
        <w:adjustRightInd w:val="0"/>
        <w:snapToGrid w:val="0"/>
        <w:spacing w:line="600" w:lineRule="exact"/>
        <w:ind w:firstLine="703" w:firstLineChars="250"/>
        <w:textAlignment w:val="auto"/>
        <w:rPr>
          <w:rFonts w:hint="eastAsia" w:ascii="仿宋" w:hAnsi="仿宋" w:eastAsia="仿宋" w:cs="仿宋"/>
          <w:b/>
          <w:bCs/>
          <w:color w:val="auto"/>
          <w:sz w:val="28"/>
          <w:szCs w:val="28"/>
          <w:highlight w:val="none"/>
          <w:lang w:val="en-US" w:eastAsia="zh-CN" w:bidi="ar"/>
        </w:rPr>
      </w:pPr>
      <w:r>
        <w:rPr>
          <w:rFonts w:hint="eastAsia" w:ascii="仿宋" w:hAnsi="仿宋" w:eastAsia="仿宋" w:cs="仿宋"/>
          <w:b/>
          <w:bCs/>
          <w:color w:val="auto"/>
          <w:sz w:val="28"/>
          <w:szCs w:val="28"/>
          <w:highlight w:val="none"/>
          <w:lang w:val="en-US" w:eastAsia="zh-CN" w:bidi="ar"/>
        </w:rPr>
        <w:t>1．乙方不能交货及甲方中途无理由退货的违约金：乙方违约时，需向甲方支付固定金额的违约金（违约金金额为合同总价的10%，即人民币     ），并赔偿甲方因乙方违约所实际发生的全部损失。违约金与实际损失可并行适用，不得以履约保函替代违约金支付义务，且履约保函仅用于实际损失的担保，不影响违约金的独立支付责任。甲方违约时，需向乙方支付合同总价的10%的违约金。</w:t>
      </w:r>
    </w:p>
    <w:p w14:paraId="36EC3A26">
      <w:pPr>
        <w:keepNext w:val="0"/>
        <w:keepLines w:val="0"/>
        <w:pageBreakBefore w:val="0"/>
        <w:widowControl w:val="0"/>
        <w:kinsoku/>
        <w:wordWrap/>
        <w:overflowPunct/>
        <w:topLinePunct w:val="0"/>
        <w:autoSpaceDE/>
        <w:autoSpaceDN/>
        <w:bidi w:val="0"/>
        <w:adjustRightInd w:val="0"/>
        <w:snapToGrid w:val="0"/>
        <w:spacing w:line="600" w:lineRule="exact"/>
        <w:ind w:firstLine="703" w:firstLineChars="250"/>
        <w:textAlignment w:val="auto"/>
        <w:rPr>
          <w:rFonts w:hint="eastAsia" w:ascii="仿宋" w:hAnsi="仿宋" w:eastAsia="仿宋" w:cs="仿宋"/>
          <w:b/>
          <w:bCs/>
          <w:color w:val="auto"/>
          <w:sz w:val="28"/>
          <w:szCs w:val="28"/>
          <w:highlight w:val="none"/>
          <w:lang w:val="en-US" w:eastAsia="zh-CN" w:bidi="ar"/>
        </w:rPr>
      </w:pPr>
      <w:r>
        <w:rPr>
          <w:rFonts w:hint="eastAsia" w:ascii="仿宋" w:hAnsi="仿宋" w:eastAsia="仿宋" w:cs="仿宋"/>
          <w:b/>
          <w:bCs/>
          <w:color w:val="auto"/>
          <w:sz w:val="28"/>
          <w:szCs w:val="28"/>
          <w:highlight w:val="none"/>
          <w:lang w:val="en-US" w:eastAsia="zh-CN" w:bidi="ar"/>
        </w:rPr>
        <w:t>2．乙方逾期交货及甲方逾期付款的违约金，按照逾期部分的货款总值的</w:t>
      </w:r>
      <w:r>
        <w:rPr>
          <w:rFonts w:hint="eastAsia" w:ascii="仿宋" w:hAnsi="仿宋" w:eastAsia="仿宋" w:cs="仿宋"/>
          <w:b/>
          <w:bCs/>
          <w:color w:val="auto"/>
          <w:sz w:val="28"/>
          <w:szCs w:val="28"/>
          <w:highlight w:val="none"/>
          <w:u w:val="single"/>
          <w:lang w:val="en-US" w:eastAsia="zh-CN" w:bidi="ar"/>
        </w:rPr>
        <w:t>每日0.05%</w:t>
      </w:r>
      <w:r>
        <w:rPr>
          <w:rFonts w:hint="eastAsia" w:ascii="仿宋" w:hAnsi="仿宋" w:eastAsia="仿宋" w:cs="仿宋"/>
          <w:b/>
          <w:bCs/>
          <w:color w:val="auto"/>
          <w:sz w:val="28"/>
          <w:szCs w:val="28"/>
          <w:highlight w:val="none"/>
          <w:lang w:val="en-US" w:eastAsia="zh-CN" w:bidi="ar"/>
        </w:rPr>
        <w:t>支付。</w:t>
      </w:r>
    </w:p>
    <w:p w14:paraId="0C468797">
      <w:pPr>
        <w:keepNext w:val="0"/>
        <w:keepLines w:val="0"/>
        <w:pageBreakBefore w:val="0"/>
        <w:widowControl w:val="0"/>
        <w:kinsoku/>
        <w:wordWrap/>
        <w:overflowPunct/>
        <w:topLinePunct w:val="0"/>
        <w:autoSpaceDE/>
        <w:autoSpaceDN/>
        <w:bidi w:val="0"/>
        <w:adjustRightInd w:val="0"/>
        <w:snapToGrid w:val="0"/>
        <w:spacing w:line="600" w:lineRule="exact"/>
        <w:ind w:firstLine="703" w:firstLineChars="250"/>
        <w:textAlignment w:val="auto"/>
        <w:rPr>
          <w:rFonts w:hint="eastAsia" w:ascii="仿宋" w:hAnsi="仿宋" w:eastAsia="仿宋" w:cs="仿宋"/>
          <w:b/>
          <w:bCs/>
          <w:color w:val="auto"/>
          <w:kern w:val="2"/>
          <w:sz w:val="28"/>
          <w:szCs w:val="28"/>
          <w:highlight w:val="none"/>
          <w:lang w:val="en-US" w:eastAsia="zh-CN" w:bidi="ar"/>
        </w:rPr>
      </w:pPr>
      <w:bookmarkStart w:id="55" w:name="auto_fouce_13"/>
      <w:r>
        <w:rPr>
          <w:rFonts w:hint="eastAsia" w:ascii="仿宋" w:hAnsi="仿宋" w:eastAsia="仿宋" w:cs="仿宋"/>
          <w:b/>
          <w:bCs/>
          <w:color w:val="auto"/>
          <w:sz w:val="28"/>
          <w:szCs w:val="28"/>
          <w:highlight w:val="none"/>
          <w:lang w:val="en-US" w:eastAsia="zh-CN" w:bidi="ar"/>
        </w:rPr>
        <w:t>3．乙方交付货物时质量明显不符合规定的，包括但不限于抽检样本中关键指标不合格率≥5%，甲方有权拒收并有权要求乙方限期更换、退货或减少价款，并有权要求乙方按照合同总价的10%（以较高者为准）支付质量违约金。由于甲方原因造成乙方逾期交货的，甲方按约定承担逾期交货违约金。</w:t>
      </w:r>
      <w:bookmarkEnd w:id="55"/>
      <w:r>
        <w:rPr>
          <w:rFonts w:hint="eastAsia" w:ascii="仿宋" w:hAnsi="仿宋" w:eastAsia="仿宋" w:cs="仿宋"/>
          <w:b w:val="0"/>
          <w:bCs w:val="0"/>
          <w:color w:val="auto"/>
          <w:sz w:val="28"/>
          <w:szCs w:val="28"/>
          <w:highlight w:val="none"/>
          <w:lang w:val="en-US" w:eastAsia="zh-CN" w:bidi="ar"/>
        </w:rPr>
        <w:t xml:space="preserve"> </w:t>
      </w:r>
      <w:bookmarkEnd w:id="54"/>
    </w:p>
    <w:p w14:paraId="142A0238">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703" w:firstLineChars="250"/>
        <w:textAlignment w:val="auto"/>
        <w:rPr>
          <w:rFonts w:hint="default" w:ascii="仿宋" w:hAnsi="仿宋" w:eastAsia="仿宋" w:cs="仿宋"/>
          <w:b/>
          <w:bCs/>
          <w:color w:val="auto"/>
          <w:kern w:val="2"/>
          <w:sz w:val="28"/>
          <w:szCs w:val="28"/>
          <w:highlight w:val="none"/>
          <w:lang w:val="en-US" w:eastAsia="zh-CN" w:bidi="ar"/>
        </w:rPr>
      </w:pPr>
      <w:r>
        <w:rPr>
          <w:rFonts w:hint="eastAsia" w:ascii="仿宋" w:hAnsi="仿宋" w:eastAsia="仿宋" w:cs="仿宋"/>
          <w:b/>
          <w:bCs/>
          <w:color w:val="auto"/>
          <w:kern w:val="2"/>
          <w:sz w:val="28"/>
          <w:szCs w:val="28"/>
          <w:highlight w:val="none"/>
          <w:lang w:val="en-US" w:eastAsia="zh-CN" w:bidi="ar"/>
        </w:rPr>
        <w:t>乙方未按约定提交运输方案及应急预案，或方案未经甲方认可擅自运输的，按合同总价的3%支付违约金；若造成货物损坏、延误交货的，另行承担损失赔偿责任，且累计违约金不超过合同总价的10%。</w:t>
      </w:r>
    </w:p>
    <w:p w14:paraId="6ABE50C4">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703" w:firstLineChars="250"/>
        <w:textAlignment w:val="auto"/>
        <w:rPr>
          <w:rFonts w:hint="default" w:ascii="仿宋" w:hAnsi="仿宋" w:eastAsia="仿宋" w:cs="仿宋"/>
          <w:b/>
          <w:bCs/>
          <w:color w:val="auto"/>
          <w:kern w:val="2"/>
          <w:sz w:val="28"/>
          <w:szCs w:val="28"/>
          <w:highlight w:val="none"/>
          <w:lang w:val="en-US" w:eastAsia="zh-CN" w:bidi="ar"/>
        </w:rPr>
      </w:pPr>
      <w:r>
        <w:rPr>
          <w:rFonts w:hint="default" w:ascii="仿宋" w:hAnsi="仿宋" w:eastAsia="仿宋" w:cs="仿宋"/>
          <w:b/>
          <w:bCs/>
          <w:color w:val="auto"/>
          <w:kern w:val="2"/>
          <w:sz w:val="28"/>
          <w:szCs w:val="28"/>
          <w:highlight w:val="none"/>
          <w:lang w:val="en-US" w:eastAsia="zh-CN" w:bidi="ar"/>
        </w:rPr>
        <w:t>质保期内乙方未按约定响应维修（24小时内未响应）或未按时解决故障（72小时内未修复），每次支付5000元违约金，累计3次及以上未达标，甲方有权扣除剩余质保金并要求乙方承担额外维修费用，累计违约金不超过合同总价的10%。</w:t>
      </w:r>
    </w:p>
    <w:p w14:paraId="6968F648">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703" w:firstLineChars="250"/>
        <w:textAlignment w:val="auto"/>
        <w:rPr>
          <w:rFonts w:hint="default" w:ascii="仿宋" w:hAnsi="仿宋" w:eastAsia="仿宋" w:cs="仿宋"/>
          <w:b/>
          <w:bCs/>
          <w:color w:val="auto"/>
          <w:kern w:val="2"/>
          <w:sz w:val="28"/>
          <w:szCs w:val="28"/>
          <w:highlight w:val="none"/>
          <w:lang w:val="en-US" w:eastAsia="zh-CN" w:bidi="ar"/>
        </w:rPr>
      </w:pPr>
      <w:r>
        <w:rPr>
          <w:rFonts w:hint="default" w:ascii="仿宋" w:hAnsi="仿宋" w:eastAsia="仿宋" w:cs="仿宋"/>
          <w:b/>
          <w:bCs/>
          <w:color w:val="auto"/>
          <w:kern w:val="2"/>
          <w:sz w:val="28"/>
          <w:szCs w:val="28"/>
          <w:highlight w:val="none"/>
          <w:lang w:val="en-US" w:eastAsia="zh-CN" w:bidi="ar"/>
        </w:rPr>
        <w:t>乙方擅自分包、转包本项目或委托无资质第三方实施供货、安装的，甲方有权单方解除合同，乙方需支付合同总价20%的违约金（不超过实际损失的30%），并赔偿甲方全部损失。</w:t>
      </w:r>
    </w:p>
    <w:p w14:paraId="3CFCE3D1">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703" w:firstLineChars="250"/>
        <w:textAlignment w:val="auto"/>
        <w:rPr>
          <w:rFonts w:hint="default" w:ascii="仿宋" w:hAnsi="仿宋" w:eastAsia="仿宋" w:cs="仿宋"/>
          <w:b/>
          <w:bCs/>
          <w:color w:val="auto"/>
          <w:kern w:val="2"/>
          <w:sz w:val="28"/>
          <w:szCs w:val="28"/>
          <w:highlight w:val="none"/>
          <w:lang w:val="en-US" w:eastAsia="zh-CN" w:bidi="ar"/>
        </w:rPr>
      </w:pPr>
      <w:r>
        <w:rPr>
          <w:rFonts w:hint="default" w:ascii="仿宋" w:hAnsi="仿宋" w:eastAsia="仿宋" w:cs="仿宋"/>
          <w:b/>
          <w:bCs/>
          <w:color w:val="auto"/>
          <w:kern w:val="2"/>
          <w:sz w:val="28"/>
          <w:szCs w:val="28"/>
          <w:highlight w:val="none"/>
          <w:lang w:val="en-US" w:eastAsia="zh-CN" w:bidi="ar"/>
        </w:rPr>
        <w:t>所有乙方应支付的违约金、赔偿金，甲方有权直接从应付乙方的款项中扣除，扣除前需书面通知乙方，不足部分乙方应在收到通知后10日内补足。</w:t>
      </w:r>
    </w:p>
    <w:p w14:paraId="2FDAF354">
      <w:pPr>
        <w:keepNext w:val="0"/>
        <w:keepLines w:val="0"/>
        <w:pageBreakBefore w:val="0"/>
        <w:widowControl w:val="0"/>
        <w:kinsoku/>
        <w:wordWrap/>
        <w:overflowPunct/>
        <w:topLinePunct w:val="0"/>
        <w:autoSpaceDE/>
        <w:autoSpaceDN/>
        <w:bidi w:val="0"/>
        <w:adjustRightInd w:val="0"/>
        <w:snapToGrid w:val="0"/>
        <w:spacing w:line="600" w:lineRule="exact"/>
        <w:ind w:firstLine="703" w:firstLineChars="250"/>
        <w:textAlignment w:val="auto"/>
        <w:rPr>
          <w:rFonts w:hint="eastAsia" w:ascii="仿宋" w:hAnsi="仿宋" w:eastAsia="仿宋" w:cs="仿宋"/>
          <w:b/>
          <w:bCs/>
          <w:color w:val="auto"/>
          <w:kern w:val="2"/>
          <w:sz w:val="28"/>
          <w:szCs w:val="28"/>
          <w:highlight w:val="none"/>
          <w:lang w:val="en-US" w:eastAsia="zh-CN" w:bidi="ar"/>
        </w:rPr>
      </w:pPr>
      <w:r>
        <w:rPr>
          <w:rFonts w:hint="eastAsia" w:ascii="仿宋" w:hAnsi="仿宋" w:eastAsia="仿宋" w:cs="仿宋"/>
          <w:b/>
          <w:bCs/>
          <w:color w:val="auto"/>
          <w:kern w:val="2"/>
          <w:sz w:val="28"/>
          <w:szCs w:val="28"/>
          <w:highlight w:val="none"/>
          <w:lang w:val="en-US" w:eastAsia="zh-CN" w:bidi="ar"/>
        </w:rPr>
        <w:t>九、解决合同争议的方式:</w:t>
      </w:r>
    </w:p>
    <w:p w14:paraId="507EF713">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仿宋" w:hAnsi="仿宋" w:eastAsia="仿宋" w:cs="仿宋"/>
          <w:b w:val="0"/>
          <w:bCs w:val="0"/>
          <w:color w:val="auto"/>
          <w:sz w:val="28"/>
          <w:szCs w:val="28"/>
          <w:highlight w:val="none"/>
          <w:lang w:val="en-US" w:eastAsia="zh-CN" w:bidi="ar"/>
        </w:rPr>
      </w:pPr>
      <w:bookmarkStart w:id="56" w:name="auto_fouce_14"/>
      <w:r>
        <w:rPr>
          <w:rFonts w:hint="eastAsia" w:ascii="仿宋" w:hAnsi="仿宋" w:eastAsia="仿宋" w:cs="仿宋"/>
          <w:b w:val="0"/>
          <w:bCs w:val="0"/>
          <w:color w:val="auto"/>
          <w:sz w:val="28"/>
          <w:szCs w:val="28"/>
          <w:highlight w:val="none"/>
          <w:lang w:val="en-US" w:eastAsia="zh-CN" w:bidi="ar"/>
        </w:rPr>
        <w:t>本合同履行过程中如发生争议，甲、乙双方应协商解决，如协商不成，则任何一方均可向</w:t>
      </w:r>
      <w:r>
        <w:rPr>
          <w:rFonts w:hint="eastAsia" w:ascii="仿宋" w:hAnsi="仿宋" w:eastAsia="仿宋" w:cs="仿宋"/>
          <w:b w:val="0"/>
          <w:bCs w:val="0"/>
          <w:color w:val="auto"/>
          <w:sz w:val="28"/>
          <w:szCs w:val="28"/>
          <w:highlight w:val="none"/>
          <w:u w:val="single"/>
          <w:lang w:val="en-US" w:eastAsia="zh-CN" w:bidi="ar"/>
        </w:rPr>
        <w:t>启东市</w:t>
      </w:r>
      <w:r>
        <w:rPr>
          <w:rFonts w:hint="eastAsia" w:ascii="仿宋" w:hAnsi="仿宋" w:eastAsia="仿宋" w:cs="仿宋"/>
          <w:b w:val="0"/>
          <w:bCs w:val="0"/>
          <w:color w:val="auto"/>
          <w:sz w:val="28"/>
          <w:szCs w:val="28"/>
          <w:highlight w:val="none"/>
          <w:lang w:val="en-US" w:eastAsia="zh-CN" w:bidi="ar"/>
        </w:rPr>
        <w:t>人民法院提起诉讼。</w:t>
      </w:r>
      <w:bookmarkEnd w:id="56"/>
    </w:p>
    <w:p w14:paraId="2027F3BE">
      <w:pPr>
        <w:keepNext w:val="0"/>
        <w:keepLines w:val="0"/>
        <w:pageBreakBefore w:val="0"/>
        <w:widowControl w:val="0"/>
        <w:numPr>
          <w:ilvl w:val="0"/>
          <w:numId w:val="3"/>
        </w:numPr>
        <w:kinsoku/>
        <w:wordWrap/>
        <w:overflowPunct/>
        <w:topLinePunct w:val="0"/>
        <w:autoSpaceDE/>
        <w:autoSpaceDN/>
        <w:bidi w:val="0"/>
        <w:spacing w:line="600" w:lineRule="exact"/>
        <w:ind w:firstLine="560" w:firstLineChars="200"/>
        <w:textAlignment w:val="auto"/>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val="0"/>
          <w:bCs w:val="0"/>
          <w:color w:val="auto"/>
          <w:sz w:val="28"/>
          <w:szCs w:val="28"/>
          <w:highlight w:val="none"/>
          <w:lang w:val="en-US" w:eastAsia="zh-CN" w:bidi="ar"/>
        </w:rPr>
        <w:t>本合同由甲、乙双方签订并加盖公章（同时双方应加盖骑缝章），经甲、乙双方法定代表人或委托代理人签字或盖章后生效，合同一式</w:t>
      </w:r>
      <w:r>
        <w:rPr>
          <w:rFonts w:hint="eastAsia" w:ascii="仿宋" w:hAnsi="仿宋" w:eastAsia="仿宋" w:cs="仿宋"/>
          <w:b w:val="0"/>
          <w:bCs w:val="0"/>
          <w:color w:val="auto"/>
          <w:sz w:val="28"/>
          <w:szCs w:val="28"/>
          <w:highlight w:val="none"/>
          <w:u w:val="single"/>
          <w:lang w:val="en-US" w:eastAsia="zh-CN" w:bidi="ar"/>
        </w:rPr>
        <w:t xml:space="preserve"> 陆 </w:t>
      </w:r>
      <w:r>
        <w:rPr>
          <w:rFonts w:hint="eastAsia" w:ascii="仿宋" w:hAnsi="仿宋" w:eastAsia="仿宋" w:cs="仿宋"/>
          <w:b w:val="0"/>
          <w:bCs w:val="0"/>
          <w:color w:val="auto"/>
          <w:sz w:val="28"/>
          <w:szCs w:val="28"/>
          <w:highlight w:val="none"/>
          <w:lang w:val="en-US" w:eastAsia="zh-CN" w:bidi="ar"/>
        </w:rPr>
        <w:t xml:space="preserve">份（供需双方各执 </w:t>
      </w:r>
      <w:r>
        <w:rPr>
          <w:rFonts w:hint="eastAsia" w:ascii="仿宋" w:hAnsi="仿宋" w:eastAsia="仿宋" w:cs="仿宋"/>
          <w:b w:val="0"/>
          <w:bCs w:val="0"/>
          <w:color w:val="auto"/>
          <w:sz w:val="28"/>
          <w:szCs w:val="28"/>
          <w:highlight w:val="none"/>
          <w:u w:val="single"/>
          <w:lang w:val="en-US" w:eastAsia="zh-CN" w:bidi="ar"/>
        </w:rPr>
        <w:t xml:space="preserve"> 叁 </w:t>
      </w:r>
      <w:r>
        <w:rPr>
          <w:rFonts w:hint="eastAsia" w:ascii="仿宋" w:hAnsi="仿宋" w:eastAsia="仿宋" w:cs="仿宋"/>
          <w:b w:val="0"/>
          <w:bCs w:val="0"/>
          <w:color w:val="auto"/>
          <w:sz w:val="28"/>
          <w:szCs w:val="28"/>
          <w:highlight w:val="none"/>
          <w:lang w:val="en-US" w:eastAsia="zh-CN" w:bidi="ar"/>
        </w:rPr>
        <w:t>份）。</w:t>
      </w:r>
      <w:bookmarkStart w:id="57" w:name="auto_fouce_15"/>
    </w:p>
    <w:p w14:paraId="080CD551">
      <w:pPr>
        <w:keepNext w:val="0"/>
        <w:keepLines w:val="0"/>
        <w:pageBreakBefore w:val="0"/>
        <w:widowControl w:val="0"/>
        <w:numPr>
          <w:ilvl w:val="0"/>
          <w:numId w:val="3"/>
        </w:numPr>
        <w:kinsoku/>
        <w:wordWrap/>
        <w:overflowPunct/>
        <w:topLinePunct w:val="0"/>
        <w:autoSpaceDE/>
        <w:autoSpaceDN/>
        <w:bidi w:val="0"/>
        <w:spacing w:line="600" w:lineRule="exact"/>
        <w:ind w:firstLine="560" w:firstLineChars="200"/>
        <w:textAlignment w:val="auto"/>
        <w:rPr>
          <w:rFonts w:hint="eastAsia" w:ascii="仿宋" w:hAnsi="仿宋" w:eastAsia="仿宋" w:cs="仿宋"/>
          <w:b w:val="0"/>
          <w:bCs w:val="0"/>
          <w:color w:val="auto"/>
          <w:sz w:val="28"/>
          <w:szCs w:val="28"/>
          <w:highlight w:val="none"/>
          <w:lang w:val="en-US" w:eastAsia="zh-CN" w:bidi="ar"/>
        </w:rPr>
      </w:pPr>
      <w:bookmarkStart w:id="58" w:name="auto_fouce_16"/>
      <w:r>
        <w:rPr>
          <w:rFonts w:hint="eastAsia" w:ascii="仿宋" w:hAnsi="仿宋" w:eastAsia="仿宋" w:cs="仿宋"/>
          <w:b w:val="0"/>
          <w:bCs w:val="0"/>
          <w:color w:val="auto"/>
          <w:sz w:val="28"/>
          <w:szCs w:val="28"/>
          <w:highlight w:val="none"/>
          <w:lang w:val="en-US" w:eastAsia="zh-CN" w:bidi="ar"/>
        </w:rPr>
        <w:t>合同变更</w:t>
      </w:r>
    </w:p>
    <w:p w14:paraId="51E963AD">
      <w:pPr>
        <w:keepNext w:val="0"/>
        <w:keepLines w:val="0"/>
        <w:pageBreakBefore w:val="0"/>
        <w:widowControl w:val="0"/>
        <w:numPr>
          <w:ilvl w:val="-1"/>
          <w:numId w:val="0"/>
        </w:numPr>
        <w:kinsoku/>
        <w:wordWrap/>
        <w:overflowPunct/>
        <w:topLinePunct w:val="0"/>
        <w:autoSpaceDE/>
        <w:autoSpaceDN/>
        <w:bidi w:val="0"/>
        <w:spacing w:line="600" w:lineRule="exact"/>
        <w:ind w:firstLine="560" w:firstLineChars="200"/>
        <w:textAlignment w:val="auto"/>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val="0"/>
          <w:bCs w:val="0"/>
          <w:color w:val="auto"/>
          <w:sz w:val="28"/>
          <w:szCs w:val="28"/>
          <w:highlight w:val="none"/>
          <w:lang w:val="en-US" w:eastAsia="zh-CN" w:bidi="ar"/>
        </w:rPr>
        <w:t>本合同条款的任何修改、补充必须形成书面协议并经甲乙双方加盖公章确认后生效。</w:t>
      </w:r>
      <w:bookmarkEnd w:id="57"/>
      <w:r>
        <w:rPr>
          <w:rFonts w:hint="eastAsia" w:ascii="仿宋" w:hAnsi="仿宋" w:eastAsia="仿宋" w:cs="仿宋"/>
          <w:b w:val="0"/>
          <w:bCs w:val="0"/>
          <w:color w:val="auto"/>
          <w:sz w:val="28"/>
          <w:szCs w:val="28"/>
          <w:highlight w:val="none"/>
          <w:lang w:val="en-US" w:eastAsia="zh-CN" w:bidi="ar"/>
        </w:rPr>
        <w:t xml:space="preserve"> </w:t>
      </w:r>
    </w:p>
    <w:p w14:paraId="689ADDD4">
      <w:pPr>
        <w:keepNext w:val="0"/>
        <w:keepLines w:val="0"/>
        <w:pageBreakBefore w:val="0"/>
        <w:widowControl w:val="0"/>
        <w:numPr>
          <w:ilvl w:val="0"/>
          <w:numId w:val="3"/>
        </w:numPr>
        <w:kinsoku/>
        <w:wordWrap/>
        <w:overflowPunct/>
        <w:topLinePunct w:val="0"/>
        <w:autoSpaceDE/>
        <w:autoSpaceDN/>
        <w:bidi w:val="0"/>
        <w:spacing w:line="600" w:lineRule="exact"/>
        <w:ind w:firstLine="560" w:firstLineChars="200"/>
        <w:textAlignment w:val="auto"/>
        <w:rPr>
          <w:rFonts w:hint="eastAsia" w:ascii="仿宋" w:hAnsi="仿宋" w:eastAsia="仿宋" w:cs="仿宋"/>
          <w:b w:val="0"/>
          <w:bCs w:val="0"/>
          <w:color w:val="auto"/>
          <w:sz w:val="28"/>
          <w:szCs w:val="28"/>
          <w:highlight w:val="none"/>
          <w:lang w:val="en-US" w:eastAsia="zh-CN" w:bidi="ar"/>
        </w:rPr>
      </w:pPr>
      <w:bookmarkStart w:id="59" w:name="auto_fouce_17"/>
      <w:r>
        <w:rPr>
          <w:rFonts w:hint="eastAsia" w:ascii="仿宋" w:hAnsi="仿宋" w:eastAsia="仿宋" w:cs="仿宋"/>
          <w:b w:val="0"/>
          <w:bCs w:val="0"/>
          <w:color w:val="auto"/>
          <w:sz w:val="28"/>
          <w:szCs w:val="28"/>
          <w:highlight w:val="none"/>
          <w:lang w:val="en-US" w:eastAsia="zh-CN" w:bidi="ar"/>
        </w:rPr>
        <w:t>单方解除权</w:t>
      </w:r>
    </w:p>
    <w:p w14:paraId="656B44DF">
      <w:pPr>
        <w:keepNext w:val="0"/>
        <w:keepLines w:val="0"/>
        <w:pageBreakBefore w:val="0"/>
        <w:widowControl w:val="0"/>
        <w:numPr>
          <w:ilvl w:val="-1"/>
          <w:numId w:val="0"/>
        </w:numPr>
        <w:kinsoku/>
        <w:wordWrap/>
        <w:overflowPunct/>
        <w:topLinePunct w:val="0"/>
        <w:autoSpaceDE/>
        <w:autoSpaceDN/>
        <w:bidi w:val="0"/>
        <w:spacing w:line="600" w:lineRule="exact"/>
        <w:ind w:firstLine="560" w:firstLineChars="200"/>
        <w:textAlignment w:val="auto"/>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val="0"/>
          <w:bCs w:val="0"/>
          <w:color w:val="auto"/>
          <w:sz w:val="28"/>
          <w:szCs w:val="28"/>
          <w:highlight w:val="none"/>
          <w:lang w:val="en-US" w:eastAsia="zh-CN" w:bidi="ar"/>
        </w:rPr>
        <w:t>当乙方出现逾期交货超过15日、质</w:t>
      </w:r>
      <w:bookmarkEnd w:id="58"/>
      <w:r>
        <w:rPr>
          <w:rFonts w:hint="eastAsia" w:ascii="仿宋" w:hAnsi="仿宋" w:eastAsia="仿宋" w:cs="仿宋"/>
          <w:b w:val="0"/>
          <w:bCs w:val="0"/>
          <w:color w:val="auto"/>
          <w:sz w:val="28"/>
          <w:szCs w:val="28"/>
          <w:highlight w:val="none"/>
          <w:lang w:val="en-US" w:eastAsia="zh-CN" w:bidi="ar"/>
        </w:rPr>
        <w:t xml:space="preserve">量整改后仍不合格或实质性违反合同承诺的情形时，甲方有权单方解除合同并要求支付违约金及赔偿损失。 </w:t>
      </w:r>
    </w:p>
    <w:p w14:paraId="319E3E7F">
      <w:pPr>
        <w:pStyle w:val="2"/>
        <w:ind w:firstLine="560" w:firstLineChars="200"/>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val="0"/>
          <w:bCs w:val="0"/>
          <w:color w:val="auto"/>
          <w:sz w:val="28"/>
          <w:szCs w:val="28"/>
          <w:highlight w:val="none"/>
          <w:lang w:val="en-US" w:eastAsia="zh-CN" w:bidi="ar"/>
        </w:rPr>
        <w:t>十三、通知与送达</w:t>
      </w:r>
    </w:p>
    <w:bookmarkEnd w:id="59"/>
    <w:p w14:paraId="5C62C6B9">
      <w:pPr>
        <w:ind w:firstLine="560" w:firstLineChars="200"/>
        <w:rPr>
          <w:rFonts w:hint="eastAsia"/>
          <w:color w:val="auto"/>
          <w:lang w:val="en-US" w:eastAsia="zh-CN"/>
        </w:rPr>
      </w:pPr>
      <w:r>
        <w:rPr>
          <w:rFonts w:hint="eastAsia" w:ascii="仿宋" w:hAnsi="仿宋" w:eastAsia="仿宋" w:cs="仿宋"/>
          <w:b w:val="0"/>
          <w:bCs w:val="0"/>
          <w:color w:val="auto"/>
          <w:sz w:val="28"/>
          <w:szCs w:val="28"/>
          <w:highlight w:val="none"/>
          <w:lang w:val="en-US" w:eastAsia="zh-CN" w:bidi="ar"/>
        </w:rPr>
        <w:t>任何一方发送通知应通过书面形式送达对方在本合同签署页载明的地址。变更联系方式应提前5日书面通知对方，否则原地址视为有效送达地址。</w:t>
      </w:r>
    </w:p>
    <w:p w14:paraId="3F615E70">
      <w:pPr>
        <w:pStyle w:val="2"/>
        <w:numPr>
          <w:ilvl w:val="0"/>
          <w:numId w:val="0"/>
        </w:numPr>
        <w:rPr>
          <w:rFonts w:hint="eastAsia"/>
          <w:color w:val="auto"/>
          <w:lang w:val="en-US" w:eastAsia="zh-CN"/>
        </w:rPr>
      </w:pPr>
    </w:p>
    <w:p w14:paraId="75CEF3FF">
      <w:pPr>
        <w:rPr>
          <w:rFonts w:hint="eastAsia"/>
          <w:color w:val="auto"/>
          <w:lang w:val="en-US" w:eastAsia="zh-CN"/>
        </w:rPr>
      </w:pPr>
    </w:p>
    <w:p w14:paraId="19BA0619">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b w:val="0"/>
          <w:bCs w:val="0"/>
          <w:color w:val="auto"/>
          <w:sz w:val="32"/>
          <w:szCs w:val="32"/>
          <w:highlight w:val="none"/>
          <w:lang w:val="en-US" w:eastAsia="zh-CN" w:bidi="ar"/>
        </w:rPr>
      </w:pPr>
      <w:r>
        <w:rPr>
          <w:rFonts w:hint="eastAsia" w:ascii="仿宋" w:hAnsi="仿宋" w:eastAsia="仿宋" w:cs="仿宋"/>
          <w:b w:val="0"/>
          <w:bCs w:val="0"/>
          <w:color w:val="auto"/>
          <w:sz w:val="32"/>
          <w:szCs w:val="32"/>
          <w:highlight w:val="none"/>
          <w:lang w:val="en-US" w:eastAsia="zh-CN" w:bidi="ar"/>
        </w:rPr>
        <w:t xml:space="preserve">需方（盖章）：                      供方（盖章）：           </w:t>
      </w:r>
    </w:p>
    <w:p w14:paraId="6C5F26D5">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b w:val="0"/>
          <w:bCs w:val="0"/>
          <w:color w:val="auto"/>
          <w:sz w:val="32"/>
          <w:szCs w:val="32"/>
          <w:highlight w:val="none"/>
          <w:lang w:val="en-US" w:eastAsia="zh-CN" w:bidi="ar"/>
        </w:rPr>
      </w:pPr>
      <w:r>
        <w:rPr>
          <w:rFonts w:hint="eastAsia" w:ascii="仿宋" w:hAnsi="仿宋" w:eastAsia="仿宋" w:cs="仿宋"/>
          <w:b w:val="0"/>
          <w:bCs w:val="0"/>
          <w:color w:val="auto"/>
          <w:sz w:val="32"/>
          <w:szCs w:val="32"/>
          <w:highlight w:val="none"/>
          <w:lang w:val="en-US" w:eastAsia="zh-CN" w:bidi="ar"/>
        </w:rPr>
        <w:t xml:space="preserve">法定代表人：                       法定代表人：           </w:t>
      </w:r>
    </w:p>
    <w:p w14:paraId="75C8156B">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b w:val="0"/>
          <w:bCs w:val="0"/>
          <w:color w:val="auto"/>
          <w:sz w:val="32"/>
          <w:szCs w:val="32"/>
          <w:highlight w:val="none"/>
          <w:lang w:val="en-US" w:eastAsia="zh-CN" w:bidi="ar"/>
        </w:rPr>
      </w:pPr>
      <w:r>
        <w:rPr>
          <w:rFonts w:hint="eastAsia" w:ascii="仿宋" w:hAnsi="仿宋" w:eastAsia="仿宋" w:cs="仿宋"/>
          <w:b w:val="0"/>
          <w:bCs w:val="0"/>
          <w:color w:val="auto"/>
          <w:sz w:val="32"/>
          <w:szCs w:val="32"/>
          <w:highlight w:val="none"/>
          <w:lang w:val="en-US" w:eastAsia="zh-CN" w:bidi="ar"/>
        </w:rPr>
        <w:t xml:space="preserve">委托代理人：                       委托代理人：            </w:t>
      </w:r>
    </w:p>
    <w:p w14:paraId="3BE1B6DF">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b w:val="0"/>
          <w:bCs w:val="0"/>
          <w:color w:val="auto"/>
          <w:sz w:val="32"/>
          <w:szCs w:val="32"/>
          <w:highlight w:val="none"/>
          <w:lang w:val="en-US" w:eastAsia="zh-CN" w:bidi="ar"/>
        </w:rPr>
      </w:pPr>
      <w:r>
        <w:rPr>
          <w:rFonts w:hint="eastAsia" w:ascii="仿宋" w:hAnsi="仿宋" w:eastAsia="仿宋" w:cs="仿宋"/>
          <w:b w:val="0"/>
          <w:bCs w:val="0"/>
          <w:color w:val="auto"/>
          <w:sz w:val="32"/>
          <w:szCs w:val="32"/>
          <w:highlight w:val="none"/>
          <w:lang w:val="en-US" w:eastAsia="zh-CN" w:bidi="ar"/>
        </w:rPr>
        <w:t xml:space="preserve">联系电话：                         联系电话：             </w:t>
      </w:r>
    </w:p>
    <w:p w14:paraId="05EF0356">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b w:val="0"/>
          <w:bCs w:val="0"/>
          <w:color w:val="auto"/>
          <w:sz w:val="32"/>
          <w:szCs w:val="32"/>
          <w:highlight w:val="none"/>
          <w:lang w:val="en-US" w:eastAsia="zh-CN" w:bidi="ar"/>
        </w:rPr>
      </w:pPr>
      <w:r>
        <w:rPr>
          <w:rFonts w:hint="eastAsia" w:ascii="仿宋" w:hAnsi="仿宋" w:eastAsia="仿宋" w:cs="仿宋"/>
          <w:b w:val="0"/>
          <w:bCs w:val="0"/>
          <w:color w:val="auto"/>
          <w:sz w:val="32"/>
          <w:szCs w:val="32"/>
          <w:highlight w:val="none"/>
          <w:lang w:val="en-US" w:eastAsia="zh-CN" w:bidi="ar"/>
        </w:rPr>
        <w:t>开户银行：                         开户银行：</w:t>
      </w:r>
    </w:p>
    <w:p w14:paraId="3FC1ED5E">
      <w:pPr>
        <w:spacing w:line="700" w:lineRule="exact"/>
        <w:rPr>
          <w:color w:val="auto"/>
        </w:rPr>
      </w:pPr>
      <w:bookmarkStart w:id="60" w:name="auto_fouce_18"/>
      <w:r>
        <w:rPr>
          <w:rFonts w:hint="eastAsia" w:ascii="仿宋" w:hAnsi="仿宋" w:eastAsia="仿宋" w:cs="仿宋"/>
          <w:b w:val="0"/>
          <w:bCs w:val="0"/>
          <w:color w:val="auto"/>
          <w:sz w:val="32"/>
          <w:szCs w:val="32"/>
          <w:highlight w:val="none"/>
          <w:lang w:val="en-US" w:eastAsia="zh-CN" w:bidi="ar"/>
        </w:rPr>
        <w:t>银行账号：                         银行账号：</w:t>
      </w:r>
      <w:bookmarkEnd w:id="60"/>
    </w:p>
    <w:p w14:paraId="0E00AAA0">
      <w:pPr>
        <w:pStyle w:val="30"/>
        <w:tabs>
          <w:tab w:val="left" w:pos="420"/>
          <w:tab w:val="clear" w:pos="720"/>
        </w:tabs>
        <w:adjustRightInd w:val="0"/>
        <w:snapToGrid w:val="0"/>
        <w:spacing w:line="500" w:lineRule="exact"/>
        <w:ind w:left="0"/>
        <w:rPr>
          <w:rFonts w:hint="default" w:ascii="仿宋" w:hAnsi="仿宋" w:eastAsia="仿宋" w:cs="仿宋"/>
          <w:sz w:val="28"/>
          <w:highlight w:val="none"/>
          <w:lang w:val="en-US" w:eastAsia="zh-CN"/>
        </w:rPr>
      </w:pPr>
    </w:p>
    <w:p w14:paraId="484338A9">
      <w:pPr>
        <w:rPr>
          <w:rFonts w:hint="eastAsia" w:ascii="仿宋" w:hAnsi="仿宋" w:eastAsia="仿宋" w:cs="仿宋"/>
          <w:b w:val="0"/>
          <w:sz w:val="36"/>
          <w:szCs w:val="36"/>
          <w:highlight w:val="none"/>
        </w:rPr>
      </w:pPr>
      <w:bookmarkStart w:id="61" w:name="_Toc82505665"/>
      <w:r>
        <w:rPr>
          <w:rFonts w:hint="eastAsia" w:ascii="仿宋" w:hAnsi="仿宋" w:eastAsia="仿宋" w:cs="仿宋"/>
          <w:b w:val="0"/>
          <w:sz w:val="36"/>
          <w:szCs w:val="36"/>
          <w:highlight w:val="none"/>
        </w:rPr>
        <w:br w:type="page"/>
      </w:r>
    </w:p>
    <w:p w14:paraId="36710E1D">
      <w:pPr>
        <w:jc w:val="center"/>
        <w:rPr>
          <w:rFonts w:hint="eastAsia" w:ascii="仿宋" w:hAnsi="仿宋" w:eastAsia="仿宋" w:cs="仿宋"/>
          <w:b/>
          <w:bCs/>
          <w:highlight w:val="none"/>
        </w:rPr>
      </w:pPr>
      <w:r>
        <w:rPr>
          <w:rFonts w:hint="eastAsia" w:ascii="仿宋" w:hAnsi="仿宋" w:eastAsia="仿宋" w:cs="仿宋"/>
          <w:b/>
          <w:bCs/>
          <w:sz w:val="36"/>
          <w:szCs w:val="36"/>
          <w:highlight w:val="none"/>
        </w:rPr>
        <w:t>第四部分  响应文件</w:t>
      </w:r>
      <w:bookmarkEnd w:id="42"/>
      <w:bookmarkEnd w:id="61"/>
      <w:r>
        <w:rPr>
          <w:rFonts w:hint="eastAsia" w:ascii="仿宋" w:hAnsi="仿宋" w:eastAsia="仿宋" w:cs="仿宋"/>
          <w:b/>
          <w:bCs/>
          <w:sz w:val="36"/>
          <w:szCs w:val="36"/>
          <w:highlight w:val="none"/>
        </w:rPr>
        <w:t>格式</w:t>
      </w:r>
    </w:p>
    <w:p w14:paraId="37EBC202">
      <w:pPr>
        <w:adjustRightInd w:val="0"/>
        <w:snapToGrid w:val="0"/>
        <w:spacing w:line="500" w:lineRule="exact"/>
        <w:ind w:firstLine="562" w:firstLineChars="200"/>
        <w:rPr>
          <w:rFonts w:hint="eastAsia" w:ascii="仿宋" w:hAnsi="仿宋" w:eastAsia="仿宋" w:cs="仿宋"/>
          <w:b/>
          <w:bCs/>
          <w:kern w:val="0"/>
          <w:sz w:val="28"/>
          <w:szCs w:val="28"/>
          <w:highlight w:val="none"/>
          <w:lang w:val="zh-CN"/>
        </w:rPr>
      </w:pPr>
      <w:r>
        <w:rPr>
          <w:rFonts w:hint="eastAsia" w:ascii="仿宋" w:hAnsi="仿宋" w:eastAsia="仿宋" w:cs="仿宋"/>
          <w:b/>
          <w:bCs/>
          <w:kern w:val="0"/>
          <w:sz w:val="28"/>
          <w:szCs w:val="28"/>
          <w:highlight w:val="none"/>
        </w:rPr>
        <w:t>响应文件必须按照以下格式及要求进行制作、签署、密封和提交。（以下内容必须全部提供，</w:t>
      </w:r>
      <w:r>
        <w:rPr>
          <w:rFonts w:hint="eastAsia" w:ascii="仿宋" w:hAnsi="仿宋" w:eastAsia="仿宋" w:cs="仿宋"/>
          <w:b/>
          <w:bCs/>
          <w:kern w:val="0"/>
          <w:sz w:val="28"/>
          <w:szCs w:val="28"/>
          <w:highlight w:val="none"/>
          <w:lang w:val="zh-CN"/>
        </w:rPr>
        <w:t>并全部加盖</w:t>
      </w:r>
      <w:r>
        <w:rPr>
          <w:rFonts w:hint="eastAsia" w:ascii="仿宋" w:hAnsi="仿宋" w:eastAsia="仿宋" w:cs="仿宋"/>
          <w:b/>
          <w:bCs/>
          <w:kern w:val="0"/>
          <w:sz w:val="28"/>
          <w:szCs w:val="28"/>
          <w:highlight w:val="none"/>
        </w:rPr>
        <w:t>报价单位公章</w:t>
      </w:r>
      <w:r>
        <w:rPr>
          <w:rFonts w:hint="eastAsia" w:ascii="仿宋" w:hAnsi="仿宋" w:eastAsia="仿宋" w:cs="仿宋"/>
          <w:b/>
          <w:bCs/>
          <w:kern w:val="0"/>
          <w:sz w:val="28"/>
          <w:szCs w:val="28"/>
          <w:highlight w:val="none"/>
          <w:lang w:val="zh-CN"/>
        </w:rPr>
        <w:t>。</w:t>
      </w:r>
      <w:r>
        <w:rPr>
          <w:rFonts w:hint="eastAsia" w:ascii="仿宋" w:hAnsi="仿宋" w:eastAsia="仿宋" w:cs="仿宋"/>
          <w:b/>
          <w:bCs/>
          <w:kern w:val="0"/>
          <w:sz w:val="28"/>
          <w:szCs w:val="28"/>
          <w:highlight w:val="none"/>
        </w:rPr>
        <w:t>响应文件格式中要求签字的不可打印填写，否则视为无效响应。）</w:t>
      </w:r>
    </w:p>
    <w:p w14:paraId="378B8E5B">
      <w:pPr>
        <w:adjustRightInd w:val="0"/>
        <w:snapToGrid w:val="0"/>
        <w:spacing w:line="500" w:lineRule="exact"/>
        <w:ind w:firstLine="560" w:firstLineChars="200"/>
        <w:rPr>
          <w:rFonts w:hint="eastAsia" w:ascii="仿宋" w:hAnsi="仿宋" w:eastAsia="仿宋" w:cs="仿宋"/>
          <w:b w:val="0"/>
          <w:bCs w:val="0"/>
          <w:kern w:val="0"/>
          <w:sz w:val="28"/>
          <w:szCs w:val="28"/>
          <w:highlight w:val="none"/>
          <w:lang w:val="zh-CN"/>
        </w:rPr>
      </w:pPr>
      <w:r>
        <w:rPr>
          <w:rFonts w:hint="eastAsia" w:ascii="仿宋" w:hAnsi="仿宋" w:eastAsia="仿宋" w:cs="仿宋"/>
          <w:b w:val="0"/>
          <w:bCs w:val="0"/>
          <w:kern w:val="0"/>
          <w:sz w:val="28"/>
          <w:szCs w:val="28"/>
          <w:highlight w:val="none"/>
          <w:lang w:val="zh-CN"/>
        </w:rPr>
        <w:t>1.</w:t>
      </w:r>
      <w:r>
        <w:rPr>
          <w:rFonts w:hint="eastAsia" w:ascii="仿宋" w:hAnsi="仿宋" w:eastAsia="仿宋" w:cs="仿宋"/>
          <w:b w:val="0"/>
          <w:bCs w:val="0"/>
          <w:kern w:val="0"/>
          <w:sz w:val="28"/>
          <w:szCs w:val="28"/>
          <w:highlight w:val="none"/>
        </w:rPr>
        <w:t>投标人符合《中华人民共和国政府采购法》第二十二条规定条件的声明函</w:t>
      </w:r>
      <w:r>
        <w:rPr>
          <w:rFonts w:hint="eastAsia" w:ascii="仿宋" w:hAnsi="仿宋" w:eastAsia="仿宋" w:cs="仿宋"/>
          <w:b w:val="0"/>
          <w:bCs w:val="0"/>
          <w:kern w:val="0"/>
          <w:sz w:val="28"/>
          <w:szCs w:val="28"/>
          <w:highlight w:val="none"/>
          <w:lang w:val="zh-CN"/>
        </w:rPr>
        <w:t>（格式见附件1）（如分公司参加投标的，另需提供总公司的授权证明）；</w:t>
      </w:r>
    </w:p>
    <w:p w14:paraId="7F45673F">
      <w:pPr>
        <w:adjustRightInd w:val="0"/>
        <w:snapToGrid w:val="0"/>
        <w:spacing w:line="500" w:lineRule="exact"/>
        <w:ind w:firstLine="560" w:firstLineChars="200"/>
        <w:rPr>
          <w:rFonts w:hint="eastAsia" w:ascii="仿宋" w:hAnsi="仿宋" w:eastAsia="仿宋" w:cs="仿宋"/>
          <w:b w:val="0"/>
          <w:bCs w:val="0"/>
          <w:kern w:val="0"/>
          <w:sz w:val="28"/>
          <w:szCs w:val="28"/>
          <w:highlight w:val="none"/>
          <w:lang w:val="zh-CN"/>
        </w:rPr>
      </w:pPr>
      <w:r>
        <w:rPr>
          <w:rFonts w:hint="eastAsia" w:ascii="仿宋" w:hAnsi="仿宋" w:eastAsia="仿宋" w:cs="仿宋"/>
          <w:b w:val="0"/>
          <w:bCs w:val="0"/>
          <w:kern w:val="0"/>
          <w:sz w:val="28"/>
          <w:szCs w:val="28"/>
          <w:highlight w:val="none"/>
          <w:lang w:val="zh-CN"/>
        </w:rPr>
        <w:t>2.法定代表人身份证明书（格式见附件2）、法人或者其他组织的营业执照等证明文件，自然人的身份证明；</w:t>
      </w:r>
    </w:p>
    <w:p w14:paraId="4FCD17F0">
      <w:pPr>
        <w:adjustRightInd w:val="0"/>
        <w:snapToGrid w:val="0"/>
        <w:spacing w:line="500" w:lineRule="exact"/>
        <w:ind w:firstLine="560" w:firstLineChars="200"/>
        <w:rPr>
          <w:rFonts w:hint="eastAsia" w:ascii="仿宋" w:hAnsi="仿宋" w:eastAsia="仿宋" w:cs="仿宋"/>
          <w:b w:val="0"/>
          <w:bCs w:val="0"/>
          <w:kern w:val="0"/>
          <w:sz w:val="28"/>
          <w:szCs w:val="28"/>
          <w:highlight w:val="none"/>
          <w:lang w:val="zh-CN"/>
        </w:rPr>
      </w:pPr>
      <w:r>
        <w:rPr>
          <w:rFonts w:hint="eastAsia" w:ascii="仿宋" w:hAnsi="仿宋" w:eastAsia="仿宋" w:cs="仿宋"/>
          <w:b w:val="0"/>
          <w:bCs w:val="0"/>
          <w:kern w:val="0"/>
          <w:sz w:val="28"/>
          <w:szCs w:val="28"/>
          <w:highlight w:val="none"/>
          <w:lang w:val="zh-CN"/>
        </w:rPr>
        <w:t>3.法定代表人授权委托书原件（格式见附件3，法定代表人参加的，无需提供授权委托书），谈判代表本人身份证复印件；</w:t>
      </w:r>
    </w:p>
    <w:p w14:paraId="1C831521">
      <w:pPr>
        <w:adjustRightInd w:val="0"/>
        <w:snapToGrid w:val="0"/>
        <w:spacing w:line="500" w:lineRule="exact"/>
        <w:ind w:firstLine="560" w:firstLineChars="200"/>
        <w:rPr>
          <w:rFonts w:hint="eastAsia" w:ascii="仿宋" w:hAnsi="仿宋" w:eastAsia="仿宋" w:cs="仿宋"/>
          <w:b w:val="0"/>
          <w:bCs w:val="0"/>
          <w:kern w:val="0"/>
          <w:sz w:val="28"/>
          <w:szCs w:val="28"/>
          <w:highlight w:val="none"/>
          <w:lang w:val="zh-CN"/>
        </w:rPr>
      </w:pPr>
      <w:r>
        <w:rPr>
          <w:rFonts w:hint="eastAsia" w:ascii="仿宋" w:hAnsi="仿宋" w:eastAsia="仿宋" w:cs="仿宋"/>
          <w:b w:val="0"/>
          <w:bCs w:val="0"/>
          <w:kern w:val="0"/>
          <w:sz w:val="28"/>
          <w:szCs w:val="28"/>
          <w:highlight w:val="none"/>
          <w:lang w:val="zh-CN"/>
        </w:rPr>
        <w:t>4.有效的营业执照复印件；</w:t>
      </w:r>
    </w:p>
    <w:p w14:paraId="10DDB963">
      <w:pPr>
        <w:adjustRightInd w:val="0"/>
        <w:snapToGrid w:val="0"/>
        <w:spacing w:line="500" w:lineRule="exact"/>
        <w:ind w:firstLine="560" w:firstLineChars="200"/>
        <w:rPr>
          <w:rFonts w:hint="eastAsia" w:ascii="仿宋" w:hAnsi="仿宋" w:eastAsia="仿宋" w:cs="仿宋"/>
          <w:b w:val="0"/>
          <w:bCs w:val="0"/>
          <w:kern w:val="0"/>
          <w:sz w:val="28"/>
          <w:szCs w:val="28"/>
          <w:highlight w:val="none"/>
          <w:lang w:val="en-US" w:eastAsia="zh-CN"/>
        </w:rPr>
      </w:pPr>
      <w:r>
        <w:rPr>
          <w:rFonts w:hint="eastAsia" w:ascii="仿宋" w:hAnsi="仿宋" w:eastAsia="仿宋" w:cs="仿宋"/>
          <w:b w:val="0"/>
          <w:bCs w:val="0"/>
          <w:kern w:val="0"/>
          <w:sz w:val="28"/>
          <w:szCs w:val="28"/>
          <w:highlight w:val="none"/>
          <w:lang w:val="en-US" w:eastAsia="zh-CN"/>
        </w:rPr>
        <w:t>5.质保承诺书（</w:t>
      </w:r>
      <w:r>
        <w:rPr>
          <w:rFonts w:hint="eastAsia" w:ascii="仿宋" w:hAnsi="仿宋" w:eastAsia="仿宋" w:cs="仿宋"/>
          <w:b w:val="0"/>
          <w:bCs w:val="0"/>
          <w:kern w:val="0"/>
          <w:sz w:val="28"/>
          <w:szCs w:val="28"/>
          <w:highlight w:val="none"/>
          <w:lang w:val="zh-CN" w:eastAsia="zh-CN"/>
        </w:rPr>
        <w:t>格式见</w:t>
      </w:r>
      <w:r>
        <w:rPr>
          <w:rFonts w:hint="eastAsia" w:ascii="仿宋" w:hAnsi="仿宋" w:eastAsia="仿宋" w:cs="仿宋"/>
          <w:b w:val="0"/>
          <w:bCs w:val="0"/>
          <w:kern w:val="0"/>
          <w:sz w:val="28"/>
          <w:szCs w:val="28"/>
          <w:highlight w:val="none"/>
          <w:lang w:val="en-US" w:eastAsia="zh-CN"/>
        </w:rPr>
        <w:t>附件4）；</w:t>
      </w:r>
    </w:p>
    <w:p w14:paraId="26DC11EE">
      <w:pPr>
        <w:adjustRightInd w:val="0"/>
        <w:snapToGrid w:val="0"/>
        <w:spacing w:line="500" w:lineRule="exact"/>
        <w:ind w:firstLine="560" w:firstLineChars="200"/>
        <w:rPr>
          <w:rFonts w:hint="default" w:ascii="仿宋" w:hAnsi="仿宋" w:eastAsia="仿宋" w:cs="仿宋"/>
          <w:b w:val="0"/>
          <w:bCs w:val="0"/>
          <w:kern w:val="0"/>
          <w:sz w:val="28"/>
          <w:szCs w:val="28"/>
          <w:highlight w:val="none"/>
          <w:lang w:val="en-US" w:eastAsia="zh-CN"/>
        </w:rPr>
      </w:pPr>
      <w:r>
        <w:rPr>
          <w:rFonts w:hint="eastAsia" w:ascii="仿宋" w:hAnsi="仿宋" w:eastAsia="仿宋" w:cs="仿宋"/>
          <w:b w:val="0"/>
          <w:bCs w:val="0"/>
          <w:kern w:val="0"/>
          <w:sz w:val="28"/>
          <w:szCs w:val="28"/>
          <w:highlight w:val="none"/>
          <w:lang w:val="en-US" w:eastAsia="zh-CN"/>
        </w:rPr>
        <w:t>6.供应商信用承诺书（格式见附件5）</w:t>
      </w:r>
    </w:p>
    <w:p w14:paraId="57346DDC">
      <w:pPr>
        <w:adjustRightInd w:val="0"/>
        <w:snapToGrid w:val="0"/>
        <w:spacing w:line="500" w:lineRule="exact"/>
        <w:ind w:firstLine="560" w:firstLineChars="200"/>
        <w:rPr>
          <w:rFonts w:hint="eastAsia" w:ascii="仿宋" w:hAnsi="仿宋" w:eastAsia="仿宋" w:cs="仿宋"/>
          <w:b w:val="0"/>
          <w:bCs w:val="0"/>
          <w:kern w:val="0"/>
          <w:sz w:val="28"/>
          <w:szCs w:val="28"/>
          <w:highlight w:val="none"/>
          <w:lang w:val="zh-CN" w:eastAsia="zh-CN"/>
        </w:rPr>
      </w:pPr>
      <w:r>
        <w:rPr>
          <w:rFonts w:hint="eastAsia" w:ascii="仿宋" w:hAnsi="仿宋" w:eastAsia="仿宋" w:cs="仿宋"/>
          <w:b w:val="0"/>
          <w:bCs w:val="0"/>
          <w:kern w:val="0"/>
          <w:sz w:val="28"/>
          <w:szCs w:val="28"/>
          <w:highlight w:val="none"/>
          <w:lang w:val="en-US" w:eastAsia="zh-CN"/>
        </w:rPr>
        <w:t>7.参加政府采购活动前 3 年内在经营</w:t>
      </w:r>
      <w:r>
        <w:rPr>
          <w:rFonts w:hint="eastAsia" w:ascii="仿宋" w:hAnsi="仿宋" w:eastAsia="仿宋" w:cs="仿宋"/>
          <w:b w:val="0"/>
          <w:bCs w:val="0"/>
          <w:kern w:val="0"/>
          <w:sz w:val="28"/>
          <w:szCs w:val="28"/>
          <w:highlight w:val="none"/>
          <w:lang w:val="zh-CN"/>
        </w:rPr>
        <w:t>活动中没有重大违法记录和失信记录的书面声明</w:t>
      </w:r>
      <w:r>
        <w:rPr>
          <w:rFonts w:hint="eastAsia" w:ascii="仿宋" w:hAnsi="仿宋" w:eastAsia="仿宋" w:cs="仿宋"/>
          <w:b w:val="0"/>
          <w:bCs w:val="0"/>
          <w:kern w:val="0"/>
          <w:sz w:val="28"/>
          <w:szCs w:val="28"/>
          <w:highlight w:val="none"/>
          <w:lang w:val="zh-CN" w:eastAsia="zh-CN"/>
        </w:rPr>
        <w:t>（</w:t>
      </w:r>
      <w:r>
        <w:rPr>
          <w:rFonts w:hint="eastAsia" w:ascii="仿宋" w:hAnsi="仿宋" w:eastAsia="仿宋" w:cs="仿宋"/>
          <w:b w:val="0"/>
          <w:bCs w:val="0"/>
          <w:kern w:val="0"/>
          <w:sz w:val="28"/>
          <w:szCs w:val="28"/>
          <w:highlight w:val="none"/>
          <w:lang w:val="en-US" w:eastAsia="zh-CN"/>
        </w:rPr>
        <w:t>格式见附件6</w:t>
      </w:r>
      <w:r>
        <w:rPr>
          <w:rFonts w:hint="eastAsia" w:ascii="仿宋" w:hAnsi="仿宋" w:eastAsia="仿宋" w:cs="仿宋"/>
          <w:b w:val="0"/>
          <w:bCs w:val="0"/>
          <w:kern w:val="0"/>
          <w:sz w:val="28"/>
          <w:szCs w:val="28"/>
          <w:highlight w:val="none"/>
          <w:lang w:val="zh-CN" w:eastAsia="zh-CN"/>
        </w:rPr>
        <w:t>）；</w:t>
      </w:r>
    </w:p>
    <w:p w14:paraId="68EE620E">
      <w:pPr>
        <w:adjustRightInd w:val="0"/>
        <w:snapToGrid w:val="0"/>
        <w:spacing w:line="500" w:lineRule="exact"/>
        <w:ind w:firstLine="560" w:firstLineChars="200"/>
        <w:rPr>
          <w:rFonts w:ascii="Times New Roman" w:hAnsi="Times New Roman" w:eastAsia="方正仿宋_GBK"/>
          <w:bCs/>
          <w:kern w:val="0"/>
          <w:sz w:val="28"/>
          <w:szCs w:val="28"/>
          <w:highlight w:val="none"/>
          <w:lang w:val="zh-CN"/>
        </w:rPr>
      </w:pPr>
      <w:r>
        <w:rPr>
          <w:rFonts w:hint="eastAsia" w:ascii="Times New Roman" w:hAnsi="Times New Roman" w:eastAsia="方正仿宋_GBK"/>
          <w:kern w:val="0"/>
          <w:sz w:val="28"/>
          <w:szCs w:val="28"/>
          <w:highlight w:val="none"/>
          <w:lang w:val="en-US" w:eastAsia="zh-CN"/>
        </w:rPr>
        <w:t>8</w:t>
      </w:r>
      <w:r>
        <w:rPr>
          <w:rFonts w:ascii="Times New Roman" w:hAnsi="Times New Roman" w:eastAsia="方正仿宋_GBK"/>
          <w:bCs/>
          <w:kern w:val="0"/>
          <w:sz w:val="28"/>
          <w:szCs w:val="28"/>
          <w:highlight w:val="none"/>
          <w:lang w:val="zh-CN"/>
        </w:rPr>
        <w:t>.</w:t>
      </w:r>
      <w:r>
        <w:rPr>
          <w:rFonts w:hint="eastAsia" w:ascii="Times New Roman" w:hAnsi="Times New Roman" w:eastAsia="方正仿宋_GBK"/>
          <w:bCs/>
          <w:kern w:val="0"/>
          <w:sz w:val="28"/>
          <w:szCs w:val="28"/>
          <w:highlight w:val="none"/>
          <w:lang w:val="zh-CN"/>
        </w:rPr>
        <w:t>询价响应函</w:t>
      </w:r>
      <w:r>
        <w:rPr>
          <w:rFonts w:ascii="Times New Roman" w:hAnsi="Times New Roman" w:eastAsia="方正仿宋_GBK"/>
          <w:bCs/>
          <w:kern w:val="0"/>
          <w:sz w:val="28"/>
          <w:szCs w:val="28"/>
          <w:highlight w:val="none"/>
          <w:lang w:val="zh-CN"/>
        </w:rPr>
        <w:t>（格式见附件</w:t>
      </w:r>
      <w:r>
        <w:rPr>
          <w:rFonts w:hint="eastAsia" w:ascii="Times New Roman" w:hAnsi="Times New Roman" w:eastAsia="方正仿宋_GBK"/>
          <w:bCs/>
          <w:kern w:val="0"/>
          <w:sz w:val="28"/>
          <w:szCs w:val="28"/>
          <w:highlight w:val="none"/>
          <w:lang w:val="en-US" w:eastAsia="zh-CN"/>
        </w:rPr>
        <w:t>8</w:t>
      </w:r>
      <w:r>
        <w:rPr>
          <w:rFonts w:ascii="Times New Roman" w:hAnsi="Times New Roman" w:eastAsia="方正仿宋_GBK"/>
          <w:bCs/>
          <w:kern w:val="0"/>
          <w:sz w:val="28"/>
          <w:szCs w:val="28"/>
          <w:highlight w:val="none"/>
          <w:lang w:val="zh-CN"/>
        </w:rPr>
        <w:t>）；</w:t>
      </w:r>
    </w:p>
    <w:p w14:paraId="5CF12CC2">
      <w:pPr>
        <w:adjustRightInd w:val="0"/>
        <w:snapToGrid w:val="0"/>
        <w:spacing w:line="500" w:lineRule="exact"/>
        <w:ind w:firstLine="560" w:firstLineChars="200"/>
        <w:rPr>
          <w:rFonts w:eastAsia="方正仿宋_GBK"/>
          <w:bCs/>
          <w:kern w:val="0"/>
          <w:sz w:val="28"/>
          <w:szCs w:val="28"/>
          <w:highlight w:val="none"/>
          <w:lang w:val="zh-CN"/>
        </w:rPr>
      </w:pPr>
      <w:r>
        <w:rPr>
          <w:rFonts w:hint="eastAsia" w:ascii="Times New Roman" w:hAnsi="Times New Roman" w:eastAsia="方正仿宋_GBK"/>
          <w:kern w:val="0"/>
          <w:sz w:val="28"/>
          <w:szCs w:val="28"/>
          <w:highlight w:val="none"/>
          <w:lang w:val="en-US" w:eastAsia="zh-CN"/>
        </w:rPr>
        <w:t>9</w:t>
      </w:r>
      <w:r>
        <w:rPr>
          <w:rFonts w:ascii="Times New Roman" w:hAnsi="Times New Roman" w:eastAsia="方正仿宋_GBK"/>
          <w:bCs/>
          <w:kern w:val="0"/>
          <w:sz w:val="28"/>
          <w:szCs w:val="28"/>
          <w:highlight w:val="none"/>
          <w:lang w:val="zh-CN"/>
        </w:rPr>
        <w:t>.</w:t>
      </w:r>
      <w:r>
        <w:rPr>
          <w:rFonts w:eastAsia="方正仿宋_GBK"/>
          <w:bCs/>
          <w:kern w:val="0"/>
          <w:sz w:val="28"/>
          <w:szCs w:val="28"/>
          <w:highlight w:val="none"/>
          <w:lang w:val="zh-CN"/>
        </w:rPr>
        <w:t>商务部分正负偏离表（格式见附件</w:t>
      </w:r>
      <w:r>
        <w:rPr>
          <w:rFonts w:hint="eastAsia" w:eastAsia="方正仿宋_GBK"/>
          <w:bCs/>
          <w:kern w:val="0"/>
          <w:sz w:val="28"/>
          <w:szCs w:val="28"/>
          <w:highlight w:val="none"/>
          <w:lang w:val="en-US" w:eastAsia="zh-CN"/>
        </w:rPr>
        <w:t>9</w:t>
      </w:r>
      <w:r>
        <w:rPr>
          <w:rFonts w:eastAsia="方正仿宋_GBK"/>
          <w:bCs/>
          <w:kern w:val="0"/>
          <w:sz w:val="28"/>
          <w:szCs w:val="28"/>
          <w:highlight w:val="none"/>
          <w:lang w:val="zh-CN"/>
        </w:rPr>
        <w:t>）</w:t>
      </w:r>
      <w:r>
        <w:rPr>
          <w:rFonts w:hint="eastAsia" w:eastAsia="方正仿宋_GBK"/>
          <w:bCs/>
          <w:kern w:val="0"/>
          <w:sz w:val="28"/>
          <w:szCs w:val="28"/>
          <w:highlight w:val="none"/>
          <w:lang w:val="zh-CN"/>
        </w:rPr>
        <w:t>、</w:t>
      </w:r>
      <w:r>
        <w:rPr>
          <w:rFonts w:eastAsia="方正仿宋_GBK"/>
          <w:bCs/>
          <w:kern w:val="0"/>
          <w:sz w:val="28"/>
          <w:szCs w:val="28"/>
          <w:highlight w:val="none"/>
          <w:lang w:val="zh-CN"/>
        </w:rPr>
        <w:t>技术部分正负偏离表（格式见附件</w:t>
      </w:r>
      <w:r>
        <w:rPr>
          <w:rFonts w:hint="eastAsia" w:eastAsia="方正仿宋_GBK"/>
          <w:bCs/>
          <w:kern w:val="0"/>
          <w:sz w:val="28"/>
          <w:szCs w:val="28"/>
          <w:highlight w:val="none"/>
          <w:lang w:val="en-US" w:eastAsia="zh-CN"/>
        </w:rPr>
        <w:t>10</w:t>
      </w:r>
      <w:r>
        <w:rPr>
          <w:rFonts w:eastAsia="方正仿宋_GBK"/>
          <w:bCs/>
          <w:kern w:val="0"/>
          <w:sz w:val="28"/>
          <w:szCs w:val="28"/>
          <w:highlight w:val="none"/>
          <w:lang w:val="zh-CN"/>
        </w:rPr>
        <w:t>）</w:t>
      </w:r>
      <w:r>
        <w:rPr>
          <w:rFonts w:hint="eastAsia" w:eastAsia="方正仿宋_GBK"/>
          <w:bCs/>
          <w:kern w:val="0"/>
          <w:sz w:val="28"/>
          <w:szCs w:val="28"/>
          <w:highlight w:val="none"/>
          <w:lang w:val="zh-CN"/>
        </w:rPr>
        <w:t>。</w:t>
      </w:r>
    </w:p>
    <w:p w14:paraId="4D07959E">
      <w:pPr>
        <w:adjustRightInd w:val="0"/>
        <w:snapToGrid w:val="0"/>
        <w:spacing w:line="500" w:lineRule="exact"/>
        <w:ind w:firstLine="560" w:firstLineChars="200"/>
        <w:rPr>
          <w:rFonts w:hint="eastAsia"/>
          <w:highlight w:val="none"/>
          <w:lang w:val="zh-CN" w:eastAsia="zh-CN"/>
        </w:rPr>
      </w:pPr>
      <w:r>
        <w:rPr>
          <w:rFonts w:hint="eastAsia" w:eastAsia="方正仿宋_GBK"/>
          <w:bCs/>
          <w:kern w:val="0"/>
          <w:sz w:val="28"/>
          <w:szCs w:val="28"/>
          <w:highlight w:val="none"/>
          <w:lang w:val="zh-CN"/>
        </w:rPr>
        <w:t>填制正负偏离表，完全响应的，请以空白表列示。不完全响应的，必须在偏离表中列示；列示不全的，视同故意隐瞒。</w:t>
      </w:r>
    </w:p>
    <w:p w14:paraId="10FA2FD0">
      <w:pPr>
        <w:adjustRightInd w:val="0"/>
        <w:snapToGrid w:val="0"/>
        <w:spacing w:line="500" w:lineRule="exact"/>
        <w:ind w:firstLine="560" w:firstLineChars="200"/>
        <w:rPr>
          <w:rFonts w:hint="eastAsia" w:ascii="仿宋" w:hAnsi="仿宋" w:eastAsia="仿宋" w:cs="仿宋"/>
          <w:b w:val="0"/>
          <w:bCs w:val="0"/>
          <w:kern w:val="0"/>
          <w:sz w:val="28"/>
          <w:szCs w:val="28"/>
          <w:highlight w:val="none"/>
          <w:lang w:val="en-US" w:eastAsia="zh-CN"/>
        </w:rPr>
      </w:pPr>
      <w:r>
        <w:rPr>
          <w:rFonts w:hint="eastAsia" w:ascii="仿宋" w:hAnsi="仿宋" w:eastAsia="仿宋" w:cs="仿宋"/>
          <w:b w:val="0"/>
          <w:bCs w:val="0"/>
          <w:kern w:val="0"/>
          <w:sz w:val="28"/>
          <w:szCs w:val="28"/>
          <w:highlight w:val="none"/>
          <w:lang w:val="en-US" w:eastAsia="zh-CN"/>
        </w:rPr>
        <w:t>10.报价货物采购要求响应表（格式见附件7）；</w:t>
      </w:r>
    </w:p>
    <w:p w14:paraId="6335CBD3">
      <w:pPr>
        <w:adjustRightInd w:val="0"/>
        <w:snapToGrid w:val="0"/>
        <w:spacing w:line="500" w:lineRule="exact"/>
        <w:ind w:firstLine="560" w:firstLineChars="200"/>
        <w:rPr>
          <w:rFonts w:hint="eastAsia" w:ascii="仿宋" w:hAnsi="仿宋" w:eastAsia="仿宋" w:cs="仿宋"/>
          <w:b w:val="0"/>
          <w:bCs w:val="0"/>
          <w:kern w:val="0"/>
          <w:sz w:val="28"/>
          <w:szCs w:val="28"/>
          <w:highlight w:val="none"/>
          <w:lang w:val="en-US" w:eastAsia="zh-CN"/>
        </w:rPr>
      </w:pPr>
      <w:r>
        <w:rPr>
          <w:rFonts w:hint="eastAsia" w:ascii="仿宋" w:hAnsi="仿宋" w:eastAsia="仿宋" w:cs="仿宋"/>
          <w:b w:val="0"/>
          <w:bCs w:val="0"/>
          <w:kern w:val="0"/>
          <w:sz w:val="28"/>
          <w:szCs w:val="28"/>
          <w:highlight w:val="none"/>
          <w:lang w:val="en-US" w:eastAsia="zh-CN"/>
        </w:rPr>
        <w:t>11.报价总表及分项报价明细表（格式见附件11、12）；</w:t>
      </w:r>
    </w:p>
    <w:p w14:paraId="59ED3E3A">
      <w:pPr>
        <w:adjustRightInd w:val="0"/>
        <w:snapToGrid w:val="0"/>
        <w:spacing w:line="500" w:lineRule="exact"/>
        <w:ind w:firstLine="560" w:firstLineChars="200"/>
        <w:rPr>
          <w:rFonts w:hint="eastAsia" w:ascii="仿宋" w:hAnsi="仿宋" w:eastAsia="仿宋" w:cs="仿宋"/>
          <w:b w:val="0"/>
          <w:bCs w:val="0"/>
          <w:kern w:val="0"/>
          <w:sz w:val="28"/>
          <w:szCs w:val="28"/>
          <w:highlight w:val="none"/>
          <w:lang w:val="zh-CN"/>
        </w:rPr>
      </w:pPr>
      <w:r>
        <w:rPr>
          <w:rFonts w:hint="eastAsia" w:ascii="仿宋" w:hAnsi="仿宋" w:eastAsia="仿宋" w:cs="仿宋"/>
          <w:b w:val="0"/>
          <w:bCs w:val="0"/>
          <w:kern w:val="0"/>
          <w:sz w:val="28"/>
          <w:szCs w:val="28"/>
          <w:highlight w:val="none"/>
          <w:lang w:val="en-US" w:eastAsia="zh-CN"/>
        </w:rPr>
        <w:t>12.</w:t>
      </w:r>
      <w:r>
        <w:rPr>
          <w:rFonts w:hint="eastAsia" w:ascii="仿宋" w:hAnsi="仿宋" w:eastAsia="仿宋" w:cs="仿宋"/>
          <w:b w:val="0"/>
          <w:bCs w:val="0"/>
          <w:kern w:val="0"/>
          <w:sz w:val="28"/>
          <w:szCs w:val="28"/>
          <w:highlight w:val="none"/>
          <w:lang w:val="zh-CN"/>
        </w:rPr>
        <w:t>中小微企业声明函、福利企业等的说明材料（格式见附件</w:t>
      </w:r>
      <w:r>
        <w:rPr>
          <w:rFonts w:hint="eastAsia" w:ascii="仿宋" w:hAnsi="仿宋" w:eastAsia="仿宋" w:cs="仿宋"/>
          <w:b w:val="0"/>
          <w:bCs w:val="0"/>
          <w:kern w:val="0"/>
          <w:sz w:val="28"/>
          <w:szCs w:val="28"/>
          <w:highlight w:val="none"/>
          <w:lang w:val="en-US" w:eastAsia="zh-CN"/>
        </w:rPr>
        <w:t>13</w:t>
      </w:r>
      <w:r>
        <w:rPr>
          <w:rFonts w:hint="eastAsia" w:ascii="仿宋" w:hAnsi="仿宋" w:eastAsia="仿宋" w:cs="仿宋"/>
          <w:b w:val="0"/>
          <w:bCs w:val="0"/>
          <w:kern w:val="0"/>
          <w:sz w:val="28"/>
          <w:szCs w:val="28"/>
          <w:highlight w:val="none"/>
          <w:lang w:val="zh-CN"/>
        </w:rPr>
        <w:t>、</w:t>
      </w:r>
      <w:r>
        <w:rPr>
          <w:rFonts w:hint="eastAsia" w:ascii="仿宋" w:hAnsi="仿宋" w:eastAsia="仿宋" w:cs="仿宋"/>
          <w:b w:val="0"/>
          <w:bCs w:val="0"/>
          <w:kern w:val="0"/>
          <w:sz w:val="28"/>
          <w:szCs w:val="28"/>
          <w:highlight w:val="none"/>
          <w:lang w:val="en-US" w:eastAsia="zh-CN"/>
        </w:rPr>
        <w:t>14</w:t>
      </w:r>
      <w:r>
        <w:rPr>
          <w:rFonts w:hint="eastAsia" w:ascii="仿宋" w:hAnsi="仿宋" w:eastAsia="仿宋" w:cs="仿宋"/>
          <w:b w:val="0"/>
          <w:bCs w:val="0"/>
          <w:kern w:val="0"/>
          <w:sz w:val="28"/>
          <w:szCs w:val="28"/>
          <w:highlight w:val="none"/>
          <w:lang w:val="zh-CN"/>
        </w:rPr>
        <w:t>、</w:t>
      </w:r>
      <w:r>
        <w:rPr>
          <w:rFonts w:hint="eastAsia" w:ascii="仿宋" w:hAnsi="仿宋" w:eastAsia="仿宋" w:cs="仿宋"/>
          <w:b w:val="0"/>
          <w:bCs w:val="0"/>
          <w:kern w:val="0"/>
          <w:sz w:val="28"/>
          <w:szCs w:val="28"/>
          <w:highlight w:val="none"/>
          <w:lang w:val="en-US" w:eastAsia="zh-CN"/>
        </w:rPr>
        <w:t>15</w:t>
      </w:r>
      <w:r>
        <w:rPr>
          <w:rFonts w:hint="eastAsia" w:ascii="仿宋" w:hAnsi="仿宋" w:eastAsia="仿宋" w:cs="仿宋"/>
          <w:b w:val="0"/>
          <w:bCs w:val="0"/>
          <w:kern w:val="0"/>
          <w:sz w:val="28"/>
          <w:szCs w:val="28"/>
          <w:highlight w:val="none"/>
          <w:lang w:val="zh-CN"/>
        </w:rPr>
        <w:t>）；</w:t>
      </w:r>
    </w:p>
    <w:p w14:paraId="02E2C15B">
      <w:pPr>
        <w:adjustRightInd w:val="0"/>
        <w:snapToGrid w:val="0"/>
        <w:spacing w:line="500" w:lineRule="exact"/>
        <w:ind w:firstLine="560" w:firstLineChars="200"/>
        <w:rPr>
          <w:rFonts w:eastAsia="方正仿宋_GBK"/>
          <w:kern w:val="0"/>
          <w:sz w:val="28"/>
          <w:szCs w:val="28"/>
        </w:rPr>
      </w:pPr>
      <w:r>
        <w:rPr>
          <w:rFonts w:hint="eastAsia" w:ascii="仿宋" w:hAnsi="仿宋" w:eastAsia="仿宋" w:cs="仿宋"/>
          <w:b w:val="0"/>
          <w:bCs w:val="0"/>
          <w:kern w:val="0"/>
          <w:sz w:val="28"/>
          <w:szCs w:val="28"/>
          <w:highlight w:val="none"/>
          <w:lang w:val="en-US" w:eastAsia="zh-CN"/>
        </w:rPr>
        <w:t>13.</w:t>
      </w:r>
      <w:r>
        <w:rPr>
          <w:rFonts w:hint="eastAsia" w:eastAsia="方正仿宋_GBK"/>
          <w:kern w:val="0"/>
          <w:sz w:val="28"/>
          <w:szCs w:val="28"/>
        </w:rPr>
        <w:t>关于符合本国产品标准的声明函（格式见附件1</w:t>
      </w:r>
      <w:r>
        <w:rPr>
          <w:rFonts w:hint="eastAsia" w:eastAsia="方正仿宋_GBK"/>
          <w:kern w:val="0"/>
          <w:sz w:val="28"/>
          <w:szCs w:val="28"/>
          <w:lang w:val="en-US" w:eastAsia="zh-CN"/>
        </w:rPr>
        <w:t>6</w:t>
      </w:r>
      <w:r>
        <w:rPr>
          <w:rFonts w:hint="eastAsia" w:eastAsia="方正仿宋_GBK"/>
          <w:kern w:val="0"/>
          <w:sz w:val="28"/>
          <w:szCs w:val="28"/>
        </w:rPr>
        <w:t>，</w:t>
      </w:r>
      <w:r>
        <w:rPr>
          <w:rFonts w:hint="eastAsia" w:eastAsia="方正仿宋_GBK"/>
          <w:bCs/>
          <w:sz w:val="28"/>
          <w:szCs w:val="28"/>
        </w:rPr>
        <w:t>如不提供将不享受本国产品价格评审优惠。</w:t>
      </w:r>
      <w:r>
        <w:rPr>
          <w:rFonts w:hint="eastAsia" w:eastAsia="方正仿宋_GBK"/>
          <w:kern w:val="0"/>
          <w:sz w:val="28"/>
          <w:szCs w:val="28"/>
        </w:rPr>
        <w:t>）</w:t>
      </w:r>
      <w:r>
        <w:rPr>
          <w:rFonts w:hint="eastAsia" w:eastAsia="方正仿宋_GBK"/>
          <w:bCs/>
          <w:kern w:val="0"/>
          <w:sz w:val="28"/>
          <w:szCs w:val="28"/>
        </w:rPr>
        <w:t>。</w:t>
      </w:r>
    </w:p>
    <w:p w14:paraId="323F1974">
      <w:pPr>
        <w:adjustRightInd w:val="0"/>
        <w:snapToGrid w:val="0"/>
        <w:spacing w:line="500" w:lineRule="exact"/>
        <w:ind w:firstLine="560" w:firstLineChars="200"/>
        <w:rPr>
          <w:rFonts w:hint="eastAsia" w:ascii="仿宋" w:hAnsi="仿宋" w:eastAsia="仿宋" w:cs="仿宋"/>
          <w:b w:val="0"/>
          <w:bCs w:val="0"/>
          <w:kern w:val="0"/>
          <w:sz w:val="28"/>
          <w:szCs w:val="28"/>
          <w:highlight w:val="none"/>
          <w:lang w:val="en-US" w:eastAsia="zh-CN"/>
        </w:rPr>
      </w:pPr>
      <w:r>
        <w:rPr>
          <w:rFonts w:hint="eastAsia" w:ascii="仿宋" w:hAnsi="仿宋" w:eastAsia="仿宋" w:cs="仿宋"/>
          <w:b w:val="0"/>
          <w:bCs w:val="0"/>
          <w:kern w:val="0"/>
          <w:sz w:val="28"/>
          <w:szCs w:val="28"/>
          <w:highlight w:val="none"/>
          <w:lang w:val="en-US" w:eastAsia="zh-CN"/>
        </w:rPr>
        <w:t>14.本项目采购文件要求响应供应商提供的和响应供应商认为与本项目有关的并可以提供的其他材料。</w:t>
      </w:r>
    </w:p>
    <w:p w14:paraId="2DCABF7D">
      <w:pPr>
        <w:adjustRightInd w:val="0"/>
        <w:snapToGrid w:val="0"/>
        <w:spacing w:line="500" w:lineRule="exact"/>
        <w:ind w:firstLine="562" w:firstLineChars="200"/>
        <w:rPr>
          <w:rFonts w:hint="eastAsia" w:ascii="仿宋" w:hAnsi="仿宋" w:eastAsia="仿宋" w:cs="仿宋"/>
          <w:b/>
          <w:bCs/>
          <w:kern w:val="0"/>
          <w:sz w:val="28"/>
          <w:szCs w:val="28"/>
          <w:highlight w:val="none"/>
          <w:lang w:val="zh-CN"/>
        </w:rPr>
      </w:pPr>
      <w:r>
        <w:rPr>
          <w:rFonts w:hint="eastAsia" w:ascii="仿宋" w:hAnsi="仿宋" w:eastAsia="仿宋" w:cs="仿宋"/>
          <w:b/>
          <w:bCs/>
          <w:kern w:val="0"/>
          <w:sz w:val="28"/>
          <w:szCs w:val="28"/>
          <w:highlight w:val="none"/>
          <w:lang w:val="zh-CN"/>
        </w:rPr>
        <w:t>注：响应文件1份正本</w:t>
      </w:r>
      <w:r>
        <w:rPr>
          <w:rFonts w:hint="eastAsia" w:ascii="仿宋" w:hAnsi="仿宋" w:eastAsia="仿宋" w:cs="仿宋"/>
          <w:b/>
          <w:bCs/>
          <w:kern w:val="0"/>
          <w:sz w:val="28"/>
          <w:szCs w:val="28"/>
          <w:highlight w:val="none"/>
          <w:lang w:val="en-US" w:eastAsia="zh-CN"/>
        </w:rPr>
        <w:t>3</w:t>
      </w:r>
      <w:r>
        <w:rPr>
          <w:rFonts w:hint="eastAsia" w:ascii="仿宋" w:hAnsi="仿宋" w:eastAsia="仿宋" w:cs="仿宋"/>
          <w:b/>
          <w:bCs/>
          <w:kern w:val="0"/>
          <w:sz w:val="28"/>
          <w:szCs w:val="28"/>
          <w:highlight w:val="none"/>
          <w:lang w:val="zh-CN"/>
        </w:rPr>
        <w:t>份副本，响应文件中必须包含上述要求提供的所有材料的复印件并加盖报价单位公章，否则以未实质性响应采购文件处理。响应文件装订成册并密封，密封袋上标明：采购人名称、项目名称、供应商名称、响应文件名称，否则视为无效报价。</w:t>
      </w:r>
    </w:p>
    <w:p w14:paraId="54FC1D5F">
      <w:pPr>
        <w:adjustRightInd w:val="0"/>
        <w:snapToGrid w:val="0"/>
        <w:spacing w:line="500" w:lineRule="exact"/>
        <w:ind w:firstLine="562" w:firstLineChars="200"/>
        <w:jc w:val="left"/>
        <w:rPr>
          <w:rFonts w:hint="eastAsia" w:ascii="仿宋" w:hAnsi="仿宋" w:eastAsia="仿宋" w:cs="仿宋"/>
          <w:b/>
          <w:sz w:val="28"/>
          <w:szCs w:val="28"/>
          <w:highlight w:val="none"/>
        </w:rPr>
      </w:pPr>
    </w:p>
    <w:p w14:paraId="12EDF593">
      <w:pPr>
        <w:snapToGrid w:val="0"/>
        <w:spacing w:line="400" w:lineRule="exact"/>
        <w:ind w:firstLine="540" w:firstLineChars="192"/>
        <w:contextualSpacing/>
        <w:rPr>
          <w:rFonts w:hint="eastAsia" w:ascii="仿宋" w:hAnsi="仿宋" w:eastAsia="仿宋" w:cs="仿宋"/>
          <w:b/>
          <w:kern w:val="0"/>
          <w:sz w:val="28"/>
          <w:szCs w:val="28"/>
          <w:highlight w:val="none"/>
          <w:lang w:val="zh-CN"/>
        </w:rPr>
      </w:pPr>
    </w:p>
    <w:p w14:paraId="4DF2C9E4">
      <w:pPr>
        <w:pStyle w:val="2"/>
        <w:rPr>
          <w:rFonts w:hint="eastAsia" w:ascii="仿宋" w:hAnsi="仿宋" w:eastAsia="仿宋" w:cs="仿宋"/>
          <w:highlight w:val="none"/>
          <w:lang w:val="zh-CN"/>
        </w:rPr>
      </w:pPr>
    </w:p>
    <w:p w14:paraId="7680B4D5">
      <w:pPr>
        <w:rPr>
          <w:rFonts w:hint="eastAsia" w:ascii="仿宋" w:hAnsi="仿宋" w:eastAsia="仿宋" w:cs="仿宋"/>
          <w:color w:val="auto"/>
          <w:kern w:val="0"/>
          <w:sz w:val="32"/>
          <w:szCs w:val="32"/>
          <w:highlight w:val="none"/>
          <w:lang w:val="zh-CN"/>
        </w:rPr>
      </w:pPr>
      <w:r>
        <w:rPr>
          <w:rFonts w:hint="eastAsia" w:ascii="仿宋" w:hAnsi="仿宋" w:eastAsia="仿宋" w:cs="仿宋"/>
          <w:color w:val="auto"/>
          <w:kern w:val="0"/>
          <w:sz w:val="32"/>
          <w:szCs w:val="32"/>
          <w:highlight w:val="none"/>
          <w:lang w:val="zh-CN"/>
        </w:rPr>
        <w:br w:type="page"/>
      </w:r>
    </w:p>
    <w:p w14:paraId="0D0F12DB">
      <w:pPr>
        <w:snapToGrid w:val="0"/>
        <w:spacing w:line="400" w:lineRule="exact"/>
        <w:contextualSpacing/>
        <w:rPr>
          <w:rFonts w:hint="eastAsia" w:ascii="仿宋" w:hAnsi="仿宋" w:eastAsia="仿宋" w:cs="仿宋"/>
          <w:color w:val="auto"/>
          <w:kern w:val="0"/>
          <w:sz w:val="32"/>
          <w:szCs w:val="32"/>
          <w:highlight w:val="none"/>
          <w:lang w:val="zh-CN"/>
        </w:rPr>
      </w:pPr>
      <w:r>
        <w:rPr>
          <w:rFonts w:hint="eastAsia" w:ascii="仿宋" w:hAnsi="仿宋" w:eastAsia="仿宋" w:cs="仿宋"/>
          <w:color w:val="auto"/>
          <w:kern w:val="0"/>
          <w:sz w:val="32"/>
          <w:szCs w:val="32"/>
          <w:highlight w:val="none"/>
          <w:lang w:val="zh-CN"/>
        </w:rPr>
        <w:t>附件1</w:t>
      </w:r>
    </w:p>
    <w:p w14:paraId="1402BEFA">
      <w:pPr>
        <w:ind w:firstLine="602"/>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投标人符合《中华人民共和国政府采购法》第二十二条规定条件的声明函</w:t>
      </w:r>
    </w:p>
    <w:p w14:paraId="21349091">
      <w:pPr>
        <w:spacing w:line="460" w:lineRule="exact"/>
        <w:ind w:firstLine="482"/>
        <w:rPr>
          <w:rFonts w:hint="eastAsia" w:ascii="仿宋" w:hAnsi="仿宋" w:eastAsia="仿宋" w:cs="仿宋"/>
          <w:b/>
          <w:bCs/>
          <w:color w:val="auto"/>
          <w:sz w:val="44"/>
          <w:szCs w:val="44"/>
          <w:highlight w:val="none"/>
        </w:rPr>
      </w:pPr>
      <w:r>
        <w:rPr>
          <w:rFonts w:hint="eastAsia" w:ascii="仿宋" w:hAnsi="仿宋" w:eastAsia="仿宋" w:cs="仿宋"/>
          <w:b/>
          <w:bCs/>
          <w:color w:val="auto"/>
          <w:sz w:val="24"/>
          <w:szCs w:val="21"/>
          <w:highlight w:val="none"/>
        </w:rPr>
        <w:t xml:space="preserve">                       </w:t>
      </w:r>
      <w:r>
        <w:rPr>
          <w:rFonts w:hint="eastAsia" w:ascii="仿宋" w:hAnsi="仿宋" w:eastAsia="仿宋" w:cs="仿宋"/>
          <w:b/>
          <w:bCs/>
          <w:color w:val="auto"/>
          <w:sz w:val="44"/>
          <w:szCs w:val="44"/>
          <w:highlight w:val="none"/>
        </w:rPr>
        <w:t xml:space="preserve">   </w:t>
      </w:r>
    </w:p>
    <w:p w14:paraId="794EADB8">
      <w:pPr>
        <w:spacing w:line="52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bCs/>
          <w:color w:val="auto"/>
          <w:sz w:val="24"/>
          <w:highlight w:val="none"/>
        </w:rPr>
        <w:t>我单位参加</w:t>
      </w:r>
      <w:r>
        <w:rPr>
          <w:rFonts w:hint="eastAsia" w:ascii="仿宋" w:hAnsi="仿宋" w:eastAsia="仿宋" w:cs="仿宋"/>
          <w:bCs/>
          <w:color w:val="auto"/>
          <w:sz w:val="24"/>
          <w:szCs w:val="21"/>
          <w:highlight w:val="none"/>
          <w:u w:val="single"/>
        </w:rPr>
        <w:t>_启东市吕四港镇人民政府吕四港镇路灯电缆工程项目</w:t>
      </w:r>
      <w:r>
        <w:rPr>
          <w:rFonts w:hint="eastAsia" w:ascii="仿宋" w:hAnsi="仿宋" w:eastAsia="仿宋" w:cs="仿宋"/>
          <w:bCs/>
          <w:color w:val="auto"/>
          <w:sz w:val="24"/>
          <w:szCs w:val="21"/>
          <w:highlight w:val="none"/>
          <w:u w:val="single"/>
          <w:lang w:eastAsia="zh-CN"/>
        </w:rPr>
        <w:t>（四次）</w:t>
      </w:r>
      <w:r>
        <w:rPr>
          <w:rFonts w:hint="eastAsia" w:ascii="仿宋" w:hAnsi="仿宋" w:eastAsia="仿宋" w:cs="仿宋"/>
          <w:bCs/>
          <w:color w:val="auto"/>
          <w:sz w:val="24"/>
          <w:szCs w:val="21"/>
          <w:highlight w:val="none"/>
          <w:u w:val="single"/>
        </w:rPr>
        <w:t>_</w:t>
      </w:r>
      <w:r>
        <w:rPr>
          <w:rFonts w:hint="eastAsia" w:ascii="仿宋" w:hAnsi="仿宋" w:eastAsia="仿宋" w:cs="仿宋"/>
          <w:bCs/>
          <w:color w:val="auto"/>
          <w:sz w:val="24"/>
          <w:szCs w:val="21"/>
          <w:highlight w:val="none"/>
        </w:rPr>
        <w:t>（项目名称）的投标活动。针对《中华人民共和国政府采购法》第二十二条规定做出如下声明：</w:t>
      </w:r>
    </w:p>
    <w:p w14:paraId="227A3354">
      <w:pPr>
        <w:spacing w:line="520" w:lineRule="exact"/>
        <w:ind w:firstLine="480"/>
        <w:rPr>
          <w:rFonts w:hint="eastAsia" w:ascii="仿宋" w:hAnsi="仿宋" w:eastAsia="仿宋" w:cs="仿宋"/>
          <w:color w:val="auto"/>
          <w:sz w:val="24"/>
          <w:highlight w:val="none"/>
        </w:rPr>
      </w:pPr>
      <w:r>
        <w:rPr>
          <w:rFonts w:hint="eastAsia" w:ascii="仿宋" w:hAnsi="仿宋" w:eastAsia="仿宋" w:cs="仿宋"/>
          <w:bCs/>
          <w:color w:val="auto"/>
          <w:sz w:val="24"/>
          <w:szCs w:val="21"/>
          <w:highlight w:val="none"/>
        </w:rPr>
        <w:t>1.我单位具有独立承担民事责任的能力；</w:t>
      </w:r>
    </w:p>
    <w:p w14:paraId="39733801">
      <w:pPr>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2.我单位具有良好的商业信誉和健全的财务会计制度；</w:t>
      </w:r>
    </w:p>
    <w:p w14:paraId="2E452F19">
      <w:pPr>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3.我单位具有履行合同所必需的设备和专业技术能力；</w:t>
      </w:r>
    </w:p>
    <w:p w14:paraId="63DF5256">
      <w:pPr>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4.我单位有依法缴纳税收和社会保障资金的良好记录；</w:t>
      </w:r>
    </w:p>
    <w:p w14:paraId="38A6DF62">
      <w:pPr>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CFF5EA4">
      <w:pPr>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6.我单位满足法律、行政法规规定的其他条件。</w:t>
      </w:r>
    </w:p>
    <w:p w14:paraId="6970373F">
      <w:pPr>
        <w:spacing w:line="500" w:lineRule="exact"/>
        <w:ind w:firstLine="480"/>
        <w:rPr>
          <w:rFonts w:hint="eastAsia" w:ascii="仿宋" w:hAnsi="仿宋" w:eastAsia="仿宋" w:cs="仿宋"/>
          <w:color w:val="auto"/>
          <w:sz w:val="24"/>
          <w:highlight w:val="none"/>
        </w:rPr>
      </w:pPr>
    </w:p>
    <w:p w14:paraId="78923A73">
      <w:pPr>
        <w:spacing w:line="500" w:lineRule="exact"/>
        <w:ind w:firstLine="480"/>
        <w:rPr>
          <w:rFonts w:hint="eastAsia" w:ascii="仿宋" w:hAnsi="仿宋" w:eastAsia="仿宋" w:cs="仿宋"/>
          <w:color w:val="auto"/>
          <w:sz w:val="24"/>
          <w:highlight w:val="none"/>
        </w:rPr>
      </w:pPr>
    </w:p>
    <w:p w14:paraId="42AED228">
      <w:pPr>
        <w:spacing w:line="500" w:lineRule="exact"/>
        <w:ind w:firstLine="480"/>
        <w:rPr>
          <w:rFonts w:hint="eastAsia" w:ascii="仿宋" w:hAnsi="仿宋" w:eastAsia="仿宋" w:cs="仿宋"/>
          <w:bCs/>
          <w:color w:val="auto"/>
          <w:sz w:val="24"/>
          <w:szCs w:val="21"/>
          <w:highlight w:val="none"/>
        </w:rPr>
      </w:pPr>
    </w:p>
    <w:p w14:paraId="2EAE83B8">
      <w:pPr>
        <w:spacing w:line="500" w:lineRule="exact"/>
        <w:ind w:firstLine="480"/>
        <w:rPr>
          <w:rFonts w:hint="eastAsia" w:ascii="仿宋" w:hAnsi="仿宋" w:eastAsia="仿宋" w:cs="仿宋"/>
          <w:bCs/>
          <w:color w:val="auto"/>
          <w:sz w:val="24"/>
          <w:szCs w:val="21"/>
          <w:highlight w:val="none"/>
        </w:rPr>
      </w:pPr>
    </w:p>
    <w:p w14:paraId="1382BF81">
      <w:pPr>
        <w:spacing w:line="500" w:lineRule="exact"/>
        <w:ind w:firstLine="480"/>
        <w:rPr>
          <w:rFonts w:hint="eastAsia" w:ascii="仿宋" w:hAnsi="仿宋" w:eastAsia="仿宋" w:cs="仿宋"/>
          <w:bCs/>
          <w:color w:val="auto"/>
          <w:sz w:val="24"/>
          <w:szCs w:val="21"/>
          <w:highlight w:val="none"/>
        </w:rPr>
      </w:pPr>
    </w:p>
    <w:p w14:paraId="771DEA96">
      <w:pPr>
        <w:spacing w:line="460" w:lineRule="exact"/>
        <w:ind w:firstLine="480"/>
        <w:jc w:val="center"/>
        <w:rPr>
          <w:rFonts w:hint="eastAsia" w:ascii="仿宋" w:hAnsi="仿宋" w:eastAsia="仿宋" w:cs="仿宋"/>
          <w:bCs/>
          <w:color w:val="auto"/>
          <w:sz w:val="24"/>
          <w:szCs w:val="21"/>
          <w:highlight w:val="none"/>
        </w:rPr>
      </w:pPr>
      <w:r>
        <w:rPr>
          <w:rFonts w:hint="eastAsia" w:ascii="仿宋" w:hAnsi="仿宋" w:eastAsia="仿宋" w:cs="仿宋"/>
          <w:bCs/>
          <w:color w:val="auto"/>
          <w:sz w:val="24"/>
          <w:szCs w:val="21"/>
          <w:highlight w:val="none"/>
        </w:rPr>
        <w:t xml:space="preserve">                                             承诺人名称（公章）：</w:t>
      </w:r>
    </w:p>
    <w:p w14:paraId="68B8E91E">
      <w:pPr>
        <w:spacing w:line="460" w:lineRule="exact"/>
        <w:ind w:firstLine="480"/>
        <w:jc w:val="right"/>
        <w:rPr>
          <w:rFonts w:hint="eastAsia" w:ascii="仿宋" w:hAnsi="仿宋" w:eastAsia="仿宋" w:cs="仿宋"/>
          <w:bCs/>
          <w:color w:val="auto"/>
          <w:sz w:val="24"/>
          <w:szCs w:val="21"/>
          <w:highlight w:val="none"/>
        </w:rPr>
      </w:pPr>
      <w:r>
        <w:rPr>
          <w:rFonts w:hint="eastAsia" w:ascii="仿宋" w:hAnsi="仿宋" w:eastAsia="仿宋" w:cs="仿宋"/>
          <w:bCs/>
          <w:color w:val="auto"/>
          <w:sz w:val="24"/>
          <w:szCs w:val="21"/>
          <w:highlight w:val="none"/>
        </w:rPr>
        <w:t xml:space="preserve">    </w:t>
      </w:r>
    </w:p>
    <w:p w14:paraId="55436653">
      <w:pPr>
        <w:spacing w:line="460" w:lineRule="exact"/>
        <w:ind w:firstLine="480"/>
        <w:jc w:val="right"/>
        <w:rPr>
          <w:rFonts w:hint="eastAsia" w:ascii="仿宋" w:hAnsi="仿宋" w:eastAsia="仿宋" w:cs="仿宋"/>
          <w:bCs/>
          <w:color w:val="auto"/>
          <w:sz w:val="24"/>
          <w:szCs w:val="21"/>
          <w:highlight w:val="none"/>
        </w:rPr>
      </w:pPr>
      <w:r>
        <w:rPr>
          <w:rFonts w:hint="eastAsia" w:ascii="仿宋" w:hAnsi="仿宋" w:eastAsia="仿宋" w:cs="仿宋"/>
          <w:bCs/>
          <w:color w:val="auto"/>
          <w:sz w:val="24"/>
          <w:szCs w:val="21"/>
          <w:highlight w:val="none"/>
        </w:rPr>
        <w:t xml:space="preserve">                                 日期：</w:t>
      </w:r>
      <w:r>
        <w:rPr>
          <w:rFonts w:hint="eastAsia" w:ascii="仿宋" w:hAnsi="仿宋" w:eastAsia="仿宋" w:cs="仿宋"/>
          <w:bCs/>
          <w:color w:val="auto"/>
          <w:sz w:val="24"/>
          <w:szCs w:val="21"/>
          <w:highlight w:val="none"/>
          <w:u w:val="single"/>
        </w:rPr>
        <w:t>______</w:t>
      </w:r>
      <w:r>
        <w:rPr>
          <w:rFonts w:hint="eastAsia" w:ascii="仿宋" w:hAnsi="仿宋" w:eastAsia="仿宋" w:cs="仿宋"/>
          <w:bCs/>
          <w:color w:val="auto"/>
          <w:sz w:val="24"/>
          <w:szCs w:val="21"/>
          <w:highlight w:val="none"/>
        </w:rPr>
        <w:t>年</w:t>
      </w:r>
      <w:r>
        <w:rPr>
          <w:rFonts w:hint="eastAsia" w:ascii="仿宋" w:hAnsi="仿宋" w:eastAsia="仿宋" w:cs="仿宋"/>
          <w:bCs/>
          <w:color w:val="auto"/>
          <w:sz w:val="24"/>
          <w:szCs w:val="21"/>
          <w:highlight w:val="none"/>
          <w:u w:val="single"/>
        </w:rPr>
        <w:t xml:space="preserve">    </w:t>
      </w:r>
      <w:r>
        <w:rPr>
          <w:rFonts w:hint="eastAsia" w:ascii="仿宋" w:hAnsi="仿宋" w:eastAsia="仿宋" w:cs="仿宋"/>
          <w:bCs/>
          <w:color w:val="auto"/>
          <w:sz w:val="24"/>
          <w:szCs w:val="21"/>
          <w:highlight w:val="none"/>
        </w:rPr>
        <w:t>月</w:t>
      </w:r>
      <w:r>
        <w:rPr>
          <w:rFonts w:hint="eastAsia" w:ascii="仿宋" w:hAnsi="仿宋" w:eastAsia="仿宋" w:cs="仿宋"/>
          <w:bCs/>
          <w:color w:val="auto"/>
          <w:sz w:val="24"/>
          <w:szCs w:val="21"/>
          <w:highlight w:val="none"/>
          <w:u w:val="single"/>
        </w:rPr>
        <w:t xml:space="preserve">    </w:t>
      </w:r>
      <w:r>
        <w:rPr>
          <w:rFonts w:hint="eastAsia" w:ascii="仿宋" w:hAnsi="仿宋" w:eastAsia="仿宋" w:cs="仿宋"/>
          <w:bCs/>
          <w:color w:val="auto"/>
          <w:sz w:val="24"/>
          <w:szCs w:val="21"/>
          <w:highlight w:val="none"/>
        </w:rPr>
        <w:t>日</w:t>
      </w:r>
    </w:p>
    <w:p w14:paraId="018E5D75">
      <w:pPr>
        <w:spacing w:line="360" w:lineRule="auto"/>
        <w:ind w:firstLine="560"/>
        <w:rPr>
          <w:rFonts w:hint="eastAsia" w:ascii="仿宋" w:hAnsi="仿宋" w:eastAsia="仿宋" w:cs="仿宋"/>
          <w:bCs/>
          <w:color w:val="auto"/>
          <w:sz w:val="28"/>
          <w:szCs w:val="22"/>
          <w:highlight w:val="none"/>
        </w:rPr>
      </w:pPr>
    </w:p>
    <w:p w14:paraId="24EDCACE">
      <w:pPr>
        <w:spacing w:line="360" w:lineRule="auto"/>
        <w:ind w:firstLine="480"/>
        <w:rPr>
          <w:rFonts w:hint="eastAsia" w:ascii="仿宋" w:hAnsi="仿宋" w:eastAsia="仿宋" w:cs="仿宋"/>
          <w:bCs/>
          <w:color w:val="auto"/>
          <w:sz w:val="24"/>
          <w:szCs w:val="21"/>
          <w:highlight w:val="none"/>
        </w:rPr>
      </w:pPr>
      <w:r>
        <w:rPr>
          <w:rFonts w:hint="eastAsia" w:ascii="仿宋" w:hAnsi="仿宋" w:eastAsia="仿宋" w:cs="仿宋"/>
          <w:bCs/>
          <w:color w:val="auto"/>
          <w:sz w:val="24"/>
          <w:szCs w:val="21"/>
          <w:highlight w:val="none"/>
        </w:rPr>
        <w:br w:type="page"/>
      </w:r>
    </w:p>
    <w:p w14:paraId="188EB7FA">
      <w:pPr>
        <w:jc w:val="lef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附件2</w:t>
      </w:r>
    </w:p>
    <w:p w14:paraId="28FCA63C">
      <w:pPr>
        <w:spacing w:line="560" w:lineRule="exact"/>
        <w:ind w:firstLine="643"/>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法定代表人身份证明书</w:t>
      </w:r>
    </w:p>
    <w:p w14:paraId="67262BE0">
      <w:pPr>
        <w:spacing w:line="480" w:lineRule="exact"/>
        <w:ind w:firstLine="480"/>
        <w:rPr>
          <w:rFonts w:hint="eastAsia" w:ascii="仿宋" w:hAnsi="仿宋" w:eastAsia="仿宋" w:cs="仿宋"/>
          <w:color w:val="auto"/>
          <w:sz w:val="24"/>
          <w:highlight w:val="none"/>
        </w:rPr>
      </w:pPr>
    </w:p>
    <w:p w14:paraId="2DDDCEED">
      <w:pPr>
        <w:spacing w:line="480" w:lineRule="exact"/>
        <w:ind w:firstLine="4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先生/女士，身份证号码：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0A7A834F">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现任我单位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职务，为法定代表人，特此证明。</w:t>
      </w:r>
    </w:p>
    <w:p w14:paraId="085C9A0E">
      <w:pPr>
        <w:spacing w:line="480" w:lineRule="exact"/>
        <w:ind w:firstLine="480"/>
        <w:rPr>
          <w:rFonts w:hint="eastAsia" w:ascii="仿宋" w:hAnsi="仿宋" w:eastAsia="仿宋" w:cs="仿宋"/>
          <w:color w:val="auto"/>
          <w:sz w:val="24"/>
          <w:highlight w:val="none"/>
        </w:rPr>
      </w:pPr>
    </w:p>
    <w:p w14:paraId="4E6A8BCE">
      <w:pPr>
        <w:spacing w:after="120"/>
        <w:rPr>
          <w:rFonts w:hint="eastAsia" w:ascii="仿宋" w:hAnsi="仿宋" w:eastAsia="仿宋" w:cs="仿宋"/>
          <w:color w:val="auto"/>
          <w:szCs w:val="20"/>
          <w:highlight w:val="none"/>
        </w:rPr>
      </w:pPr>
    </w:p>
    <w:p w14:paraId="61928996">
      <w:pPr>
        <w:adjustRightInd w:val="0"/>
        <w:spacing w:line="480" w:lineRule="auto"/>
        <w:ind w:left="3255" w:leftChars="1550" w:firstLine="210" w:firstLineChars="100"/>
        <w:rPr>
          <w:rFonts w:hint="eastAsia" w:ascii="仿宋" w:hAnsi="仿宋" w:eastAsia="仿宋" w:cs="仿宋"/>
          <w:color w:val="auto"/>
          <w:sz w:val="24"/>
          <w:highlight w:val="none"/>
        </w:rPr>
      </w:pP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rPr>
        <w:t>单位名称(盖公章)：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0E0944DA">
      <w:pPr>
        <w:adjustRightInd w:val="0"/>
        <w:spacing w:line="480" w:lineRule="auto"/>
        <w:ind w:firstLine="5040" w:firstLineChars="21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B88E500">
      <w:pPr>
        <w:rPr>
          <w:rFonts w:hint="eastAsia" w:ascii="仿宋" w:hAnsi="仿宋" w:eastAsia="仿宋" w:cs="仿宋"/>
          <w:color w:val="auto"/>
          <w:highlight w:val="none"/>
        </w:rPr>
      </w:pPr>
    </w:p>
    <w:p w14:paraId="3D0484D0">
      <w:pPr>
        <w:widowControl/>
        <w:spacing w:line="360" w:lineRule="auto"/>
        <w:ind w:firstLine="482"/>
        <w:rPr>
          <w:rFonts w:hint="eastAsia" w:ascii="仿宋" w:hAnsi="仿宋" w:eastAsia="仿宋" w:cs="仿宋"/>
          <w:b/>
          <w:bCs/>
          <w:color w:val="auto"/>
          <w:kern w:val="0"/>
          <w:sz w:val="28"/>
          <w:szCs w:val="28"/>
          <w:highlight w:val="none"/>
        </w:rPr>
      </w:pPr>
      <w:r>
        <w:rPr>
          <w:rFonts w:hint="eastAsia" w:ascii="仿宋" w:hAnsi="仿宋" w:eastAsia="仿宋" w:cs="仿宋"/>
          <w:b/>
          <w:color w:val="auto"/>
          <w:sz w:val="24"/>
          <w:highlight w:val="none"/>
        </w:rPr>
        <w:t>附：法定代表人的身份证正反面复印件盖单位公章</w:t>
      </w:r>
    </w:p>
    <w:p w14:paraId="2A8E9C05">
      <w:pPr>
        <w:adjustRightInd w:val="0"/>
        <w:snapToGrid w:val="0"/>
        <w:spacing w:line="312" w:lineRule="auto"/>
        <w:ind w:firstLine="562" w:firstLineChars="200"/>
        <w:jc w:val="left"/>
        <w:rPr>
          <w:rFonts w:hint="eastAsia" w:ascii="仿宋" w:hAnsi="仿宋" w:eastAsia="仿宋" w:cs="仿宋"/>
          <w:b/>
          <w:color w:val="auto"/>
          <w:sz w:val="28"/>
          <w:szCs w:val="28"/>
          <w:highlight w:val="none"/>
        </w:rPr>
      </w:pPr>
    </w:p>
    <w:p w14:paraId="420E4C77">
      <w:pPr>
        <w:adjustRightInd w:val="0"/>
        <w:snapToGrid w:val="0"/>
        <w:spacing w:line="312" w:lineRule="auto"/>
        <w:jc w:val="left"/>
        <w:rPr>
          <w:rFonts w:hint="eastAsia" w:ascii="仿宋" w:hAnsi="仿宋" w:eastAsia="仿宋" w:cs="仿宋"/>
          <w:color w:val="auto"/>
          <w:sz w:val="32"/>
          <w:szCs w:val="32"/>
          <w:highlight w:val="none"/>
        </w:rPr>
      </w:pPr>
      <w:r>
        <w:rPr>
          <w:rFonts w:hint="eastAsia" w:ascii="仿宋" w:hAnsi="仿宋" w:eastAsia="仿宋" w:cs="仿宋"/>
          <w:b/>
          <w:bCs/>
          <w:color w:val="auto"/>
          <w:sz w:val="28"/>
          <w:szCs w:val="28"/>
          <w:highlight w:val="none"/>
        </w:rPr>
        <w:br w:type="page"/>
      </w:r>
      <w:r>
        <w:rPr>
          <w:rFonts w:hint="eastAsia" w:ascii="仿宋" w:hAnsi="仿宋" w:eastAsia="仿宋" w:cs="仿宋"/>
          <w:color w:val="auto"/>
          <w:sz w:val="32"/>
          <w:szCs w:val="32"/>
          <w:highlight w:val="none"/>
        </w:rPr>
        <w:t>附件3</w:t>
      </w:r>
    </w:p>
    <w:p w14:paraId="1870C8A7">
      <w:pPr>
        <w:spacing w:line="440" w:lineRule="exact"/>
        <w:jc w:val="center"/>
        <w:rPr>
          <w:rFonts w:hint="eastAsia" w:ascii="仿宋" w:hAnsi="仿宋" w:eastAsia="仿宋" w:cs="仿宋"/>
          <w:b/>
          <w:color w:val="auto"/>
          <w:sz w:val="32"/>
          <w:szCs w:val="32"/>
          <w:highlight w:val="none"/>
          <w:lang w:bidi="ar"/>
        </w:rPr>
      </w:pPr>
      <w:r>
        <w:rPr>
          <w:rFonts w:hint="eastAsia" w:ascii="仿宋" w:hAnsi="仿宋" w:eastAsia="仿宋" w:cs="仿宋"/>
          <w:b/>
          <w:color w:val="auto"/>
          <w:sz w:val="32"/>
          <w:szCs w:val="32"/>
          <w:highlight w:val="none"/>
          <w:lang w:bidi="ar"/>
        </w:rPr>
        <w:t>法</w:t>
      </w:r>
      <w:r>
        <w:rPr>
          <w:rFonts w:hint="eastAsia" w:ascii="仿宋" w:hAnsi="仿宋" w:eastAsia="仿宋" w:cs="仿宋"/>
          <w:color w:val="auto"/>
          <w:sz w:val="32"/>
          <w:szCs w:val="32"/>
          <w:highlight w:val="none"/>
          <w:lang w:bidi="ar"/>
        </w:rPr>
        <w:t xml:space="preserve"> </w:t>
      </w:r>
      <w:r>
        <w:rPr>
          <w:rFonts w:hint="eastAsia" w:ascii="仿宋" w:hAnsi="仿宋" w:eastAsia="仿宋" w:cs="仿宋"/>
          <w:b/>
          <w:color w:val="auto"/>
          <w:sz w:val="32"/>
          <w:szCs w:val="32"/>
          <w:highlight w:val="none"/>
          <w:lang w:bidi="ar"/>
        </w:rPr>
        <w:t>定 代 表 人 授 权 委 托 书</w:t>
      </w:r>
    </w:p>
    <w:p w14:paraId="195D6DC1">
      <w:pPr>
        <w:spacing w:line="440" w:lineRule="exact"/>
        <w:rPr>
          <w:rFonts w:hint="eastAsia" w:ascii="仿宋" w:hAnsi="仿宋" w:eastAsia="仿宋" w:cs="仿宋"/>
          <w:color w:val="auto"/>
          <w:sz w:val="24"/>
          <w:szCs w:val="24"/>
          <w:highlight w:val="none"/>
        </w:rPr>
      </w:pPr>
    </w:p>
    <w:p w14:paraId="6B679C4D">
      <w:pPr>
        <w:ind w:firstLine="560" w:firstLineChars="200"/>
        <w:rPr>
          <w:rFonts w:ascii="宋体" w:hAnsi="宋体"/>
          <w:sz w:val="28"/>
          <w:szCs w:val="28"/>
        </w:rPr>
      </w:pPr>
      <w:r>
        <w:rPr>
          <w:rFonts w:hint="eastAsia" w:ascii="宋体" w:hAnsi="宋体"/>
          <w:sz w:val="28"/>
          <w:szCs w:val="28"/>
        </w:rPr>
        <w:t>本人</w:t>
      </w:r>
      <w:r>
        <w:rPr>
          <w:rFonts w:hint="eastAsia" w:ascii="宋体" w:hAnsi="宋体"/>
          <w:sz w:val="24"/>
          <w:szCs w:val="21"/>
        </w:rPr>
        <w:t>_____</w:t>
      </w:r>
      <w:r>
        <w:rPr>
          <w:rFonts w:hint="eastAsia" w:ascii="宋体" w:hAnsi="宋体"/>
          <w:sz w:val="24"/>
          <w:szCs w:val="21"/>
          <w:u w:val="single"/>
        </w:rPr>
        <w:t>__</w:t>
      </w:r>
      <w:r>
        <w:rPr>
          <w:rFonts w:hint="eastAsia" w:ascii="宋体" w:hAnsi="宋体"/>
          <w:sz w:val="24"/>
          <w:szCs w:val="21"/>
        </w:rPr>
        <w:t>___</w:t>
      </w:r>
      <w:r>
        <w:rPr>
          <w:rFonts w:hint="eastAsia" w:ascii="宋体" w:hAnsi="宋体"/>
          <w:sz w:val="28"/>
          <w:szCs w:val="28"/>
        </w:rPr>
        <w:t>（姓名）系</w:t>
      </w:r>
      <w:r>
        <w:rPr>
          <w:rFonts w:hint="eastAsia" w:ascii="宋体" w:hAnsi="宋体"/>
          <w:sz w:val="24"/>
          <w:szCs w:val="21"/>
        </w:rPr>
        <w:t>_____</w:t>
      </w:r>
      <w:r>
        <w:rPr>
          <w:rFonts w:hint="eastAsia" w:ascii="宋体" w:hAnsi="宋体"/>
          <w:sz w:val="24"/>
          <w:szCs w:val="21"/>
          <w:u w:val="single"/>
        </w:rPr>
        <w:t>__</w:t>
      </w:r>
      <w:r>
        <w:rPr>
          <w:rFonts w:hint="eastAsia" w:ascii="宋体" w:hAnsi="宋体"/>
          <w:sz w:val="24"/>
          <w:szCs w:val="21"/>
        </w:rPr>
        <w:t>___</w:t>
      </w:r>
      <w:r>
        <w:rPr>
          <w:rFonts w:hint="eastAsia" w:ascii="宋体" w:hAnsi="宋体"/>
          <w:sz w:val="28"/>
          <w:szCs w:val="28"/>
        </w:rPr>
        <w:t>（授权单位名称）的法定代表人，现委托</w:t>
      </w:r>
      <w:r>
        <w:rPr>
          <w:rFonts w:hint="eastAsia" w:ascii="宋体" w:hAnsi="宋体"/>
          <w:sz w:val="24"/>
          <w:szCs w:val="21"/>
        </w:rPr>
        <w:t>_____</w:t>
      </w:r>
      <w:r>
        <w:rPr>
          <w:rFonts w:hint="eastAsia" w:ascii="宋体" w:hAnsi="宋体"/>
          <w:sz w:val="24"/>
          <w:szCs w:val="21"/>
          <w:u w:val="single"/>
        </w:rPr>
        <w:t>__</w:t>
      </w:r>
      <w:r>
        <w:rPr>
          <w:rFonts w:hint="eastAsia" w:ascii="宋体" w:hAnsi="宋体"/>
          <w:sz w:val="24"/>
          <w:szCs w:val="21"/>
        </w:rPr>
        <w:t>___</w:t>
      </w:r>
      <w:r>
        <w:rPr>
          <w:rFonts w:hint="eastAsia" w:ascii="宋体" w:hAnsi="宋体"/>
          <w:sz w:val="28"/>
          <w:szCs w:val="28"/>
        </w:rPr>
        <w:t>（姓名）（身份证号</w:t>
      </w:r>
      <w:r>
        <w:rPr>
          <w:rFonts w:hint="eastAsia" w:ascii="宋体" w:hAnsi="宋体"/>
          <w:sz w:val="24"/>
          <w:szCs w:val="21"/>
        </w:rPr>
        <w:t>_______</w:t>
      </w:r>
      <w:r>
        <w:rPr>
          <w:rFonts w:hint="eastAsia" w:ascii="宋体" w:hAnsi="宋体"/>
          <w:sz w:val="24"/>
          <w:szCs w:val="21"/>
          <w:u w:val="single"/>
        </w:rPr>
        <w:t>__</w:t>
      </w:r>
      <w:r>
        <w:rPr>
          <w:rFonts w:hint="eastAsia" w:ascii="宋体" w:hAnsi="宋体"/>
          <w:sz w:val="24"/>
          <w:szCs w:val="21"/>
        </w:rPr>
        <w:t>_____</w:t>
      </w:r>
      <w:r>
        <w:rPr>
          <w:rFonts w:hint="eastAsia" w:ascii="宋体" w:hAnsi="宋体"/>
          <w:sz w:val="24"/>
          <w:szCs w:val="21"/>
          <w:u w:val="single"/>
        </w:rPr>
        <w:t>__</w:t>
      </w:r>
      <w:r>
        <w:rPr>
          <w:rFonts w:hint="eastAsia" w:ascii="宋体" w:hAnsi="宋体"/>
          <w:sz w:val="24"/>
          <w:szCs w:val="21"/>
        </w:rPr>
        <w:t>_____</w:t>
      </w:r>
      <w:r>
        <w:rPr>
          <w:rFonts w:hint="eastAsia" w:ascii="宋体" w:hAnsi="宋体"/>
          <w:sz w:val="24"/>
          <w:szCs w:val="21"/>
          <w:u w:val="single"/>
        </w:rPr>
        <w:t>__</w:t>
      </w:r>
      <w:r>
        <w:rPr>
          <w:rFonts w:hint="eastAsia" w:ascii="宋体" w:hAnsi="宋体"/>
          <w:sz w:val="24"/>
          <w:szCs w:val="21"/>
        </w:rPr>
        <w:t>___，</w:t>
      </w:r>
      <w:r>
        <w:rPr>
          <w:rFonts w:hint="eastAsia" w:ascii="宋体" w:hAnsi="宋体"/>
          <w:sz w:val="28"/>
          <w:szCs w:val="28"/>
        </w:rPr>
        <w:t>联系电话__________）为我方代理人，以我方名义全权处理与</w:t>
      </w:r>
      <w:r>
        <w:rPr>
          <w:rFonts w:hint="eastAsia" w:ascii="宋体" w:hAnsi="宋体"/>
          <w:sz w:val="24"/>
          <w:szCs w:val="21"/>
          <w:u w:val="single"/>
        </w:rPr>
        <w:t>____________________</w:t>
      </w:r>
      <w:r>
        <w:rPr>
          <w:rFonts w:hint="eastAsia" w:ascii="宋体" w:hAnsi="宋体"/>
          <w:sz w:val="28"/>
          <w:szCs w:val="28"/>
          <w:u w:val="single"/>
        </w:rPr>
        <w:t>（项目名称）</w:t>
      </w:r>
      <w:r>
        <w:rPr>
          <w:rFonts w:hint="eastAsia" w:ascii="宋体" w:hAnsi="宋体"/>
          <w:sz w:val="28"/>
          <w:szCs w:val="28"/>
        </w:rPr>
        <w:t>有关的一切事务，其法律后果由我方承担。</w:t>
      </w:r>
    </w:p>
    <w:p w14:paraId="00E42612">
      <w:pPr>
        <w:ind w:firstLine="560" w:firstLineChars="200"/>
        <w:rPr>
          <w:rFonts w:ascii="宋体" w:hAnsi="宋体"/>
          <w:sz w:val="28"/>
          <w:szCs w:val="28"/>
        </w:rPr>
      </w:pPr>
      <w:r>
        <w:rPr>
          <w:rFonts w:hint="eastAsia" w:ascii="宋体" w:hAnsi="宋体"/>
          <w:sz w:val="28"/>
          <w:szCs w:val="28"/>
        </w:rPr>
        <w:t>本授权书于</w:t>
      </w:r>
      <w:r>
        <w:rPr>
          <w:rFonts w:hint="eastAsia" w:ascii="宋体" w:hAnsi="宋体"/>
          <w:sz w:val="24"/>
          <w:szCs w:val="21"/>
          <w:u w:val="single"/>
        </w:rPr>
        <w:t>____</w:t>
      </w:r>
      <w:r>
        <w:rPr>
          <w:rFonts w:hint="eastAsia" w:ascii="宋体" w:hAnsi="宋体"/>
          <w:sz w:val="28"/>
          <w:szCs w:val="28"/>
        </w:rPr>
        <w:t>年</w:t>
      </w:r>
      <w:r>
        <w:rPr>
          <w:rFonts w:hint="eastAsia" w:ascii="宋体" w:hAnsi="宋体"/>
          <w:sz w:val="24"/>
          <w:szCs w:val="21"/>
          <w:u w:val="single"/>
        </w:rPr>
        <w:t>____</w:t>
      </w:r>
      <w:r>
        <w:rPr>
          <w:rFonts w:hint="eastAsia" w:ascii="宋体" w:hAnsi="宋体"/>
          <w:sz w:val="28"/>
          <w:szCs w:val="28"/>
        </w:rPr>
        <w:t>月</w:t>
      </w:r>
      <w:r>
        <w:rPr>
          <w:rFonts w:hint="eastAsia" w:ascii="宋体" w:hAnsi="宋体"/>
          <w:sz w:val="24"/>
          <w:szCs w:val="21"/>
          <w:u w:val="single"/>
        </w:rPr>
        <w:t>____</w:t>
      </w:r>
      <w:r>
        <w:rPr>
          <w:rFonts w:hint="eastAsia" w:ascii="宋体" w:hAnsi="宋体"/>
          <w:sz w:val="28"/>
          <w:szCs w:val="28"/>
        </w:rPr>
        <w:t>日起生效。代理人无转委托权。</w:t>
      </w:r>
    </w:p>
    <w:p w14:paraId="4B9529D3">
      <w:pPr>
        <w:ind w:firstLine="420" w:firstLineChars="150"/>
        <w:rPr>
          <w:rFonts w:ascii="宋体" w:hAnsi="宋体"/>
          <w:sz w:val="28"/>
          <w:szCs w:val="28"/>
        </w:rPr>
      </w:pPr>
    </w:p>
    <w:p w14:paraId="347260B7">
      <w:pPr>
        <w:ind w:firstLine="420" w:firstLineChars="150"/>
        <w:rPr>
          <w:rFonts w:ascii="宋体" w:hAnsi="宋体"/>
          <w:sz w:val="24"/>
          <w:szCs w:val="21"/>
        </w:rPr>
      </w:pPr>
      <w:r>
        <w:rPr>
          <w:rFonts w:hint="eastAsia" w:ascii="宋体" w:hAnsi="宋体"/>
          <w:sz w:val="28"/>
          <w:szCs w:val="28"/>
        </w:rPr>
        <w:t>代理人(被授权人)签字：</w:t>
      </w:r>
      <w:r>
        <w:rPr>
          <w:rFonts w:hint="eastAsia" w:ascii="宋体" w:hAnsi="宋体"/>
          <w:sz w:val="24"/>
          <w:szCs w:val="21"/>
        </w:rPr>
        <w:t>_____</w:t>
      </w:r>
      <w:r>
        <w:rPr>
          <w:rFonts w:hint="eastAsia" w:ascii="宋体" w:hAnsi="宋体"/>
          <w:sz w:val="24"/>
          <w:szCs w:val="21"/>
          <w:u w:val="single"/>
        </w:rPr>
        <w:t>__</w:t>
      </w:r>
      <w:r>
        <w:rPr>
          <w:rFonts w:hint="eastAsia" w:ascii="宋体" w:hAnsi="宋体"/>
          <w:sz w:val="24"/>
          <w:szCs w:val="21"/>
        </w:rPr>
        <w:t>___</w:t>
      </w:r>
    </w:p>
    <w:p w14:paraId="22F5225A">
      <w:pPr>
        <w:ind w:firstLine="420" w:firstLineChars="150"/>
        <w:rPr>
          <w:rFonts w:ascii="宋体" w:hAnsi="宋体"/>
          <w:sz w:val="28"/>
          <w:szCs w:val="28"/>
        </w:rPr>
      </w:pPr>
      <w:r>
        <w:rPr>
          <w:rFonts w:hint="eastAsia" w:ascii="宋体" w:hAnsi="宋体"/>
          <w:sz w:val="28"/>
          <w:szCs w:val="28"/>
        </w:rPr>
        <w:t>授权单位名称（盖章）：</w:t>
      </w:r>
      <w:r>
        <w:rPr>
          <w:rFonts w:hint="eastAsia" w:ascii="宋体" w:hAnsi="宋体"/>
          <w:sz w:val="24"/>
          <w:szCs w:val="21"/>
        </w:rPr>
        <w:t>_____</w:t>
      </w:r>
      <w:r>
        <w:rPr>
          <w:rFonts w:hint="eastAsia" w:ascii="宋体" w:hAnsi="宋体"/>
          <w:sz w:val="24"/>
          <w:szCs w:val="21"/>
          <w:u w:val="single"/>
        </w:rPr>
        <w:t>__</w:t>
      </w:r>
      <w:r>
        <w:rPr>
          <w:rFonts w:hint="eastAsia" w:ascii="宋体" w:hAnsi="宋体"/>
          <w:sz w:val="24"/>
          <w:szCs w:val="21"/>
        </w:rPr>
        <w:t>___</w:t>
      </w:r>
    </w:p>
    <w:p w14:paraId="31339051">
      <w:pPr>
        <w:ind w:firstLine="420" w:firstLineChars="150"/>
        <w:rPr>
          <w:rFonts w:ascii="宋体" w:hAnsi="宋体"/>
          <w:sz w:val="28"/>
          <w:szCs w:val="28"/>
        </w:rPr>
      </w:pPr>
      <w:r>
        <w:rPr>
          <w:rFonts w:hint="eastAsia" w:ascii="宋体" w:hAnsi="宋体"/>
          <w:sz w:val="28"/>
          <w:szCs w:val="28"/>
        </w:rPr>
        <w:t>授权单位法定代表人（签字或盖章）：</w:t>
      </w:r>
      <w:r>
        <w:rPr>
          <w:rFonts w:hint="eastAsia" w:ascii="宋体" w:hAnsi="宋体"/>
          <w:sz w:val="24"/>
          <w:szCs w:val="21"/>
        </w:rPr>
        <w:t>_____</w:t>
      </w:r>
      <w:r>
        <w:rPr>
          <w:rFonts w:hint="eastAsia" w:ascii="宋体" w:hAnsi="宋体"/>
          <w:sz w:val="24"/>
          <w:szCs w:val="21"/>
          <w:u w:val="single"/>
        </w:rPr>
        <w:t>__</w:t>
      </w:r>
      <w:r>
        <w:rPr>
          <w:rFonts w:hint="eastAsia" w:ascii="宋体" w:hAnsi="宋体"/>
          <w:sz w:val="24"/>
          <w:szCs w:val="21"/>
        </w:rPr>
        <w:t>___</w:t>
      </w:r>
    </w:p>
    <w:p w14:paraId="4BBA8377">
      <w:pPr>
        <w:ind w:firstLine="560" w:firstLineChars="200"/>
        <w:rPr>
          <w:rFonts w:ascii="宋体" w:hAnsi="宋体"/>
          <w:sz w:val="28"/>
          <w:szCs w:val="28"/>
        </w:rPr>
      </w:pPr>
    </w:p>
    <w:p w14:paraId="4D5246D1">
      <w:pPr>
        <w:jc w:val="right"/>
        <w:rPr>
          <w:rFonts w:ascii="宋体" w:hAnsi="宋体"/>
          <w:sz w:val="28"/>
          <w:szCs w:val="28"/>
        </w:rPr>
      </w:pPr>
      <w:r>
        <w:rPr>
          <w:rFonts w:hint="eastAsia" w:ascii="宋体" w:hAnsi="宋体"/>
          <w:sz w:val="24"/>
          <w:szCs w:val="21"/>
        </w:rPr>
        <w:t>___</w:t>
      </w:r>
      <w:r>
        <w:rPr>
          <w:rFonts w:hint="eastAsia" w:ascii="宋体" w:hAnsi="宋体"/>
          <w:sz w:val="24"/>
          <w:szCs w:val="21"/>
          <w:u w:val="single"/>
        </w:rPr>
        <w:t>__</w:t>
      </w:r>
      <w:r>
        <w:rPr>
          <w:rFonts w:hint="eastAsia" w:ascii="宋体" w:hAnsi="宋体"/>
          <w:sz w:val="28"/>
          <w:szCs w:val="28"/>
        </w:rPr>
        <w:t>年</w:t>
      </w:r>
      <w:r>
        <w:rPr>
          <w:rFonts w:hint="eastAsia" w:ascii="宋体" w:hAnsi="宋体"/>
          <w:sz w:val="24"/>
          <w:szCs w:val="21"/>
        </w:rPr>
        <w:t>__</w:t>
      </w:r>
      <w:r>
        <w:rPr>
          <w:rFonts w:hint="eastAsia" w:ascii="宋体" w:hAnsi="宋体"/>
          <w:sz w:val="24"/>
          <w:szCs w:val="21"/>
          <w:u w:val="single"/>
        </w:rPr>
        <w:t>__</w:t>
      </w:r>
      <w:r>
        <w:rPr>
          <w:rFonts w:hint="eastAsia" w:ascii="宋体" w:hAnsi="宋体"/>
          <w:sz w:val="28"/>
          <w:szCs w:val="28"/>
        </w:rPr>
        <w:t>月</w:t>
      </w:r>
      <w:r>
        <w:rPr>
          <w:rFonts w:hint="eastAsia" w:ascii="宋体" w:hAnsi="宋体"/>
          <w:sz w:val="24"/>
          <w:szCs w:val="21"/>
        </w:rPr>
        <w:t>__</w:t>
      </w:r>
      <w:r>
        <w:rPr>
          <w:rFonts w:hint="eastAsia" w:ascii="宋体" w:hAnsi="宋体"/>
          <w:sz w:val="24"/>
          <w:szCs w:val="21"/>
          <w:u w:val="single"/>
        </w:rPr>
        <w:t>__</w:t>
      </w:r>
      <w:r>
        <w:rPr>
          <w:rFonts w:hint="eastAsia" w:ascii="宋体" w:hAnsi="宋体"/>
          <w:sz w:val="28"/>
          <w:szCs w:val="28"/>
        </w:rPr>
        <w:t>日</w:t>
      </w:r>
    </w:p>
    <w:p w14:paraId="3ED5AC9B">
      <w:pPr>
        <w:snapToGrid w:val="0"/>
        <w:spacing w:line="400" w:lineRule="exact"/>
        <w:ind w:firstLine="540" w:firstLineChars="192"/>
        <w:contextualSpacing/>
        <w:rPr>
          <w:rFonts w:ascii="宋体" w:hAnsi="宋体" w:cs="宋体"/>
          <w:b/>
          <w:kern w:val="0"/>
          <w:sz w:val="28"/>
          <w:szCs w:val="28"/>
        </w:rPr>
      </w:pPr>
    </w:p>
    <w:p w14:paraId="264B994A">
      <w:pPr>
        <w:adjustRightInd w:val="0"/>
        <w:snapToGrid w:val="0"/>
        <w:spacing w:line="312" w:lineRule="auto"/>
        <w:ind w:firstLine="562" w:firstLineChars="200"/>
        <w:jc w:val="left"/>
        <w:rPr>
          <w:rFonts w:ascii="宋体" w:hAnsi="宋体" w:cs="宋体"/>
          <w:b/>
          <w:kern w:val="0"/>
          <w:sz w:val="28"/>
          <w:szCs w:val="28"/>
        </w:rPr>
      </w:pPr>
      <w:r>
        <w:rPr>
          <w:rFonts w:hint="eastAsia" w:ascii="宋体" w:hAnsi="宋体" w:cs="宋体"/>
          <w:b/>
          <w:kern w:val="0"/>
          <w:sz w:val="28"/>
          <w:szCs w:val="28"/>
        </w:rPr>
        <w:t>附：代理人(被授权人)</w:t>
      </w:r>
      <w:r>
        <w:rPr>
          <w:rFonts w:ascii="宋体" w:hAnsi="宋体" w:cs="宋体"/>
          <w:b/>
          <w:kern w:val="0"/>
          <w:sz w:val="28"/>
          <w:szCs w:val="28"/>
        </w:rPr>
        <w:t>身份证复印件</w:t>
      </w:r>
      <w:r>
        <w:rPr>
          <w:rFonts w:hint="eastAsia" w:ascii="宋体" w:hAnsi="宋体" w:cs="宋体"/>
          <w:b/>
          <w:kern w:val="0"/>
          <w:sz w:val="28"/>
          <w:szCs w:val="28"/>
        </w:rPr>
        <w:t>盖公章</w:t>
      </w:r>
    </w:p>
    <w:p w14:paraId="2455B814">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1945204E">
      <w:pPr>
        <w:spacing w:line="312"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附件4</w:t>
      </w:r>
    </w:p>
    <w:p w14:paraId="52416624">
      <w:pPr>
        <w:pageBreakBefore w:val="0"/>
        <w:kinsoku/>
        <w:wordWrap/>
        <w:overflowPunct/>
        <w:topLinePunct w:val="0"/>
        <w:autoSpaceDE/>
        <w:autoSpaceDN/>
        <w:bidi w:val="0"/>
        <w:spacing w:beforeAutospacing="0" w:afterAutospacing="0" w:line="560" w:lineRule="exact"/>
        <w:jc w:val="center"/>
        <w:textAlignment w:val="auto"/>
        <w:rPr>
          <w:rFonts w:hint="eastAsia" w:ascii="仿宋" w:hAnsi="仿宋" w:eastAsia="仿宋" w:cs="仿宋"/>
          <w:color w:val="auto"/>
          <w:sz w:val="36"/>
          <w:szCs w:val="36"/>
          <w:highlight w:val="none"/>
        </w:rPr>
      </w:pPr>
      <w:r>
        <w:rPr>
          <w:rFonts w:hint="eastAsia" w:ascii="仿宋" w:hAnsi="仿宋" w:eastAsia="仿宋" w:cs="仿宋"/>
          <w:b/>
          <w:color w:val="auto"/>
          <w:sz w:val="36"/>
          <w:szCs w:val="36"/>
          <w:highlight w:val="none"/>
        </w:rPr>
        <w:t>质 保 承 诺 书</w:t>
      </w:r>
    </w:p>
    <w:p w14:paraId="745B4ED4">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启东市吕四港镇人民政府</w:t>
      </w:r>
      <w:r>
        <w:rPr>
          <w:rFonts w:hint="eastAsia" w:ascii="仿宋" w:hAnsi="仿宋" w:eastAsia="仿宋" w:cs="仿宋"/>
          <w:color w:val="auto"/>
          <w:sz w:val="28"/>
          <w:szCs w:val="28"/>
          <w:highlight w:val="none"/>
        </w:rPr>
        <w:t>：</w:t>
      </w:r>
    </w:p>
    <w:p w14:paraId="4A237A5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（报价供应商全称）</w:t>
      </w:r>
      <w:r>
        <w:rPr>
          <w:rFonts w:hint="eastAsia" w:ascii="仿宋" w:hAnsi="仿宋" w:eastAsia="仿宋" w:cs="仿宋"/>
          <w:color w:val="auto"/>
          <w:sz w:val="28"/>
          <w:szCs w:val="28"/>
          <w:highlight w:val="none"/>
        </w:rPr>
        <w:t>授权</w:t>
      </w:r>
      <w:r>
        <w:rPr>
          <w:rFonts w:hint="eastAsia" w:ascii="仿宋" w:hAnsi="仿宋" w:eastAsia="仿宋" w:cs="仿宋"/>
          <w:color w:val="auto"/>
          <w:sz w:val="28"/>
          <w:szCs w:val="28"/>
          <w:highlight w:val="none"/>
          <w:u w:val="single"/>
        </w:rPr>
        <w:t>（姓  名）（职  务）</w:t>
      </w:r>
      <w:r>
        <w:rPr>
          <w:rFonts w:hint="eastAsia" w:ascii="仿宋" w:hAnsi="仿宋" w:eastAsia="仿宋" w:cs="仿宋"/>
          <w:color w:val="auto"/>
          <w:sz w:val="28"/>
          <w:szCs w:val="28"/>
          <w:highlight w:val="none"/>
        </w:rPr>
        <w:t>为全权代表，参加</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u w:val="single"/>
          <w:lang w:val="en-US" w:eastAsia="zh-CN"/>
        </w:rPr>
        <w:t xml:space="preserve">启东市吕四港镇人民政府吕四港镇路灯电缆工程项目（四次） </w:t>
      </w:r>
      <w:r>
        <w:rPr>
          <w:rFonts w:hint="eastAsia" w:ascii="仿宋" w:hAnsi="仿宋" w:eastAsia="仿宋" w:cs="仿宋"/>
          <w:color w:val="auto"/>
          <w:sz w:val="28"/>
          <w:szCs w:val="28"/>
          <w:highlight w:val="none"/>
        </w:rPr>
        <w:t>的有关活动，并宣布同意如下：</w:t>
      </w:r>
    </w:p>
    <w:p w14:paraId="2216D21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我</w:t>
      </w:r>
      <w:r>
        <w:rPr>
          <w:rFonts w:hint="eastAsia" w:ascii="仿宋" w:hAnsi="仿宋" w:eastAsia="仿宋" w:cs="仿宋"/>
          <w:color w:val="auto"/>
          <w:sz w:val="28"/>
          <w:szCs w:val="28"/>
          <w:highlight w:val="none"/>
          <w:lang w:val="en-US" w:eastAsia="zh-CN"/>
        </w:rPr>
        <w:t>方保证所提供产品必须是全新、未使用过的符合采购需求、符合国家相关标准、行业标准、地方标准或者其他标准、规范，</w:t>
      </w:r>
      <w:r>
        <w:rPr>
          <w:rFonts w:hint="eastAsia" w:ascii="仿宋" w:hAnsi="仿宋" w:eastAsia="仿宋" w:cs="仿宋"/>
          <w:color w:val="auto"/>
          <w:sz w:val="28"/>
          <w:szCs w:val="28"/>
          <w:highlight w:val="none"/>
          <w:lang w:eastAsia="zh-CN"/>
        </w:rPr>
        <w:t>否则</w:t>
      </w:r>
      <w:r>
        <w:rPr>
          <w:rFonts w:hint="eastAsia" w:ascii="仿宋" w:hAnsi="仿宋" w:eastAsia="仿宋" w:cs="仿宋"/>
          <w:color w:val="auto"/>
          <w:sz w:val="28"/>
          <w:szCs w:val="28"/>
          <w:highlight w:val="none"/>
        </w:rPr>
        <w:t>我方承担所有损失。</w:t>
      </w:r>
    </w:p>
    <w:p w14:paraId="5EE5457A">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firstLine="560" w:firstLineChars="200"/>
        <w:textAlignment w:val="auto"/>
        <w:rPr>
          <w:rFonts w:hint="eastAsia" w:ascii="仿宋" w:hAnsi="仿宋" w:eastAsia="仿宋" w:cs="仿宋"/>
          <w:color w:val="auto"/>
          <w:kern w:val="2"/>
          <w:sz w:val="28"/>
          <w:szCs w:val="28"/>
          <w:highlight w:val="none"/>
          <w:lang w:val="zh-CN" w:eastAsia="zh-CN" w:bidi="ar-SA"/>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我方</w:t>
      </w:r>
      <w:r>
        <w:rPr>
          <w:rFonts w:hint="eastAsia" w:ascii="仿宋" w:hAnsi="仿宋" w:eastAsia="仿宋" w:cs="仿宋"/>
          <w:color w:val="auto"/>
          <w:sz w:val="28"/>
          <w:szCs w:val="28"/>
          <w:highlight w:val="none"/>
          <w:lang w:eastAsia="zh-CN"/>
        </w:rPr>
        <w:t>承诺</w:t>
      </w:r>
      <w:r>
        <w:rPr>
          <w:rFonts w:hint="eastAsia" w:ascii="仿宋" w:hAnsi="仿宋" w:eastAsia="仿宋" w:cs="仿宋"/>
          <w:color w:val="auto"/>
          <w:sz w:val="28"/>
          <w:szCs w:val="28"/>
          <w:highlight w:val="none"/>
          <w:lang w:val="en-US" w:eastAsia="zh-CN"/>
        </w:rPr>
        <w:t>本项目所有货物提供的质保期为三年。自采购人签发最终验收合格证书之日起，开始进入质保期（如果货物原厂承诺的保修期高于国家规定的保修期，则按原厂承诺的执行）</w:t>
      </w:r>
      <w:r>
        <w:rPr>
          <w:rFonts w:hint="eastAsia" w:ascii="仿宋" w:hAnsi="仿宋" w:eastAsia="仿宋" w:cs="仿宋"/>
          <w:color w:val="auto"/>
          <w:kern w:val="2"/>
          <w:sz w:val="28"/>
          <w:szCs w:val="28"/>
          <w:highlight w:val="none"/>
          <w:lang w:val="zh-CN" w:eastAsia="zh-CN" w:bidi="ar-SA"/>
        </w:rPr>
        <w:t>。</w:t>
      </w:r>
    </w:p>
    <w:p w14:paraId="131515A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zh-CN" w:eastAsia="zh-CN"/>
        </w:rPr>
        <w:t>在免费质量保修期内，我</w:t>
      </w:r>
      <w:r>
        <w:rPr>
          <w:rFonts w:hint="eastAsia" w:ascii="仿宋" w:hAnsi="仿宋" w:eastAsia="仿宋" w:cs="仿宋"/>
          <w:color w:val="auto"/>
          <w:sz w:val="28"/>
          <w:szCs w:val="28"/>
          <w:highlight w:val="none"/>
          <w:lang w:val="en-US" w:eastAsia="zh-CN"/>
        </w:rPr>
        <w:t>方提供的所有货物提供全免费上门质保（含部件及人工）及售后维保服务。我方接到采购人维修通知后应在24小时内响应，72小时内解决故障，否则每次支付违约金5000元。</w:t>
      </w:r>
    </w:p>
    <w:p w14:paraId="184D427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4.与本项目有关的一切</w:t>
      </w:r>
      <w:r>
        <w:rPr>
          <w:rFonts w:hint="eastAsia" w:ascii="仿宋" w:hAnsi="仿宋" w:eastAsia="仿宋" w:cs="仿宋"/>
          <w:color w:val="auto"/>
          <w:sz w:val="28"/>
          <w:szCs w:val="28"/>
          <w:highlight w:val="none"/>
        </w:rPr>
        <w:t>往来通讯请寄：</w:t>
      </w:r>
    </w:p>
    <w:p w14:paraId="17026F3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　邮编：</w:t>
      </w:r>
      <w:r>
        <w:rPr>
          <w:rFonts w:hint="eastAsia" w:ascii="仿宋" w:hAnsi="仿宋" w:eastAsia="仿宋" w:cs="仿宋"/>
          <w:color w:val="auto"/>
          <w:sz w:val="28"/>
          <w:szCs w:val="28"/>
          <w:highlight w:val="none"/>
          <w:u w:val="single"/>
        </w:rPr>
        <w:t>　　　　　　　　　</w:t>
      </w:r>
    </w:p>
    <w:p w14:paraId="4CB4B6DD">
      <w:pPr>
        <w:keepNext w:val="0"/>
        <w:keepLines w:val="0"/>
        <w:pageBreakBefore w:val="0"/>
        <w:widowControl w:val="0"/>
        <w:kinsoku/>
        <w:wordWrap/>
        <w:overflowPunct/>
        <w:topLinePunct w:val="0"/>
        <w:autoSpaceDE/>
        <w:autoSpaceDN/>
        <w:bidi w:val="0"/>
        <w:adjustRightInd/>
        <w:snapToGrid/>
        <w:spacing w:beforeAutospacing="0" w:afterAutospacing="0" w:line="480" w:lineRule="atLeas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　传真：</w:t>
      </w:r>
      <w:r>
        <w:rPr>
          <w:rFonts w:hint="eastAsia" w:ascii="仿宋" w:hAnsi="仿宋" w:eastAsia="仿宋" w:cs="仿宋"/>
          <w:color w:val="auto"/>
          <w:sz w:val="28"/>
          <w:szCs w:val="28"/>
          <w:highlight w:val="none"/>
          <w:u w:val="single"/>
        </w:rPr>
        <w:t>　　　　　　　　　</w:t>
      </w:r>
    </w:p>
    <w:p w14:paraId="6B5E5E5F">
      <w:pPr>
        <w:keepNext w:val="0"/>
        <w:keepLines w:val="0"/>
        <w:pageBreakBefore w:val="0"/>
        <w:widowControl w:val="0"/>
        <w:kinsoku/>
        <w:wordWrap/>
        <w:overflowPunct/>
        <w:topLinePunct w:val="0"/>
        <w:autoSpaceDE/>
        <w:autoSpaceDN/>
        <w:bidi w:val="0"/>
        <w:adjustRightInd/>
        <w:snapToGrid/>
        <w:spacing w:beforeAutospacing="0" w:afterAutospacing="0" w:line="480" w:lineRule="atLeas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报价单位代表：</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w:t>
      </w:r>
    </w:p>
    <w:p w14:paraId="0A68DBF1">
      <w:pPr>
        <w:keepNext w:val="0"/>
        <w:keepLines w:val="0"/>
        <w:pageBreakBefore w:val="0"/>
        <w:widowControl w:val="0"/>
        <w:kinsoku/>
        <w:wordWrap/>
        <w:overflowPunct/>
        <w:topLinePunct w:val="0"/>
        <w:autoSpaceDE/>
        <w:autoSpaceDN/>
        <w:bidi w:val="0"/>
        <w:adjustRightInd/>
        <w:snapToGrid/>
        <w:spacing w:beforeAutospacing="0" w:afterAutospacing="0" w:line="480" w:lineRule="atLeas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代表移动电话：</w:t>
      </w:r>
      <w:r>
        <w:rPr>
          <w:rFonts w:hint="eastAsia" w:ascii="仿宋" w:hAnsi="仿宋" w:eastAsia="仿宋" w:cs="仿宋"/>
          <w:color w:val="auto"/>
          <w:sz w:val="28"/>
          <w:szCs w:val="28"/>
          <w:highlight w:val="none"/>
          <w:u w:val="single"/>
        </w:rPr>
        <w:t>　　　　　　　　　</w:t>
      </w:r>
    </w:p>
    <w:p w14:paraId="3BA107CB">
      <w:pPr>
        <w:keepNext w:val="0"/>
        <w:keepLines w:val="0"/>
        <w:pageBreakBefore w:val="0"/>
        <w:widowControl w:val="0"/>
        <w:kinsoku/>
        <w:wordWrap/>
        <w:overflowPunct/>
        <w:topLinePunct w:val="0"/>
        <w:autoSpaceDE/>
        <w:autoSpaceDN/>
        <w:bidi w:val="0"/>
        <w:adjustRightInd/>
        <w:snapToGrid/>
        <w:spacing w:beforeAutospacing="0" w:afterAutospacing="0" w:line="480" w:lineRule="atLeast"/>
        <w:ind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eastAsia="zh-CN"/>
        </w:rPr>
        <w:t>供应商（盖公章）</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w:t>
      </w:r>
    </w:p>
    <w:p w14:paraId="7238F95F">
      <w:pPr>
        <w:keepNext w:val="0"/>
        <w:keepLines w:val="0"/>
        <w:pageBreakBefore w:val="0"/>
        <w:widowControl w:val="0"/>
        <w:kinsoku/>
        <w:wordWrap/>
        <w:overflowPunct/>
        <w:topLinePunct w:val="0"/>
        <w:autoSpaceDE/>
        <w:autoSpaceDN/>
        <w:bidi w:val="0"/>
        <w:adjustRightInd/>
        <w:snapToGrid w:val="0"/>
        <w:spacing w:line="480" w:lineRule="atLeast"/>
        <w:textAlignment w:val="auto"/>
        <w:outlineLvl w:val="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28"/>
          <w:szCs w:val="28"/>
          <w:highlight w:val="none"/>
        </w:rPr>
        <w:t xml:space="preserve">                                        年    月    日</w:t>
      </w:r>
    </w:p>
    <w:p w14:paraId="5348C95E">
      <w:pPr>
        <w:ind w:firstLine="640"/>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yellow"/>
        </w:rPr>
        <w:br w:type="page"/>
      </w:r>
    </w:p>
    <w:p w14:paraId="02F88F44">
      <w:pPr>
        <w:spacing w:line="312" w:lineRule="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附件</w:t>
      </w:r>
      <w:r>
        <w:rPr>
          <w:rFonts w:hint="eastAsia" w:ascii="仿宋" w:hAnsi="仿宋" w:eastAsia="仿宋" w:cs="仿宋"/>
          <w:sz w:val="32"/>
          <w:szCs w:val="32"/>
          <w:highlight w:val="none"/>
          <w:lang w:val="en-US" w:eastAsia="zh-CN"/>
        </w:rPr>
        <w:t>5</w:t>
      </w:r>
    </w:p>
    <w:p w14:paraId="7A674221">
      <w:pPr>
        <w:spacing w:before="240" w:line="312" w:lineRule="auto"/>
        <w:jc w:val="center"/>
        <w:rPr>
          <w:rFonts w:hint="eastAsia" w:ascii="仿宋" w:hAnsi="仿宋" w:eastAsia="仿宋" w:cs="仿宋"/>
          <w:b/>
          <w:sz w:val="32"/>
          <w:szCs w:val="32"/>
          <w:highlight w:val="none"/>
          <w:lang w:bidi="ar"/>
        </w:rPr>
      </w:pPr>
      <w:r>
        <w:rPr>
          <w:rFonts w:hint="eastAsia" w:ascii="仿宋" w:hAnsi="仿宋" w:eastAsia="仿宋" w:cs="仿宋"/>
          <w:b/>
          <w:sz w:val="32"/>
          <w:szCs w:val="32"/>
          <w:highlight w:val="none"/>
          <w:lang w:bidi="ar"/>
        </w:rPr>
        <w:t>供应商信用承诺书</w:t>
      </w:r>
    </w:p>
    <w:p w14:paraId="700AB57D">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bidi="ar"/>
        </w:rPr>
        <w:t>为营造公开、公平、公正的公共资源交易环境，树立诚信守法的投标人形象，本人代表本单位作出以下承诺：</w:t>
      </w:r>
    </w:p>
    <w:p w14:paraId="20AF258A">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bidi="ar"/>
        </w:rPr>
        <w:t>一、本单位对所提交的单位基本信息、单位负责人、项目负责人、技术负责人、从业资质和资格、业绩、财务状况、信誉等所有资料，均合法、真实、准确、有效，无任何伪造、修改、虚假成分；</w:t>
      </w:r>
    </w:p>
    <w:p w14:paraId="22CA3C69">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bidi="ar"/>
        </w:rPr>
        <w:t>二、严格依照国家和省、市、县关于招标投标等方面的法律、法规、规章、规范性文件，参加公共资源交易招标投标活动；积极履行社会责任，促进廉政建设；</w:t>
      </w:r>
    </w:p>
    <w:p w14:paraId="5FA33233">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bidi="ar"/>
        </w:rPr>
        <w:t>三、严格遵守即时信息公示规定，及时更新公共资源交易中心主体信息库中信息；</w:t>
      </w:r>
    </w:p>
    <w:p w14:paraId="75D857D0">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bidi="ar"/>
        </w:rPr>
        <w:t>四、自我约束、自我管理，守合同、重信用，不参与围标串标、弄虚作假、骗取中标、干扰评标、违约毁约、恶意投诉等行为，主动维护公共资源交易招标投标的良好秩序；</w:t>
      </w:r>
    </w:p>
    <w:p w14:paraId="164DA5A5">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bidi="ar"/>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37D5DFB5">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bidi="ar"/>
        </w:rPr>
        <w:t>六、自觉接受政府部门、行业组织、社会公众、新闻舆论等监督；</w:t>
      </w:r>
    </w:p>
    <w:p w14:paraId="3F7EC325">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bidi="ar"/>
        </w:rPr>
        <w:t>七、上述承诺已向本单位员工作了宣传教育；</w:t>
      </w:r>
    </w:p>
    <w:p w14:paraId="2C0A78AF">
      <w:pPr>
        <w:spacing w:line="360" w:lineRule="auto"/>
        <w:ind w:firstLine="482" w:firstLineChars="200"/>
        <w:rPr>
          <w:rFonts w:hint="eastAsia" w:ascii="仿宋" w:hAnsi="仿宋" w:eastAsia="仿宋" w:cs="仿宋"/>
          <w:b/>
          <w:kern w:val="0"/>
          <w:sz w:val="24"/>
          <w:highlight w:val="none"/>
          <w:lang w:val="zh-CN"/>
        </w:rPr>
      </w:pPr>
      <w:r>
        <w:rPr>
          <w:rFonts w:hint="eastAsia" w:ascii="仿宋" w:hAnsi="仿宋" w:eastAsia="仿宋" w:cs="仿宋"/>
          <w:b/>
          <w:kern w:val="0"/>
          <w:sz w:val="24"/>
          <w:highlight w:val="none"/>
          <w:lang w:val="zh-CN" w:bidi="ar"/>
        </w:rPr>
        <w:t>如有违反上述承诺的不良行为，本单位同意将其予以上网公示。</w:t>
      </w:r>
    </w:p>
    <w:p w14:paraId="429471E7">
      <w:pPr>
        <w:spacing w:line="360" w:lineRule="auto"/>
        <w:rPr>
          <w:rFonts w:hint="eastAsia" w:ascii="仿宋" w:hAnsi="仿宋" w:eastAsia="仿宋" w:cs="仿宋"/>
          <w:kern w:val="0"/>
          <w:sz w:val="24"/>
          <w:highlight w:val="none"/>
          <w:lang w:val="zh-CN"/>
        </w:rPr>
      </w:pPr>
    </w:p>
    <w:p w14:paraId="2F4942BE">
      <w:pPr>
        <w:spacing w:line="360" w:lineRule="auto"/>
        <w:ind w:firstLine="4560" w:firstLineChars="1900"/>
        <w:rPr>
          <w:rFonts w:hint="eastAsia" w:ascii="仿宋" w:hAnsi="仿宋" w:eastAsia="仿宋" w:cs="仿宋"/>
          <w:kern w:val="0"/>
          <w:sz w:val="24"/>
          <w:highlight w:val="none"/>
          <w:lang w:val="zh-CN"/>
        </w:rPr>
      </w:pPr>
    </w:p>
    <w:p w14:paraId="401CD4C4">
      <w:pPr>
        <w:spacing w:line="360" w:lineRule="auto"/>
        <w:ind w:firstLine="4080" w:firstLineChars="1700"/>
        <w:rPr>
          <w:rFonts w:hint="eastAsia" w:ascii="仿宋" w:hAnsi="仿宋" w:eastAsia="仿宋" w:cs="仿宋"/>
          <w:kern w:val="0"/>
          <w:sz w:val="24"/>
          <w:highlight w:val="none"/>
          <w:lang w:val="zh-CN" w:bidi="ar"/>
        </w:rPr>
      </w:pPr>
      <w:r>
        <w:rPr>
          <w:rFonts w:hint="eastAsia" w:ascii="仿宋" w:hAnsi="仿宋" w:eastAsia="仿宋" w:cs="仿宋"/>
          <w:kern w:val="0"/>
          <w:sz w:val="24"/>
          <w:highlight w:val="none"/>
          <w:lang w:val="zh-CN" w:bidi="ar"/>
        </w:rPr>
        <w:t>投标供应商全称(盖公章)：</w:t>
      </w:r>
    </w:p>
    <w:p w14:paraId="685B4009">
      <w:pPr>
        <w:spacing w:line="360" w:lineRule="auto"/>
        <w:ind w:firstLine="4080" w:firstLineChars="1700"/>
        <w:rPr>
          <w:rFonts w:hint="eastAsia" w:ascii="仿宋" w:hAnsi="仿宋" w:eastAsia="仿宋" w:cs="仿宋"/>
          <w:kern w:val="0"/>
          <w:sz w:val="24"/>
          <w:highlight w:val="none"/>
          <w:lang w:val="zh-CN" w:bidi="ar"/>
        </w:rPr>
      </w:pPr>
      <w:r>
        <w:rPr>
          <w:rFonts w:hint="eastAsia" w:ascii="仿宋" w:hAnsi="仿宋" w:eastAsia="仿宋" w:cs="仿宋"/>
          <w:kern w:val="0"/>
          <w:sz w:val="24"/>
          <w:highlight w:val="none"/>
          <w:lang w:val="zh-CN" w:bidi="ar"/>
        </w:rPr>
        <w:t>法定代表人（签字或盖章）：</w:t>
      </w:r>
    </w:p>
    <w:p w14:paraId="48B214C5">
      <w:pPr>
        <w:spacing w:line="360" w:lineRule="auto"/>
        <w:ind w:firstLine="4080" w:firstLineChars="1700"/>
        <w:rPr>
          <w:rFonts w:hint="eastAsia" w:ascii="仿宋" w:hAnsi="仿宋" w:eastAsia="仿宋" w:cs="仿宋"/>
          <w:kern w:val="0"/>
          <w:sz w:val="24"/>
          <w:highlight w:val="none"/>
          <w:lang w:val="zh-CN" w:bidi="ar"/>
        </w:rPr>
      </w:pPr>
      <w:r>
        <w:rPr>
          <w:rFonts w:hint="eastAsia" w:ascii="仿宋" w:hAnsi="仿宋" w:eastAsia="仿宋" w:cs="仿宋"/>
          <w:kern w:val="0"/>
          <w:sz w:val="24"/>
          <w:highlight w:val="none"/>
          <w:lang w:val="zh-CN" w:bidi="ar"/>
        </w:rPr>
        <w:t>时间：  年  月   日</w:t>
      </w:r>
    </w:p>
    <w:p w14:paraId="1E6781B7">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085938B9">
      <w:pPr>
        <w:spacing w:line="312" w:lineRule="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6</w:t>
      </w:r>
    </w:p>
    <w:p w14:paraId="73A8837F">
      <w:pPr>
        <w:spacing w:line="440" w:lineRule="exact"/>
        <w:ind w:firstLine="602" w:firstLineChars="200"/>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sz w:val="30"/>
          <w:szCs w:val="30"/>
          <w:highlight w:val="none"/>
          <w:lang w:bidi="ar"/>
        </w:rPr>
        <w:t>参加政府采购活动前 3 年内在经营活动中没有重大违法记</w:t>
      </w:r>
      <w:r>
        <w:rPr>
          <w:rFonts w:hint="eastAsia" w:ascii="仿宋" w:hAnsi="仿宋" w:eastAsia="仿宋" w:cs="仿宋"/>
          <w:b/>
          <w:bCs/>
          <w:color w:val="auto"/>
          <w:sz w:val="30"/>
          <w:szCs w:val="30"/>
          <w:highlight w:val="none"/>
          <w:lang w:bidi="ar"/>
        </w:rPr>
        <w:t>录和失信记录的书面声明</w:t>
      </w:r>
    </w:p>
    <w:p w14:paraId="45324770">
      <w:pPr>
        <w:spacing w:line="440" w:lineRule="exact"/>
        <w:rPr>
          <w:rFonts w:hint="eastAsia" w:ascii="仿宋" w:hAnsi="仿宋" w:eastAsia="仿宋" w:cs="仿宋"/>
          <w:b/>
          <w:color w:val="auto"/>
          <w:sz w:val="44"/>
          <w:szCs w:val="44"/>
          <w:highlight w:val="none"/>
        </w:rPr>
      </w:pPr>
      <w:r>
        <w:rPr>
          <w:rFonts w:hint="eastAsia" w:ascii="仿宋" w:hAnsi="仿宋" w:eastAsia="仿宋" w:cs="仿宋"/>
          <w:b/>
          <w:color w:val="auto"/>
          <w:sz w:val="24"/>
          <w:szCs w:val="24"/>
          <w:highlight w:val="none"/>
          <w:lang w:bidi="ar"/>
        </w:rPr>
        <w:t xml:space="preserve">                       </w:t>
      </w:r>
      <w:r>
        <w:rPr>
          <w:rFonts w:hint="eastAsia" w:ascii="仿宋" w:hAnsi="仿宋" w:eastAsia="仿宋" w:cs="仿宋"/>
          <w:b/>
          <w:color w:val="auto"/>
          <w:sz w:val="44"/>
          <w:szCs w:val="44"/>
          <w:highlight w:val="none"/>
          <w:lang w:bidi="ar"/>
        </w:rPr>
        <w:t xml:space="preserve">   </w:t>
      </w:r>
    </w:p>
    <w:p w14:paraId="3E334329">
      <w:pPr>
        <w:spacing w:line="440" w:lineRule="exact"/>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lang w:bidi="ar"/>
        </w:rPr>
        <w:t>声  明</w:t>
      </w:r>
    </w:p>
    <w:p w14:paraId="7E4DFBDF">
      <w:pPr>
        <w:spacing w:line="440" w:lineRule="exact"/>
        <w:ind w:firstLine="881"/>
        <w:jc w:val="center"/>
        <w:rPr>
          <w:rFonts w:hint="eastAsia" w:ascii="仿宋" w:hAnsi="仿宋" w:eastAsia="仿宋" w:cs="仿宋"/>
          <w:b/>
          <w:color w:val="auto"/>
          <w:sz w:val="44"/>
          <w:szCs w:val="44"/>
          <w:highlight w:val="none"/>
        </w:rPr>
      </w:pPr>
    </w:p>
    <w:p w14:paraId="1E371AFC">
      <w:pPr>
        <w:spacing w:line="600" w:lineRule="exact"/>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我公司郑重声明：参加本次政府采购活动前 3 年内，我公司在经营活动中没有因违法经营受到刑事处罚或者责令停产停业、吊销许可证或者执照、较大数额罚款等行政处罚。</w:t>
      </w:r>
    </w:p>
    <w:p w14:paraId="4D074BD8">
      <w:pPr>
        <w:spacing w:line="600" w:lineRule="exact"/>
        <w:ind w:firstLine="482"/>
        <w:rPr>
          <w:rFonts w:hint="eastAsia" w:ascii="仿宋" w:hAnsi="仿宋" w:eastAsia="仿宋" w:cs="仿宋"/>
          <w:color w:val="auto"/>
          <w:sz w:val="24"/>
          <w:szCs w:val="24"/>
          <w:highlight w:val="none"/>
          <w:lang w:bidi="ar"/>
        </w:rPr>
      </w:pPr>
      <w:r>
        <w:rPr>
          <w:rFonts w:hint="eastAsia" w:ascii="仿宋" w:hAnsi="仿宋" w:eastAsia="仿宋" w:cs="仿宋"/>
          <w:bCs/>
          <w:color w:val="auto"/>
          <w:sz w:val="24"/>
          <w:szCs w:val="24"/>
          <w:highlight w:val="none"/>
          <w:lang w:bidi="ar"/>
        </w:rPr>
        <w:t>在</w:t>
      </w:r>
      <w:r>
        <w:rPr>
          <w:rFonts w:hint="eastAsia" w:ascii="仿宋" w:hAnsi="仿宋" w:eastAsia="仿宋" w:cs="仿宋"/>
          <w:color w:val="auto"/>
          <w:sz w:val="24"/>
          <w:szCs w:val="24"/>
          <w:highlight w:val="none"/>
          <w:lang w:bidi="ar"/>
        </w:rPr>
        <w:t>投标截止时间节点，没有被“信用中国”、“</w:t>
      </w:r>
      <w:r>
        <w:rPr>
          <w:rFonts w:hint="eastAsia" w:ascii="仿宋" w:hAnsi="仿宋" w:eastAsia="仿宋" w:cs="仿宋"/>
          <w:color w:val="auto"/>
          <w:sz w:val="24"/>
          <w:szCs w:val="24"/>
          <w:highlight w:val="none"/>
          <w:lang w:eastAsia="zh-CN" w:bidi="ar"/>
        </w:rPr>
        <w:t>启东市人民政府网</w:t>
      </w:r>
      <w:r>
        <w:rPr>
          <w:rFonts w:hint="eastAsia" w:ascii="仿宋" w:hAnsi="仿宋" w:eastAsia="仿宋" w:cs="仿宋"/>
          <w:color w:val="auto"/>
          <w:sz w:val="24"/>
          <w:szCs w:val="24"/>
          <w:highlight w:val="none"/>
          <w:lang w:bidi="ar"/>
        </w:rPr>
        <w:t>”、“信用江苏”网站列入失信被执行人、重大税收违法案件当事人名单、政府采购严重违法失信行为记录名单。</w:t>
      </w:r>
    </w:p>
    <w:p w14:paraId="4BD27B3E">
      <w:pPr>
        <w:pStyle w:val="2"/>
        <w:rPr>
          <w:rFonts w:hint="eastAsia" w:ascii="仿宋" w:hAnsi="仿宋" w:eastAsia="仿宋" w:cs="仿宋"/>
          <w:color w:val="auto"/>
          <w:sz w:val="24"/>
          <w:szCs w:val="24"/>
          <w:highlight w:val="none"/>
          <w:lang w:bidi="ar"/>
        </w:rPr>
      </w:pPr>
    </w:p>
    <w:p w14:paraId="208B9C68">
      <w:pPr>
        <w:pStyle w:val="2"/>
        <w:rPr>
          <w:rFonts w:hint="eastAsia" w:ascii="仿宋" w:hAnsi="仿宋" w:eastAsia="仿宋" w:cs="仿宋"/>
          <w:color w:val="auto"/>
          <w:sz w:val="24"/>
          <w:szCs w:val="24"/>
          <w:highlight w:val="none"/>
          <w:lang w:bidi="ar"/>
        </w:rPr>
      </w:pPr>
    </w:p>
    <w:p w14:paraId="6C14D1C8">
      <w:pPr>
        <w:spacing w:line="44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 xml:space="preserve">                           供应商（</w:t>
      </w:r>
      <w:r>
        <w:rPr>
          <w:rFonts w:hint="eastAsia" w:ascii="仿宋" w:hAnsi="仿宋" w:eastAsia="仿宋" w:cs="仿宋"/>
          <w:bCs/>
          <w:color w:val="auto"/>
          <w:sz w:val="24"/>
          <w:szCs w:val="24"/>
          <w:highlight w:val="none"/>
          <w:lang w:eastAsia="zh-CN" w:bidi="ar"/>
        </w:rPr>
        <w:t>盖公章</w:t>
      </w:r>
      <w:r>
        <w:rPr>
          <w:rFonts w:hint="eastAsia" w:ascii="仿宋" w:hAnsi="仿宋" w:eastAsia="仿宋" w:cs="仿宋"/>
          <w:bCs/>
          <w:color w:val="auto"/>
          <w:sz w:val="24"/>
          <w:szCs w:val="24"/>
          <w:highlight w:val="none"/>
          <w:lang w:bidi="ar"/>
        </w:rPr>
        <w:t>）：</w:t>
      </w:r>
    </w:p>
    <w:p w14:paraId="156671DA">
      <w:pPr>
        <w:spacing w:line="440" w:lineRule="exac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lang w:bidi="ar"/>
        </w:rPr>
        <w:t xml:space="preserve">                </w:t>
      </w:r>
      <w:r>
        <w:rPr>
          <w:rFonts w:hint="eastAsia" w:ascii="仿宋" w:hAnsi="仿宋" w:eastAsia="仿宋" w:cs="仿宋"/>
          <w:bCs/>
          <w:color w:val="auto"/>
          <w:sz w:val="24"/>
          <w:szCs w:val="24"/>
          <w:highlight w:val="none"/>
          <w:lang w:val="en-US" w:eastAsia="zh-CN" w:bidi="ar"/>
        </w:rPr>
        <w:t xml:space="preserve">          </w:t>
      </w:r>
      <w:r>
        <w:rPr>
          <w:rFonts w:hint="eastAsia" w:ascii="仿宋" w:hAnsi="仿宋" w:eastAsia="仿宋" w:cs="仿宋"/>
          <w:bCs/>
          <w:color w:val="auto"/>
          <w:sz w:val="24"/>
          <w:szCs w:val="24"/>
          <w:highlight w:val="none"/>
          <w:lang w:bidi="ar"/>
        </w:rPr>
        <w:t xml:space="preserve"> </w:t>
      </w:r>
      <w:r>
        <w:rPr>
          <w:rFonts w:hint="eastAsia" w:ascii="仿宋" w:hAnsi="仿宋" w:eastAsia="仿宋" w:cs="仿宋"/>
          <w:color w:val="auto"/>
          <w:sz w:val="24"/>
          <w:szCs w:val="24"/>
          <w:highlight w:val="none"/>
        </w:rPr>
        <w:t>法定代表人或被授权人（签字或盖章）：</w:t>
      </w:r>
      <w:r>
        <w:rPr>
          <w:rFonts w:hint="eastAsia" w:ascii="仿宋" w:hAnsi="仿宋" w:eastAsia="仿宋" w:cs="仿宋"/>
          <w:bCs/>
          <w:color w:val="auto"/>
          <w:sz w:val="24"/>
          <w:szCs w:val="24"/>
          <w:highlight w:val="none"/>
          <w:u w:val="single"/>
          <w:lang w:bidi="ar"/>
        </w:rPr>
        <w:t>_________</w:t>
      </w:r>
    </w:p>
    <w:p w14:paraId="58145E21">
      <w:pPr>
        <w:spacing w:line="44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 xml:space="preserve">                           日期：</w:t>
      </w:r>
      <w:r>
        <w:rPr>
          <w:rFonts w:hint="eastAsia" w:ascii="仿宋" w:hAnsi="仿宋" w:eastAsia="仿宋" w:cs="仿宋"/>
          <w:bCs/>
          <w:color w:val="auto"/>
          <w:sz w:val="24"/>
          <w:szCs w:val="24"/>
          <w:highlight w:val="none"/>
          <w:u w:val="single"/>
          <w:lang w:bidi="ar"/>
        </w:rPr>
        <w:t>______</w:t>
      </w:r>
      <w:r>
        <w:rPr>
          <w:rFonts w:hint="eastAsia" w:ascii="仿宋" w:hAnsi="仿宋" w:eastAsia="仿宋" w:cs="仿宋"/>
          <w:bCs/>
          <w:color w:val="auto"/>
          <w:sz w:val="24"/>
          <w:szCs w:val="24"/>
          <w:highlight w:val="none"/>
          <w:lang w:bidi="ar"/>
        </w:rPr>
        <w:t>年</w:t>
      </w:r>
      <w:r>
        <w:rPr>
          <w:rFonts w:hint="eastAsia" w:ascii="仿宋" w:hAnsi="仿宋" w:eastAsia="仿宋" w:cs="仿宋"/>
          <w:bCs/>
          <w:color w:val="auto"/>
          <w:sz w:val="24"/>
          <w:szCs w:val="24"/>
          <w:highlight w:val="none"/>
          <w:u w:val="single"/>
          <w:lang w:bidi="ar"/>
        </w:rPr>
        <w:t xml:space="preserve">    </w:t>
      </w:r>
      <w:r>
        <w:rPr>
          <w:rFonts w:hint="eastAsia" w:ascii="仿宋" w:hAnsi="仿宋" w:eastAsia="仿宋" w:cs="仿宋"/>
          <w:bCs/>
          <w:color w:val="auto"/>
          <w:sz w:val="24"/>
          <w:szCs w:val="24"/>
          <w:highlight w:val="none"/>
          <w:lang w:bidi="ar"/>
        </w:rPr>
        <w:t>月</w:t>
      </w:r>
      <w:r>
        <w:rPr>
          <w:rFonts w:hint="eastAsia" w:ascii="仿宋" w:hAnsi="仿宋" w:eastAsia="仿宋" w:cs="仿宋"/>
          <w:bCs/>
          <w:color w:val="auto"/>
          <w:sz w:val="24"/>
          <w:szCs w:val="24"/>
          <w:highlight w:val="none"/>
          <w:u w:val="single"/>
          <w:lang w:bidi="ar"/>
        </w:rPr>
        <w:t xml:space="preserve">    </w:t>
      </w:r>
      <w:r>
        <w:rPr>
          <w:rFonts w:hint="eastAsia" w:ascii="仿宋" w:hAnsi="仿宋" w:eastAsia="仿宋" w:cs="仿宋"/>
          <w:bCs/>
          <w:color w:val="auto"/>
          <w:sz w:val="24"/>
          <w:szCs w:val="24"/>
          <w:highlight w:val="none"/>
          <w:lang w:bidi="ar"/>
        </w:rPr>
        <w:t>日</w:t>
      </w:r>
    </w:p>
    <w:p w14:paraId="5019A08D">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14:paraId="17DEFFBA">
      <w:pP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7</w:t>
      </w:r>
    </w:p>
    <w:p w14:paraId="12F00263">
      <w:pPr>
        <w:pStyle w:val="13"/>
        <w:widowControl w:val="0"/>
        <w:spacing w:line="400" w:lineRule="exact"/>
        <w:jc w:val="center"/>
        <w:rPr>
          <w:rFonts w:hint="eastAsia" w:ascii="仿宋" w:hAnsi="仿宋" w:eastAsia="仿宋" w:cs="仿宋"/>
          <w:b/>
          <w:color w:val="auto"/>
          <w:kern w:val="2"/>
          <w:sz w:val="30"/>
          <w:szCs w:val="30"/>
          <w:highlight w:val="none"/>
          <w:lang w:bidi="ar"/>
        </w:rPr>
      </w:pPr>
      <w:r>
        <w:rPr>
          <w:rFonts w:hint="eastAsia" w:ascii="仿宋" w:hAnsi="仿宋" w:eastAsia="仿宋" w:cs="仿宋"/>
          <w:b/>
          <w:color w:val="auto"/>
          <w:kern w:val="2"/>
          <w:sz w:val="30"/>
          <w:szCs w:val="30"/>
          <w:highlight w:val="none"/>
          <w:lang w:bidi="ar"/>
        </w:rPr>
        <w:t>报价货物采购要求响应表</w:t>
      </w:r>
    </w:p>
    <w:p w14:paraId="746A30CD">
      <w:pPr>
        <w:spacing w:line="400" w:lineRule="exact"/>
        <w:ind w:left="-424" w:leftChars="-202" w:right="-483" w:rightChars="-230" w:firstLine="240" w:firstLineChars="10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启东市吕四港镇人民政府吕四港镇路灯电缆工程项目（四次）</w:t>
      </w:r>
    </w:p>
    <w:tbl>
      <w:tblPr>
        <w:tblStyle w:val="27"/>
        <w:tblW w:w="102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260"/>
        <w:gridCol w:w="1098"/>
        <w:gridCol w:w="1098"/>
        <w:gridCol w:w="1788"/>
        <w:gridCol w:w="1404"/>
        <w:gridCol w:w="1500"/>
      </w:tblGrid>
      <w:tr w14:paraId="0A9746CC">
        <w:tblPrEx>
          <w:tblLayout w:type="fixed"/>
        </w:tblPrEx>
        <w:trPr>
          <w:trHeight w:val="795" w:hRule="atLeast"/>
          <w:jc w:val="center"/>
        </w:trPr>
        <w:tc>
          <w:tcPr>
            <w:tcW w:w="828" w:type="dxa"/>
            <w:vAlign w:val="center"/>
          </w:tcPr>
          <w:p w14:paraId="006E6E13">
            <w:pPr>
              <w:widowControl/>
              <w:jc w:val="center"/>
              <w:rPr>
                <w:rFonts w:hint="eastAsia" w:ascii="仿宋" w:hAnsi="仿宋" w:eastAsia="仿宋" w:cs="仿宋"/>
                <w:b/>
                <w:bCs/>
                <w:color w:val="auto"/>
                <w:kern w:val="0"/>
                <w:sz w:val="18"/>
                <w:szCs w:val="18"/>
                <w:highlight w:val="none"/>
                <w:lang w:val="en-US" w:eastAsia="zh-CN" w:bidi="ar-SA"/>
              </w:rPr>
            </w:pPr>
            <w:r>
              <w:rPr>
                <w:rFonts w:hint="eastAsia" w:ascii="仿宋" w:hAnsi="仿宋" w:eastAsia="仿宋" w:cs="仿宋"/>
                <w:b/>
                <w:bCs/>
                <w:color w:val="auto"/>
                <w:kern w:val="0"/>
                <w:sz w:val="18"/>
                <w:szCs w:val="18"/>
                <w:highlight w:val="none"/>
              </w:rPr>
              <w:t>序号</w:t>
            </w:r>
          </w:p>
        </w:tc>
        <w:tc>
          <w:tcPr>
            <w:tcW w:w="1260" w:type="dxa"/>
            <w:vAlign w:val="center"/>
          </w:tcPr>
          <w:p w14:paraId="4CE4D5B7">
            <w:pPr>
              <w:widowControl/>
              <w:jc w:val="center"/>
              <w:rPr>
                <w:rFonts w:hint="eastAsia" w:ascii="仿宋" w:hAnsi="仿宋" w:eastAsia="仿宋" w:cs="仿宋"/>
                <w:b/>
                <w:bCs/>
                <w:color w:val="auto"/>
                <w:kern w:val="0"/>
                <w:sz w:val="18"/>
                <w:szCs w:val="18"/>
                <w:highlight w:val="none"/>
                <w:lang w:val="en-US" w:eastAsia="zh-CN"/>
              </w:rPr>
            </w:pPr>
            <w:r>
              <w:rPr>
                <w:rFonts w:hint="eastAsia" w:ascii="仿宋" w:hAnsi="仿宋" w:eastAsia="仿宋" w:cs="仿宋"/>
                <w:b/>
                <w:bCs/>
                <w:color w:val="auto"/>
                <w:kern w:val="0"/>
                <w:sz w:val="18"/>
                <w:szCs w:val="18"/>
                <w:highlight w:val="none"/>
                <w:lang w:val="en-US" w:eastAsia="zh-CN"/>
              </w:rPr>
              <w:t>地点</w:t>
            </w:r>
          </w:p>
        </w:tc>
        <w:tc>
          <w:tcPr>
            <w:tcW w:w="1260" w:type="dxa"/>
            <w:vAlign w:val="center"/>
          </w:tcPr>
          <w:p w14:paraId="5BB42A14">
            <w:pPr>
              <w:widowControl/>
              <w:jc w:val="center"/>
              <w:rPr>
                <w:rFonts w:hint="eastAsia" w:ascii="仿宋" w:hAnsi="仿宋" w:eastAsia="仿宋" w:cs="仿宋"/>
                <w:b/>
                <w:bCs/>
                <w:color w:val="auto"/>
                <w:kern w:val="0"/>
                <w:sz w:val="18"/>
                <w:szCs w:val="18"/>
                <w:highlight w:val="none"/>
                <w:lang w:val="en-US" w:eastAsia="zh-CN" w:bidi="ar-SA"/>
              </w:rPr>
            </w:pPr>
            <w:r>
              <w:rPr>
                <w:rFonts w:hint="eastAsia" w:ascii="仿宋" w:hAnsi="仿宋" w:eastAsia="仿宋" w:cs="仿宋"/>
                <w:b/>
                <w:bCs/>
                <w:color w:val="auto"/>
                <w:kern w:val="0"/>
                <w:sz w:val="18"/>
                <w:szCs w:val="18"/>
                <w:highlight w:val="none"/>
                <w:lang w:eastAsia="zh-CN"/>
              </w:rPr>
              <w:t>货物名称</w:t>
            </w:r>
          </w:p>
        </w:tc>
        <w:tc>
          <w:tcPr>
            <w:tcW w:w="1098" w:type="dxa"/>
            <w:vAlign w:val="center"/>
          </w:tcPr>
          <w:p w14:paraId="7DFCDB23">
            <w:pPr>
              <w:widowControl/>
              <w:jc w:val="center"/>
              <w:rPr>
                <w:rFonts w:hint="eastAsia" w:ascii="仿宋" w:hAnsi="仿宋" w:eastAsia="仿宋" w:cs="仿宋"/>
                <w:b/>
                <w:bCs/>
                <w:color w:val="auto"/>
                <w:kern w:val="0"/>
                <w:sz w:val="18"/>
                <w:szCs w:val="18"/>
                <w:highlight w:val="none"/>
                <w:lang w:val="en-US" w:eastAsia="zh-CN" w:bidi="ar-SA"/>
              </w:rPr>
            </w:pPr>
            <w:r>
              <w:rPr>
                <w:rFonts w:hint="eastAsia" w:ascii="仿宋" w:hAnsi="仿宋" w:eastAsia="仿宋" w:cs="仿宋"/>
                <w:b/>
                <w:bCs/>
                <w:color w:val="auto"/>
                <w:kern w:val="0"/>
                <w:sz w:val="18"/>
                <w:szCs w:val="18"/>
                <w:highlight w:val="none"/>
              </w:rPr>
              <w:t>所投品牌</w:t>
            </w:r>
          </w:p>
        </w:tc>
        <w:tc>
          <w:tcPr>
            <w:tcW w:w="1098" w:type="dxa"/>
            <w:vAlign w:val="center"/>
          </w:tcPr>
          <w:p w14:paraId="3F998CF5">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型号</w:t>
            </w:r>
          </w:p>
        </w:tc>
        <w:tc>
          <w:tcPr>
            <w:tcW w:w="1788" w:type="dxa"/>
            <w:vAlign w:val="center"/>
          </w:tcPr>
          <w:p w14:paraId="0DF97B06">
            <w:pPr>
              <w:widowControl/>
              <w:jc w:val="center"/>
              <w:rPr>
                <w:rFonts w:hint="eastAsia" w:ascii="仿宋" w:hAnsi="仿宋" w:eastAsia="仿宋" w:cs="仿宋"/>
                <w:b/>
                <w:bCs/>
                <w:color w:val="auto"/>
                <w:kern w:val="0"/>
                <w:sz w:val="18"/>
                <w:szCs w:val="18"/>
                <w:highlight w:val="none"/>
                <w:lang w:val="en-US" w:eastAsia="zh-CN" w:bidi="ar-SA"/>
              </w:rPr>
            </w:pPr>
            <w:r>
              <w:rPr>
                <w:rFonts w:hint="eastAsia" w:ascii="仿宋" w:hAnsi="仿宋" w:eastAsia="仿宋" w:cs="仿宋"/>
                <w:b/>
                <w:bCs/>
                <w:color w:val="auto"/>
                <w:kern w:val="0"/>
                <w:sz w:val="18"/>
                <w:szCs w:val="18"/>
                <w:highlight w:val="none"/>
              </w:rPr>
              <w:t>采购</w:t>
            </w:r>
            <w:r>
              <w:rPr>
                <w:rFonts w:hint="eastAsia" w:ascii="仿宋" w:hAnsi="仿宋" w:eastAsia="仿宋" w:cs="仿宋"/>
                <w:b/>
                <w:bCs/>
                <w:color w:val="auto"/>
                <w:kern w:val="0"/>
                <w:sz w:val="18"/>
                <w:szCs w:val="18"/>
                <w:highlight w:val="none"/>
                <w:lang w:eastAsia="zh-CN"/>
              </w:rPr>
              <w:t>技术</w:t>
            </w:r>
            <w:r>
              <w:rPr>
                <w:rFonts w:hint="eastAsia" w:ascii="仿宋" w:hAnsi="仿宋" w:eastAsia="仿宋" w:cs="仿宋"/>
                <w:b/>
                <w:bCs/>
                <w:color w:val="auto"/>
                <w:kern w:val="0"/>
                <w:sz w:val="18"/>
                <w:szCs w:val="18"/>
                <w:highlight w:val="none"/>
              </w:rPr>
              <w:t>参数要求</w:t>
            </w:r>
          </w:p>
        </w:tc>
        <w:tc>
          <w:tcPr>
            <w:tcW w:w="1404" w:type="dxa"/>
            <w:vAlign w:val="center"/>
          </w:tcPr>
          <w:p w14:paraId="300099CC">
            <w:pPr>
              <w:widowControl/>
              <w:jc w:val="center"/>
              <w:rPr>
                <w:rFonts w:hint="eastAsia" w:ascii="仿宋" w:hAnsi="仿宋" w:eastAsia="仿宋" w:cs="仿宋"/>
                <w:b/>
                <w:bCs/>
                <w:color w:val="auto"/>
                <w:kern w:val="0"/>
                <w:sz w:val="18"/>
                <w:szCs w:val="18"/>
                <w:highlight w:val="none"/>
                <w:lang w:val="en-US" w:eastAsia="zh-CN" w:bidi="ar-SA"/>
              </w:rPr>
            </w:pPr>
            <w:r>
              <w:rPr>
                <w:rFonts w:hint="eastAsia" w:ascii="仿宋" w:hAnsi="仿宋" w:eastAsia="仿宋" w:cs="仿宋"/>
                <w:b/>
                <w:bCs/>
                <w:color w:val="auto"/>
                <w:kern w:val="0"/>
                <w:sz w:val="18"/>
                <w:szCs w:val="18"/>
                <w:highlight w:val="none"/>
              </w:rPr>
              <w:t>报价货物详细规格参数</w:t>
            </w:r>
          </w:p>
        </w:tc>
        <w:tc>
          <w:tcPr>
            <w:tcW w:w="1500" w:type="dxa"/>
            <w:vAlign w:val="center"/>
          </w:tcPr>
          <w:p w14:paraId="4D15DD59">
            <w:pPr>
              <w:widowControl/>
              <w:jc w:val="center"/>
              <w:rPr>
                <w:rFonts w:hint="eastAsia" w:ascii="仿宋" w:hAnsi="仿宋" w:eastAsia="仿宋" w:cs="仿宋"/>
                <w:b/>
                <w:bCs/>
                <w:color w:val="auto"/>
                <w:kern w:val="0"/>
                <w:sz w:val="18"/>
                <w:szCs w:val="18"/>
                <w:highlight w:val="none"/>
                <w:lang w:val="en-US" w:eastAsia="zh-CN" w:bidi="ar-SA"/>
              </w:rPr>
            </w:pPr>
            <w:r>
              <w:rPr>
                <w:rFonts w:hint="eastAsia" w:ascii="仿宋" w:hAnsi="仿宋" w:eastAsia="仿宋" w:cs="仿宋"/>
                <w:b/>
                <w:bCs/>
                <w:color w:val="auto"/>
                <w:kern w:val="0"/>
                <w:sz w:val="18"/>
                <w:szCs w:val="18"/>
                <w:highlight w:val="none"/>
              </w:rPr>
              <w:t>报价</w:t>
            </w:r>
            <w:r>
              <w:rPr>
                <w:rFonts w:hint="eastAsia" w:ascii="仿宋" w:hAnsi="仿宋" w:eastAsia="仿宋" w:cs="仿宋"/>
                <w:b/>
                <w:bCs/>
                <w:color w:val="auto"/>
                <w:kern w:val="0"/>
                <w:sz w:val="18"/>
                <w:szCs w:val="18"/>
                <w:highlight w:val="none"/>
                <w:lang w:val="en-US" w:eastAsia="zh-CN"/>
              </w:rPr>
              <w:t>物品</w:t>
            </w:r>
            <w:r>
              <w:rPr>
                <w:rFonts w:hint="eastAsia" w:ascii="仿宋" w:hAnsi="仿宋" w:eastAsia="仿宋" w:cs="仿宋"/>
                <w:b/>
                <w:bCs/>
                <w:color w:val="auto"/>
                <w:kern w:val="0"/>
                <w:sz w:val="18"/>
                <w:szCs w:val="18"/>
                <w:highlight w:val="none"/>
              </w:rPr>
              <w:t>参数响应（正偏离、满足、负偏离）</w:t>
            </w:r>
          </w:p>
        </w:tc>
      </w:tr>
      <w:tr w14:paraId="56CA0D1A">
        <w:tblPrEx>
          <w:tblLayout w:type="fixed"/>
        </w:tblPrEx>
        <w:trPr>
          <w:trHeight w:val="522" w:hRule="atLeast"/>
          <w:jc w:val="center"/>
        </w:trPr>
        <w:tc>
          <w:tcPr>
            <w:tcW w:w="828" w:type="dxa"/>
            <w:vAlign w:val="center"/>
          </w:tcPr>
          <w:p w14:paraId="094F2227">
            <w:pPr>
              <w:widowControl/>
              <w:jc w:val="center"/>
              <w:rPr>
                <w:rFonts w:hint="eastAsia" w:ascii="仿宋" w:hAnsi="仿宋" w:eastAsia="仿宋" w:cs="仿宋"/>
                <w:color w:val="auto"/>
                <w:kern w:val="0"/>
                <w:sz w:val="18"/>
                <w:szCs w:val="18"/>
                <w:highlight w:val="none"/>
              </w:rPr>
            </w:pPr>
          </w:p>
        </w:tc>
        <w:tc>
          <w:tcPr>
            <w:tcW w:w="1260" w:type="dxa"/>
            <w:vAlign w:val="center"/>
          </w:tcPr>
          <w:p w14:paraId="12687BD5">
            <w:pPr>
              <w:widowControl/>
              <w:jc w:val="center"/>
              <w:rPr>
                <w:rFonts w:hint="eastAsia" w:ascii="仿宋" w:hAnsi="仿宋" w:eastAsia="仿宋" w:cs="仿宋"/>
                <w:color w:val="auto"/>
                <w:kern w:val="0"/>
                <w:sz w:val="18"/>
                <w:szCs w:val="18"/>
                <w:highlight w:val="none"/>
              </w:rPr>
            </w:pPr>
          </w:p>
        </w:tc>
        <w:tc>
          <w:tcPr>
            <w:tcW w:w="1260" w:type="dxa"/>
            <w:vAlign w:val="center"/>
          </w:tcPr>
          <w:p w14:paraId="6E986E89">
            <w:pPr>
              <w:widowControl/>
              <w:jc w:val="center"/>
              <w:rPr>
                <w:rFonts w:hint="eastAsia" w:ascii="仿宋" w:hAnsi="仿宋" w:eastAsia="仿宋" w:cs="仿宋"/>
                <w:color w:val="auto"/>
                <w:kern w:val="0"/>
                <w:sz w:val="18"/>
                <w:szCs w:val="18"/>
                <w:highlight w:val="none"/>
              </w:rPr>
            </w:pPr>
          </w:p>
        </w:tc>
        <w:tc>
          <w:tcPr>
            <w:tcW w:w="1098" w:type="dxa"/>
            <w:vAlign w:val="center"/>
          </w:tcPr>
          <w:p w14:paraId="5D7D5EAB">
            <w:pPr>
              <w:widowControl/>
              <w:rPr>
                <w:rFonts w:hint="eastAsia" w:ascii="仿宋" w:hAnsi="仿宋" w:eastAsia="仿宋" w:cs="仿宋"/>
                <w:color w:val="auto"/>
                <w:kern w:val="0"/>
                <w:sz w:val="18"/>
                <w:szCs w:val="18"/>
                <w:highlight w:val="none"/>
              </w:rPr>
            </w:pPr>
          </w:p>
        </w:tc>
        <w:tc>
          <w:tcPr>
            <w:tcW w:w="1098" w:type="dxa"/>
            <w:vAlign w:val="center"/>
          </w:tcPr>
          <w:p w14:paraId="767CE2C5">
            <w:pPr>
              <w:widowControl/>
              <w:rPr>
                <w:rFonts w:hint="eastAsia" w:ascii="仿宋" w:hAnsi="仿宋" w:eastAsia="仿宋" w:cs="仿宋"/>
                <w:color w:val="auto"/>
                <w:kern w:val="0"/>
                <w:sz w:val="18"/>
                <w:szCs w:val="18"/>
                <w:highlight w:val="none"/>
              </w:rPr>
            </w:pPr>
          </w:p>
        </w:tc>
        <w:tc>
          <w:tcPr>
            <w:tcW w:w="1788" w:type="dxa"/>
            <w:vAlign w:val="center"/>
          </w:tcPr>
          <w:p w14:paraId="6BD3DC81">
            <w:pPr>
              <w:widowControl/>
              <w:rPr>
                <w:rFonts w:hint="eastAsia" w:ascii="仿宋" w:hAnsi="仿宋" w:eastAsia="仿宋" w:cs="仿宋"/>
                <w:color w:val="auto"/>
                <w:kern w:val="0"/>
                <w:sz w:val="18"/>
                <w:szCs w:val="18"/>
                <w:highlight w:val="none"/>
              </w:rPr>
            </w:pPr>
          </w:p>
        </w:tc>
        <w:tc>
          <w:tcPr>
            <w:tcW w:w="1404" w:type="dxa"/>
            <w:vAlign w:val="center"/>
          </w:tcPr>
          <w:p w14:paraId="076210F4">
            <w:pPr>
              <w:widowControl/>
              <w:rPr>
                <w:rFonts w:hint="eastAsia" w:ascii="仿宋" w:hAnsi="仿宋" w:eastAsia="仿宋" w:cs="仿宋"/>
                <w:color w:val="auto"/>
                <w:kern w:val="0"/>
                <w:sz w:val="18"/>
                <w:szCs w:val="18"/>
                <w:highlight w:val="none"/>
              </w:rPr>
            </w:pPr>
          </w:p>
        </w:tc>
        <w:tc>
          <w:tcPr>
            <w:tcW w:w="1500" w:type="dxa"/>
            <w:vAlign w:val="center"/>
          </w:tcPr>
          <w:p w14:paraId="61A0E7F4">
            <w:pPr>
              <w:widowControl/>
              <w:rPr>
                <w:rFonts w:hint="eastAsia" w:ascii="仿宋" w:hAnsi="仿宋" w:eastAsia="仿宋" w:cs="仿宋"/>
                <w:color w:val="auto"/>
                <w:kern w:val="0"/>
                <w:sz w:val="18"/>
                <w:szCs w:val="18"/>
                <w:highlight w:val="none"/>
              </w:rPr>
            </w:pPr>
          </w:p>
        </w:tc>
      </w:tr>
      <w:tr w14:paraId="4CCC3869">
        <w:tblPrEx>
          <w:tblLayout w:type="fixed"/>
        </w:tblPrEx>
        <w:trPr>
          <w:trHeight w:val="522" w:hRule="atLeast"/>
          <w:jc w:val="center"/>
        </w:trPr>
        <w:tc>
          <w:tcPr>
            <w:tcW w:w="828" w:type="dxa"/>
            <w:vAlign w:val="center"/>
          </w:tcPr>
          <w:p w14:paraId="74FA70E5">
            <w:pPr>
              <w:widowControl/>
              <w:jc w:val="center"/>
              <w:rPr>
                <w:rFonts w:hint="eastAsia" w:ascii="仿宋" w:hAnsi="仿宋" w:eastAsia="仿宋" w:cs="仿宋"/>
                <w:color w:val="auto"/>
                <w:kern w:val="0"/>
                <w:sz w:val="18"/>
                <w:szCs w:val="18"/>
                <w:highlight w:val="none"/>
              </w:rPr>
            </w:pPr>
          </w:p>
        </w:tc>
        <w:tc>
          <w:tcPr>
            <w:tcW w:w="1260" w:type="dxa"/>
            <w:vAlign w:val="center"/>
          </w:tcPr>
          <w:p w14:paraId="4C34C115">
            <w:pPr>
              <w:widowControl/>
              <w:jc w:val="center"/>
              <w:rPr>
                <w:rFonts w:hint="eastAsia" w:ascii="仿宋" w:hAnsi="仿宋" w:eastAsia="仿宋" w:cs="仿宋"/>
                <w:color w:val="auto"/>
                <w:kern w:val="0"/>
                <w:sz w:val="18"/>
                <w:szCs w:val="18"/>
                <w:highlight w:val="none"/>
              </w:rPr>
            </w:pPr>
          </w:p>
        </w:tc>
        <w:tc>
          <w:tcPr>
            <w:tcW w:w="1260" w:type="dxa"/>
            <w:vAlign w:val="center"/>
          </w:tcPr>
          <w:p w14:paraId="3AAD653E">
            <w:pPr>
              <w:widowControl/>
              <w:jc w:val="center"/>
              <w:rPr>
                <w:rFonts w:hint="eastAsia" w:ascii="仿宋" w:hAnsi="仿宋" w:eastAsia="仿宋" w:cs="仿宋"/>
                <w:color w:val="auto"/>
                <w:kern w:val="0"/>
                <w:sz w:val="18"/>
                <w:szCs w:val="18"/>
                <w:highlight w:val="none"/>
              </w:rPr>
            </w:pPr>
          </w:p>
        </w:tc>
        <w:tc>
          <w:tcPr>
            <w:tcW w:w="1098" w:type="dxa"/>
            <w:vAlign w:val="center"/>
          </w:tcPr>
          <w:p w14:paraId="04725DAC">
            <w:pPr>
              <w:widowControl/>
              <w:rPr>
                <w:rFonts w:hint="eastAsia" w:ascii="仿宋" w:hAnsi="仿宋" w:eastAsia="仿宋" w:cs="仿宋"/>
                <w:color w:val="auto"/>
                <w:kern w:val="0"/>
                <w:sz w:val="18"/>
                <w:szCs w:val="18"/>
                <w:highlight w:val="none"/>
              </w:rPr>
            </w:pPr>
          </w:p>
        </w:tc>
        <w:tc>
          <w:tcPr>
            <w:tcW w:w="1098" w:type="dxa"/>
            <w:vAlign w:val="center"/>
          </w:tcPr>
          <w:p w14:paraId="4C0D9ACE">
            <w:pPr>
              <w:widowControl/>
              <w:rPr>
                <w:rFonts w:hint="eastAsia" w:ascii="仿宋" w:hAnsi="仿宋" w:eastAsia="仿宋" w:cs="仿宋"/>
                <w:color w:val="auto"/>
                <w:kern w:val="0"/>
                <w:sz w:val="18"/>
                <w:szCs w:val="18"/>
                <w:highlight w:val="none"/>
              </w:rPr>
            </w:pPr>
          </w:p>
        </w:tc>
        <w:tc>
          <w:tcPr>
            <w:tcW w:w="1788" w:type="dxa"/>
            <w:vAlign w:val="center"/>
          </w:tcPr>
          <w:p w14:paraId="415141D4">
            <w:pPr>
              <w:widowControl/>
              <w:rPr>
                <w:rFonts w:hint="eastAsia" w:ascii="仿宋" w:hAnsi="仿宋" w:eastAsia="仿宋" w:cs="仿宋"/>
                <w:color w:val="auto"/>
                <w:kern w:val="0"/>
                <w:sz w:val="18"/>
                <w:szCs w:val="18"/>
                <w:highlight w:val="none"/>
              </w:rPr>
            </w:pPr>
          </w:p>
        </w:tc>
        <w:tc>
          <w:tcPr>
            <w:tcW w:w="1404" w:type="dxa"/>
            <w:vAlign w:val="center"/>
          </w:tcPr>
          <w:p w14:paraId="6E01C53D">
            <w:pPr>
              <w:widowControl/>
              <w:rPr>
                <w:rFonts w:hint="eastAsia" w:ascii="仿宋" w:hAnsi="仿宋" w:eastAsia="仿宋" w:cs="仿宋"/>
                <w:color w:val="auto"/>
                <w:kern w:val="0"/>
                <w:sz w:val="18"/>
                <w:szCs w:val="18"/>
                <w:highlight w:val="none"/>
              </w:rPr>
            </w:pPr>
          </w:p>
        </w:tc>
        <w:tc>
          <w:tcPr>
            <w:tcW w:w="1500" w:type="dxa"/>
            <w:vAlign w:val="center"/>
          </w:tcPr>
          <w:p w14:paraId="1F5178A0">
            <w:pPr>
              <w:widowControl/>
              <w:rPr>
                <w:rFonts w:hint="eastAsia" w:ascii="仿宋" w:hAnsi="仿宋" w:eastAsia="仿宋" w:cs="仿宋"/>
                <w:color w:val="auto"/>
                <w:kern w:val="0"/>
                <w:sz w:val="18"/>
                <w:szCs w:val="18"/>
                <w:highlight w:val="none"/>
              </w:rPr>
            </w:pPr>
          </w:p>
        </w:tc>
      </w:tr>
      <w:tr w14:paraId="3A0C80E8">
        <w:tblPrEx>
          <w:tblLayout w:type="fixed"/>
        </w:tblPrEx>
        <w:trPr>
          <w:trHeight w:val="522" w:hRule="atLeast"/>
          <w:jc w:val="center"/>
        </w:trPr>
        <w:tc>
          <w:tcPr>
            <w:tcW w:w="828" w:type="dxa"/>
            <w:vAlign w:val="center"/>
          </w:tcPr>
          <w:p w14:paraId="43A6F4B6">
            <w:pPr>
              <w:widowControl/>
              <w:jc w:val="center"/>
              <w:rPr>
                <w:rFonts w:hint="eastAsia" w:ascii="仿宋" w:hAnsi="仿宋" w:eastAsia="仿宋" w:cs="仿宋"/>
                <w:color w:val="auto"/>
                <w:kern w:val="0"/>
                <w:sz w:val="18"/>
                <w:szCs w:val="18"/>
                <w:highlight w:val="none"/>
              </w:rPr>
            </w:pPr>
          </w:p>
        </w:tc>
        <w:tc>
          <w:tcPr>
            <w:tcW w:w="1260" w:type="dxa"/>
            <w:vAlign w:val="center"/>
          </w:tcPr>
          <w:p w14:paraId="16FB7DF9">
            <w:pPr>
              <w:widowControl/>
              <w:jc w:val="center"/>
              <w:rPr>
                <w:rFonts w:hint="eastAsia" w:ascii="仿宋" w:hAnsi="仿宋" w:eastAsia="仿宋" w:cs="仿宋"/>
                <w:color w:val="auto"/>
                <w:kern w:val="0"/>
                <w:sz w:val="18"/>
                <w:szCs w:val="18"/>
                <w:highlight w:val="none"/>
              </w:rPr>
            </w:pPr>
          </w:p>
        </w:tc>
        <w:tc>
          <w:tcPr>
            <w:tcW w:w="1260" w:type="dxa"/>
            <w:vAlign w:val="center"/>
          </w:tcPr>
          <w:p w14:paraId="6E5BFD2D">
            <w:pPr>
              <w:widowControl/>
              <w:jc w:val="center"/>
              <w:rPr>
                <w:rFonts w:hint="eastAsia" w:ascii="仿宋" w:hAnsi="仿宋" w:eastAsia="仿宋" w:cs="仿宋"/>
                <w:color w:val="auto"/>
                <w:kern w:val="0"/>
                <w:sz w:val="18"/>
                <w:szCs w:val="18"/>
                <w:highlight w:val="none"/>
              </w:rPr>
            </w:pPr>
          </w:p>
        </w:tc>
        <w:tc>
          <w:tcPr>
            <w:tcW w:w="1098" w:type="dxa"/>
            <w:vAlign w:val="center"/>
          </w:tcPr>
          <w:p w14:paraId="2044D17F">
            <w:pPr>
              <w:widowControl/>
              <w:rPr>
                <w:rFonts w:hint="eastAsia" w:ascii="仿宋" w:hAnsi="仿宋" w:eastAsia="仿宋" w:cs="仿宋"/>
                <w:color w:val="auto"/>
                <w:kern w:val="0"/>
                <w:sz w:val="18"/>
                <w:szCs w:val="18"/>
                <w:highlight w:val="none"/>
              </w:rPr>
            </w:pPr>
          </w:p>
        </w:tc>
        <w:tc>
          <w:tcPr>
            <w:tcW w:w="1098" w:type="dxa"/>
            <w:vAlign w:val="center"/>
          </w:tcPr>
          <w:p w14:paraId="68FCC6ED">
            <w:pPr>
              <w:widowControl/>
              <w:rPr>
                <w:rFonts w:hint="eastAsia" w:ascii="仿宋" w:hAnsi="仿宋" w:eastAsia="仿宋" w:cs="仿宋"/>
                <w:color w:val="auto"/>
                <w:kern w:val="0"/>
                <w:sz w:val="18"/>
                <w:szCs w:val="18"/>
                <w:highlight w:val="none"/>
              </w:rPr>
            </w:pPr>
          </w:p>
        </w:tc>
        <w:tc>
          <w:tcPr>
            <w:tcW w:w="1788" w:type="dxa"/>
            <w:vAlign w:val="center"/>
          </w:tcPr>
          <w:p w14:paraId="3314CFA8">
            <w:pPr>
              <w:widowControl/>
              <w:rPr>
                <w:rFonts w:hint="eastAsia" w:ascii="仿宋" w:hAnsi="仿宋" w:eastAsia="仿宋" w:cs="仿宋"/>
                <w:color w:val="auto"/>
                <w:kern w:val="0"/>
                <w:sz w:val="18"/>
                <w:szCs w:val="18"/>
                <w:highlight w:val="none"/>
              </w:rPr>
            </w:pPr>
          </w:p>
        </w:tc>
        <w:tc>
          <w:tcPr>
            <w:tcW w:w="1404" w:type="dxa"/>
            <w:vAlign w:val="center"/>
          </w:tcPr>
          <w:p w14:paraId="5C7D1F5E">
            <w:pPr>
              <w:widowControl/>
              <w:rPr>
                <w:rFonts w:hint="eastAsia" w:ascii="仿宋" w:hAnsi="仿宋" w:eastAsia="仿宋" w:cs="仿宋"/>
                <w:color w:val="auto"/>
                <w:kern w:val="0"/>
                <w:sz w:val="18"/>
                <w:szCs w:val="18"/>
                <w:highlight w:val="none"/>
              </w:rPr>
            </w:pPr>
          </w:p>
        </w:tc>
        <w:tc>
          <w:tcPr>
            <w:tcW w:w="1500" w:type="dxa"/>
            <w:vAlign w:val="center"/>
          </w:tcPr>
          <w:p w14:paraId="489E2662">
            <w:pPr>
              <w:widowControl/>
              <w:rPr>
                <w:rFonts w:hint="eastAsia" w:ascii="仿宋" w:hAnsi="仿宋" w:eastAsia="仿宋" w:cs="仿宋"/>
                <w:color w:val="auto"/>
                <w:kern w:val="0"/>
                <w:sz w:val="18"/>
                <w:szCs w:val="18"/>
                <w:highlight w:val="none"/>
              </w:rPr>
            </w:pPr>
          </w:p>
        </w:tc>
      </w:tr>
      <w:tr w14:paraId="5BA3F45C">
        <w:tblPrEx>
          <w:tblLayout w:type="fixed"/>
        </w:tblPrEx>
        <w:trPr>
          <w:trHeight w:val="522" w:hRule="atLeast"/>
          <w:jc w:val="center"/>
        </w:trPr>
        <w:tc>
          <w:tcPr>
            <w:tcW w:w="828" w:type="dxa"/>
            <w:vAlign w:val="center"/>
          </w:tcPr>
          <w:p w14:paraId="4F27D42C">
            <w:pPr>
              <w:widowControl/>
              <w:jc w:val="center"/>
              <w:rPr>
                <w:rFonts w:hint="eastAsia" w:ascii="仿宋" w:hAnsi="仿宋" w:eastAsia="仿宋" w:cs="仿宋"/>
                <w:color w:val="auto"/>
                <w:kern w:val="0"/>
                <w:sz w:val="18"/>
                <w:szCs w:val="18"/>
                <w:highlight w:val="none"/>
              </w:rPr>
            </w:pPr>
          </w:p>
        </w:tc>
        <w:tc>
          <w:tcPr>
            <w:tcW w:w="1260" w:type="dxa"/>
            <w:vAlign w:val="center"/>
          </w:tcPr>
          <w:p w14:paraId="71E0CC26">
            <w:pPr>
              <w:widowControl/>
              <w:jc w:val="center"/>
              <w:rPr>
                <w:rFonts w:hint="eastAsia" w:ascii="仿宋" w:hAnsi="仿宋" w:eastAsia="仿宋" w:cs="仿宋"/>
                <w:color w:val="auto"/>
                <w:kern w:val="0"/>
                <w:sz w:val="18"/>
                <w:szCs w:val="18"/>
                <w:highlight w:val="none"/>
              </w:rPr>
            </w:pPr>
          </w:p>
        </w:tc>
        <w:tc>
          <w:tcPr>
            <w:tcW w:w="1260" w:type="dxa"/>
            <w:vAlign w:val="center"/>
          </w:tcPr>
          <w:p w14:paraId="28B8C69A">
            <w:pPr>
              <w:widowControl/>
              <w:jc w:val="center"/>
              <w:rPr>
                <w:rFonts w:hint="eastAsia" w:ascii="仿宋" w:hAnsi="仿宋" w:eastAsia="仿宋" w:cs="仿宋"/>
                <w:color w:val="auto"/>
                <w:kern w:val="0"/>
                <w:sz w:val="18"/>
                <w:szCs w:val="18"/>
                <w:highlight w:val="none"/>
              </w:rPr>
            </w:pPr>
          </w:p>
        </w:tc>
        <w:tc>
          <w:tcPr>
            <w:tcW w:w="1098" w:type="dxa"/>
            <w:vAlign w:val="center"/>
          </w:tcPr>
          <w:p w14:paraId="706E96D1">
            <w:pPr>
              <w:widowControl/>
              <w:rPr>
                <w:rFonts w:hint="eastAsia" w:ascii="仿宋" w:hAnsi="仿宋" w:eastAsia="仿宋" w:cs="仿宋"/>
                <w:color w:val="auto"/>
                <w:kern w:val="0"/>
                <w:sz w:val="18"/>
                <w:szCs w:val="18"/>
                <w:highlight w:val="none"/>
              </w:rPr>
            </w:pPr>
          </w:p>
        </w:tc>
        <w:tc>
          <w:tcPr>
            <w:tcW w:w="1098" w:type="dxa"/>
            <w:vAlign w:val="center"/>
          </w:tcPr>
          <w:p w14:paraId="1BE1E9BC">
            <w:pPr>
              <w:widowControl/>
              <w:rPr>
                <w:rFonts w:hint="eastAsia" w:ascii="仿宋" w:hAnsi="仿宋" w:eastAsia="仿宋" w:cs="仿宋"/>
                <w:color w:val="auto"/>
                <w:kern w:val="0"/>
                <w:sz w:val="18"/>
                <w:szCs w:val="18"/>
                <w:highlight w:val="none"/>
              </w:rPr>
            </w:pPr>
          </w:p>
        </w:tc>
        <w:tc>
          <w:tcPr>
            <w:tcW w:w="1788" w:type="dxa"/>
            <w:vAlign w:val="center"/>
          </w:tcPr>
          <w:p w14:paraId="186947B0">
            <w:pPr>
              <w:widowControl/>
              <w:rPr>
                <w:rFonts w:hint="eastAsia" w:ascii="仿宋" w:hAnsi="仿宋" w:eastAsia="仿宋" w:cs="仿宋"/>
                <w:color w:val="auto"/>
                <w:kern w:val="0"/>
                <w:sz w:val="18"/>
                <w:szCs w:val="18"/>
                <w:highlight w:val="none"/>
              </w:rPr>
            </w:pPr>
          </w:p>
        </w:tc>
        <w:tc>
          <w:tcPr>
            <w:tcW w:w="1404" w:type="dxa"/>
            <w:vAlign w:val="center"/>
          </w:tcPr>
          <w:p w14:paraId="0F522149">
            <w:pPr>
              <w:widowControl/>
              <w:rPr>
                <w:rFonts w:hint="eastAsia" w:ascii="仿宋" w:hAnsi="仿宋" w:eastAsia="仿宋" w:cs="仿宋"/>
                <w:color w:val="auto"/>
                <w:kern w:val="0"/>
                <w:sz w:val="18"/>
                <w:szCs w:val="18"/>
                <w:highlight w:val="none"/>
              </w:rPr>
            </w:pPr>
          </w:p>
        </w:tc>
        <w:tc>
          <w:tcPr>
            <w:tcW w:w="1500" w:type="dxa"/>
            <w:vAlign w:val="center"/>
          </w:tcPr>
          <w:p w14:paraId="197992E6">
            <w:pPr>
              <w:widowControl/>
              <w:rPr>
                <w:rFonts w:hint="eastAsia" w:ascii="仿宋" w:hAnsi="仿宋" w:eastAsia="仿宋" w:cs="仿宋"/>
                <w:color w:val="auto"/>
                <w:kern w:val="0"/>
                <w:sz w:val="18"/>
                <w:szCs w:val="18"/>
                <w:highlight w:val="none"/>
              </w:rPr>
            </w:pPr>
          </w:p>
        </w:tc>
      </w:tr>
      <w:tr w14:paraId="4F68DE08">
        <w:tblPrEx>
          <w:tblLayout w:type="fixed"/>
        </w:tblPrEx>
        <w:trPr>
          <w:trHeight w:val="522" w:hRule="atLeast"/>
          <w:jc w:val="center"/>
        </w:trPr>
        <w:tc>
          <w:tcPr>
            <w:tcW w:w="828" w:type="dxa"/>
            <w:vAlign w:val="center"/>
          </w:tcPr>
          <w:p w14:paraId="00F20E26">
            <w:pPr>
              <w:widowControl/>
              <w:jc w:val="center"/>
              <w:rPr>
                <w:rFonts w:hint="eastAsia" w:ascii="仿宋" w:hAnsi="仿宋" w:eastAsia="仿宋" w:cs="仿宋"/>
                <w:color w:val="auto"/>
                <w:kern w:val="0"/>
                <w:sz w:val="18"/>
                <w:szCs w:val="18"/>
                <w:highlight w:val="none"/>
              </w:rPr>
            </w:pPr>
          </w:p>
        </w:tc>
        <w:tc>
          <w:tcPr>
            <w:tcW w:w="1260" w:type="dxa"/>
            <w:vAlign w:val="center"/>
          </w:tcPr>
          <w:p w14:paraId="0AFEEFD0">
            <w:pPr>
              <w:widowControl/>
              <w:jc w:val="center"/>
              <w:rPr>
                <w:rFonts w:hint="eastAsia" w:ascii="仿宋" w:hAnsi="仿宋" w:eastAsia="仿宋" w:cs="仿宋"/>
                <w:color w:val="auto"/>
                <w:kern w:val="0"/>
                <w:sz w:val="18"/>
                <w:szCs w:val="18"/>
                <w:highlight w:val="none"/>
              </w:rPr>
            </w:pPr>
          </w:p>
        </w:tc>
        <w:tc>
          <w:tcPr>
            <w:tcW w:w="1260" w:type="dxa"/>
            <w:vAlign w:val="center"/>
          </w:tcPr>
          <w:p w14:paraId="58948254">
            <w:pPr>
              <w:widowControl/>
              <w:jc w:val="center"/>
              <w:rPr>
                <w:rFonts w:hint="eastAsia" w:ascii="仿宋" w:hAnsi="仿宋" w:eastAsia="仿宋" w:cs="仿宋"/>
                <w:color w:val="auto"/>
                <w:kern w:val="0"/>
                <w:sz w:val="18"/>
                <w:szCs w:val="18"/>
                <w:highlight w:val="none"/>
              </w:rPr>
            </w:pPr>
          </w:p>
        </w:tc>
        <w:tc>
          <w:tcPr>
            <w:tcW w:w="1098" w:type="dxa"/>
            <w:vAlign w:val="center"/>
          </w:tcPr>
          <w:p w14:paraId="4D3361EB">
            <w:pPr>
              <w:widowControl/>
              <w:rPr>
                <w:rFonts w:hint="eastAsia" w:ascii="仿宋" w:hAnsi="仿宋" w:eastAsia="仿宋" w:cs="仿宋"/>
                <w:color w:val="auto"/>
                <w:kern w:val="0"/>
                <w:sz w:val="18"/>
                <w:szCs w:val="18"/>
                <w:highlight w:val="none"/>
              </w:rPr>
            </w:pPr>
          </w:p>
        </w:tc>
        <w:tc>
          <w:tcPr>
            <w:tcW w:w="1098" w:type="dxa"/>
            <w:vAlign w:val="center"/>
          </w:tcPr>
          <w:p w14:paraId="5E4458FD">
            <w:pPr>
              <w:widowControl/>
              <w:rPr>
                <w:rFonts w:hint="eastAsia" w:ascii="仿宋" w:hAnsi="仿宋" w:eastAsia="仿宋" w:cs="仿宋"/>
                <w:color w:val="auto"/>
                <w:kern w:val="0"/>
                <w:sz w:val="18"/>
                <w:szCs w:val="18"/>
                <w:highlight w:val="none"/>
              </w:rPr>
            </w:pPr>
          </w:p>
        </w:tc>
        <w:tc>
          <w:tcPr>
            <w:tcW w:w="1788" w:type="dxa"/>
            <w:vAlign w:val="center"/>
          </w:tcPr>
          <w:p w14:paraId="73B41479">
            <w:pPr>
              <w:widowControl/>
              <w:rPr>
                <w:rFonts w:hint="eastAsia" w:ascii="仿宋" w:hAnsi="仿宋" w:eastAsia="仿宋" w:cs="仿宋"/>
                <w:color w:val="auto"/>
                <w:kern w:val="0"/>
                <w:sz w:val="18"/>
                <w:szCs w:val="18"/>
                <w:highlight w:val="none"/>
              </w:rPr>
            </w:pPr>
          </w:p>
        </w:tc>
        <w:tc>
          <w:tcPr>
            <w:tcW w:w="1404" w:type="dxa"/>
            <w:vAlign w:val="center"/>
          </w:tcPr>
          <w:p w14:paraId="7F746812">
            <w:pPr>
              <w:widowControl/>
              <w:rPr>
                <w:rFonts w:hint="eastAsia" w:ascii="仿宋" w:hAnsi="仿宋" w:eastAsia="仿宋" w:cs="仿宋"/>
                <w:color w:val="auto"/>
                <w:kern w:val="0"/>
                <w:sz w:val="18"/>
                <w:szCs w:val="18"/>
                <w:highlight w:val="none"/>
              </w:rPr>
            </w:pPr>
          </w:p>
        </w:tc>
        <w:tc>
          <w:tcPr>
            <w:tcW w:w="1500" w:type="dxa"/>
            <w:vAlign w:val="center"/>
          </w:tcPr>
          <w:p w14:paraId="38A8C165">
            <w:pPr>
              <w:widowControl/>
              <w:rPr>
                <w:rFonts w:hint="eastAsia" w:ascii="仿宋" w:hAnsi="仿宋" w:eastAsia="仿宋" w:cs="仿宋"/>
                <w:color w:val="auto"/>
                <w:kern w:val="0"/>
                <w:sz w:val="18"/>
                <w:szCs w:val="18"/>
                <w:highlight w:val="none"/>
              </w:rPr>
            </w:pPr>
          </w:p>
        </w:tc>
      </w:tr>
      <w:tr w14:paraId="032F2B7B">
        <w:tblPrEx>
          <w:tblLayout w:type="fixed"/>
        </w:tblPrEx>
        <w:trPr>
          <w:trHeight w:val="522" w:hRule="atLeast"/>
          <w:jc w:val="center"/>
        </w:trPr>
        <w:tc>
          <w:tcPr>
            <w:tcW w:w="828" w:type="dxa"/>
            <w:vAlign w:val="center"/>
          </w:tcPr>
          <w:p w14:paraId="5CE33A79">
            <w:pPr>
              <w:widowControl/>
              <w:jc w:val="center"/>
              <w:rPr>
                <w:rFonts w:hint="eastAsia" w:ascii="仿宋" w:hAnsi="仿宋" w:eastAsia="仿宋" w:cs="仿宋"/>
                <w:color w:val="auto"/>
                <w:kern w:val="0"/>
                <w:sz w:val="18"/>
                <w:szCs w:val="18"/>
                <w:highlight w:val="none"/>
              </w:rPr>
            </w:pPr>
          </w:p>
        </w:tc>
        <w:tc>
          <w:tcPr>
            <w:tcW w:w="1260" w:type="dxa"/>
            <w:vAlign w:val="center"/>
          </w:tcPr>
          <w:p w14:paraId="3EB0A0A8">
            <w:pPr>
              <w:widowControl/>
              <w:jc w:val="center"/>
              <w:rPr>
                <w:rFonts w:hint="eastAsia" w:ascii="仿宋" w:hAnsi="仿宋" w:eastAsia="仿宋" w:cs="仿宋"/>
                <w:color w:val="auto"/>
                <w:kern w:val="0"/>
                <w:sz w:val="18"/>
                <w:szCs w:val="18"/>
                <w:highlight w:val="none"/>
              </w:rPr>
            </w:pPr>
          </w:p>
        </w:tc>
        <w:tc>
          <w:tcPr>
            <w:tcW w:w="1260" w:type="dxa"/>
            <w:vAlign w:val="center"/>
          </w:tcPr>
          <w:p w14:paraId="6C29BCE2">
            <w:pPr>
              <w:widowControl/>
              <w:jc w:val="center"/>
              <w:rPr>
                <w:rFonts w:hint="eastAsia" w:ascii="仿宋" w:hAnsi="仿宋" w:eastAsia="仿宋" w:cs="仿宋"/>
                <w:color w:val="auto"/>
                <w:kern w:val="0"/>
                <w:sz w:val="18"/>
                <w:szCs w:val="18"/>
                <w:highlight w:val="none"/>
              </w:rPr>
            </w:pPr>
          </w:p>
        </w:tc>
        <w:tc>
          <w:tcPr>
            <w:tcW w:w="1098" w:type="dxa"/>
            <w:vAlign w:val="center"/>
          </w:tcPr>
          <w:p w14:paraId="00EACA48">
            <w:pPr>
              <w:widowControl/>
              <w:rPr>
                <w:rFonts w:hint="eastAsia" w:ascii="仿宋" w:hAnsi="仿宋" w:eastAsia="仿宋" w:cs="仿宋"/>
                <w:color w:val="auto"/>
                <w:kern w:val="0"/>
                <w:sz w:val="18"/>
                <w:szCs w:val="18"/>
                <w:highlight w:val="none"/>
              </w:rPr>
            </w:pPr>
          </w:p>
        </w:tc>
        <w:tc>
          <w:tcPr>
            <w:tcW w:w="1098" w:type="dxa"/>
            <w:vAlign w:val="center"/>
          </w:tcPr>
          <w:p w14:paraId="18701C7D">
            <w:pPr>
              <w:widowControl/>
              <w:rPr>
                <w:rFonts w:hint="eastAsia" w:ascii="仿宋" w:hAnsi="仿宋" w:eastAsia="仿宋" w:cs="仿宋"/>
                <w:color w:val="auto"/>
                <w:kern w:val="0"/>
                <w:sz w:val="18"/>
                <w:szCs w:val="18"/>
                <w:highlight w:val="none"/>
              </w:rPr>
            </w:pPr>
          </w:p>
        </w:tc>
        <w:tc>
          <w:tcPr>
            <w:tcW w:w="1788" w:type="dxa"/>
            <w:vAlign w:val="center"/>
          </w:tcPr>
          <w:p w14:paraId="1657AFDB">
            <w:pPr>
              <w:widowControl/>
              <w:rPr>
                <w:rFonts w:hint="eastAsia" w:ascii="仿宋" w:hAnsi="仿宋" w:eastAsia="仿宋" w:cs="仿宋"/>
                <w:color w:val="auto"/>
                <w:kern w:val="0"/>
                <w:sz w:val="18"/>
                <w:szCs w:val="18"/>
                <w:highlight w:val="none"/>
              </w:rPr>
            </w:pPr>
          </w:p>
        </w:tc>
        <w:tc>
          <w:tcPr>
            <w:tcW w:w="1404" w:type="dxa"/>
            <w:vAlign w:val="center"/>
          </w:tcPr>
          <w:p w14:paraId="635FC03B">
            <w:pPr>
              <w:widowControl/>
              <w:rPr>
                <w:rFonts w:hint="eastAsia" w:ascii="仿宋" w:hAnsi="仿宋" w:eastAsia="仿宋" w:cs="仿宋"/>
                <w:color w:val="auto"/>
                <w:kern w:val="0"/>
                <w:sz w:val="18"/>
                <w:szCs w:val="18"/>
                <w:highlight w:val="none"/>
              </w:rPr>
            </w:pPr>
          </w:p>
        </w:tc>
        <w:tc>
          <w:tcPr>
            <w:tcW w:w="1500" w:type="dxa"/>
            <w:vAlign w:val="center"/>
          </w:tcPr>
          <w:p w14:paraId="42B3B501">
            <w:pPr>
              <w:widowControl/>
              <w:rPr>
                <w:rFonts w:hint="eastAsia" w:ascii="仿宋" w:hAnsi="仿宋" w:eastAsia="仿宋" w:cs="仿宋"/>
                <w:color w:val="auto"/>
                <w:kern w:val="0"/>
                <w:sz w:val="18"/>
                <w:szCs w:val="18"/>
                <w:highlight w:val="none"/>
              </w:rPr>
            </w:pPr>
          </w:p>
        </w:tc>
      </w:tr>
      <w:tr w14:paraId="130486BA">
        <w:tblPrEx>
          <w:tblLayout w:type="fixed"/>
        </w:tblPrEx>
        <w:trPr>
          <w:trHeight w:val="522" w:hRule="atLeast"/>
          <w:jc w:val="center"/>
        </w:trPr>
        <w:tc>
          <w:tcPr>
            <w:tcW w:w="828" w:type="dxa"/>
            <w:vAlign w:val="center"/>
          </w:tcPr>
          <w:p w14:paraId="56F24DF1">
            <w:pPr>
              <w:widowControl/>
              <w:jc w:val="center"/>
              <w:rPr>
                <w:rFonts w:hint="eastAsia" w:ascii="仿宋" w:hAnsi="仿宋" w:eastAsia="仿宋" w:cs="仿宋"/>
                <w:color w:val="auto"/>
                <w:kern w:val="0"/>
                <w:sz w:val="18"/>
                <w:szCs w:val="18"/>
                <w:highlight w:val="none"/>
              </w:rPr>
            </w:pPr>
          </w:p>
        </w:tc>
        <w:tc>
          <w:tcPr>
            <w:tcW w:w="1260" w:type="dxa"/>
            <w:vAlign w:val="center"/>
          </w:tcPr>
          <w:p w14:paraId="29D86BB2">
            <w:pPr>
              <w:widowControl/>
              <w:jc w:val="center"/>
              <w:rPr>
                <w:rFonts w:hint="eastAsia" w:ascii="仿宋" w:hAnsi="仿宋" w:eastAsia="仿宋" w:cs="仿宋"/>
                <w:color w:val="auto"/>
                <w:kern w:val="0"/>
                <w:sz w:val="18"/>
                <w:szCs w:val="18"/>
                <w:highlight w:val="none"/>
              </w:rPr>
            </w:pPr>
          </w:p>
        </w:tc>
        <w:tc>
          <w:tcPr>
            <w:tcW w:w="1260" w:type="dxa"/>
            <w:vAlign w:val="center"/>
          </w:tcPr>
          <w:p w14:paraId="7D493BE1">
            <w:pPr>
              <w:widowControl/>
              <w:jc w:val="center"/>
              <w:rPr>
                <w:rFonts w:hint="eastAsia" w:ascii="仿宋" w:hAnsi="仿宋" w:eastAsia="仿宋" w:cs="仿宋"/>
                <w:color w:val="auto"/>
                <w:kern w:val="0"/>
                <w:sz w:val="18"/>
                <w:szCs w:val="18"/>
                <w:highlight w:val="none"/>
              </w:rPr>
            </w:pPr>
          </w:p>
        </w:tc>
        <w:tc>
          <w:tcPr>
            <w:tcW w:w="1098" w:type="dxa"/>
            <w:vAlign w:val="center"/>
          </w:tcPr>
          <w:p w14:paraId="04BDC6DA">
            <w:pPr>
              <w:widowControl/>
              <w:rPr>
                <w:rFonts w:hint="eastAsia" w:ascii="仿宋" w:hAnsi="仿宋" w:eastAsia="仿宋" w:cs="仿宋"/>
                <w:color w:val="auto"/>
                <w:kern w:val="0"/>
                <w:sz w:val="18"/>
                <w:szCs w:val="18"/>
                <w:highlight w:val="none"/>
              </w:rPr>
            </w:pPr>
          </w:p>
        </w:tc>
        <w:tc>
          <w:tcPr>
            <w:tcW w:w="1098" w:type="dxa"/>
            <w:vAlign w:val="center"/>
          </w:tcPr>
          <w:p w14:paraId="073D697B">
            <w:pPr>
              <w:widowControl/>
              <w:rPr>
                <w:rFonts w:hint="eastAsia" w:ascii="仿宋" w:hAnsi="仿宋" w:eastAsia="仿宋" w:cs="仿宋"/>
                <w:color w:val="auto"/>
                <w:kern w:val="0"/>
                <w:sz w:val="18"/>
                <w:szCs w:val="18"/>
                <w:highlight w:val="none"/>
              </w:rPr>
            </w:pPr>
          </w:p>
        </w:tc>
        <w:tc>
          <w:tcPr>
            <w:tcW w:w="1788" w:type="dxa"/>
            <w:vAlign w:val="center"/>
          </w:tcPr>
          <w:p w14:paraId="2C242336">
            <w:pPr>
              <w:widowControl/>
              <w:rPr>
                <w:rFonts w:hint="eastAsia" w:ascii="仿宋" w:hAnsi="仿宋" w:eastAsia="仿宋" w:cs="仿宋"/>
                <w:color w:val="auto"/>
                <w:kern w:val="0"/>
                <w:sz w:val="18"/>
                <w:szCs w:val="18"/>
                <w:highlight w:val="none"/>
              </w:rPr>
            </w:pPr>
          </w:p>
        </w:tc>
        <w:tc>
          <w:tcPr>
            <w:tcW w:w="1404" w:type="dxa"/>
            <w:vAlign w:val="center"/>
          </w:tcPr>
          <w:p w14:paraId="52B70B4A">
            <w:pPr>
              <w:widowControl/>
              <w:rPr>
                <w:rFonts w:hint="eastAsia" w:ascii="仿宋" w:hAnsi="仿宋" w:eastAsia="仿宋" w:cs="仿宋"/>
                <w:color w:val="auto"/>
                <w:kern w:val="0"/>
                <w:sz w:val="18"/>
                <w:szCs w:val="18"/>
                <w:highlight w:val="none"/>
              </w:rPr>
            </w:pPr>
          </w:p>
        </w:tc>
        <w:tc>
          <w:tcPr>
            <w:tcW w:w="1500" w:type="dxa"/>
            <w:vAlign w:val="center"/>
          </w:tcPr>
          <w:p w14:paraId="0B5463DE">
            <w:pPr>
              <w:widowControl/>
              <w:rPr>
                <w:rFonts w:hint="eastAsia" w:ascii="仿宋" w:hAnsi="仿宋" w:eastAsia="仿宋" w:cs="仿宋"/>
                <w:color w:val="auto"/>
                <w:kern w:val="0"/>
                <w:sz w:val="18"/>
                <w:szCs w:val="18"/>
                <w:highlight w:val="none"/>
              </w:rPr>
            </w:pPr>
          </w:p>
        </w:tc>
      </w:tr>
      <w:tr w14:paraId="7D5CE16D">
        <w:tblPrEx>
          <w:tblLayout w:type="fixed"/>
        </w:tblPrEx>
        <w:trPr>
          <w:trHeight w:val="522" w:hRule="atLeast"/>
          <w:jc w:val="center"/>
        </w:trPr>
        <w:tc>
          <w:tcPr>
            <w:tcW w:w="828" w:type="dxa"/>
            <w:vAlign w:val="center"/>
          </w:tcPr>
          <w:p w14:paraId="441E0782">
            <w:pPr>
              <w:widowControl/>
              <w:jc w:val="center"/>
              <w:rPr>
                <w:rFonts w:hint="eastAsia" w:ascii="仿宋" w:hAnsi="仿宋" w:eastAsia="仿宋" w:cs="仿宋"/>
                <w:color w:val="auto"/>
                <w:kern w:val="0"/>
                <w:sz w:val="18"/>
                <w:szCs w:val="18"/>
                <w:highlight w:val="none"/>
              </w:rPr>
            </w:pPr>
          </w:p>
        </w:tc>
        <w:tc>
          <w:tcPr>
            <w:tcW w:w="1260" w:type="dxa"/>
            <w:vAlign w:val="center"/>
          </w:tcPr>
          <w:p w14:paraId="53503C2F">
            <w:pPr>
              <w:widowControl/>
              <w:jc w:val="center"/>
              <w:rPr>
                <w:rFonts w:hint="eastAsia" w:ascii="仿宋" w:hAnsi="仿宋" w:eastAsia="仿宋" w:cs="仿宋"/>
                <w:color w:val="auto"/>
                <w:kern w:val="0"/>
                <w:sz w:val="18"/>
                <w:szCs w:val="18"/>
                <w:highlight w:val="none"/>
              </w:rPr>
            </w:pPr>
          </w:p>
        </w:tc>
        <w:tc>
          <w:tcPr>
            <w:tcW w:w="1260" w:type="dxa"/>
            <w:vAlign w:val="center"/>
          </w:tcPr>
          <w:p w14:paraId="55E6FFB0">
            <w:pPr>
              <w:widowControl/>
              <w:jc w:val="center"/>
              <w:rPr>
                <w:rFonts w:hint="eastAsia" w:ascii="仿宋" w:hAnsi="仿宋" w:eastAsia="仿宋" w:cs="仿宋"/>
                <w:color w:val="auto"/>
                <w:kern w:val="0"/>
                <w:sz w:val="18"/>
                <w:szCs w:val="18"/>
                <w:highlight w:val="none"/>
              </w:rPr>
            </w:pPr>
          </w:p>
        </w:tc>
        <w:tc>
          <w:tcPr>
            <w:tcW w:w="1098" w:type="dxa"/>
            <w:vAlign w:val="center"/>
          </w:tcPr>
          <w:p w14:paraId="07F7D880">
            <w:pPr>
              <w:widowControl/>
              <w:rPr>
                <w:rFonts w:hint="eastAsia" w:ascii="仿宋" w:hAnsi="仿宋" w:eastAsia="仿宋" w:cs="仿宋"/>
                <w:color w:val="auto"/>
                <w:kern w:val="0"/>
                <w:sz w:val="18"/>
                <w:szCs w:val="18"/>
                <w:highlight w:val="none"/>
              </w:rPr>
            </w:pPr>
          </w:p>
        </w:tc>
        <w:tc>
          <w:tcPr>
            <w:tcW w:w="1098" w:type="dxa"/>
            <w:vAlign w:val="center"/>
          </w:tcPr>
          <w:p w14:paraId="1467B996">
            <w:pPr>
              <w:widowControl/>
              <w:rPr>
                <w:rFonts w:hint="eastAsia" w:ascii="仿宋" w:hAnsi="仿宋" w:eastAsia="仿宋" w:cs="仿宋"/>
                <w:color w:val="auto"/>
                <w:kern w:val="0"/>
                <w:sz w:val="18"/>
                <w:szCs w:val="18"/>
                <w:highlight w:val="none"/>
              </w:rPr>
            </w:pPr>
          </w:p>
        </w:tc>
        <w:tc>
          <w:tcPr>
            <w:tcW w:w="1788" w:type="dxa"/>
            <w:vAlign w:val="center"/>
          </w:tcPr>
          <w:p w14:paraId="3043853B">
            <w:pPr>
              <w:widowControl/>
              <w:rPr>
                <w:rFonts w:hint="eastAsia" w:ascii="仿宋" w:hAnsi="仿宋" w:eastAsia="仿宋" w:cs="仿宋"/>
                <w:color w:val="auto"/>
                <w:kern w:val="0"/>
                <w:sz w:val="18"/>
                <w:szCs w:val="18"/>
                <w:highlight w:val="none"/>
              </w:rPr>
            </w:pPr>
          </w:p>
        </w:tc>
        <w:tc>
          <w:tcPr>
            <w:tcW w:w="1404" w:type="dxa"/>
            <w:vAlign w:val="center"/>
          </w:tcPr>
          <w:p w14:paraId="070AE6BE">
            <w:pPr>
              <w:widowControl/>
              <w:rPr>
                <w:rFonts w:hint="eastAsia" w:ascii="仿宋" w:hAnsi="仿宋" w:eastAsia="仿宋" w:cs="仿宋"/>
                <w:color w:val="auto"/>
                <w:kern w:val="0"/>
                <w:sz w:val="18"/>
                <w:szCs w:val="18"/>
                <w:highlight w:val="none"/>
              </w:rPr>
            </w:pPr>
          </w:p>
        </w:tc>
        <w:tc>
          <w:tcPr>
            <w:tcW w:w="1500" w:type="dxa"/>
            <w:vAlign w:val="center"/>
          </w:tcPr>
          <w:p w14:paraId="38A3D6F6">
            <w:pPr>
              <w:widowControl/>
              <w:rPr>
                <w:rFonts w:hint="eastAsia" w:ascii="仿宋" w:hAnsi="仿宋" w:eastAsia="仿宋" w:cs="仿宋"/>
                <w:color w:val="auto"/>
                <w:kern w:val="0"/>
                <w:sz w:val="18"/>
                <w:szCs w:val="18"/>
                <w:highlight w:val="none"/>
              </w:rPr>
            </w:pPr>
          </w:p>
        </w:tc>
      </w:tr>
      <w:tr w14:paraId="41870B28">
        <w:tblPrEx>
          <w:tblLayout w:type="fixed"/>
        </w:tblPrEx>
        <w:trPr>
          <w:trHeight w:val="552" w:hRule="atLeast"/>
          <w:jc w:val="center"/>
        </w:trPr>
        <w:tc>
          <w:tcPr>
            <w:tcW w:w="828" w:type="dxa"/>
            <w:vAlign w:val="center"/>
          </w:tcPr>
          <w:p w14:paraId="33DA742F">
            <w:pPr>
              <w:widowControl/>
              <w:shd w:val="clear" w:color="auto" w:fill="FFFFFF"/>
              <w:spacing w:line="23" w:lineRule="atLeast"/>
              <w:jc w:val="center"/>
              <w:rPr>
                <w:rFonts w:hint="eastAsia" w:ascii="仿宋" w:hAnsi="仿宋" w:eastAsia="仿宋" w:cs="仿宋"/>
                <w:color w:val="auto"/>
                <w:kern w:val="0"/>
                <w:sz w:val="18"/>
                <w:szCs w:val="18"/>
                <w:highlight w:val="none"/>
                <w:lang w:eastAsia="zh-CN"/>
              </w:rPr>
            </w:pPr>
            <w:r>
              <w:rPr>
                <w:rFonts w:hint="eastAsia" w:ascii="仿宋" w:hAnsi="仿宋" w:eastAsia="仿宋" w:cs="仿宋"/>
                <w:b/>
                <w:bCs/>
                <w:color w:val="auto"/>
                <w:kern w:val="0"/>
                <w:szCs w:val="21"/>
                <w:highlight w:val="none"/>
                <w:lang w:bidi="ar"/>
              </w:rPr>
              <w:t>…</w:t>
            </w:r>
          </w:p>
        </w:tc>
        <w:tc>
          <w:tcPr>
            <w:tcW w:w="1260" w:type="dxa"/>
            <w:vAlign w:val="center"/>
          </w:tcPr>
          <w:p w14:paraId="488E6064">
            <w:pPr>
              <w:widowControl/>
              <w:shd w:val="clear" w:color="auto" w:fill="FFFFFF"/>
              <w:spacing w:line="23" w:lineRule="atLeast"/>
              <w:jc w:val="center"/>
              <w:rPr>
                <w:rFonts w:hint="eastAsia" w:ascii="仿宋" w:hAnsi="仿宋" w:eastAsia="仿宋" w:cs="仿宋"/>
                <w:b/>
                <w:bCs/>
                <w:color w:val="auto"/>
                <w:kern w:val="0"/>
                <w:szCs w:val="21"/>
                <w:highlight w:val="none"/>
                <w:lang w:bidi="ar"/>
              </w:rPr>
            </w:pPr>
          </w:p>
        </w:tc>
        <w:tc>
          <w:tcPr>
            <w:tcW w:w="1260" w:type="dxa"/>
            <w:vAlign w:val="center"/>
          </w:tcPr>
          <w:p w14:paraId="336153E9">
            <w:pPr>
              <w:widowControl/>
              <w:shd w:val="clear" w:color="auto" w:fill="FFFFFF"/>
              <w:spacing w:line="23" w:lineRule="atLeast"/>
              <w:jc w:val="center"/>
              <w:rPr>
                <w:rFonts w:hint="eastAsia" w:ascii="仿宋" w:hAnsi="仿宋" w:eastAsia="仿宋" w:cs="仿宋"/>
                <w:color w:val="auto"/>
                <w:kern w:val="0"/>
                <w:sz w:val="18"/>
                <w:szCs w:val="18"/>
                <w:highlight w:val="none"/>
              </w:rPr>
            </w:pPr>
            <w:r>
              <w:rPr>
                <w:rFonts w:hint="eastAsia" w:ascii="仿宋" w:hAnsi="仿宋" w:eastAsia="仿宋" w:cs="仿宋"/>
                <w:b/>
                <w:bCs/>
                <w:color w:val="auto"/>
                <w:kern w:val="0"/>
                <w:szCs w:val="21"/>
                <w:highlight w:val="none"/>
                <w:lang w:bidi="ar"/>
              </w:rPr>
              <w:t>……</w:t>
            </w:r>
          </w:p>
        </w:tc>
        <w:tc>
          <w:tcPr>
            <w:tcW w:w="1098" w:type="dxa"/>
            <w:vAlign w:val="center"/>
          </w:tcPr>
          <w:p w14:paraId="0DEF2F1B">
            <w:pPr>
              <w:widowControl/>
              <w:rPr>
                <w:rFonts w:hint="eastAsia" w:ascii="仿宋" w:hAnsi="仿宋" w:eastAsia="仿宋" w:cs="仿宋"/>
                <w:color w:val="auto"/>
                <w:kern w:val="0"/>
                <w:sz w:val="18"/>
                <w:szCs w:val="18"/>
                <w:highlight w:val="none"/>
              </w:rPr>
            </w:pPr>
          </w:p>
        </w:tc>
        <w:tc>
          <w:tcPr>
            <w:tcW w:w="1098" w:type="dxa"/>
            <w:vAlign w:val="center"/>
          </w:tcPr>
          <w:p w14:paraId="187FAA7B">
            <w:pPr>
              <w:widowControl/>
              <w:rPr>
                <w:rFonts w:hint="eastAsia" w:ascii="仿宋" w:hAnsi="仿宋" w:eastAsia="仿宋" w:cs="仿宋"/>
                <w:color w:val="auto"/>
                <w:kern w:val="0"/>
                <w:sz w:val="18"/>
                <w:szCs w:val="18"/>
                <w:highlight w:val="none"/>
              </w:rPr>
            </w:pPr>
          </w:p>
        </w:tc>
        <w:tc>
          <w:tcPr>
            <w:tcW w:w="1788" w:type="dxa"/>
            <w:vAlign w:val="center"/>
          </w:tcPr>
          <w:p w14:paraId="6D6F4AE7">
            <w:pPr>
              <w:widowControl/>
              <w:rPr>
                <w:rFonts w:hint="eastAsia" w:ascii="仿宋" w:hAnsi="仿宋" w:eastAsia="仿宋" w:cs="仿宋"/>
                <w:color w:val="auto"/>
                <w:kern w:val="0"/>
                <w:sz w:val="18"/>
                <w:szCs w:val="18"/>
                <w:highlight w:val="none"/>
              </w:rPr>
            </w:pPr>
          </w:p>
        </w:tc>
        <w:tc>
          <w:tcPr>
            <w:tcW w:w="1404" w:type="dxa"/>
            <w:vAlign w:val="center"/>
          </w:tcPr>
          <w:p w14:paraId="5A0A6200">
            <w:pPr>
              <w:widowControl/>
              <w:rPr>
                <w:rFonts w:hint="eastAsia" w:ascii="仿宋" w:hAnsi="仿宋" w:eastAsia="仿宋" w:cs="仿宋"/>
                <w:color w:val="auto"/>
                <w:kern w:val="0"/>
                <w:sz w:val="18"/>
                <w:szCs w:val="18"/>
                <w:highlight w:val="none"/>
              </w:rPr>
            </w:pPr>
          </w:p>
        </w:tc>
        <w:tc>
          <w:tcPr>
            <w:tcW w:w="1500" w:type="dxa"/>
            <w:vAlign w:val="center"/>
          </w:tcPr>
          <w:p w14:paraId="15D958BA">
            <w:pPr>
              <w:widowControl/>
              <w:rPr>
                <w:rFonts w:hint="eastAsia" w:ascii="仿宋" w:hAnsi="仿宋" w:eastAsia="仿宋" w:cs="仿宋"/>
                <w:color w:val="auto"/>
                <w:kern w:val="0"/>
                <w:sz w:val="18"/>
                <w:szCs w:val="18"/>
                <w:highlight w:val="none"/>
              </w:rPr>
            </w:pPr>
          </w:p>
        </w:tc>
      </w:tr>
    </w:tbl>
    <w:p w14:paraId="7DB471B6">
      <w:pPr>
        <w:spacing w:line="312" w:lineRule="auto"/>
        <w:rPr>
          <w:rFonts w:hint="eastAsia" w:ascii="仿宋" w:hAnsi="仿宋" w:eastAsia="仿宋" w:cs="仿宋"/>
          <w:color w:val="auto"/>
          <w:sz w:val="32"/>
          <w:szCs w:val="32"/>
          <w:highlight w:val="none"/>
          <w:lang w:eastAsia="zh-CN"/>
        </w:rPr>
      </w:pPr>
    </w:p>
    <w:p w14:paraId="5C4955F4">
      <w:pPr>
        <w:spacing w:line="360" w:lineRule="auto"/>
        <w:jc w:val="both"/>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供应商（</w:t>
      </w:r>
      <w:r>
        <w:rPr>
          <w:rFonts w:hint="eastAsia" w:ascii="仿宋" w:hAnsi="仿宋" w:eastAsia="仿宋" w:cs="仿宋"/>
          <w:bCs/>
          <w:color w:val="auto"/>
          <w:sz w:val="28"/>
          <w:szCs w:val="28"/>
          <w:highlight w:val="none"/>
          <w:lang w:eastAsia="zh-CN" w:bidi="ar"/>
        </w:rPr>
        <w:t>盖公章</w:t>
      </w:r>
      <w:r>
        <w:rPr>
          <w:rFonts w:hint="eastAsia" w:ascii="仿宋" w:hAnsi="仿宋" w:eastAsia="仿宋" w:cs="仿宋"/>
          <w:bCs/>
          <w:color w:val="auto"/>
          <w:sz w:val="28"/>
          <w:szCs w:val="28"/>
          <w:highlight w:val="none"/>
          <w:lang w:bidi="ar"/>
        </w:rPr>
        <w:t>）：</w:t>
      </w:r>
    </w:p>
    <w:p w14:paraId="4117CE3F">
      <w:pPr>
        <w:spacing w:line="360" w:lineRule="auto"/>
        <w:jc w:val="left"/>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法定代表人或被授权人（签字或盖章）：</w:t>
      </w:r>
      <w:r>
        <w:rPr>
          <w:rFonts w:hint="eastAsia" w:ascii="仿宋" w:hAnsi="仿宋" w:eastAsia="仿宋" w:cs="仿宋"/>
          <w:bCs/>
          <w:color w:val="auto"/>
          <w:sz w:val="28"/>
          <w:szCs w:val="28"/>
          <w:highlight w:val="none"/>
          <w:lang w:bidi="ar"/>
        </w:rPr>
        <w:t>_________</w:t>
      </w:r>
    </w:p>
    <w:p w14:paraId="29881FC8">
      <w:pPr>
        <w:spacing w:line="360" w:lineRule="auto"/>
        <w:jc w:val="both"/>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日期：______年</w:t>
      </w:r>
      <w:r>
        <w:rPr>
          <w:rFonts w:hint="eastAsia" w:ascii="仿宋" w:hAnsi="仿宋" w:eastAsia="仿宋" w:cs="仿宋"/>
          <w:bCs/>
          <w:color w:val="auto"/>
          <w:sz w:val="28"/>
          <w:szCs w:val="28"/>
          <w:highlight w:val="none"/>
          <w:u w:val="single"/>
          <w:lang w:bidi="ar"/>
        </w:rPr>
        <w:t xml:space="preserve">    </w:t>
      </w:r>
      <w:r>
        <w:rPr>
          <w:rFonts w:hint="eastAsia" w:ascii="仿宋" w:hAnsi="仿宋" w:eastAsia="仿宋" w:cs="仿宋"/>
          <w:bCs/>
          <w:color w:val="auto"/>
          <w:sz w:val="28"/>
          <w:szCs w:val="28"/>
          <w:highlight w:val="none"/>
          <w:lang w:bidi="ar"/>
        </w:rPr>
        <w:t>月</w:t>
      </w:r>
      <w:r>
        <w:rPr>
          <w:rFonts w:hint="eastAsia" w:ascii="仿宋" w:hAnsi="仿宋" w:eastAsia="仿宋" w:cs="仿宋"/>
          <w:bCs/>
          <w:color w:val="auto"/>
          <w:sz w:val="28"/>
          <w:szCs w:val="28"/>
          <w:highlight w:val="none"/>
          <w:u w:val="single"/>
          <w:lang w:bidi="ar"/>
        </w:rPr>
        <w:t xml:space="preserve">    </w:t>
      </w:r>
      <w:r>
        <w:rPr>
          <w:rFonts w:hint="eastAsia" w:ascii="仿宋" w:hAnsi="仿宋" w:eastAsia="仿宋" w:cs="仿宋"/>
          <w:bCs/>
          <w:color w:val="auto"/>
          <w:sz w:val="28"/>
          <w:szCs w:val="28"/>
          <w:highlight w:val="none"/>
          <w:lang w:bidi="ar"/>
        </w:rPr>
        <w:t>日</w:t>
      </w:r>
    </w:p>
    <w:p w14:paraId="16A24577">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05431F3C">
      <w:pPr>
        <w:rPr>
          <w:rFonts w:hint="eastAsia" w:ascii="Times New Roman" w:hAnsi="Times New Roman" w:eastAsia="方正黑体_GBK"/>
          <w:sz w:val="32"/>
          <w:szCs w:val="32"/>
          <w:lang w:eastAsia="zh-CN"/>
        </w:rPr>
      </w:pPr>
      <w:r>
        <w:rPr>
          <w:rFonts w:ascii="Times New Roman" w:hAnsi="Times New Roman" w:eastAsia="方正黑体_GBK"/>
          <w:sz w:val="32"/>
          <w:szCs w:val="32"/>
        </w:rPr>
        <w:t>附件</w:t>
      </w:r>
      <w:r>
        <w:rPr>
          <w:rFonts w:hint="eastAsia" w:ascii="Times New Roman" w:hAnsi="Times New Roman" w:eastAsia="方正黑体_GBK"/>
          <w:sz w:val="32"/>
          <w:szCs w:val="32"/>
          <w:lang w:val="en-US" w:eastAsia="zh-CN"/>
        </w:rPr>
        <w:t>8</w:t>
      </w:r>
    </w:p>
    <w:p w14:paraId="7B11FD56">
      <w:pPr>
        <w:jc w:val="center"/>
        <w:rPr>
          <w:rFonts w:ascii="宋体" w:hAnsi="宋体"/>
          <w:b/>
          <w:sz w:val="32"/>
          <w:szCs w:val="32"/>
        </w:rPr>
      </w:pPr>
      <w:r>
        <w:rPr>
          <w:rFonts w:hint="eastAsia" w:ascii="宋体" w:hAnsi="宋体"/>
          <w:b/>
          <w:sz w:val="32"/>
          <w:szCs w:val="32"/>
        </w:rPr>
        <w:t>询价响应函</w:t>
      </w:r>
    </w:p>
    <w:p w14:paraId="7C30CEF2">
      <w:pPr>
        <w:adjustRightInd w:val="0"/>
        <w:spacing w:line="420" w:lineRule="exact"/>
        <w:jc w:val="left"/>
        <w:textAlignment w:val="baseline"/>
        <w:rPr>
          <w:rFonts w:ascii="宋体" w:hAnsi="宋体"/>
          <w:sz w:val="24"/>
          <w:szCs w:val="21"/>
        </w:rPr>
      </w:pPr>
      <w:r>
        <w:rPr>
          <w:rFonts w:hint="eastAsia" w:ascii="宋体" w:hAnsi="宋体"/>
          <w:sz w:val="24"/>
          <w:szCs w:val="21"/>
        </w:rPr>
        <w:t>致：______</w:t>
      </w:r>
      <w:r>
        <w:rPr>
          <w:rFonts w:hint="eastAsia" w:ascii="宋体" w:hAnsi="宋体"/>
          <w:sz w:val="24"/>
          <w:szCs w:val="21"/>
          <w:u w:val="single"/>
        </w:rPr>
        <w:t>__</w:t>
      </w:r>
      <w:r>
        <w:rPr>
          <w:rFonts w:hint="eastAsia" w:ascii="宋体" w:hAnsi="宋体"/>
          <w:bCs/>
          <w:color w:val="000000"/>
          <w:sz w:val="24"/>
          <w:szCs w:val="21"/>
          <w:u w:val="single"/>
        </w:rPr>
        <w:t>______</w:t>
      </w:r>
      <w:r>
        <w:rPr>
          <w:rFonts w:hint="eastAsia" w:ascii="宋体" w:hAnsi="宋体"/>
          <w:sz w:val="24"/>
          <w:szCs w:val="21"/>
          <w:u w:val="single"/>
        </w:rPr>
        <w:t>_</w:t>
      </w:r>
      <w:r>
        <w:rPr>
          <w:rFonts w:hint="eastAsia" w:ascii="宋体" w:hAnsi="宋体"/>
          <w:sz w:val="24"/>
          <w:szCs w:val="21"/>
        </w:rPr>
        <w:t>_（采购人名称）</w:t>
      </w:r>
    </w:p>
    <w:p w14:paraId="0D9CCC3D">
      <w:pPr>
        <w:adjustRightInd w:val="0"/>
        <w:spacing w:line="420" w:lineRule="exact"/>
        <w:ind w:firstLine="480" w:firstLineChars="200"/>
        <w:jc w:val="left"/>
        <w:textAlignment w:val="baseline"/>
        <w:rPr>
          <w:rFonts w:ascii="宋体" w:hAnsi="宋体"/>
          <w:sz w:val="24"/>
          <w:szCs w:val="21"/>
        </w:rPr>
      </w:pPr>
      <w:r>
        <w:rPr>
          <w:rFonts w:hint="eastAsia" w:ascii="宋体" w:hAnsi="宋体"/>
          <w:sz w:val="24"/>
          <w:szCs w:val="21"/>
        </w:rPr>
        <w:t>根据贵方</w:t>
      </w:r>
      <w:r>
        <w:rPr>
          <w:rFonts w:ascii="宋体" w:hAnsi="宋体"/>
          <w:sz w:val="24"/>
          <w:szCs w:val="21"/>
        </w:rPr>
        <w:t>项目</w:t>
      </w:r>
      <w:r>
        <w:rPr>
          <w:rFonts w:hint="eastAsia" w:ascii="宋体" w:hAnsi="宋体"/>
          <w:sz w:val="24"/>
          <w:szCs w:val="21"/>
          <w:lang w:val="en-US" w:eastAsia="zh-CN"/>
        </w:rPr>
        <w:t>名称</w:t>
      </w:r>
      <w:r>
        <w:rPr>
          <w:rFonts w:hint="eastAsia" w:ascii="宋体" w:hAnsi="宋体"/>
          <w:sz w:val="24"/>
          <w:szCs w:val="21"/>
        </w:rPr>
        <w:t>为____________________的询价文件，我方正式提交询价响应函，并宣布同意如下内容：</w:t>
      </w:r>
    </w:p>
    <w:p w14:paraId="13D74E89">
      <w:pPr>
        <w:adjustRightInd w:val="0"/>
        <w:spacing w:line="420" w:lineRule="exact"/>
        <w:ind w:firstLine="480"/>
        <w:jc w:val="left"/>
        <w:textAlignment w:val="baseline"/>
        <w:rPr>
          <w:rFonts w:ascii="宋体" w:hAnsi="宋体"/>
          <w:sz w:val="24"/>
          <w:szCs w:val="21"/>
        </w:rPr>
      </w:pPr>
      <w:r>
        <w:rPr>
          <w:rFonts w:hint="eastAsia" w:ascii="宋体" w:hAnsi="宋体"/>
          <w:sz w:val="24"/>
          <w:szCs w:val="21"/>
        </w:rPr>
        <w:t>1.按询价文件规定的各项要求，向买方提供所需货物、服务（包含与货物相关的服务及与服务相关的货物）。</w:t>
      </w:r>
    </w:p>
    <w:p w14:paraId="45ECAA32">
      <w:pPr>
        <w:adjustRightInd w:val="0"/>
        <w:spacing w:line="420" w:lineRule="exact"/>
        <w:ind w:firstLine="480" w:firstLineChars="200"/>
        <w:jc w:val="left"/>
        <w:textAlignment w:val="baseline"/>
        <w:rPr>
          <w:rFonts w:ascii="宋体" w:hAnsi="宋体"/>
          <w:sz w:val="24"/>
          <w:szCs w:val="21"/>
        </w:rPr>
      </w:pPr>
      <w:r>
        <w:rPr>
          <w:rFonts w:ascii="宋体" w:hAnsi="宋体"/>
          <w:sz w:val="24"/>
          <w:szCs w:val="21"/>
        </w:rPr>
        <w:t>2</w:t>
      </w:r>
      <w:r>
        <w:rPr>
          <w:rFonts w:hint="eastAsia" w:ascii="宋体" w:hAnsi="宋体"/>
          <w:sz w:val="24"/>
          <w:szCs w:val="21"/>
        </w:rPr>
        <w:t>.我们已详细审核全部询价文件及其有效补充文件，我们知道必须放弃提出含糊不清或误解问题的权利。</w:t>
      </w:r>
    </w:p>
    <w:p w14:paraId="234A247F">
      <w:pPr>
        <w:adjustRightInd w:val="0"/>
        <w:spacing w:line="420" w:lineRule="exact"/>
        <w:ind w:firstLine="480"/>
        <w:jc w:val="left"/>
        <w:textAlignment w:val="baseline"/>
        <w:rPr>
          <w:rFonts w:ascii="宋体" w:hAnsi="宋体"/>
          <w:sz w:val="24"/>
          <w:szCs w:val="21"/>
        </w:rPr>
      </w:pPr>
      <w:r>
        <w:rPr>
          <w:rFonts w:ascii="宋体" w:hAnsi="宋体"/>
          <w:sz w:val="24"/>
          <w:szCs w:val="21"/>
        </w:rPr>
        <w:t>3</w:t>
      </w:r>
      <w:r>
        <w:rPr>
          <w:rFonts w:hint="eastAsia" w:ascii="宋体" w:hAnsi="宋体"/>
          <w:sz w:val="24"/>
          <w:szCs w:val="21"/>
        </w:rPr>
        <w:t>.我们同意从规定的开标日期起遵循本响应文件，并在规定的询价有效期期满之前均具有约束力。</w:t>
      </w:r>
    </w:p>
    <w:p w14:paraId="6E66D7ED">
      <w:pPr>
        <w:adjustRightInd w:val="0"/>
        <w:spacing w:line="420" w:lineRule="exact"/>
        <w:ind w:firstLine="480"/>
        <w:jc w:val="left"/>
        <w:textAlignment w:val="baseline"/>
        <w:rPr>
          <w:rFonts w:ascii="宋体" w:hAnsi="宋体"/>
          <w:sz w:val="24"/>
          <w:szCs w:val="21"/>
        </w:rPr>
      </w:pPr>
      <w:r>
        <w:rPr>
          <w:rFonts w:ascii="宋体" w:hAnsi="宋体"/>
          <w:sz w:val="24"/>
          <w:szCs w:val="21"/>
        </w:rPr>
        <w:t>4</w:t>
      </w:r>
      <w:r>
        <w:rPr>
          <w:rFonts w:hint="eastAsia" w:ascii="宋体" w:hAnsi="宋体"/>
          <w:sz w:val="24"/>
          <w:szCs w:val="21"/>
        </w:rPr>
        <w:t>.同意向贵方提供贵方可能另外要求的与询价有关的任何证据或资料，并保证我方已提供和将要提供的文件是真实的、准确的。</w:t>
      </w:r>
    </w:p>
    <w:p w14:paraId="7A769D59">
      <w:pPr>
        <w:adjustRightInd w:val="0"/>
        <w:spacing w:line="420" w:lineRule="exact"/>
        <w:ind w:firstLine="480"/>
        <w:jc w:val="left"/>
        <w:textAlignment w:val="baseline"/>
        <w:rPr>
          <w:rFonts w:ascii="宋体" w:hAnsi="宋体"/>
          <w:sz w:val="24"/>
          <w:szCs w:val="21"/>
        </w:rPr>
      </w:pPr>
      <w:r>
        <w:rPr>
          <w:rFonts w:ascii="宋体" w:hAnsi="宋体"/>
          <w:sz w:val="24"/>
          <w:szCs w:val="21"/>
        </w:rPr>
        <w:t>5</w:t>
      </w:r>
      <w:r>
        <w:rPr>
          <w:rFonts w:hint="eastAsia" w:ascii="宋体" w:hAnsi="宋体"/>
          <w:sz w:val="24"/>
          <w:szCs w:val="21"/>
        </w:rPr>
        <w:t>.一旦我方成交,我方将根据询价文件的规定，严格履行合同的责任和义务,并保证在询价文件规定的时间完成项目，交付买方验收、使用。</w:t>
      </w:r>
    </w:p>
    <w:p w14:paraId="337F6215">
      <w:pPr>
        <w:adjustRightInd w:val="0"/>
        <w:spacing w:line="420" w:lineRule="exact"/>
        <w:ind w:left="425"/>
        <w:jc w:val="left"/>
        <w:textAlignment w:val="baseline"/>
        <w:rPr>
          <w:rFonts w:ascii="宋体" w:hAnsi="宋体"/>
          <w:sz w:val="24"/>
          <w:szCs w:val="21"/>
        </w:rPr>
      </w:pPr>
      <w:r>
        <w:rPr>
          <w:rFonts w:ascii="宋体" w:hAnsi="宋体"/>
          <w:sz w:val="24"/>
          <w:szCs w:val="21"/>
        </w:rPr>
        <w:t>6</w:t>
      </w:r>
      <w:r>
        <w:rPr>
          <w:rFonts w:hint="eastAsia" w:ascii="宋体" w:hAnsi="宋体"/>
          <w:sz w:val="24"/>
          <w:szCs w:val="21"/>
        </w:rPr>
        <w:t>.我方与本询价有关的正式通讯地址为：</w:t>
      </w:r>
    </w:p>
    <w:p w14:paraId="38E2981F">
      <w:pPr>
        <w:adjustRightInd w:val="0"/>
        <w:spacing w:line="420" w:lineRule="exact"/>
        <w:ind w:left="420" w:leftChars="200" w:firstLine="480" w:firstLineChars="200"/>
        <w:jc w:val="left"/>
        <w:textAlignment w:val="baseline"/>
        <w:rPr>
          <w:rFonts w:ascii="宋体" w:hAnsi="宋体"/>
          <w:sz w:val="24"/>
          <w:szCs w:val="21"/>
        </w:rPr>
      </w:pPr>
      <w:r>
        <w:rPr>
          <w:rFonts w:hint="eastAsia" w:ascii="宋体" w:hAnsi="宋体"/>
          <w:sz w:val="24"/>
          <w:szCs w:val="21"/>
        </w:rPr>
        <w:t>地          址：</w:t>
      </w:r>
    </w:p>
    <w:p w14:paraId="67F2A497">
      <w:pPr>
        <w:adjustRightInd w:val="0"/>
        <w:spacing w:line="420" w:lineRule="exact"/>
        <w:ind w:left="420" w:leftChars="200" w:firstLine="480" w:firstLineChars="200"/>
        <w:jc w:val="left"/>
        <w:textAlignment w:val="baseline"/>
        <w:rPr>
          <w:rFonts w:ascii="宋体" w:hAnsi="宋体"/>
          <w:sz w:val="24"/>
          <w:szCs w:val="21"/>
        </w:rPr>
      </w:pPr>
      <w:r>
        <w:rPr>
          <w:rFonts w:hint="eastAsia" w:ascii="宋体" w:hAnsi="宋体"/>
          <w:sz w:val="24"/>
          <w:szCs w:val="21"/>
        </w:rPr>
        <w:t>邮          编：</w:t>
      </w:r>
    </w:p>
    <w:p w14:paraId="62A1320F">
      <w:pPr>
        <w:adjustRightInd w:val="0"/>
        <w:spacing w:line="420" w:lineRule="exact"/>
        <w:ind w:left="420" w:leftChars="200" w:firstLine="480" w:firstLineChars="200"/>
        <w:jc w:val="left"/>
        <w:textAlignment w:val="baseline"/>
        <w:rPr>
          <w:rFonts w:ascii="宋体" w:hAnsi="宋体"/>
          <w:sz w:val="24"/>
          <w:szCs w:val="21"/>
        </w:rPr>
      </w:pPr>
      <w:r>
        <w:rPr>
          <w:rFonts w:hint="eastAsia" w:ascii="宋体" w:hAnsi="宋体"/>
          <w:sz w:val="24"/>
          <w:szCs w:val="21"/>
        </w:rPr>
        <w:t>电          话：</w:t>
      </w:r>
    </w:p>
    <w:p w14:paraId="73E76D0A">
      <w:pPr>
        <w:adjustRightInd w:val="0"/>
        <w:spacing w:line="420" w:lineRule="exact"/>
        <w:ind w:left="420" w:leftChars="200" w:firstLine="480" w:firstLineChars="200"/>
        <w:jc w:val="left"/>
        <w:textAlignment w:val="baseline"/>
        <w:rPr>
          <w:rFonts w:ascii="宋体" w:hAnsi="宋体"/>
          <w:sz w:val="24"/>
          <w:szCs w:val="21"/>
        </w:rPr>
      </w:pPr>
      <w:r>
        <w:rPr>
          <w:rFonts w:hint="eastAsia" w:ascii="宋体" w:hAnsi="宋体"/>
          <w:sz w:val="24"/>
          <w:szCs w:val="21"/>
        </w:rPr>
        <w:t xml:space="preserve">电 </w:t>
      </w:r>
      <w:r>
        <w:rPr>
          <w:rFonts w:ascii="宋体" w:hAnsi="宋体"/>
          <w:sz w:val="24"/>
          <w:szCs w:val="21"/>
        </w:rPr>
        <w:t xml:space="preserve"> </w:t>
      </w:r>
      <w:r>
        <w:rPr>
          <w:rFonts w:hint="eastAsia" w:ascii="宋体" w:hAnsi="宋体"/>
          <w:sz w:val="24"/>
          <w:szCs w:val="21"/>
        </w:rPr>
        <w:t xml:space="preserve">子 </w:t>
      </w:r>
      <w:r>
        <w:rPr>
          <w:rFonts w:ascii="宋体" w:hAnsi="宋体"/>
          <w:sz w:val="24"/>
          <w:szCs w:val="21"/>
        </w:rPr>
        <w:t xml:space="preserve"> </w:t>
      </w:r>
      <w:r>
        <w:rPr>
          <w:rFonts w:hint="eastAsia" w:ascii="宋体" w:hAnsi="宋体"/>
          <w:sz w:val="24"/>
          <w:szCs w:val="21"/>
        </w:rPr>
        <w:t xml:space="preserve">邮 </w:t>
      </w:r>
      <w:r>
        <w:rPr>
          <w:rFonts w:ascii="宋体" w:hAnsi="宋体"/>
          <w:sz w:val="24"/>
          <w:szCs w:val="21"/>
        </w:rPr>
        <w:t xml:space="preserve"> </w:t>
      </w:r>
      <w:r>
        <w:rPr>
          <w:rFonts w:hint="eastAsia" w:ascii="宋体" w:hAnsi="宋体"/>
          <w:sz w:val="24"/>
          <w:szCs w:val="21"/>
        </w:rPr>
        <w:t>箱：</w:t>
      </w:r>
    </w:p>
    <w:p w14:paraId="17AEFF6A">
      <w:pPr>
        <w:pStyle w:val="2"/>
      </w:pPr>
    </w:p>
    <w:p w14:paraId="40335802">
      <w:pPr/>
    </w:p>
    <w:p w14:paraId="431CF6A6">
      <w:pPr>
        <w:spacing w:line="560" w:lineRule="exact"/>
        <w:ind w:right="180" w:firstLine="960" w:firstLineChars="400"/>
        <w:rPr>
          <w:rFonts w:ascii="宋体" w:hAnsi="宋体"/>
          <w:color w:val="000000"/>
          <w:sz w:val="24"/>
        </w:rPr>
      </w:pPr>
      <w:r>
        <w:rPr>
          <w:rFonts w:hint="eastAsia" w:ascii="宋体" w:hAnsi="宋体"/>
          <w:color w:val="000000"/>
          <w:sz w:val="24"/>
        </w:rPr>
        <w:t>供应商名称（盖公章）：</w:t>
      </w:r>
    </w:p>
    <w:p w14:paraId="5CF799C6">
      <w:pPr>
        <w:adjustRightInd w:val="0"/>
        <w:spacing w:line="420" w:lineRule="exact"/>
        <w:ind w:left="420" w:leftChars="200" w:firstLine="480" w:firstLineChars="200"/>
        <w:jc w:val="left"/>
        <w:textAlignment w:val="baseline"/>
        <w:rPr>
          <w:rFonts w:ascii="宋体" w:hAnsi="宋体"/>
          <w:sz w:val="24"/>
          <w:szCs w:val="21"/>
        </w:rPr>
      </w:pPr>
    </w:p>
    <w:p w14:paraId="0A880230">
      <w:pPr>
        <w:adjustRightInd w:val="0"/>
        <w:spacing w:line="420" w:lineRule="exact"/>
        <w:ind w:left="420" w:leftChars="200" w:firstLine="480" w:firstLineChars="200"/>
        <w:jc w:val="left"/>
        <w:textAlignment w:val="baseline"/>
        <w:rPr>
          <w:rFonts w:ascii="宋体" w:hAnsi="宋体"/>
          <w:sz w:val="24"/>
          <w:szCs w:val="21"/>
        </w:rPr>
      </w:pPr>
      <w:r>
        <w:rPr>
          <w:rFonts w:hint="eastAsia" w:ascii="宋体" w:hAnsi="宋体"/>
          <w:sz w:val="24"/>
          <w:szCs w:val="21"/>
        </w:rPr>
        <w:t>日          期：________年____月____日</w:t>
      </w:r>
    </w:p>
    <w:p w14:paraId="1EC8A3A3">
      <w:pPr>
        <w:rPr>
          <w:rFonts w:ascii="宋体" w:hAnsi="宋体"/>
          <w:b/>
          <w:sz w:val="32"/>
          <w:szCs w:val="32"/>
        </w:rPr>
      </w:pPr>
    </w:p>
    <w:p w14:paraId="123A6089">
      <w:pPr>
        <w:rPr>
          <w:rFonts w:ascii="Times New Roman" w:hAnsi="Times New Roman" w:eastAsia="方正黑体_GBK"/>
          <w:sz w:val="32"/>
          <w:szCs w:val="32"/>
        </w:rPr>
      </w:pPr>
    </w:p>
    <w:p w14:paraId="649623B6">
      <w:pPr>
        <w:rPr>
          <w:rFonts w:ascii="Times New Roman" w:hAnsi="Times New Roman" w:eastAsia="方正黑体_GBK"/>
          <w:sz w:val="32"/>
          <w:szCs w:val="32"/>
        </w:rPr>
      </w:pPr>
    </w:p>
    <w:p w14:paraId="6EE4E2F1">
      <w:pPr>
        <w:rPr>
          <w:rFonts w:ascii="Times New Roman" w:hAnsi="Times New Roman" w:eastAsia="方正黑体_GBK"/>
          <w:sz w:val="32"/>
          <w:szCs w:val="32"/>
        </w:rPr>
      </w:pPr>
    </w:p>
    <w:p w14:paraId="5DE331FB">
      <w:pPr>
        <w:rPr>
          <w:rFonts w:ascii="Times New Roman" w:hAnsi="Times New Roman" w:eastAsia="方正黑体_GBK"/>
          <w:sz w:val="32"/>
          <w:szCs w:val="32"/>
        </w:rPr>
      </w:pPr>
    </w:p>
    <w:p w14:paraId="15403B7F">
      <w:pPr>
        <w:rPr>
          <w:rFonts w:ascii="Times New Roman" w:hAnsi="Times New Roman" w:eastAsia="方正黑体_GBK"/>
          <w:sz w:val="32"/>
          <w:szCs w:val="32"/>
        </w:rPr>
      </w:pPr>
      <w:r>
        <w:rPr>
          <w:rFonts w:ascii="Times New Roman" w:hAnsi="Times New Roman" w:eastAsia="方正黑体_GBK"/>
          <w:sz w:val="32"/>
          <w:szCs w:val="32"/>
        </w:rPr>
        <w:br w:type="page"/>
      </w:r>
    </w:p>
    <w:p w14:paraId="700162E4">
      <w:pPr>
        <w:rPr>
          <w:rFonts w:hint="eastAsia" w:ascii="Times New Roman" w:hAnsi="Times New Roman" w:eastAsia="方正黑体_GBK"/>
          <w:sz w:val="32"/>
          <w:szCs w:val="32"/>
          <w:lang w:eastAsia="zh-CN"/>
        </w:rPr>
      </w:pPr>
      <w:r>
        <w:rPr>
          <w:rFonts w:ascii="Times New Roman" w:hAnsi="Times New Roman" w:eastAsia="方正黑体_GBK"/>
          <w:sz w:val="32"/>
          <w:szCs w:val="32"/>
        </w:rPr>
        <w:t>附件</w:t>
      </w:r>
      <w:r>
        <w:rPr>
          <w:rFonts w:hint="eastAsia" w:ascii="Times New Roman" w:hAnsi="Times New Roman" w:eastAsia="方正黑体_GBK"/>
          <w:sz w:val="32"/>
          <w:szCs w:val="32"/>
          <w:lang w:val="en-US" w:eastAsia="zh-CN"/>
        </w:rPr>
        <w:t>9</w:t>
      </w:r>
    </w:p>
    <w:p w14:paraId="003BB693">
      <w:pPr>
        <w:snapToGrid w:val="0"/>
        <w:spacing w:line="300" w:lineRule="auto"/>
        <w:contextualSpacing/>
        <w:jc w:val="center"/>
        <w:rPr>
          <w:rFonts w:ascii="宋体" w:hAnsi="宋体"/>
          <w:b/>
          <w:sz w:val="32"/>
          <w:szCs w:val="32"/>
        </w:rPr>
      </w:pPr>
      <w:r>
        <w:rPr>
          <w:rFonts w:hint="eastAsia" w:ascii="宋体" w:hAnsi="宋体"/>
          <w:b/>
          <w:sz w:val="32"/>
          <w:szCs w:val="32"/>
        </w:rPr>
        <w:t>商务部分正负偏离表</w:t>
      </w:r>
    </w:p>
    <w:p w14:paraId="6340318B">
      <w:pPr>
        <w:snapToGrid w:val="0"/>
        <w:spacing w:line="300" w:lineRule="auto"/>
        <w:contextualSpacing/>
        <w:rPr>
          <w:rFonts w:ascii="宋体" w:hAnsi="宋体"/>
          <w:b/>
          <w:sz w:val="32"/>
          <w:szCs w:val="32"/>
        </w:rPr>
      </w:pPr>
      <w:r>
        <w:rPr>
          <w:rFonts w:hint="eastAsia" w:ascii="宋体" w:hAnsi="宋体"/>
          <w:sz w:val="28"/>
          <w:szCs w:val="28"/>
          <w:u w:val="single"/>
        </w:rPr>
        <w:t>项目</w:t>
      </w:r>
      <w:r>
        <w:rPr>
          <w:rFonts w:hint="eastAsia" w:ascii="宋体" w:hAnsi="宋体"/>
          <w:sz w:val="28"/>
          <w:szCs w:val="28"/>
          <w:u w:val="single"/>
          <w:lang w:val="en-US" w:eastAsia="zh-CN"/>
        </w:rPr>
        <w:t>名称</w:t>
      </w:r>
      <w:r>
        <w:rPr>
          <w:rFonts w:hint="eastAsia" w:ascii="宋体" w:hAnsi="宋体"/>
          <w:sz w:val="28"/>
          <w:szCs w:val="28"/>
          <w:u w:val="single"/>
        </w:rPr>
        <w:t>：</w:t>
      </w:r>
      <w:r>
        <w:rPr>
          <w:rFonts w:hint="eastAsia" w:ascii="宋体" w:hAnsi="宋体"/>
          <w:sz w:val="24"/>
          <w:szCs w:val="21"/>
          <w:u w:val="single"/>
        </w:rPr>
        <w:t>_____________________</w:t>
      </w:r>
    </w:p>
    <w:p w14:paraId="0DD7CEB1">
      <w:pPr>
        <w:ind w:firstLine="560" w:firstLineChars="200"/>
        <w:jc w:val="center"/>
        <w:rPr>
          <w:rFonts w:ascii="宋体" w:hAnsi="宋体"/>
          <w:sz w:val="28"/>
          <w:szCs w:val="28"/>
        </w:rPr>
      </w:pPr>
      <w:r>
        <w:rPr>
          <w:rFonts w:hint="eastAsia" w:ascii="宋体" w:hAnsi="宋体"/>
          <w:sz w:val="28"/>
          <w:szCs w:val="28"/>
        </w:rPr>
        <w:t>（由响应供应商据实填写，表格不够自行添加）</w:t>
      </w:r>
    </w:p>
    <w:tbl>
      <w:tblPr>
        <w:tblStyle w:val="2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1974"/>
        <w:gridCol w:w="2979"/>
        <w:gridCol w:w="2226"/>
        <w:gridCol w:w="1221"/>
      </w:tblGrid>
      <w:tr w14:paraId="6E023C57">
        <w:tblPrEx>
          <w:tblLayout w:type="fixed"/>
        </w:tblPrEx>
        <w:trPr>
          <w:trHeight w:val="994" w:hRule="atLeast"/>
        </w:trPr>
        <w:tc>
          <w:tcPr>
            <w:tcW w:w="718" w:type="dxa"/>
            <w:tcBorders>
              <w:top w:val="single" w:color="auto" w:sz="12" w:space="0"/>
              <w:left w:val="single" w:color="auto" w:sz="12" w:space="0"/>
              <w:bottom w:val="single" w:color="auto" w:sz="6" w:space="0"/>
              <w:right w:val="single" w:color="auto" w:sz="6" w:space="0"/>
            </w:tcBorders>
            <w:vAlign w:val="center"/>
          </w:tcPr>
          <w:p w14:paraId="2B211300">
            <w:pPr>
              <w:spacing w:line="340" w:lineRule="exact"/>
              <w:jc w:val="center"/>
              <w:rPr>
                <w:rFonts w:ascii="宋体" w:hAnsi="宋体"/>
                <w:sz w:val="28"/>
                <w:szCs w:val="28"/>
              </w:rPr>
            </w:pPr>
            <w:r>
              <w:rPr>
                <w:rFonts w:hint="eastAsia" w:ascii="宋体" w:hAnsi="宋体"/>
                <w:sz w:val="28"/>
                <w:szCs w:val="28"/>
              </w:rPr>
              <w:t>序号</w:t>
            </w:r>
          </w:p>
        </w:tc>
        <w:tc>
          <w:tcPr>
            <w:tcW w:w="1974" w:type="dxa"/>
            <w:tcBorders>
              <w:top w:val="single" w:color="auto" w:sz="12" w:space="0"/>
              <w:left w:val="single" w:color="auto" w:sz="6" w:space="0"/>
              <w:bottom w:val="single" w:color="auto" w:sz="6" w:space="0"/>
              <w:right w:val="single" w:color="auto" w:sz="6" w:space="0"/>
            </w:tcBorders>
            <w:vAlign w:val="center"/>
          </w:tcPr>
          <w:p w14:paraId="2EE2BFC6">
            <w:pPr>
              <w:spacing w:line="340" w:lineRule="exact"/>
              <w:jc w:val="center"/>
              <w:rPr>
                <w:rFonts w:ascii="宋体" w:hAnsi="宋体"/>
                <w:sz w:val="28"/>
                <w:szCs w:val="28"/>
              </w:rPr>
            </w:pPr>
            <w:r>
              <w:rPr>
                <w:rFonts w:hint="eastAsia" w:ascii="宋体" w:hAnsi="宋体"/>
                <w:sz w:val="28"/>
                <w:szCs w:val="28"/>
              </w:rPr>
              <w:t>货物或服务名称</w:t>
            </w:r>
          </w:p>
        </w:tc>
        <w:tc>
          <w:tcPr>
            <w:tcW w:w="2979" w:type="dxa"/>
            <w:tcBorders>
              <w:top w:val="single" w:color="auto" w:sz="12" w:space="0"/>
              <w:left w:val="single" w:color="auto" w:sz="6" w:space="0"/>
              <w:bottom w:val="single" w:color="auto" w:sz="6" w:space="0"/>
              <w:right w:val="single" w:color="auto" w:sz="6" w:space="0"/>
            </w:tcBorders>
            <w:vAlign w:val="center"/>
          </w:tcPr>
          <w:p w14:paraId="4BE3D3A3">
            <w:pPr>
              <w:spacing w:line="340" w:lineRule="exact"/>
              <w:jc w:val="center"/>
              <w:rPr>
                <w:rFonts w:ascii="宋体" w:hAnsi="宋体"/>
                <w:sz w:val="28"/>
                <w:szCs w:val="28"/>
              </w:rPr>
            </w:pPr>
            <w:r>
              <w:rPr>
                <w:rFonts w:hint="eastAsia" w:ascii="宋体" w:hAnsi="宋体"/>
                <w:sz w:val="28"/>
                <w:szCs w:val="28"/>
              </w:rPr>
              <w:t>采购文件要求的商务条款</w:t>
            </w:r>
          </w:p>
        </w:tc>
        <w:tc>
          <w:tcPr>
            <w:tcW w:w="2226" w:type="dxa"/>
            <w:tcBorders>
              <w:top w:val="single" w:color="auto" w:sz="12" w:space="0"/>
              <w:left w:val="single" w:color="auto" w:sz="6" w:space="0"/>
              <w:bottom w:val="single" w:color="auto" w:sz="6" w:space="0"/>
              <w:right w:val="single" w:color="auto" w:sz="6" w:space="0"/>
            </w:tcBorders>
            <w:vAlign w:val="center"/>
          </w:tcPr>
          <w:p w14:paraId="7E3B03B4">
            <w:pPr>
              <w:spacing w:line="340" w:lineRule="exact"/>
              <w:jc w:val="center"/>
              <w:rPr>
                <w:rFonts w:ascii="宋体" w:hAnsi="宋体"/>
                <w:sz w:val="28"/>
                <w:szCs w:val="28"/>
              </w:rPr>
            </w:pPr>
            <w:r>
              <w:rPr>
                <w:rFonts w:hint="eastAsia" w:ascii="宋体" w:hAnsi="宋体"/>
                <w:sz w:val="28"/>
                <w:szCs w:val="28"/>
              </w:rPr>
              <w:t>响应文件响应情况</w:t>
            </w:r>
          </w:p>
        </w:tc>
        <w:tc>
          <w:tcPr>
            <w:tcW w:w="1221" w:type="dxa"/>
            <w:tcBorders>
              <w:top w:val="single" w:color="auto" w:sz="12" w:space="0"/>
              <w:left w:val="single" w:color="auto" w:sz="6" w:space="0"/>
              <w:bottom w:val="single" w:color="auto" w:sz="6" w:space="0"/>
              <w:right w:val="single" w:color="auto" w:sz="12" w:space="0"/>
            </w:tcBorders>
          </w:tcPr>
          <w:p w14:paraId="390A1B62">
            <w:pPr>
              <w:spacing w:line="340" w:lineRule="exact"/>
              <w:jc w:val="center"/>
              <w:rPr>
                <w:rFonts w:ascii="宋体" w:hAnsi="宋体"/>
                <w:sz w:val="28"/>
                <w:szCs w:val="28"/>
              </w:rPr>
            </w:pPr>
          </w:p>
          <w:p w14:paraId="53C95657">
            <w:pPr>
              <w:spacing w:line="340" w:lineRule="exact"/>
              <w:jc w:val="center"/>
              <w:rPr>
                <w:rFonts w:ascii="宋体" w:hAnsi="宋体"/>
                <w:sz w:val="28"/>
                <w:szCs w:val="28"/>
              </w:rPr>
            </w:pPr>
            <w:r>
              <w:rPr>
                <w:rFonts w:hint="eastAsia" w:ascii="宋体" w:hAnsi="宋体"/>
                <w:sz w:val="28"/>
                <w:szCs w:val="28"/>
              </w:rPr>
              <w:t>偏离说明</w:t>
            </w:r>
          </w:p>
        </w:tc>
      </w:tr>
      <w:tr w14:paraId="7E293B32">
        <w:tblPrEx>
          <w:tblLayout w:type="fixed"/>
        </w:tblPrEx>
        <w:trPr>
          <w:trHeight w:val="414" w:hRule="atLeast"/>
        </w:trPr>
        <w:tc>
          <w:tcPr>
            <w:tcW w:w="718" w:type="dxa"/>
            <w:tcBorders>
              <w:top w:val="single" w:color="auto" w:sz="6" w:space="0"/>
              <w:left w:val="single" w:color="auto" w:sz="12" w:space="0"/>
              <w:bottom w:val="single" w:color="auto" w:sz="6" w:space="0"/>
              <w:right w:val="single" w:color="auto" w:sz="6" w:space="0"/>
            </w:tcBorders>
          </w:tcPr>
          <w:p w14:paraId="66D1D5A8">
            <w:pPr>
              <w:spacing w:line="340" w:lineRule="exact"/>
              <w:jc w:val="center"/>
              <w:rPr>
                <w:rFonts w:ascii="宋体" w:hAnsi="宋体"/>
                <w:sz w:val="28"/>
                <w:szCs w:val="28"/>
              </w:rPr>
            </w:pPr>
            <w:r>
              <w:rPr>
                <w:rFonts w:hint="eastAsia" w:ascii="宋体" w:hAnsi="宋体"/>
                <w:sz w:val="28"/>
                <w:szCs w:val="28"/>
              </w:rPr>
              <w:t>1</w:t>
            </w:r>
          </w:p>
        </w:tc>
        <w:tc>
          <w:tcPr>
            <w:tcW w:w="1974" w:type="dxa"/>
            <w:tcBorders>
              <w:top w:val="single" w:color="auto" w:sz="6" w:space="0"/>
              <w:left w:val="single" w:color="auto" w:sz="6" w:space="0"/>
              <w:bottom w:val="single" w:color="auto" w:sz="6" w:space="0"/>
              <w:right w:val="single" w:color="auto" w:sz="6" w:space="0"/>
            </w:tcBorders>
            <w:vAlign w:val="center"/>
          </w:tcPr>
          <w:p w14:paraId="1AFE7835">
            <w:pPr>
              <w:spacing w:line="340" w:lineRule="exact"/>
              <w:jc w:val="left"/>
              <w:rPr>
                <w:rFonts w:ascii="宋体" w:hAnsi="宋体"/>
                <w:sz w:val="28"/>
                <w:szCs w:val="28"/>
              </w:rPr>
            </w:pPr>
          </w:p>
        </w:tc>
        <w:tc>
          <w:tcPr>
            <w:tcW w:w="2979" w:type="dxa"/>
            <w:tcBorders>
              <w:top w:val="single" w:color="auto" w:sz="6" w:space="0"/>
              <w:left w:val="single" w:color="auto" w:sz="6" w:space="0"/>
              <w:bottom w:val="single" w:color="auto" w:sz="6" w:space="0"/>
              <w:right w:val="single" w:color="auto" w:sz="6" w:space="0"/>
            </w:tcBorders>
            <w:vAlign w:val="center"/>
          </w:tcPr>
          <w:p w14:paraId="2F564B7E">
            <w:pPr>
              <w:spacing w:line="340" w:lineRule="exact"/>
              <w:jc w:val="left"/>
              <w:rPr>
                <w:rFonts w:ascii="宋体" w:hAnsi="宋体"/>
                <w:sz w:val="28"/>
                <w:szCs w:val="28"/>
              </w:rPr>
            </w:pPr>
          </w:p>
        </w:tc>
        <w:tc>
          <w:tcPr>
            <w:tcW w:w="2226" w:type="dxa"/>
            <w:tcBorders>
              <w:top w:val="single" w:color="auto" w:sz="6" w:space="0"/>
              <w:left w:val="single" w:color="auto" w:sz="6" w:space="0"/>
              <w:bottom w:val="single" w:color="auto" w:sz="6" w:space="0"/>
              <w:right w:val="single" w:color="auto" w:sz="6" w:space="0"/>
            </w:tcBorders>
            <w:vAlign w:val="center"/>
          </w:tcPr>
          <w:p w14:paraId="1C9AEA21">
            <w:pPr>
              <w:spacing w:line="340" w:lineRule="exact"/>
              <w:jc w:val="left"/>
              <w:rPr>
                <w:sz w:val="28"/>
                <w:szCs w:val="28"/>
              </w:rPr>
            </w:pPr>
          </w:p>
        </w:tc>
        <w:tc>
          <w:tcPr>
            <w:tcW w:w="1221" w:type="dxa"/>
            <w:tcBorders>
              <w:top w:val="single" w:color="auto" w:sz="6" w:space="0"/>
              <w:left w:val="single" w:color="auto" w:sz="6" w:space="0"/>
              <w:bottom w:val="single" w:color="auto" w:sz="6" w:space="0"/>
              <w:right w:val="single" w:color="auto" w:sz="12" w:space="0"/>
            </w:tcBorders>
          </w:tcPr>
          <w:p w14:paraId="7E14C728">
            <w:pPr>
              <w:spacing w:line="340" w:lineRule="exact"/>
              <w:jc w:val="left"/>
              <w:rPr>
                <w:sz w:val="28"/>
                <w:szCs w:val="28"/>
              </w:rPr>
            </w:pPr>
          </w:p>
        </w:tc>
      </w:tr>
      <w:tr w14:paraId="31BD77EB">
        <w:tblPrEx>
          <w:tblLayout w:type="fixed"/>
        </w:tblPrEx>
        <w:trPr>
          <w:trHeight w:val="548" w:hRule="atLeast"/>
        </w:trPr>
        <w:tc>
          <w:tcPr>
            <w:tcW w:w="718" w:type="dxa"/>
            <w:tcBorders>
              <w:top w:val="single" w:color="auto" w:sz="6" w:space="0"/>
              <w:left w:val="single" w:color="auto" w:sz="12" w:space="0"/>
              <w:bottom w:val="single" w:color="auto" w:sz="6" w:space="0"/>
              <w:right w:val="single" w:color="auto" w:sz="6" w:space="0"/>
            </w:tcBorders>
          </w:tcPr>
          <w:p w14:paraId="0ED0DC23">
            <w:pPr>
              <w:spacing w:line="340" w:lineRule="exact"/>
              <w:jc w:val="center"/>
              <w:rPr>
                <w:rFonts w:ascii="宋体" w:hAnsi="宋体"/>
                <w:sz w:val="28"/>
                <w:szCs w:val="28"/>
              </w:rPr>
            </w:pPr>
            <w:r>
              <w:rPr>
                <w:rFonts w:hint="eastAsia" w:ascii="宋体" w:hAnsi="宋体"/>
                <w:sz w:val="28"/>
                <w:szCs w:val="28"/>
              </w:rPr>
              <w:t>2</w:t>
            </w:r>
          </w:p>
        </w:tc>
        <w:tc>
          <w:tcPr>
            <w:tcW w:w="1974" w:type="dxa"/>
            <w:tcBorders>
              <w:top w:val="single" w:color="auto" w:sz="6" w:space="0"/>
              <w:left w:val="single" w:color="auto" w:sz="6" w:space="0"/>
              <w:bottom w:val="single" w:color="auto" w:sz="6" w:space="0"/>
              <w:right w:val="single" w:color="auto" w:sz="6" w:space="0"/>
            </w:tcBorders>
            <w:vAlign w:val="center"/>
          </w:tcPr>
          <w:p w14:paraId="7D99DEA3">
            <w:pPr>
              <w:spacing w:line="340" w:lineRule="exact"/>
              <w:jc w:val="left"/>
              <w:rPr>
                <w:rFonts w:ascii="宋体" w:hAnsi="宋体"/>
                <w:sz w:val="28"/>
                <w:szCs w:val="28"/>
              </w:rPr>
            </w:pPr>
          </w:p>
        </w:tc>
        <w:tc>
          <w:tcPr>
            <w:tcW w:w="2979" w:type="dxa"/>
            <w:tcBorders>
              <w:top w:val="single" w:color="auto" w:sz="6" w:space="0"/>
              <w:left w:val="single" w:color="auto" w:sz="6" w:space="0"/>
              <w:bottom w:val="single" w:color="auto" w:sz="6" w:space="0"/>
              <w:right w:val="single" w:color="auto" w:sz="6" w:space="0"/>
            </w:tcBorders>
            <w:vAlign w:val="center"/>
          </w:tcPr>
          <w:p w14:paraId="12FF0EB3">
            <w:pPr>
              <w:spacing w:line="340" w:lineRule="exact"/>
              <w:jc w:val="left"/>
              <w:rPr>
                <w:rFonts w:ascii="宋体" w:hAnsi="宋体"/>
                <w:sz w:val="28"/>
                <w:szCs w:val="28"/>
              </w:rPr>
            </w:pPr>
          </w:p>
        </w:tc>
        <w:tc>
          <w:tcPr>
            <w:tcW w:w="2226" w:type="dxa"/>
            <w:tcBorders>
              <w:top w:val="single" w:color="auto" w:sz="6" w:space="0"/>
              <w:left w:val="single" w:color="auto" w:sz="6" w:space="0"/>
              <w:bottom w:val="single" w:color="auto" w:sz="6" w:space="0"/>
              <w:right w:val="single" w:color="auto" w:sz="6" w:space="0"/>
            </w:tcBorders>
            <w:vAlign w:val="center"/>
          </w:tcPr>
          <w:p w14:paraId="5DE3A9B0">
            <w:pPr>
              <w:spacing w:line="340" w:lineRule="exact"/>
              <w:jc w:val="left"/>
              <w:rPr>
                <w:sz w:val="28"/>
                <w:szCs w:val="28"/>
              </w:rPr>
            </w:pPr>
          </w:p>
        </w:tc>
        <w:tc>
          <w:tcPr>
            <w:tcW w:w="1221" w:type="dxa"/>
            <w:tcBorders>
              <w:top w:val="single" w:color="auto" w:sz="6" w:space="0"/>
              <w:left w:val="single" w:color="auto" w:sz="6" w:space="0"/>
              <w:bottom w:val="single" w:color="auto" w:sz="6" w:space="0"/>
              <w:right w:val="single" w:color="auto" w:sz="12" w:space="0"/>
            </w:tcBorders>
          </w:tcPr>
          <w:p w14:paraId="01F1BBC7">
            <w:pPr>
              <w:spacing w:line="340" w:lineRule="exact"/>
              <w:jc w:val="left"/>
              <w:rPr>
                <w:sz w:val="28"/>
                <w:szCs w:val="28"/>
              </w:rPr>
            </w:pPr>
          </w:p>
        </w:tc>
      </w:tr>
      <w:tr w14:paraId="40D64C41">
        <w:tblPrEx>
          <w:tblLayout w:type="fixed"/>
        </w:tblPrEx>
        <w:trPr>
          <w:trHeight w:val="400" w:hRule="atLeast"/>
        </w:trPr>
        <w:tc>
          <w:tcPr>
            <w:tcW w:w="718" w:type="dxa"/>
            <w:tcBorders>
              <w:top w:val="single" w:color="auto" w:sz="6" w:space="0"/>
              <w:left w:val="single" w:color="auto" w:sz="12" w:space="0"/>
              <w:bottom w:val="single" w:color="auto" w:sz="6" w:space="0"/>
              <w:right w:val="single" w:color="auto" w:sz="6" w:space="0"/>
            </w:tcBorders>
          </w:tcPr>
          <w:p w14:paraId="4CAE35CF">
            <w:pPr>
              <w:spacing w:line="340" w:lineRule="exact"/>
              <w:jc w:val="center"/>
              <w:rPr>
                <w:rFonts w:ascii="宋体" w:hAnsi="宋体"/>
                <w:sz w:val="28"/>
                <w:szCs w:val="28"/>
              </w:rPr>
            </w:pPr>
            <w:r>
              <w:rPr>
                <w:rFonts w:hint="eastAsia" w:ascii="宋体" w:hAnsi="宋体"/>
                <w:sz w:val="28"/>
                <w:szCs w:val="28"/>
              </w:rPr>
              <w:t>3</w:t>
            </w:r>
          </w:p>
        </w:tc>
        <w:tc>
          <w:tcPr>
            <w:tcW w:w="1974" w:type="dxa"/>
            <w:tcBorders>
              <w:top w:val="single" w:color="auto" w:sz="6" w:space="0"/>
              <w:left w:val="single" w:color="auto" w:sz="6" w:space="0"/>
              <w:bottom w:val="single" w:color="auto" w:sz="6" w:space="0"/>
              <w:right w:val="single" w:color="auto" w:sz="6" w:space="0"/>
            </w:tcBorders>
            <w:vAlign w:val="center"/>
          </w:tcPr>
          <w:p w14:paraId="525322F6">
            <w:pPr>
              <w:spacing w:line="340" w:lineRule="exact"/>
              <w:jc w:val="left"/>
              <w:rPr>
                <w:rFonts w:ascii="宋体" w:hAnsi="宋体"/>
                <w:sz w:val="28"/>
                <w:szCs w:val="28"/>
              </w:rPr>
            </w:pPr>
          </w:p>
        </w:tc>
        <w:tc>
          <w:tcPr>
            <w:tcW w:w="2979" w:type="dxa"/>
            <w:tcBorders>
              <w:top w:val="single" w:color="auto" w:sz="6" w:space="0"/>
              <w:left w:val="single" w:color="auto" w:sz="6" w:space="0"/>
              <w:bottom w:val="single" w:color="auto" w:sz="6" w:space="0"/>
              <w:right w:val="single" w:color="auto" w:sz="6" w:space="0"/>
            </w:tcBorders>
            <w:vAlign w:val="center"/>
          </w:tcPr>
          <w:p w14:paraId="5A710C42">
            <w:pPr>
              <w:spacing w:line="340" w:lineRule="exact"/>
              <w:jc w:val="left"/>
              <w:rPr>
                <w:sz w:val="28"/>
                <w:szCs w:val="28"/>
              </w:rPr>
            </w:pPr>
          </w:p>
        </w:tc>
        <w:tc>
          <w:tcPr>
            <w:tcW w:w="2226" w:type="dxa"/>
            <w:tcBorders>
              <w:top w:val="single" w:color="auto" w:sz="6" w:space="0"/>
              <w:left w:val="single" w:color="auto" w:sz="6" w:space="0"/>
              <w:bottom w:val="single" w:color="auto" w:sz="6" w:space="0"/>
              <w:right w:val="single" w:color="auto" w:sz="6" w:space="0"/>
            </w:tcBorders>
            <w:vAlign w:val="center"/>
          </w:tcPr>
          <w:p w14:paraId="3DF03876">
            <w:pPr>
              <w:spacing w:line="340" w:lineRule="exact"/>
              <w:jc w:val="left"/>
              <w:rPr>
                <w:sz w:val="28"/>
                <w:szCs w:val="28"/>
              </w:rPr>
            </w:pPr>
          </w:p>
        </w:tc>
        <w:tc>
          <w:tcPr>
            <w:tcW w:w="1221" w:type="dxa"/>
            <w:tcBorders>
              <w:top w:val="single" w:color="auto" w:sz="6" w:space="0"/>
              <w:left w:val="single" w:color="auto" w:sz="6" w:space="0"/>
              <w:bottom w:val="single" w:color="auto" w:sz="6" w:space="0"/>
              <w:right w:val="single" w:color="auto" w:sz="12" w:space="0"/>
            </w:tcBorders>
          </w:tcPr>
          <w:p w14:paraId="43B2E3B4">
            <w:pPr>
              <w:spacing w:line="340" w:lineRule="exact"/>
              <w:jc w:val="left"/>
              <w:rPr>
                <w:sz w:val="28"/>
                <w:szCs w:val="28"/>
              </w:rPr>
            </w:pPr>
          </w:p>
        </w:tc>
      </w:tr>
      <w:tr w14:paraId="2CE77C2E">
        <w:tblPrEx>
          <w:tblLayout w:type="fixed"/>
        </w:tblPrEx>
        <w:trPr>
          <w:trHeight w:val="419" w:hRule="atLeast"/>
        </w:trPr>
        <w:tc>
          <w:tcPr>
            <w:tcW w:w="718" w:type="dxa"/>
            <w:tcBorders>
              <w:top w:val="single" w:color="auto" w:sz="6" w:space="0"/>
              <w:left w:val="single" w:color="auto" w:sz="12" w:space="0"/>
              <w:bottom w:val="single" w:color="auto" w:sz="6" w:space="0"/>
              <w:right w:val="single" w:color="auto" w:sz="6" w:space="0"/>
            </w:tcBorders>
          </w:tcPr>
          <w:p w14:paraId="7838279C">
            <w:pPr>
              <w:spacing w:line="340" w:lineRule="exact"/>
              <w:jc w:val="center"/>
              <w:rPr>
                <w:rFonts w:ascii="宋体" w:hAnsi="宋体"/>
                <w:sz w:val="28"/>
                <w:szCs w:val="28"/>
              </w:rPr>
            </w:pPr>
            <w:r>
              <w:rPr>
                <w:rFonts w:hint="eastAsia" w:ascii="宋体" w:hAnsi="宋体"/>
                <w:sz w:val="28"/>
                <w:szCs w:val="28"/>
              </w:rPr>
              <w:t>4</w:t>
            </w:r>
          </w:p>
        </w:tc>
        <w:tc>
          <w:tcPr>
            <w:tcW w:w="1974" w:type="dxa"/>
            <w:tcBorders>
              <w:top w:val="single" w:color="auto" w:sz="6" w:space="0"/>
              <w:left w:val="single" w:color="auto" w:sz="6" w:space="0"/>
              <w:bottom w:val="single" w:color="auto" w:sz="6" w:space="0"/>
              <w:right w:val="single" w:color="auto" w:sz="6" w:space="0"/>
            </w:tcBorders>
            <w:vAlign w:val="center"/>
          </w:tcPr>
          <w:p w14:paraId="1D548F40">
            <w:pPr>
              <w:spacing w:line="340" w:lineRule="exact"/>
              <w:jc w:val="left"/>
              <w:rPr>
                <w:rFonts w:ascii="宋体" w:hAnsi="宋体"/>
                <w:sz w:val="28"/>
                <w:szCs w:val="28"/>
              </w:rPr>
            </w:pPr>
          </w:p>
        </w:tc>
        <w:tc>
          <w:tcPr>
            <w:tcW w:w="2979" w:type="dxa"/>
            <w:tcBorders>
              <w:top w:val="single" w:color="auto" w:sz="6" w:space="0"/>
              <w:left w:val="single" w:color="auto" w:sz="6" w:space="0"/>
              <w:bottom w:val="single" w:color="auto" w:sz="6" w:space="0"/>
              <w:right w:val="single" w:color="auto" w:sz="6" w:space="0"/>
            </w:tcBorders>
            <w:vAlign w:val="center"/>
          </w:tcPr>
          <w:p w14:paraId="50083C3A">
            <w:pPr>
              <w:spacing w:line="340" w:lineRule="exact"/>
              <w:jc w:val="left"/>
              <w:rPr>
                <w:rFonts w:ascii="宋体" w:hAnsi="宋体"/>
                <w:sz w:val="28"/>
                <w:szCs w:val="28"/>
              </w:rPr>
            </w:pPr>
          </w:p>
        </w:tc>
        <w:tc>
          <w:tcPr>
            <w:tcW w:w="2226" w:type="dxa"/>
            <w:tcBorders>
              <w:top w:val="single" w:color="auto" w:sz="6" w:space="0"/>
              <w:left w:val="single" w:color="auto" w:sz="6" w:space="0"/>
              <w:bottom w:val="single" w:color="auto" w:sz="6" w:space="0"/>
              <w:right w:val="single" w:color="auto" w:sz="6" w:space="0"/>
            </w:tcBorders>
            <w:vAlign w:val="center"/>
          </w:tcPr>
          <w:p w14:paraId="66FB5CD4">
            <w:pPr>
              <w:spacing w:line="340" w:lineRule="exact"/>
              <w:jc w:val="left"/>
              <w:rPr>
                <w:sz w:val="28"/>
                <w:szCs w:val="28"/>
              </w:rPr>
            </w:pPr>
          </w:p>
        </w:tc>
        <w:tc>
          <w:tcPr>
            <w:tcW w:w="1221" w:type="dxa"/>
            <w:tcBorders>
              <w:top w:val="single" w:color="auto" w:sz="6" w:space="0"/>
              <w:left w:val="single" w:color="auto" w:sz="6" w:space="0"/>
              <w:bottom w:val="single" w:color="auto" w:sz="6" w:space="0"/>
              <w:right w:val="single" w:color="auto" w:sz="12" w:space="0"/>
            </w:tcBorders>
          </w:tcPr>
          <w:p w14:paraId="54251019">
            <w:pPr>
              <w:spacing w:line="340" w:lineRule="exact"/>
              <w:jc w:val="left"/>
              <w:rPr>
                <w:sz w:val="28"/>
                <w:szCs w:val="28"/>
              </w:rPr>
            </w:pPr>
          </w:p>
        </w:tc>
      </w:tr>
    </w:tbl>
    <w:p w14:paraId="4793B62B">
      <w:pPr>
        <w:snapToGrid w:val="0"/>
        <w:spacing w:line="300" w:lineRule="auto"/>
        <w:contextualSpacing/>
        <w:rPr>
          <w:rFonts w:ascii="宋体" w:hAnsi="宋体"/>
          <w:b/>
          <w:sz w:val="28"/>
          <w:szCs w:val="28"/>
        </w:rPr>
      </w:pPr>
      <w:r>
        <w:rPr>
          <w:rFonts w:hint="eastAsia" w:ascii="宋体" w:hAnsi="宋体"/>
          <w:b/>
          <w:sz w:val="28"/>
          <w:szCs w:val="28"/>
        </w:rPr>
        <w:t>注：</w:t>
      </w:r>
    </w:p>
    <w:p w14:paraId="194B6F35">
      <w:pPr>
        <w:snapToGrid w:val="0"/>
        <w:spacing w:line="300" w:lineRule="auto"/>
        <w:ind w:firstLine="480" w:firstLineChars="200"/>
        <w:contextualSpacing/>
        <w:rPr>
          <w:rFonts w:ascii="宋体" w:hAnsi="宋体"/>
          <w:bCs/>
          <w:sz w:val="24"/>
        </w:rPr>
      </w:pPr>
      <w:r>
        <w:rPr>
          <w:rFonts w:hint="eastAsia" w:ascii="宋体" w:hAnsi="宋体"/>
          <w:sz w:val="24"/>
        </w:rPr>
        <w:t>1.</w:t>
      </w:r>
      <w:r>
        <w:rPr>
          <w:rFonts w:hint="eastAsia" w:ascii="宋体" w:hAnsi="宋体"/>
          <w:bCs/>
          <w:sz w:val="24"/>
        </w:rPr>
        <w:t>未说明偏离的，将被认为响应询价文件的规定，但该表不作为供应商对所响应内容关于商务部分等详细描述和说明的替代。</w:t>
      </w:r>
    </w:p>
    <w:p w14:paraId="7DF60EF4">
      <w:pPr>
        <w:snapToGrid w:val="0"/>
        <w:spacing w:line="300" w:lineRule="auto"/>
        <w:ind w:firstLine="480" w:firstLineChars="200"/>
        <w:contextualSpacing/>
        <w:rPr>
          <w:rFonts w:ascii="宋体" w:hAnsi="宋体"/>
          <w:bCs/>
          <w:sz w:val="24"/>
        </w:rPr>
      </w:pPr>
      <w:r>
        <w:rPr>
          <w:rFonts w:hint="eastAsia" w:ascii="宋体" w:hAnsi="宋体"/>
          <w:bCs/>
          <w:sz w:val="24"/>
        </w:rPr>
        <w:t>2.如有偏离的，在“偏离说明”一栏选择“正偏离”、“负偏离”进行填写。正偏离、负偏离的确认和负偏离的是否响应询价文件，由询价小组认定。</w:t>
      </w:r>
    </w:p>
    <w:p w14:paraId="3F702134">
      <w:pPr>
        <w:snapToGrid w:val="0"/>
        <w:spacing w:line="300" w:lineRule="auto"/>
        <w:ind w:firstLine="480" w:firstLineChars="200"/>
        <w:contextualSpacing/>
        <w:rPr>
          <w:rFonts w:ascii="宋体" w:hAnsi="宋体"/>
          <w:bCs/>
          <w:sz w:val="24"/>
        </w:rPr>
      </w:pPr>
      <w:r>
        <w:rPr>
          <w:rFonts w:hint="eastAsia" w:ascii="宋体" w:hAnsi="宋体"/>
          <w:bCs/>
          <w:sz w:val="24"/>
        </w:rPr>
        <w:t>3.供应商若提供其他增值服务，可以在表中自行据实填写。</w:t>
      </w:r>
    </w:p>
    <w:p w14:paraId="4BB69272">
      <w:pPr>
        <w:snapToGrid w:val="0"/>
        <w:spacing w:line="400" w:lineRule="exact"/>
        <w:ind w:firstLine="540" w:firstLineChars="192"/>
        <w:contextualSpacing/>
        <w:rPr>
          <w:rFonts w:ascii="宋体" w:hAnsi="宋体" w:cs="宋体"/>
          <w:b/>
          <w:kern w:val="0"/>
          <w:sz w:val="28"/>
          <w:szCs w:val="28"/>
        </w:rPr>
      </w:pPr>
    </w:p>
    <w:p w14:paraId="361CEEFD">
      <w:pPr>
        <w:spacing w:line="312" w:lineRule="auto"/>
        <w:ind w:firstLine="807" w:firstLineChars="287"/>
        <w:rPr>
          <w:rFonts w:ascii="宋体" w:hAnsi="宋体" w:cs="宋体"/>
          <w:b/>
          <w:sz w:val="28"/>
          <w:szCs w:val="28"/>
        </w:rPr>
      </w:pPr>
    </w:p>
    <w:p w14:paraId="0F093602">
      <w:pPr>
        <w:spacing w:line="312" w:lineRule="auto"/>
        <w:ind w:firstLine="3080" w:firstLineChars="1100"/>
        <w:rPr>
          <w:rFonts w:ascii="宋体" w:hAnsi="宋体" w:cs="宋体"/>
          <w:sz w:val="28"/>
          <w:szCs w:val="28"/>
          <w:u w:val="single"/>
        </w:rPr>
      </w:pPr>
      <w:bookmarkStart w:id="62" w:name="_Hlk215755147"/>
      <w:r>
        <w:rPr>
          <w:rFonts w:hint="eastAsia" w:ascii="宋体" w:hAnsi="宋体" w:cs="宋体"/>
          <w:sz w:val="28"/>
          <w:szCs w:val="28"/>
        </w:rPr>
        <w:t>供应商名称（盖公章）：</w:t>
      </w:r>
    </w:p>
    <w:p w14:paraId="4034F617">
      <w:pPr>
        <w:spacing w:line="312" w:lineRule="auto"/>
        <w:ind w:firstLine="3080" w:firstLineChars="1100"/>
        <w:rPr>
          <w:rFonts w:ascii="宋体" w:hAnsi="宋体" w:cs="宋体"/>
          <w:sz w:val="28"/>
          <w:szCs w:val="28"/>
        </w:rPr>
      </w:pPr>
      <w:r>
        <w:rPr>
          <w:rFonts w:hint="eastAsia" w:ascii="宋体" w:hAnsi="宋体" w:cs="宋体"/>
          <w:sz w:val="28"/>
          <w:szCs w:val="28"/>
        </w:rPr>
        <w:t xml:space="preserve">日期： </w:t>
      </w:r>
      <w:r>
        <w:rPr>
          <w:rFonts w:ascii="宋体" w:hAnsi="宋体" w:cs="宋体"/>
          <w:sz w:val="28"/>
          <w:szCs w:val="28"/>
        </w:rPr>
        <w:t xml:space="preserve">   </w:t>
      </w:r>
      <w:r>
        <w:rPr>
          <w:rFonts w:hint="eastAsia" w:ascii="宋体" w:hAnsi="宋体" w:cs="宋体"/>
          <w:sz w:val="28"/>
          <w:szCs w:val="28"/>
        </w:rPr>
        <w:t xml:space="preserve">年 </w:t>
      </w:r>
      <w:r>
        <w:rPr>
          <w:rFonts w:ascii="宋体" w:hAnsi="宋体" w:cs="宋体"/>
          <w:sz w:val="28"/>
          <w:szCs w:val="28"/>
        </w:rPr>
        <w:t xml:space="preserve"> </w:t>
      </w:r>
      <w:r>
        <w:rPr>
          <w:rFonts w:hint="eastAsia" w:ascii="宋体" w:hAnsi="宋体" w:cs="宋体"/>
          <w:sz w:val="28"/>
          <w:szCs w:val="28"/>
        </w:rPr>
        <w:t xml:space="preserve">月 </w:t>
      </w:r>
      <w:r>
        <w:rPr>
          <w:rFonts w:ascii="宋体" w:hAnsi="宋体" w:cs="宋体"/>
          <w:sz w:val="28"/>
          <w:szCs w:val="28"/>
        </w:rPr>
        <w:t xml:space="preserve"> </w:t>
      </w:r>
      <w:r>
        <w:rPr>
          <w:rFonts w:hint="eastAsia" w:ascii="宋体" w:hAnsi="宋体" w:cs="宋体"/>
          <w:sz w:val="28"/>
          <w:szCs w:val="28"/>
        </w:rPr>
        <w:t>日</w:t>
      </w:r>
    </w:p>
    <w:bookmarkEnd w:id="62"/>
    <w:p w14:paraId="2F57CFDA">
      <w:pPr>
        <w:widowControl/>
        <w:spacing w:line="312" w:lineRule="auto"/>
        <w:jc w:val="left"/>
        <w:rPr>
          <w:rFonts w:ascii="Times New Roman" w:hAnsi="Times New Roman" w:eastAsia="方正黑体_GBK"/>
          <w:sz w:val="32"/>
          <w:szCs w:val="32"/>
        </w:rPr>
      </w:pPr>
    </w:p>
    <w:p w14:paraId="2B149A39">
      <w:pPr>
        <w:widowControl/>
        <w:spacing w:line="312" w:lineRule="auto"/>
        <w:jc w:val="left"/>
        <w:rPr>
          <w:rFonts w:ascii="Times New Roman" w:hAnsi="Times New Roman" w:eastAsia="方正黑体_GBK"/>
          <w:sz w:val="32"/>
          <w:szCs w:val="32"/>
        </w:rPr>
      </w:pPr>
    </w:p>
    <w:p w14:paraId="09BB7748">
      <w:pPr>
        <w:widowControl/>
        <w:spacing w:line="312" w:lineRule="auto"/>
        <w:jc w:val="left"/>
        <w:rPr>
          <w:rFonts w:ascii="Times New Roman" w:hAnsi="Times New Roman" w:eastAsia="方正黑体_GBK"/>
          <w:sz w:val="32"/>
          <w:szCs w:val="32"/>
        </w:rPr>
      </w:pPr>
    </w:p>
    <w:p w14:paraId="442CE62D">
      <w:pPr>
        <w:widowControl/>
        <w:spacing w:line="312" w:lineRule="auto"/>
        <w:jc w:val="left"/>
        <w:rPr>
          <w:rFonts w:ascii="Times New Roman" w:hAnsi="Times New Roman" w:eastAsia="方正黑体_GBK"/>
          <w:sz w:val="32"/>
          <w:szCs w:val="32"/>
        </w:rPr>
      </w:pPr>
    </w:p>
    <w:p w14:paraId="760663E6">
      <w:pPr>
        <w:widowControl/>
        <w:spacing w:line="312" w:lineRule="auto"/>
        <w:jc w:val="left"/>
        <w:rPr>
          <w:rFonts w:ascii="Times New Roman" w:hAnsi="Times New Roman" w:eastAsia="方正黑体_GBK"/>
          <w:sz w:val="32"/>
          <w:szCs w:val="32"/>
        </w:rPr>
      </w:pPr>
    </w:p>
    <w:p w14:paraId="45A2E06E">
      <w:pPr>
        <w:widowControl/>
        <w:spacing w:line="312" w:lineRule="auto"/>
        <w:jc w:val="left"/>
        <w:rPr>
          <w:rFonts w:ascii="Times New Roman" w:hAnsi="Times New Roman" w:eastAsia="方正黑体_GBK"/>
          <w:sz w:val="32"/>
          <w:szCs w:val="32"/>
        </w:rPr>
      </w:pPr>
    </w:p>
    <w:p w14:paraId="14D947C5">
      <w:pPr>
        <w:rPr>
          <w:rFonts w:ascii="Times New Roman" w:hAnsi="Times New Roman" w:eastAsia="方正黑体_GBK"/>
          <w:sz w:val="32"/>
          <w:szCs w:val="32"/>
        </w:rPr>
      </w:pPr>
      <w:r>
        <w:rPr>
          <w:rFonts w:ascii="Times New Roman" w:hAnsi="Times New Roman" w:eastAsia="方正黑体_GBK"/>
          <w:sz w:val="32"/>
          <w:szCs w:val="32"/>
        </w:rPr>
        <w:br w:type="page"/>
      </w:r>
    </w:p>
    <w:p w14:paraId="69B183DE">
      <w:pPr>
        <w:widowControl/>
        <w:spacing w:line="312" w:lineRule="auto"/>
        <w:jc w:val="left"/>
        <w:rPr>
          <w:rFonts w:hint="default" w:ascii="Times New Roman" w:hAnsi="Times New Roman" w:eastAsia="方正黑体_GBK"/>
          <w:sz w:val="24"/>
          <w:lang w:val="en-US" w:eastAsia="zh-CN"/>
        </w:rPr>
      </w:pPr>
      <w:r>
        <w:rPr>
          <w:rFonts w:ascii="Times New Roman" w:hAnsi="Times New Roman" w:eastAsia="方正黑体_GBK"/>
          <w:sz w:val="32"/>
          <w:szCs w:val="32"/>
        </w:rPr>
        <w:t>附件</w:t>
      </w:r>
      <w:r>
        <w:rPr>
          <w:rFonts w:hint="eastAsia" w:ascii="Times New Roman" w:hAnsi="Times New Roman" w:eastAsia="方正黑体_GBK"/>
          <w:sz w:val="32"/>
          <w:szCs w:val="32"/>
          <w:lang w:val="en-US" w:eastAsia="zh-CN"/>
        </w:rPr>
        <w:t>10</w:t>
      </w:r>
    </w:p>
    <w:p w14:paraId="5A1CC452">
      <w:pPr>
        <w:snapToGrid w:val="0"/>
        <w:spacing w:line="300" w:lineRule="auto"/>
        <w:contextualSpacing/>
        <w:jc w:val="center"/>
        <w:rPr>
          <w:rFonts w:ascii="宋体" w:hAnsi="宋体"/>
          <w:b/>
          <w:sz w:val="32"/>
          <w:szCs w:val="32"/>
        </w:rPr>
      </w:pPr>
      <w:r>
        <w:rPr>
          <w:rFonts w:hint="eastAsia" w:ascii="宋体" w:hAnsi="宋体"/>
          <w:b/>
          <w:sz w:val="32"/>
          <w:szCs w:val="32"/>
        </w:rPr>
        <w:t>技术部分正负偏离表</w:t>
      </w:r>
    </w:p>
    <w:p w14:paraId="65CD1945">
      <w:pPr>
        <w:snapToGrid w:val="0"/>
        <w:spacing w:line="300" w:lineRule="auto"/>
        <w:contextualSpacing/>
        <w:rPr>
          <w:rFonts w:ascii="宋体" w:hAnsi="宋体"/>
          <w:b/>
          <w:sz w:val="32"/>
          <w:szCs w:val="32"/>
        </w:rPr>
      </w:pPr>
      <w:r>
        <w:rPr>
          <w:rFonts w:hint="eastAsia" w:ascii="宋体" w:hAnsi="宋体"/>
          <w:sz w:val="28"/>
          <w:szCs w:val="28"/>
          <w:u w:val="single"/>
        </w:rPr>
        <w:t>项目</w:t>
      </w:r>
      <w:r>
        <w:rPr>
          <w:rFonts w:hint="eastAsia" w:ascii="宋体" w:hAnsi="宋体"/>
          <w:sz w:val="28"/>
          <w:szCs w:val="28"/>
          <w:u w:val="single"/>
          <w:lang w:val="en-US" w:eastAsia="zh-CN"/>
        </w:rPr>
        <w:t>名称</w:t>
      </w:r>
      <w:r>
        <w:rPr>
          <w:rFonts w:hint="eastAsia" w:ascii="宋体" w:hAnsi="宋体"/>
          <w:sz w:val="28"/>
          <w:szCs w:val="28"/>
          <w:u w:val="single"/>
        </w:rPr>
        <w:t>：</w:t>
      </w:r>
      <w:r>
        <w:rPr>
          <w:rFonts w:hint="eastAsia" w:ascii="宋体" w:hAnsi="宋体"/>
          <w:sz w:val="24"/>
          <w:szCs w:val="21"/>
          <w:u w:val="single"/>
        </w:rPr>
        <w:t>_____________________</w:t>
      </w:r>
    </w:p>
    <w:p w14:paraId="1CA4747A">
      <w:pPr>
        <w:ind w:firstLine="560" w:firstLineChars="200"/>
        <w:jc w:val="center"/>
        <w:rPr>
          <w:rFonts w:ascii="宋体" w:hAnsi="宋体"/>
          <w:sz w:val="28"/>
          <w:szCs w:val="28"/>
        </w:rPr>
      </w:pPr>
      <w:r>
        <w:rPr>
          <w:rFonts w:hint="eastAsia" w:ascii="宋体" w:hAnsi="宋体"/>
          <w:sz w:val="28"/>
          <w:szCs w:val="28"/>
        </w:rPr>
        <w:t>（由响应供应商据实填写，表格不够自行添加）</w:t>
      </w:r>
    </w:p>
    <w:tbl>
      <w:tblPr>
        <w:tblStyle w:val="2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1974"/>
        <w:gridCol w:w="2979"/>
        <w:gridCol w:w="2226"/>
        <w:gridCol w:w="1221"/>
      </w:tblGrid>
      <w:tr w14:paraId="73CDAA9D">
        <w:tblPrEx>
          <w:tblLayout w:type="fixed"/>
        </w:tblPrEx>
        <w:trPr>
          <w:trHeight w:val="994" w:hRule="atLeast"/>
        </w:trPr>
        <w:tc>
          <w:tcPr>
            <w:tcW w:w="718" w:type="dxa"/>
            <w:tcBorders>
              <w:top w:val="single" w:color="auto" w:sz="12" w:space="0"/>
              <w:left w:val="single" w:color="auto" w:sz="12" w:space="0"/>
              <w:bottom w:val="single" w:color="auto" w:sz="6" w:space="0"/>
              <w:right w:val="single" w:color="auto" w:sz="6" w:space="0"/>
            </w:tcBorders>
            <w:vAlign w:val="center"/>
          </w:tcPr>
          <w:p w14:paraId="6C153B5E">
            <w:pPr>
              <w:spacing w:line="340" w:lineRule="exact"/>
              <w:jc w:val="center"/>
              <w:rPr>
                <w:rFonts w:ascii="宋体" w:hAnsi="宋体"/>
                <w:sz w:val="28"/>
                <w:szCs w:val="28"/>
              </w:rPr>
            </w:pPr>
            <w:r>
              <w:rPr>
                <w:rFonts w:hint="eastAsia" w:ascii="宋体" w:hAnsi="宋体"/>
                <w:sz w:val="28"/>
                <w:szCs w:val="28"/>
              </w:rPr>
              <w:t>序号</w:t>
            </w:r>
          </w:p>
        </w:tc>
        <w:tc>
          <w:tcPr>
            <w:tcW w:w="1974" w:type="dxa"/>
            <w:tcBorders>
              <w:top w:val="single" w:color="auto" w:sz="12" w:space="0"/>
              <w:left w:val="single" w:color="auto" w:sz="6" w:space="0"/>
              <w:bottom w:val="single" w:color="auto" w:sz="6" w:space="0"/>
              <w:right w:val="single" w:color="auto" w:sz="6" w:space="0"/>
            </w:tcBorders>
            <w:vAlign w:val="center"/>
          </w:tcPr>
          <w:p w14:paraId="05937731">
            <w:pPr>
              <w:spacing w:line="340" w:lineRule="exact"/>
              <w:jc w:val="center"/>
              <w:rPr>
                <w:rFonts w:ascii="宋体" w:hAnsi="宋体"/>
                <w:sz w:val="28"/>
                <w:szCs w:val="28"/>
              </w:rPr>
            </w:pPr>
            <w:r>
              <w:rPr>
                <w:rFonts w:hint="eastAsia" w:ascii="宋体" w:hAnsi="宋体"/>
                <w:sz w:val="28"/>
                <w:szCs w:val="28"/>
              </w:rPr>
              <w:t>货物或服务名称</w:t>
            </w:r>
          </w:p>
        </w:tc>
        <w:tc>
          <w:tcPr>
            <w:tcW w:w="2979" w:type="dxa"/>
            <w:tcBorders>
              <w:top w:val="single" w:color="auto" w:sz="12" w:space="0"/>
              <w:left w:val="single" w:color="auto" w:sz="6" w:space="0"/>
              <w:bottom w:val="single" w:color="auto" w:sz="6" w:space="0"/>
              <w:right w:val="single" w:color="auto" w:sz="6" w:space="0"/>
            </w:tcBorders>
            <w:vAlign w:val="center"/>
          </w:tcPr>
          <w:p w14:paraId="055057F7">
            <w:pPr>
              <w:spacing w:line="340" w:lineRule="exact"/>
              <w:jc w:val="center"/>
              <w:rPr>
                <w:rFonts w:ascii="宋体" w:hAnsi="宋体"/>
                <w:sz w:val="28"/>
                <w:szCs w:val="28"/>
              </w:rPr>
            </w:pPr>
            <w:r>
              <w:rPr>
                <w:rFonts w:hint="eastAsia" w:ascii="宋体" w:hAnsi="宋体"/>
                <w:sz w:val="28"/>
                <w:szCs w:val="28"/>
              </w:rPr>
              <w:t>采购文件要求的技术要求</w:t>
            </w:r>
          </w:p>
        </w:tc>
        <w:tc>
          <w:tcPr>
            <w:tcW w:w="2226" w:type="dxa"/>
            <w:tcBorders>
              <w:top w:val="single" w:color="auto" w:sz="12" w:space="0"/>
              <w:left w:val="single" w:color="auto" w:sz="6" w:space="0"/>
              <w:bottom w:val="single" w:color="auto" w:sz="6" w:space="0"/>
              <w:right w:val="single" w:color="auto" w:sz="6" w:space="0"/>
            </w:tcBorders>
            <w:vAlign w:val="center"/>
          </w:tcPr>
          <w:p w14:paraId="764B44F1">
            <w:pPr>
              <w:spacing w:line="340" w:lineRule="exact"/>
              <w:jc w:val="center"/>
              <w:rPr>
                <w:rFonts w:ascii="宋体" w:hAnsi="宋体"/>
                <w:sz w:val="28"/>
                <w:szCs w:val="28"/>
              </w:rPr>
            </w:pPr>
            <w:r>
              <w:rPr>
                <w:rFonts w:hint="eastAsia" w:ascii="宋体" w:hAnsi="宋体"/>
                <w:sz w:val="28"/>
                <w:szCs w:val="28"/>
              </w:rPr>
              <w:t>响应文件响应情况</w:t>
            </w:r>
          </w:p>
        </w:tc>
        <w:tc>
          <w:tcPr>
            <w:tcW w:w="1221" w:type="dxa"/>
            <w:tcBorders>
              <w:top w:val="single" w:color="auto" w:sz="12" w:space="0"/>
              <w:left w:val="single" w:color="auto" w:sz="6" w:space="0"/>
              <w:bottom w:val="single" w:color="auto" w:sz="6" w:space="0"/>
              <w:right w:val="single" w:color="auto" w:sz="12" w:space="0"/>
            </w:tcBorders>
          </w:tcPr>
          <w:p w14:paraId="40A0C3D1">
            <w:pPr>
              <w:spacing w:line="340" w:lineRule="exact"/>
              <w:jc w:val="center"/>
              <w:rPr>
                <w:rFonts w:ascii="宋体" w:hAnsi="宋体"/>
                <w:sz w:val="28"/>
                <w:szCs w:val="28"/>
              </w:rPr>
            </w:pPr>
          </w:p>
          <w:p w14:paraId="728502E9">
            <w:pPr>
              <w:spacing w:line="340" w:lineRule="exact"/>
              <w:jc w:val="center"/>
              <w:rPr>
                <w:rFonts w:ascii="宋体" w:hAnsi="宋体"/>
                <w:sz w:val="28"/>
                <w:szCs w:val="28"/>
              </w:rPr>
            </w:pPr>
            <w:r>
              <w:rPr>
                <w:rFonts w:hint="eastAsia" w:ascii="宋体" w:hAnsi="宋体"/>
                <w:sz w:val="28"/>
                <w:szCs w:val="28"/>
              </w:rPr>
              <w:t>偏离说明</w:t>
            </w:r>
          </w:p>
        </w:tc>
      </w:tr>
      <w:tr w14:paraId="0A00E87C">
        <w:tblPrEx>
          <w:tblLayout w:type="fixed"/>
        </w:tblPrEx>
        <w:trPr>
          <w:trHeight w:val="414" w:hRule="atLeast"/>
        </w:trPr>
        <w:tc>
          <w:tcPr>
            <w:tcW w:w="718" w:type="dxa"/>
            <w:tcBorders>
              <w:top w:val="single" w:color="auto" w:sz="6" w:space="0"/>
              <w:left w:val="single" w:color="auto" w:sz="12" w:space="0"/>
              <w:bottom w:val="single" w:color="auto" w:sz="6" w:space="0"/>
              <w:right w:val="single" w:color="auto" w:sz="6" w:space="0"/>
            </w:tcBorders>
          </w:tcPr>
          <w:p w14:paraId="3417408C">
            <w:pPr>
              <w:spacing w:line="340" w:lineRule="exact"/>
              <w:jc w:val="center"/>
              <w:rPr>
                <w:rFonts w:ascii="宋体" w:hAnsi="宋体"/>
                <w:sz w:val="28"/>
                <w:szCs w:val="28"/>
              </w:rPr>
            </w:pPr>
            <w:r>
              <w:rPr>
                <w:rFonts w:hint="eastAsia" w:ascii="宋体" w:hAnsi="宋体"/>
                <w:sz w:val="28"/>
                <w:szCs w:val="28"/>
              </w:rPr>
              <w:t>1</w:t>
            </w:r>
          </w:p>
        </w:tc>
        <w:tc>
          <w:tcPr>
            <w:tcW w:w="1974" w:type="dxa"/>
            <w:tcBorders>
              <w:top w:val="single" w:color="auto" w:sz="6" w:space="0"/>
              <w:left w:val="single" w:color="auto" w:sz="6" w:space="0"/>
              <w:bottom w:val="single" w:color="auto" w:sz="6" w:space="0"/>
              <w:right w:val="single" w:color="auto" w:sz="6" w:space="0"/>
            </w:tcBorders>
            <w:vAlign w:val="center"/>
          </w:tcPr>
          <w:p w14:paraId="7B1409E8">
            <w:pPr>
              <w:spacing w:line="340" w:lineRule="exact"/>
              <w:jc w:val="left"/>
              <w:rPr>
                <w:rFonts w:ascii="宋体" w:hAnsi="宋体"/>
                <w:sz w:val="28"/>
                <w:szCs w:val="28"/>
              </w:rPr>
            </w:pPr>
          </w:p>
        </w:tc>
        <w:tc>
          <w:tcPr>
            <w:tcW w:w="2979" w:type="dxa"/>
            <w:tcBorders>
              <w:top w:val="single" w:color="auto" w:sz="6" w:space="0"/>
              <w:left w:val="single" w:color="auto" w:sz="6" w:space="0"/>
              <w:bottom w:val="single" w:color="auto" w:sz="6" w:space="0"/>
              <w:right w:val="single" w:color="auto" w:sz="6" w:space="0"/>
            </w:tcBorders>
            <w:vAlign w:val="center"/>
          </w:tcPr>
          <w:p w14:paraId="4ACCFB52">
            <w:pPr>
              <w:spacing w:line="340" w:lineRule="exact"/>
              <w:jc w:val="left"/>
              <w:rPr>
                <w:rFonts w:ascii="宋体" w:hAnsi="宋体"/>
                <w:sz w:val="28"/>
                <w:szCs w:val="28"/>
              </w:rPr>
            </w:pPr>
          </w:p>
        </w:tc>
        <w:tc>
          <w:tcPr>
            <w:tcW w:w="2226" w:type="dxa"/>
            <w:tcBorders>
              <w:top w:val="single" w:color="auto" w:sz="6" w:space="0"/>
              <w:left w:val="single" w:color="auto" w:sz="6" w:space="0"/>
              <w:bottom w:val="single" w:color="auto" w:sz="6" w:space="0"/>
              <w:right w:val="single" w:color="auto" w:sz="6" w:space="0"/>
            </w:tcBorders>
            <w:vAlign w:val="center"/>
          </w:tcPr>
          <w:p w14:paraId="34D26450">
            <w:pPr>
              <w:spacing w:line="340" w:lineRule="exact"/>
              <w:jc w:val="left"/>
              <w:rPr>
                <w:sz w:val="28"/>
                <w:szCs w:val="28"/>
              </w:rPr>
            </w:pPr>
          </w:p>
        </w:tc>
        <w:tc>
          <w:tcPr>
            <w:tcW w:w="1221" w:type="dxa"/>
            <w:tcBorders>
              <w:top w:val="single" w:color="auto" w:sz="6" w:space="0"/>
              <w:left w:val="single" w:color="auto" w:sz="6" w:space="0"/>
              <w:bottom w:val="single" w:color="auto" w:sz="6" w:space="0"/>
              <w:right w:val="single" w:color="auto" w:sz="12" w:space="0"/>
            </w:tcBorders>
          </w:tcPr>
          <w:p w14:paraId="065F1DA5">
            <w:pPr>
              <w:spacing w:line="340" w:lineRule="exact"/>
              <w:jc w:val="left"/>
              <w:rPr>
                <w:sz w:val="28"/>
                <w:szCs w:val="28"/>
              </w:rPr>
            </w:pPr>
          </w:p>
        </w:tc>
      </w:tr>
      <w:tr w14:paraId="4AA5776E">
        <w:tblPrEx>
          <w:tblLayout w:type="fixed"/>
        </w:tblPrEx>
        <w:trPr>
          <w:trHeight w:val="548" w:hRule="atLeast"/>
        </w:trPr>
        <w:tc>
          <w:tcPr>
            <w:tcW w:w="718" w:type="dxa"/>
            <w:tcBorders>
              <w:top w:val="single" w:color="auto" w:sz="6" w:space="0"/>
              <w:left w:val="single" w:color="auto" w:sz="12" w:space="0"/>
              <w:bottom w:val="single" w:color="auto" w:sz="6" w:space="0"/>
              <w:right w:val="single" w:color="auto" w:sz="6" w:space="0"/>
            </w:tcBorders>
          </w:tcPr>
          <w:p w14:paraId="5FE39099">
            <w:pPr>
              <w:spacing w:line="340" w:lineRule="exact"/>
              <w:jc w:val="center"/>
              <w:rPr>
                <w:rFonts w:ascii="宋体" w:hAnsi="宋体"/>
                <w:sz w:val="28"/>
                <w:szCs w:val="28"/>
              </w:rPr>
            </w:pPr>
            <w:r>
              <w:rPr>
                <w:rFonts w:hint="eastAsia" w:ascii="宋体" w:hAnsi="宋体"/>
                <w:sz w:val="28"/>
                <w:szCs w:val="28"/>
              </w:rPr>
              <w:t>2</w:t>
            </w:r>
          </w:p>
        </w:tc>
        <w:tc>
          <w:tcPr>
            <w:tcW w:w="1974" w:type="dxa"/>
            <w:tcBorders>
              <w:top w:val="single" w:color="auto" w:sz="6" w:space="0"/>
              <w:left w:val="single" w:color="auto" w:sz="6" w:space="0"/>
              <w:bottom w:val="single" w:color="auto" w:sz="6" w:space="0"/>
              <w:right w:val="single" w:color="auto" w:sz="6" w:space="0"/>
            </w:tcBorders>
            <w:vAlign w:val="center"/>
          </w:tcPr>
          <w:p w14:paraId="382F1639">
            <w:pPr>
              <w:spacing w:line="340" w:lineRule="exact"/>
              <w:jc w:val="left"/>
              <w:rPr>
                <w:rFonts w:ascii="宋体" w:hAnsi="宋体"/>
                <w:sz w:val="28"/>
                <w:szCs w:val="28"/>
              </w:rPr>
            </w:pPr>
          </w:p>
        </w:tc>
        <w:tc>
          <w:tcPr>
            <w:tcW w:w="2979" w:type="dxa"/>
            <w:tcBorders>
              <w:top w:val="single" w:color="auto" w:sz="6" w:space="0"/>
              <w:left w:val="single" w:color="auto" w:sz="6" w:space="0"/>
              <w:bottom w:val="single" w:color="auto" w:sz="6" w:space="0"/>
              <w:right w:val="single" w:color="auto" w:sz="6" w:space="0"/>
            </w:tcBorders>
            <w:vAlign w:val="center"/>
          </w:tcPr>
          <w:p w14:paraId="01745DFB">
            <w:pPr>
              <w:spacing w:line="340" w:lineRule="exact"/>
              <w:jc w:val="left"/>
              <w:rPr>
                <w:rFonts w:ascii="宋体" w:hAnsi="宋体"/>
                <w:sz w:val="28"/>
                <w:szCs w:val="28"/>
              </w:rPr>
            </w:pPr>
          </w:p>
        </w:tc>
        <w:tc>
          <w:tcPr>
            <w:tcW w:w="2226" w:type="dxa"/>
            <w:tcBorders>
              <w:top w:val="single" w:color="auto" w:sz="6" w:space="0"/>
              <w:left w:val="single" w:color="auto" w:sz="6" w:space="0"/>
              <w:bottom w:val="single" w:color="auto" w:sz="6" w:space="0"/>
              <w:right w:val="single" w:color="auto" w:sz="6" w:space="0"/>
            </w:tcBorders>
            <w:vAlign w:val="center"/>
          </w:tcPr>
          <w:p w14:paraId="68460E6B">
            <w:pPr>
              <w:spacing w:line="340" w:lineRule="exact"/>
              <w:jc w:val="left"/>
              <w:rPr>
                <w:sz w:val="28"/>
                <w:szCs w:val="28"/>
              </w:rPr>
            </w:pPr>
          </w:p>
        </w:tc>
        <w:tc>
          <w:tcPr>
            <w:tcW w:w="1221" w:type="dxa"/>
            <w:tcBorders>
              <w:top w:val="single" w:color="auto" w:sz="6" w:space="0"/>
              <w:left w:val="single" w:color="auto" w:sz="6" w:space="0"/>
              <w:bottom w:val="single" w:color="auto" w:sz="6" w:space="0"/>
              <w:right w:val="single" w:color="auto" w:sz="12" w:space="0"/>
            </w:tcBorders>
          </w:tcPr>
          <w:p w14:paraId="62A40D77">
            <w:pPr>
              <w:spacing w:line="340" w:lineRule="exact"/>
              <w:jc w:val="left"/>
              <w:rPr>
                <w:sz w:val="28"/>
                <w:szCs w:val="28"/>
              </w:rPr>
            </w:pPr>
          </w:p>
        </w:tc>
      </w:tr>
      <w:tr w14:paraId="5380B1AB">
        <w:tblPrEx>
          <w:tblLayout w:type="fixed"/>
        </w:tblPrEx>
        <w:trPr>
          <w:trHeight w:val="400" w:hRule="atLeast"/>
        </w:trPr>
        <w:tc>
          <w:tcPr>
            <w:tcW w:w="718" w:type="dxa"/>
            <w:tcBorders>
              <w:top w:val="single" w:color="auto" w:sz="6" w:space="0"/>
              <w:left w:val="single" w:color="auto" w:sz="12" w:space="0"/>
              <w:bottom w:val="single" w:color="auto" w:sz="6" w:space="0"/>
              <w:right w:val="single" w:color="auto" w:sz="6" w:space="0"/>
            </w:tcBorders>
          </w:tcPr>
          <w:p w14:paraId="48E391B3">
            <w:pPr>
              <w:spacing w:line="340" w:lineRule="exact"/>
              <w:jc w:val="center"/>
              <w:rPr>
                <w:rFonts w:ascii="宋体" w:hAnsi="宋体"/>
                <w:sz w:val="28"/>
                <w:szCs w:val="28"/>
              </w:rPr>
            </w:pPr>
            <w:r>
              <w:rPr>
                <w:rFonts w:hint="eastAsia" w:ascii="宋体" w:hAnsi="宋体"/>
                <w:sz w:val="28"/>
                <w:szCs w:val="28"/>
              </w:rPr>
              <w:t>3</w:t>
            </w:r>
          </w:p>
        </w:tc>
        <w:tc>
          <w:tcPr>
            <w:tcW w:w="1974" w:type="dxa"/>
            <w:tcBorders>
              <w:top w:val="single" w:color="auto" w:sz="6" w:space="0"/>
              <w:left w:val="single" w:color="auto" w:sz="6" w:space="0"/>
              <w:bottom w:val="single" w:color="auto" w:sz="6" w:space="0"/>
              <w:right w:val="single" w:color="auto" w:sz="6" w:space="0"/>
            </w:tcBorders>
            <w:vAlign w:val="center"/>
          </w:tcPr>
          <w:p w14:paraId="5D595897">
            <w:pPr>
              <w:spacing w:line="340" w:lineRule="exact"/>
              <w:jc w:val="left"/>
              <w:rPr>
                <w:rFonts w:ascii="宋体" w:hAnsi="宋体"/>
                <w:sz w:val="28"/>
                <w:szCs w:val="28"/>
              </w:rPr>
            </w:pPr>
          </w:p>
        </w:tc>
        <w:tc>
          <w:tcPr>
            <w:tcW w:w="2979" w:type="dxa"/>
            <w:tcBorders>
              <w:top w:val="single" w:color="auto" w:sz="6" w:space="0"/>
              <w:left w:val="single" w:color="auto" w:sz="6" w:space="0"/>
              <w:bottom w:val="single" w:color="auto" w:sz="6" w:space="0"/>
              <w:right w:val="single" w:color="auto" w:sz="6" w:space="0"/>
            </w:tcBorders>
            <w:vAlign w:val="center"/>
          </w:tcPr>
          <w:p w14:paraId="47A88D85">
            <w:pPr>
              <w:spacing w:line="340" w:lineRule="exact"/>
              <w:jc w:val="left"/>
              <w:rPr>
                <w:sz w:val="28"/>
                <w:szCs w:val="28"/>
              </w:rPr>
            </w:pPr>
          </w:p>
        </w:tc>
        <w:tc>
          <w:tcPr>
            <w:tcW w:w="2226" w:type="dxa"/>
            <w:tcBorders>
              <w:top w:val="single" w:color="auto" w:sz="6" w:space="0"/>
              <w:left w:val="single" w:color="auto" w:sz="6" w:space="0"/>
              <w:bottom w:val="single" w:color="auto" w:sz="6" w:space="0"/>
              <w:right w:val="single" w:color="auto" w:sz="6" w:space="0"/>
            </w:tcBorders>
            <w:vAlign w:val="center"/>
          </w:tcPr>
          <w:p w14:paraId="2849FA0A">
            <w:pPr>
              <w:spacing w:line="340" w:lineRule="exact"/>
              <w:jc w:val="left"/>
              <w:rPr>
                <w:sz w:val="28"/>
                <w:szCs w:val="28"/>
              </w:rPr>
            </w:pPr>
          </w:p>
        </w:tc>
        <w:tc>
          <w:tcPr>
            <w:tcW w:w="1221" w:type="dxa"/>
            <w:tcBorders>
              <w:top w:val="single" w:color="auto" w:sz="6" w:space="0"/>
              <w:left w:val="single" w:color="auto" w:sz="6" w:space="0"/>
              <w:bottom w:val="single" w:color="auto" w:sz="6" w:space="0"/>
              <w:right w:val="single" w:color="auto" w:sz="12" w:space="0"/>
            </w:tcBorders>
          </w:tcPr>
          <w:p w14:paraId="390A197D">
            <w:pPr>
              <w:spacing w:line="340" w:lineRule="exact"/>
              <w:jc w:val="left"/>
              <w:rPr>
                <w:sz w:val="28"/>
                <w:szCs w:val="28"/>
              </w:rPr>
            </w:pPr>
          </w:p>
        </w:tc>
      </w:tr>
      <w:tr w14:paraId="69FDF7C9">
        <w:tblPrEx>
          <w:tblLayout w:type="fixed"/>
        </w:tblPrEx>
        <w:trPr>
          <w:trHeight w:val="419" w:hRule="atLeast"/>
        </w:trPr>
        <w:tc>
          <w:tcPr>
            <w:tcW w:w="718" w:type="dxa"/>
            <w:tcBorders>
              <w:top w:val="single" w:color="auto" w:sz="6" w:space="0"/>
              <w:left w:val="single" w:color="auto" w:sz="12" w:space="0"/>
              <w:bottom w:val="single" w:color="auto" w:sz="6" w:space="0"/>
              <w:right w:val="single" w:color="auto" w:sz="6" w:space="0"/>
            </w:tcBorders>
          </w:tcPr>
          <w:p w14:paraId="0B2CBE1F">
            <w:pPr>
              <w:spacing w:line="340" w:lineRule="exact"/>
              <w:jc w:val="center"/>
              <w:rPr>
                <w:rFonts w:ascii="宋体" w:hAnsi="宋体"/>
                <w:sz w:val="28"/>
                <w:szCs w:val="28"/>
              </w:rPr>
            </w:pPr>
            <w:r>
              <w:rPr>
                <w:rFonts w:hint="eastAsia" w:ascii="宋体" w:hAnsi="宋体"/>
                <w:sz w:val="28"/>
                <w:szCs w:val="28"/>
              </w:rPr>
              <w:t>4</w:t>
            </w:r>
          </w:p>
        </w:tc>
        <w:tc>
          <w:tcPr>
            <w:tcW w:w="1974" w:type="dxa"/>
            <w:tcBorders>
              <w:top w:val="single" w:color="auto" w:sz="6" w:space="0"/>
              <w:left w:val="single" w:color="auto" w:sz="6" w:space="0"/>
              <w:bottom w:val="single" w:color="auto" w:sz="6" w:space="0"/>
              <w:right w:val="single" w:color="auto" w:sz="6" w:space="0"/>
            </w:tcBorders>
            <w:vAlign w:val="center"/>
          </w:tcPr>
          <w:p w14:paraId="4E866C4D">
            <w:pPr>
              <w:spacing w:line="340" w:lineRule="exact"/>
              <w:jc w:val="left"/>
              <w:rPr>
                <w:rFonts w:ascii="宋体" w:hAnsi="宋体"/>
                <w:sz w:val="28"/>
                <w:szCs w:val="28"/>
              </w:rPr>
            </w:pPr>
          </w:p>
        </w:tc>
        <w:tc>
          <w:tcPr>
            <w:tcW w:w="2979" w:type="dxa"/>
            <w:tcBorders>
              <w:top w:val="single" w:color="auto" w:sz="6" w:space="0"/>
              <w:left w:val="single" w:color="auto" w:sz="6" w:space="0"/>
              <w:bottom w:val="single" w:color="auto" w:sz="6" w:space="0"/>
              <w:right w:val="single" w:color="auto" w:sz="6" w:space="0"/>
            </w:tcBorders>
            <w:vAlign w:val="center"/>
          </w:tcPr>
          <w:p w14:paraId="15F592ED">
            <w:pPr>
              <w:spacing w:line="340" w:lineRule="exact"/>
              <w:jc w:val="left"/>
              <w:rPr>
                <w:rFonts w:ascii="宋体" w:hAnsi="宋体"/>
                <w:sz w:val="28"/>
                <w:szCs w:val="28"/>
              </w:rPr>
            </w:pPr>
          </w:p>
        </w:tc>
        <w:tc>
          <w:tcPr>
            <w:tcW w:w="2226" w:type="dxa"/>
            <w:tcBorders>
              <w:top w:val="single" w:color="auto" w:sz="6" w:space="0"/>
              <w:left w:val="single" w:color="auto" w:sz="6" w:space="0"/>
              <w:bottom w:val="single" w:color="auto" w:sz="6" w:space="0"/>
              <w:right w:val="single" w:color="auto" w:sz="6" w:space="0"/>
            </w:tcBorders>
            <w:vAlign w:val="center"/>
          </w:tcPr>
          <w:p w14:paraId="0912567B">
            <w:pPr>
              <w:spacing w:line="340" w:lineRule="exact"/>
              <w:jc w:val="left"/>
              <w:rPr>
                <w:sz w:val="28"/>
                <w:szCs w:val="28"/>
              </w:rPr>
            </w:pPr>
          </w:p>
        </w:tc>
        <w:tc>
          <w:tcPr>
            <w:tcW w:w="1221" w:type="dxa"/>
            <w:tcBorders>
              <w:top w:val="single" w:color="auto" w:sz="6" w:space="0"/>
              <w:left w:val="single" w:color="auto" w:sz="6" w:space="0"/>
              <w:bottom w:val="single" w:color="auto" w:sz="6" w:space="0"/>
              <w:right w:val="single" w:color="auto" w:sz="12" w:space="0"/>
            </w:tcBorders>
          </w:tcPr>
          <w:p w14:paraId="1F8C71FF">
            <w:pPr>
              <w:spacing w:line="340" w:lineRule="exact"/>
              <w:jc w:val="left"/>
              <w:rPr>
                <w:sz w:val="28"/>
                <w:szCs w:val="28"/>
              </w:rPr>
            </w:pPr>
          </w:p>
        </w:tc>
      </w:tr>
    </w:tbl>
    <w:p w14:paraId="4F17C40B">
      <w:pPr>
        <w:snapToGrid w:val="0"/>
        <w:spacing w:line="300" w:lineRule="auto"/>
        <w:contextualSpacing/>
        <w:rPr>
          <w:rFonts w:ascii="宋体" w:hAnsi="宋体"/>
          <w:b/>
          <w:sz w:val="28"/>
          <w:szCs w:val="28"/>
        </w:rPr>
      </w:pPr>
      <w:r>
        <w:rPr>
          <w:rFonts w:hint="eastAsia" w:ascii="宋体" w:hAnsi="宋体"/>
          <w:b/>
          <w:sz w:val="28"/>
          <w:szCs w:val="28"/>
        </w:rPr>
        <w:t>注：</w:t>
      </w:r>
    </w:p>
    <w:p w14:paraId="281861AD">
      <w:pPr>
        <w:snapToGrid w:val="0"/>
        <w:spacing w:line="300" w:lineRule="auto"/>
        <w:ind w:firstLine="480" w:firstLineChars="200"/>
        <w:contextualSpacing/>
        <w:rPr>
          <w:rFonts w:ascii="宋体" w:hAnsi="宋体"/>
          <w:bCs/>
          <w:sz w:val="24"/>
        </w:rPr>
      </w:pPr>
      <w:r>
        <w:rPr>
          <w:rFonts w:hint="eastAsia" w:ascii="宋体" w:hAnsi="宋体"/>
          <w:bCs/>
          <w:sz w:val="24"/>
        </w:rPr>
        <w:t>1.未说明偏离的，将被认为响应询价文件的规定，但该表不作为供应商对所响应内容关于技术部分等详细描述和说明的替代。</w:t>
      </w:r>
    </w:p>
    <w:p w14:paraId="4A67F4B3">
      <w:pPr>
        <w:snapToGrid w:val="0"/>
        <w:spacing w:line="300" w:lineRule="auto"/>
        <w:ind w:firstLine="480" w:firstLineChars="200"/>
        <w:contextualSpacing/>
        <w:rPr>
          <w:rFonts w:ascii="宋体" w:hAnsi="宋体"/>
          <w:bCs/>
          <w:sz w:val="24"/>
        </w:rPr>
      </w:pPr>
      <w:r>
        <w:rPr>
          <w:rFonts w:hint="eastAsia" w:ascii="宋体" w:hAnsi="宋体"/>
          <w:bCs/>
          <w:sz w:val="24"/>
        </w:rPr>
        <w:t>2.如有偏离的，在“偏离说明”一栏选择“正偏离”、“负偏离”进行填写。正偏离、负偏离的确认和负偏离的是否响应询价文件，由询价小组认定。</w:t>
      </w:r>
    </w:p>
    <w:p w14:paraId="3CDF4AB2">
      <w:pPr>
        <w:snapToGrid w:val="0"/>
        <w:spacing w:line="300" w:lineRule="auto"/>
        <w:ind w:firstLine="480" w:firstLineChars="200"/>
        <w:contextualSpacing/>
        <w:rPr>
          <w:rFonts w:ascii="宋体" w:hAnsi="宋体"/>
          <w:bCs/>
          <w:sz w:val="24"/>
        </w:rPr>
      </w:pPr>
      <w:r>
        <w:rPr>
          <w:rFonts w:hint="eastAsia" w:ascii="宋体" w:hAnsi="宋体"/>
          <w:bCs/>
          <w:sz w:val="24"/>
        </w:rPr>
        <w:t>3.供应商若提供其他增值服务，可以在表中自行据实填写。</w:t>
      </w:r>
    </w:p>
    <w:p w14:paraId="28F9867A">
      <w:pPr>
        <w:spacing w:line="312" w:lineRule="auto"/>
        <w:ind w:firstLine="2520" w:firstLineChars="900"/>
        <w:rPr>
          <w:rFonts w:ascii="宋体" w:hAnsi="宋体" w:cs="宋体"/>
          <w:sz w:val="28"/>
          <w:szCs w:val="28"/>
        </w:rPr>
      </w:pPr>
    </w:p>
    <w:p w14:paraId="6D589F57">
      <w:pPr>
        <w:spacing w:line="312" w:lineRule="auto"/>
        <w:ind w:firstLine="2520" w:firstLineChars="900"/>
        <w:rPr>
          <w:rFonts w:ascii="宋体" w:hAnsi="宋体" w:cs="宋体"/>
          <w:sz w:val="28"/>
          <w:szCs w:val="28"/>
        </w:rPr>
      </w:pPr>
    </w:p>
    <w:p w14:paraId="5D416102">
      <w:pPr>
        <w:spacing w:line="312" w:lineRule="auto"/>
        <w:ind w:firstLine="3360" w:firstLineChars="1200"/>
        <w:rPr>
          <w:rFonts w:ascii="宋体" w:hAnsi="宋体" w:cs="宋体"/>
          <w:sz w:val="28"/>
          <w:szCs w:val="28"/>
          <w:u w:val="single"/>
        </w:rPr>
      </w:pPr>
      <w:r>
        <w:rPr>
          <w:rFonts w:hint="eastAsia" w:ascii="宋体" w:hAnsi="宋体" w:cs="宋体"/>
          <w:sz w:val="28"/>
          <w:szCs w:val="28"/>
        </w:rPr>
        <w:t>供应商名称（盖公章）：</w:t>
      </w:r>
    </w:p>
    <w:p w14:paraId="42147A18">
      <w:pPr>
        <w:spacing w:line="312" w:lineRule="auto"/>
        <w:ind w:firstLine="3360" w:firstLineChars="1200"/>
        <w:rPr>
          <w:rFonts w:ascii="宋体" w:hAnsi="宋体" w:cs="宋体"/>
          <w:sz w:val="28"/>
          <w:szCs w:val="28"/>
        </w:rPr>
      </w:pPr>
      <w:bookmarkStart w:id="63" w:name="_Toc71282604"/>
      <w:bookmarkStart w:id="64" w:name="_Toc71282465"/>
      <w:bookmarkStart w:id="65" w:name="_Toc71282449"/>
      <w:r>
        <w:rPr>
          <w:rFonts w:hint="eastAsia" w:ascii="宋体" w:hAnsi="宋体" w:cs="宋体"/>
          <w:sz w:val="28"/>
          <w:szCs w:val="28"/>
        </w:rPr>
        <w:t xml:space="preserve">日期： </w:t>
      </w:r>
      <w:r>
        <w:rPr>
          <w:rFonts w:ascii="宋体" w:hAnsi="宋体" w:cs="宋体"/>
          <w:sz w:val="28"/>
          <w:szCs w:val="28"/>
        </w:rPr>
        <w:t xml:space="preserve">   </w:t>
      </w:r>
      <w:r>
        <w:rPr>
          <w:rFonts w:hint="eastAsia" w:ascii="宋体" w:hAnsi="宋体" w:cs="宋体"/>
          <w:sz w:val="28"/>
          <w:szCs w:val="28"/>
        </w:rPr>
        <w:t xml:space="preserve">年 </w:t>
      </w:r>
      <w:r>
        <w:rPr>
          <w:rFonts w:ascii="宋体" w:hAnsi="宋体" w:cs="宋体"/>
          <w:sz w:val="28"/>
          <w:szCs w:val="28"/>
        </w:rPr>
        <w:t xml:space="preserve"> </w:t>
      </w:r>
      <w:r>
        <w:rPr>
          <w:rFonts w:hint="eastAsia" w:ascii="宋体" w:hAnsi="宋体" w:cs="宋体"/>
          <w:sz w:val="28"/>
          <w:szCs w:val="28"/>
        </w:rPr>
        <w:t xml:space="preserve">月 </w:t>
      </w:r>
      <w:r>
        <w:rPr>
          <w:rFonts w:ascii="宋体" w:hAnsi="宋体" w:cs="宋体"/>
          <w:sz w:val="28"/>
          <w:szCs w:val="28"/>
        </w:rPr>
        <w:t xml:space="preserve"> </w:t>
      </w:r>
      <w:r>
        <w:rPr>
          <w:rFonts w:hint="eastAsia" w:ascii="宋体" w:hAnsi="宋体" w:cs="宋体"/>
          <w:sz w:val="28"/>
          <w:szCs w:val="28"/>
        </w:rPr>
        <w:t>日</w:t>
      </w:r>
      <w:bookmarkEnd w:id="63"/>
      <w:bookmarkEnd w:id="64"/>
      <w:bookmarkEnd w:id="65"/>
    </w:p>
    <w:p w14:paraId="5D96356B">
      <w:pPr>
        <w:spacing w:line="312" w:lineRule="auto"/>
        <w:rPr>
          <w:rFonts w:ascii="宋体" w:hAnsi="宋体" w:cs="宋体"/>
          <w:b/>
          <w:bCs/>
          <w:sz w:val="32"/>
          <w:szCs w:val="32"/>
        </w:rPr>
      </w:pPr>
    </w:p>
    <w:p w14:paraId="505D851F">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2AF76842">
      <w:pPr>
        <w:snapToGrid w:val="0"/>
        <w:spacing w:line="300" w:lineRule="auto"/>
        <w:outlineLvl w:val="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11</w:t>
      </w:r>
    </w:p>
    <w:p w14:paraId="0A509184">
      <w:pPr>
        <w:jc w:val="center"/>
        <w:rPr>
          <w:rFonts w:hint="eastAsia" w:ascii="仿宋" w:hAnsi="仿宋" w:eastAsia="仿宋" w:cs="仿宋"/>
          <w:b/>
          <w:bCs/>
          <w:color w:val="auto"/>
          <w:sz w:val="32"/>
          <w:szCs w:val="40"/>
          <w:highlight w:val="none"/>
        </w:rPr>
      </w:pPr>
      <w:r>
        <w:rPr>
          <w:rFonts w:hint="eastAsia" w:ascii="仿宋" w:hAnsi="仿宋" w:eastAsia="仿宋" w:cs="仿宋"/>
          <w:b/>
          <w:bCs/>
          <w:color w:val="auto"/>
          <w:sz w:val="32"/>
          <w:szCs w:val="40"/>
          <w:highlight w:val="none"/>
        </w:rPr>
        <w:t>报价总表</w:t>
      </w:r>
    </w:p>
    <w:tbl>
      <w:tblPr>
        <w:tblStyle w:val="27"/>
        <w:tblpPr w:leftFromText="180" w:rightFromText="180" w:vertAnchor="text" w:horzAnchor="page" w:tblpXSpec="center" w:tblpY="335"/>
        <w:tblOverlap w:val="never"/>
        <w:tblW w:w="90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46"/>
        <w:gridCol w:w="4926"/>
      </w:tblGrid>
      <w:tr w14:paraId="00337389">
        <w:tblPrEx>
          <w:tblLayout w:type="fixed"/>
        </w:tblPrEx>
        <w:trPr>
          <w:trHeight w:val="632" w:hRule="atLeast"/>
        </w:trPr>
        <w:tc>
          <w:tcPr>
            <w:tcW w:w="4146" w:type="dxa"/>
            <w:tcBorders>
              <w:top w:val="single" w:color="auto" w:sz="4" w:space="0"/>
              <w:left w:val="single" w:color="auto" w:sz="4" w:space="0"/>
              <w:bottom w:val="single" w:color="auto" w:sz="4" w:space="0"/>
              <w:right w:val="single" w:color="auto" w:sz="4" w:space="0"/>
            </w:tcBorders>
            <w:vAlign w:val="center"/>
          </w:tcPr>
          <w:p w14:paraId="17450CA5">
            <w:pPr>
              <w:spacing w:line="360" w:lineRule="exact"/>
              <w:ind w:left="1"/>
              <w:jc w:val="center"/>
              <w:textAlignment w:val="bottom"/>
              <w:rPr>
                <w:rFonts w:hint="eastAsia" w:ascii="仿宋" w:hAnsi="仿宋" w:eastAsia="仿宋" w:cs="仿宋"/>
                <w:b/>
                <w:bCs/>
                <w:color w:val="auto"/>
                <w:sz w:val="24"/>
                <w:highlight w:val="none"/>
                <w:lang w:eastAsia="en-US"/>
              </w:rPr>
            </w:pPr>
            <w:r>
              <w:rPr>
                <w:rFonts w:hint="eastAsia" w:ascii="仿宋" w:hAnsi="仿宋" w:eastAsia="仿宋" w:cs="仿宋"/>
                <w:b/>
                <w:bCs/>
                <w:color w:val="auto"/>
                <w:sz w:val="24"/>
                <w:highlight w:val="none"/>
              </w:rPr>
              <w:t>项目名称</w:t>
            </w:r>
          </w:p>
        </w:tc>
        <w:tc>
          <w:tcPr>
            <w:tcW w:w="4926" w:type="dxa"/>
            <w:tcBorders>
              <w:top w:val="single" w:color="auto" w:sz="4" w:space="0"/>
              <w:left w:val="single" w:color="auto" w:sz="4" w:space="0"/>
              <w:bottom w:val="single" w:color="auto" w:sz="4" w:space="0"/>
              <w:right w:val="single" w:color="auto" w:sz="4" w:space="0"/>
            </w:tcBorders>
            <w:vAlign w:val="center"/>
          </w:tcPr>
          <w:p w14:paraId="7B261D57">
            <w:pPr>
              <w:spacing w:line="360" w:lineRule="exact"/>
              <w:ind w:left="1" w:hanging="1"/>
              <w:jc w:val="center"/>
              <w:textAlignment w:val="bottom"/>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金额（元）</w:t>
            </w:r>
          </w:p>
        </w:tc>
      </w:tr>
      <w:tr w14:paraId="65A59E17">
        <w:tblPrEx>
          <w:tblLayout w:type="fixed"/>
        </w:tblPrEx>
        <w:trPr>
          <w:cantSplit/>
          <w:trHeight w:val="2531" w:hRule="atLeast"/>
        </w:trPr>
        <w:tc>
          <w:tcPr>
            <w:tcW w:w="4146" w:type="dxa"/>
            <w:tcBorders>
              <w:top w:val="single" w:color="auto" w:sz="4" w:space="0"/>
              <w:left w:val="single" w:color="auto" w:sz="4" w:space="0"/>
              <w:bottom w:val="single" w:color="auto" w:sz="4" w:space="0"/>
              <w:right w:val="single" w:color="auto" w:sz="4" w:space="0"/>
            </w:tcBorders>
            <w:vAlign w:val="center"/>
          </w:tcPr>
          <w:p w14:paraId="66864C2B">
            <w:pPr>
              <w:spacing w:line="360" w:lineRule="exact"/>
              <w:ind w:left="1" w:firstLine="26" w:firstLineChars="11"/>
              <w:jc w:val="center"/>
              <w:textAlignment w:val="bottom"/>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val="en-US" w:eastAsia="zh-CN"/>
              </w:rPr>
              <w:t>启东市吕四港镇人民政府吕四港镇路灯电缆工程项目（四次）</w:t>
            </w:r>
          </w:p>
        </w:tc>
        <w:tc>
          <w:tcPr>
            <w:tcW w:w="4926" w:type="dxa"/>
            <w:tcBorders>
              <w:top w:val="single" w:color="auto" w:sz="4" w:space="0"/>
              <w:left w:val="single" w:color="auto" w:sz="4" w:space="0"/>
              <w:bottom w:val="single" w:color="auto" w:sz="4" w:space="0"/>
              <w:right w:val="single" w:color="auto" w:sz="4" w:space="0"/>
            </w:tcBorders>
            <w:vAlign w:val="center"/>
          </w:tcPr>
          <w:p w14:paraId="1ABCDAA5">
            <w:pPr>
              <w:spacing w:line="360" w:lineRule="exact"/>
              <w:ind w:left="1" w:firstLine="266" w:firstLineChars="111"/>
              <w:textAlignment w:val="bottom"/>
              <w:rPr>
                <w:rFonts w:hint="eastAsia" w:ascii="仿宋" w:hAnsi="仿宋" w:eastAsia="仿宋" w:cs="仿宋"/>
                <w:color w:val="auto"/>
                <w:kern w:val="0"/>
                <w:sz w:val="24"/>
                <w:highlight w:val="none"/>
              </w:rPr>
            </w:pPr>
          </w:p>
          <w:p w14:paraId="297DAFA8">
            <w:pPr>
              <w:spacing w:line="360" w:lineRule="exact"/>
              <w:ind w:left="1" w:firstLine="266" w:firstLineChars="111"/>
              <w:textAlignment w:val="bottom"/>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大写 ：</w:t>
            </w:r>
            <w:r>
              <w:rPr>
                <w:rFonts w:hint="eastAsia" w:ascii="仿宋" w:hAnsi="仿宋" w:eastAsia="仿宋" w:cs="仿宋"/>
                <w:color w:val="auto"/>
                <w:kern w:val="0"/>
                <w:sz w:val="24"/>
                <w:highlight w:val="none"/>
                <w:u w:val="single"/>
              </w:rPr>
              <w:t xml:space="preserve">               元</w:t>
            </w:r>
          </w:p>
          <w:p w14:paraId="4A594F9D">
            <w:pPr>
              <w:spacing w:after="120"/>
              <w:rPr>
                <w:rFonts w:hint="eastAsia" w:ascii="仿宋" w:hAnsi="仿宋" w:eastAsia="仿宋" w:cs="仿宋"/>
                <w:color w:val="auto"/>
                <w:kern w:val="0"/>
                <w:sz w:val="24"/>
                <w:highlight w:val="none"/>
              </w:rPr>
            </w:pPr>
          </w:p>
          <w:p w14:paraId="04F89E52">
            <w:pPr>
              <w:spacing w:line="360" w:lineRule="exact"/>
              <w:ind w:firstLine="240" w:firstLineChars="100"/>
              <w:textAlignment w:val="bottom"/>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小写 ：</w:t>
            </w:r>
            <w:r>
              <w:rPr>
                <w:rFonts w:hint="eastAsia" w:ascii="仿宋" w:hAnsi="仿宋" w:eastAsia="仿宋" w:cs="仿宋"/>
                <w:color w:val="auto"/>
                <w:kern w:val="0"/>
                <w:sz w:val="24"/>
                <w:highlight w:val="none"/>
                <w:u w:val="single"/>
              </w:rPr>
              <w:t>￥            元</w:t>
            </w:r>
          </w:p>
          <w:p w14:paraId="370BB593">
            <w:pPr>
              <w:spacing w:line="360" w:lineRule="exact"/>
              <w:ind w:firstLine="960" w:firstLineChars="400"/>
              <w:jc w:val="center"/>
              <w:textAlignment w:val="bottom"/>
              <w:rPr>
                <w:rFonts w:hint="eastAsia" w:ascii="仿宋" w:hAnsi="仿宋" w:eastAsia="仿宋" w:cs="仿宋"/>
                <w:color w:val="auto"/>
                <w:sz w:val="24"/>
                <w:highlight w:val="none"/>
              </w:rPr>
            </w:pPr>
          </w:p>
        </w:tc>
      </w:tr>
    </w:tbl>
    <w:p w14:paraId="72812D48">
      <w:pPr>
        <w:pStyle w:val="8"/>
        <w:ind w:left="0" w:leftChars="0"/>
        <w:rPr>
          <w:rFonts w:hint="eastAsia" w:ascii="仿宋" w:hAnsi="仿宋" w:eastAsia="仿宋" w:cs="仿宋"/>
          <w:color w:val="auto"/>
          <w:highlight w:val="none"/>
        </w:rPr>
      </w:pPr>
    </w:p>
    <w:p w14:paraId="0B11400E">
      <w:pPr>
        <w:spacing w:line="400" w:lineRule="exact"/>
        <w:ind w:left="-142"/>
        <w:rPr>
          <w:rFonts w:hint="eastAsia" w:ascii="仿宋" w:hAnsi="仿宋" w:eastAsia="仿宋" w:cs="仿宋"/>
          <w:color w:val="auto"/>
          <w:highlight w:val="none"/>
        </w:rPr>
      </w:pPr>
    </w:p>
    <w:p w14:paraId="7287531E">
      <w:pPr>
        <w:pStyle w:val="8"/>
        <w:ind w:left="1260"/>
        <w:rPr>
          <w:rFonts w:hint="eastAsia" w:ascii="仿宋" w:hAnsi="仿宋" w:eastAsia="仿宋" w:cs="仿宋"/>
          <w:color w:val="auto"/>
          <w:highlight w:val="none"/>
        </w:rPr>
      </w:pPr>
    </w:p>
    <w:p w14:paraId="5EA9217D">
      <w:pPr>
        <w:spacing w:line="440" w:lineRule="exact"/>
        <w:jc w:val="left"/>
        <w:rPr>
          <w:rFonts w:hint="eastAsia" w:ascii="仿宋" w:hAnsi="仿宋" w:eastAsia="仿宋" w:cs="仿宋"/>
          <w:color w:val="auto"/>
          <w:spacing w:val="4"/>
          <w:sz w:val="28"/>
          <w:szCs w:val="28"/>
          <w:highlight w:val="none"/>
          <w:lang w:val="en-US" w:eastAsia="zh-CN"/>
        </w:rPr>
      </w:pPr>
    </w:p>
    <w:p w14:paraId="7512D98D">
      <w:pPr>
        <w:spacing w:line="480" w:lineRule="auto"/>
        <w:jc w:val="both"/>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供应商（</w:t>
      </w:r>
      <w:r>
        <w:rPr>
          <w:rFonts w:hint="eastAsia" w:ascii="仿宋" w:hAnsi="仿宋" w:eastAsia="仿宋" w:cs="仿宋"/>
          <w:bCs/>
          <w:color w:val="auto"/>
          <w:sz w:val="28"/>
          <w:szCs w:val="28"/>
          <w:highlight w:val="none"/>
          <w:lang w:eastAsia="zh-CN" w:bidi="ar"/>
        </w:rPr>
        <w:t>盖公章</w:t>
      </w:r>
      <w:r>
        <w:rPr>
          <w:rFonts w:hint="eastAsia" w:ascii="仿宋" w:hAnsi="仿宋" w:eastAsia="仿宋" w:cs="仿宋"/>
          <w:bCs/>
          <w:color w:val="auto"/>
          <w:sz w:val="28"/>
          <w:szCs w:val="28"/>
          <w:highlight w:val="none"/>
          <w:lang w:bidi="ar"/>
        </w:rPr>
        <w:t>）：</w:t>
      </w:r>
    </w:p>
    <w:p w14:paraId="67934CE7">
      <w:pPr>
        <w:spacing w:line="480" w:lineRule="auto"/>
        <w:jc w:val="left"/>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法定代表人或被授权人（签字或盖章）：</w:t>
      </w:r>
      <w:r>
        <w:rPr>
          <w:rFonts w:hint="eastAsia" w:ascii="仿宋" w:hAnsi="仿宋" w:eastAsia="仿宋" w:cs="仿宋"/>
          <w:bCs/>
          <w:color w:val="auto"/>
          <w:sz w:val="28"/>
          <w:szCs w:val="28"/>
          <w:highlight w:val="none"/>
          <w:lang w:bidi="ar"/>
        </w:rPr>
        <w:t>_________</w:t>
      </w:r>
    </w:p>
    <w:p w14:paraId="5A4A3AD6">
      <w:pPr>
        <w:spacing w:line="480" w:lineRule="auto"/>
        <w:jc w:val="both"/>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日期：______年</w:t>
      </w:r>
      <w:r>
        <w:rPr>
          <w:rFonts w:hint="eastAsia" w:ascii="仿宋" w:hAnsi="仿宋" w:eastAsia="仿宋" w:cs="仿宋"/>
          <w:bCs/>
          <w:color w:val="auto"/>
          <w:sz w:val="28"/>
          <w:szCs w:val="28"/>
          <w:highlight w:val="none"/>
          <w:u w:val="single"/>
          <w:lang w:bidi="ar"/>
        </w:rPr>
        <w:t xml:space="preserve">    </w:t>
      </w:r>
      <w:r>
        <w:rPr>
          <w:rFonts w:hint="eastAsia" w:ascii="仿宋" w:hAnsi="仿宋" w:eastAsia="仿宋" w:cs="仿宋"/>
          <w:bCs/>
          <w:color w:val="auto"/>
          <w:sz w:val="28"/>
          <w:szCs w:val="28"/>
          <w:highlight w:val="none"/>
          <w:lang w:bidi="ar"/>
        </w:rPr>
        <w:t>月</w:t>
      </w:r>
      <w:r>
        <w:rPr>
          <w:rFonts w:hint="eastAsia" w:ascii="仿宋" w:hAnsi="仿宋" w:eastAsia="仿宋" w:cs="仿宋"/>
          <w:bCs/>
          <w:color w:val="auto"/>
          <w:sz w:val="28"/>
          <w:szCs w:val="28"/>
          <w:highlight w:val="none"/>
          <w:u w:val="single"/>
          <w:lang w:bidi="ar"/>
        </w:rPr>
        <w:t xml:space="preserve">    </w:t>
      </w:r>
      <w:r>
        <w:rPr>
          <w:rFonts w:hint="eastAsia" w:ascii="仿宋" w:hAnsi="仿宋" w:eastAsia="仿宋" w:cs="仿宋"/>
          <w:bCs/>
          <w:color w:val="auto"/>
          <w:sz w:val="28"/>
          <w:szCs w:val="28"/>
          <w:highlight w:val="none"/>
          <w:lang w:bidi="ar"/>
        </w:rPr>
        <w:t>日</w:t>
      </w:r>
    </w:p>
    <w:p w14:paraId="40277049">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jc w:val="both"/>
        <w:textAlignment w:val="auto"/>
        <w:rPr>
          <w:rFonts w:hint="eastAsia" w:ascii="仿宋" w:hAnsi="仿宋" w:eastAsia="仿宋" w:cs="仿宋"/>
          <w:b/>
          <w:color w:val="auto"/>
          <w:sz w:val="28"/>
          <w:szCs w:val="28"/>
          <w:highlight w:val="none"/>
        </w:rPr>
        <w:sectPr>
          <w:footerReference r:id="rId5" w:type="default"/>
          <w:footerReference r:id="rId6" w:type="even"/>
          <w:pgSz w:w="11906" w:h="16838"/>
          <w:pgMar w:top="1440" w:right="1417" w:bottom="1440" w:left="1587" w:header="851" w:footer="992" w:gutter="0"/>
          <w:pgBorders>
            <w:top w:val="none" w:color="auto" w:sz="0" w:space="0"/>
            <w:left w:val="none" w:color="auto" w:sz="0" w:space="0"/>
            <w:bottom w:val="none" w:color="auto" w:sz="0" w:space="0"/>
            <w:right w:val="none" w:color="auto" w:sz="0" w:space="0"/>
          </w:pgBorders>
          <w:pgNumType w:fmt="decimal"/>
          <w:cols w:space="720" w:num="1"/>
          <w:docGrid w:linePitch="360" w:charSpace="0"/>
        </w:sectPr>
      </w:pPr>
    </w:p>
    <w:p w14:paraId="677C6A34">
      <w:pPr>
        <w:snapToGrid w:val="0"/>
        <w:spacing w:line="300" w:lineRule="auto"/>
        <w:outlineLvl w:val="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12</w:t>
      </w:r>
    </w:p>
    <w:p w14:paraId="5F795FDD">
      <w:pPr>
        <w:snapToGrid w:val="0"/>
        <w:spacing w:line="400" w:lineRule="exact"/>
        <w:jc w:val="center"/>
        <w:rPr>
          <w:rFonts w:hint="eastAsia" w:ascii="仿宋" w:hAnsi="仿宋" w:eastAsia="仿宋" w:cs="仿宋"/>
          <w:b/>
          <w:bCs/>
          <w:color w:val="auto"/>
          <w:sz w:val="32"/>
          <w:szCs w:val="40"/>
          <w:highlight w:val="none"/>
        </w:rPr>
      </w:pPr>
      <w:r>
        <w:rPr>
          <w:rFonts w:hint="eastAsia" w:ascii="仿宋" w:hAnsi="仿宋" w:eastAsia="仿宋" w:cs="仿宋"/>
          <w:b/>
          <w:bCs/>
          <w:color w:val="auto"/>
          <w:sz w:val="32"/>
          <w:szCs w:val="40"/>
          <w:highlight w:val="none"/>
        </w:rPr>
        <w:t>分项报价明细表（货物类）</w:t>
      </w:r>
    </w:p>
    <w:p w14:paraId="0541B9EF">
      <w:pPr>
        <w:snapToGrid w:val="0"/>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投标人（盖章）：</w:t>
      </w:r>
    </w:p>
    <w:tbl>
      <w:tblPr>
        <w:tblStyle w:val="28"/>
        <w:tblW w:w="9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2099"/>
        <w:gridCol w:w="947"/>
        <w:gridCol w:w="1311"/>
        <w:gridCol w:w="708"/>
        <w:gridCol w:w="703"/>
        <w:gridCol w:w="846"/>
        <w:gridCol w:w="736"/>
        <w:gridCol w:w="1923"/>
      </w:tblGrid>
      <w:tr w14:paraId="6C2052CD">
        <w:tblPrEx>
          <w:tblLayout w:type="fixed"/>
        </w:tblPrEx>
        <w:trPr>
          <w:jc w:val="center"/>
        </w:trPr>
        <w:tc>
          <w:tcPr>
            <w:tcW w:w="658" w:type="dxa"/>
            <w:vAlign w:val="center"/>
          </w:tcPr>
          <w:p w14:paraId="044CE83A">
            <w:pPr>
              <w:keepNext w:val="0"/>
              <w:keepLines w:val="0"/>
              <w:widowControl/>
              <w:suppressLineNumbers w:val="0"/>
              <w:jc w:val="center"/>
              <w:textAlignment w:val="center"/>
              <w:rPr>
                <w:rFonts w:hint="eastAsia" w:ascii="仿宋" w:hAnsi="仿宋" w:eastAsia="仿宋" w:cs="仿宋"/>
                <w:b/>
                <w:bCs/>
                <w:sz w:val="16"/>
                <w:szCs w:val="16"/>
                <w:highlight w:val="none"/>
                <w:vertAlign w:val="baseline"/>
              </w:rPr>
            </w:pPr>
            <w:r>
              <w:rPr>
                <w:rFonts w:hint="eastAsia" w:ascii="仿宋" w:hAnsi="仿宋" w:eastAsia="仿宋" w:cs="仿宋"/>
                <w:b/>
                <w:bCs/>
                <w:i w:val="0"/>
                <w:iCs w:val="0"/>
                <w:color w:val="000000"/>
                <w:kern w:val="0"/>
                <w:sz w:val="16"/>
                <w:szCs w:val="16"/>
                <w:highlight w:val="none"/>
                <w:u w:val="none"/>
                <w:lang w:val="en-US" w:eastAsia="zh-CN" w:bidi="ar"/>
              </w:rPr>
              <w:t>序号</w:t>
            </w:r>
          </w:p>
        </w:tc>
        <w:tc>
          <w:tcPr>
            <w:tcW w:w="2099" w:type="dxa"/>
            <w:vAlign w:val="center"/>
          </w:tcPr>
          <w:p w14:paraId="36057A3E">
            <w:pPr>
              <w:keepNext w:val="0"/>
              <w:keepLines w:val="0"/>
              <w:widowControl/>
              <w:suppressLineNumbers w:val="0"/>
              <w:jc w:val="center"/>
              <w:textAlignment w:val="center"/>
              <w:rPr>
                <w:rFonts w:hint="eastAsia" w:ascii="仿宋" w:hAnsi="仿宋" w:eastAsia="仿宋" w:cs="仿宋"/>
                <w:b/>
                <w:bCs/>
                <w:i w:val="0"/>
                <w:iCs w:val="0"/>
                <w:color w:val="000000"/>
                <w:kern w:val="0"/>
                <w:sz w:val="16"/>
                <w:szCs w:val="16"/>
                <w:highlight w:val="none"/>
                <w:u w:val="none"/>
                <w:lang w:val="en-US" w:eastAsia="zh-CN" w:bidi="ar"/>
              </w:rPr>
            </w:pPr>
            <w:r>
              <w:rPr>
                <w:rFonts w:hint="eastAsia" w:ascii="仿宋" w:hAnsi="仿宋" w:eastAsia="仿宋" w:cs="仿宋"/>
                <w:b/>
                <w:bCs/>
                <w:i w:val="0"/>
                <w:iCs w:val="0"/>
                <w:color w:val="000000"/>
                <w:kern w:val="0"/>
                <w:sz w:val="16"/>
                <w:szCs w:val="16"/>
                <w:highlight w:val="none"/>
                <w:u w:val="none"/>
                <w:lang w:val="en-US" w:eastAsia="zh-CN" w:bidi="ar"/>
              </w:rPr>
              <w:t>地点</w:t>
            </w:r>
          </w:p>
        </w:tc>
        <w:tc>
          <w:tcPr>
            <w:tcW w:w="947" w:type="dxa"/>
            <w:vAlign w:val="center"/>
          </w:tcPr>
          <w:p w14:paraId="456E7DC1">
            <w:pPr>
              <w:keepNext w:val="0"/>
              <w:keepLines w:val="0"/>
              <w:widowControl/>
              <w:suppressLineNumbers w:val="0"/>
              <w:jc w:val="center"/>
              <w:textAlignment w:val="center"/>
              <w:rPr>
                <w:rFonts w:hint="eastAsia" w:ascii="仿宋" w:hAnsi="仿宋" w:eastAsia="仿宋" w:cs="仿宋"/>
                <w:b/>
                <w:bCs/>
                <w:i w:val="0"/>
                <w:iCs w:val="0"/>
                <w:color w:val="000000"/>
                <w:kern w:val="0"/>
                <w:sz w:val="16"/>
                <w:szCs w:val="16"/>
                <w:highlight w:val="none"/>
                <w:u w:val="none"/>
                <w:lang w:val="en-US" w:eastAsia="zh-CN" w:bidi="ar"/>
              </w:rPr>
            </w:pPr>
            <w:r>
              <w:rPr>
                <w:rFonts w:hint="eastAsia" w:ascii="仿宋" w:hAnsi="仿宋" w:eastAsia="仿宋" w:cs="仿宋"/>
                <w:b/>
                <w:bCs/>
                <w:i w:val="0"/>
                <w:iCs w:val="0"/>
                <w:color w:val="000000"/>
                <w:kern w:val="0"/>
                <w:sz w:val="16"/>
                <w:szCs w:val="16"/>
                <w:highlight w:val="none"/>
                <w:u w:val="none"/>
                <w:lang w:val="en-US" w:eastAsia="zh-CN" w:bidi="ar"/>
              </w:rPr>
              <w:t>规格型号</w:t>
            </w:r>
          </w:p>
        </w:tc>
        <w:tc>
          <w:tcPr>
            <w:tcW w:w="2019" w:type="dxa"/>
            <w:gridSpan w:val="2"/>
            <w:vAlign w:val="center"/>
          </w:tcPr>
          <w:p w14:paraId="72B4439B">
            <w:pPr>
              <w:keepNext w:val="0"/>
              <w:keepLines w:val="0"/>
              <w:widowControl/>
              <w:suppressLineNumbers w:val="0"/>
              <w:jc w:val="center"/>
              <w:textAlignment w:val="center"/>
              <w:rPr>
                <w:rFonts w:hint="eastAsia" w:ascii="仿宋" w:hAnsi="仿宋" w:eastAsia="仿宋" w:cs="仿宋"/>
                <w:b/>
                <w:bCs/>
                <w:i w:val="0"/>
                <w:iCs w:val="0"/>
                <w:color w:val="000000"/>
                <w:kern w:val="0"/>
                <w:sz w:val="16"/>
                <w:szCs w:val="16"/>
                <w:highlight w:val="none"/>
                <w:u w:val="none"/>
                <w:lang w:val="en-US" w:eastAsia="zh-CN" w:bidi="ar"/>
              </w:rPr>
            </w:pPr>
            <w:r>
              <w:rPr>
                <w:rFonts w:hint="eastAsia" w:ascii="仿宋" w:hAnsi="仿宋" w:eastAsia="仿宋" w:cs="仿宋"/>
                <w:b/>
                <w:bCs/>
                <w:i w:val="0"/>
                <w:iCs w:val="0"/>
                <w:color w:val="000000"/>
                <w:kern w:val="0"/>
                <w:sz w:val="16"/>
                <w:szCs w:val="16"/>
                <w:highlight w:val="none"/>
                <w:u w:val="none"/>
                <w:lang w:val="en-US" w:eastAsia="zh-CN" w:bidi="ar"/>
              </w:rPr>
              <w:t>长度/米</w:t>
            </w:r>
          </w:p>
        </w:tc>
        <w:tc>
          <w:tcPr>
            <w:tcW w:w="703" w:type="dxa"/>
            <w:vAlign w:val="center"/>
          </w:tcPr>
          <w:p w14:paraId="4EF0913A">
            <w:pPr>
              <w:keepNext w:val="0"/>
              <w:keepLines w:val="0"/>
              <w:widowControl/>
              <w:suppressLineNumbers w:val="0"/>
              <w:jc w:val="center"/>
              <w:textAlignment w:val="center"/>
              <w:rPr>
                <w:rFonts w:hint="eastAsia" w:ascii="仿宋" w:hAnsi="仿宋" w:eastAsia="仿宋" w:cs="仿宋"/>
                <w:b/>
                <w:bCs/>
                <w:i w:val="0"/>
                <w:iCs w:val="0"/>
                <w:color w:val="000000"/>
                <w:kern w:val="0"/>
                <w:sz w:val="16"/>
                <w:szCs w:val="16"/>
                <w:highlight w:val="none"/>
                <w:u w:val="none"/>
                <w:lang w:val="en-US" w:eastAsia="zh-CN" w:bidi="ar"/>
              </w:rPr>
            </w:pPr>
            <w:r>
              <w:rPr>
                <w:rFonts w:hint="eastAsia" w:ascii="仿宋" w:hAnsi="仿宋" w:eastAsia="仿宋" w:cs="仿宋"/>
                <w:b/>
                <w:bCs/>
                <w:i w:val="0"/>
                <w:iCs w:val="0"/>
                <w:color w:val="000000"/>
                <w:kern w:val="0"/>
                <w:sz w:val="16"/>
                <w:szCs w:val="16"/>
                <w:highlight w:val="none"/>
                <w:u w:val="none"/>
                <w:lang w:val="en-US" w:eastAsia="zh-CN" w:bidi="ar"/>
              </w:rPr>
              <w:t>报价</w:t>
            </w:r>
          </w:p>
          <w:p w14:paraId="4457A6A3">
            <w:pPr>
              <w:keepNext w:val="0"/>
              <w:keepLines w:val="0"/>
              <w:widowControl/>
              <w:suppressLineNumbers w:val="0"/>
              <w:jc w:val="center"/>
              <w:textAlignment w:val="center"/>
              <w:rPr>
                <w:rFonts w:hint="default" w:ascii="仿宋" w:hAnsi="仿宋" w:eastAsia="仿宋" w:cs="仿宋"/>
                <w:b/>
                <w:bCs/>
                <w:i w:val="0"/>
                <w:iCs w:val="0"/>
                <w:color w:val="000000"/>
                <w:kern w:val="0"/>
                <w:sz w:val="16"/>
                <w:szCs w:val="16"/>
                <w:highlight w:val="none"/>
                <w:u w:val="none"/>
                <w:lang w:val="en-US" w:eastAsia="zh-CN" w:bidi="ar"/>
              </w:rPr>
            </w:pPr>
            <w:r>
              <w:rPr>
                <w:rFonts w:hint="eastAsia" w:ascii="仿宋" w:hAnsi="仿宋" w:eastAsia="仿宋" w:cs="仿宋"/>
                <w:b/>
                <w:bCs/>
                <w:i w:val="0"/>
                <w:iCs w:val="0"/>
                <w:color w:val="000000"/>
                <w:kern w:val="0"/>
                <w:sz w:val="16"/>
                <w:szCs w:val="16"/>
                <w:highlight w:val="none"/>
                <w:u w:val="none"/>
                <w:lang w:val="en-US" w:eastAsia="zh-CN" w:bidi="ar"/>
              </w:rPr>
              <w:t>品牌</w:t>
            </w:r>
          </w:p>
        </w:tc>
        <w:tc>
          <w:tcPr>
            <w:tcW w:w="846" w:type="dxa"/>
            <w:vAlign w:val="center"/>
          </w:tcPr>
          <w:p w14:paraId="32ED4099">
            <w:pPr>
              <w:keepNext w:val="0"/>
              <w:keepLines w:val="0"/>
              <w:widowControl/>
              <w:suppressLineNumbers w:val="0"/>
              <w:jc w:val="center"/>
              <w:textAlignment w:val="center"/>
              <w:rPr>
                <w:rFonts w:hint="eastAsia" w:ascii="仿宋" w:hAnsi="仿宋" w:eastAsia="仿宋" w:cs="仿宋"/>
                <w:b/>
                <w:bCs/>
                <w:i w:val="0"/>
                <w:iCs w:val="0"/>
                <w:color w:val="000000"/>
                <w:kern w:val="0"/>
                <w:sz w:val="16"/>
                <w:szCs w:val="16"/>
                <w:highlight w:val="none"/>
                <w:u w:val="none"/>
                <w:lang w:val="en-US" w:eastAsia="zh-CN" w:bidi="ar"/>
              </w:rPr>
            </w:pPr>
            <w:r>
              <w:rPr>
                <w:rFonts w:hint="eastAsia" w:ascii="仿宋" w:hAnsi="仿宋" w:eastAsia="仿宋" w:cs="仿宋"/>
                <w:b/>
                <w:bCs/>
                <w:i w:val="0"/>
                <w:iCs w:val="0"/>
                <w:color w:val="000000"/>
                <w:kern w:val="0"/>
                <w:sz w:val="16"/>
                <w:szCs w:val="16"/>
                <w:highlight w:val="none"/>
                <w:u w:val="none"/>
                <w:lang w:val="en-US" w:eastAsia="zh-CN" w:bidi="ar"/>
              </w:rPr>
              <w:t>单价</w:t>
            </w:r>
            <w:r>
              <w:rPr>
                <w:rFonts w:hint="eastAsia" w:ascii="仿宋" w:hAnsi="仿宋" w:eastAsia="仿宋" w:cs="仿宋"/>
                <w:b/>
                <w:bCs/>
                <w:i w:val="0"/>
                <w:iCs w:val="0"/>
                <w:color w:val="000000"/>
                <w:kern w:val="0"/>
                <w:sz w:val="16"/>
                <w:szCs w:val="16"/>
                <w:highlight w:val="none"/>
                <w:u w:val="none"/>
                <w:lang w:val="en-US" w:eastAsia="zh-CN" w:bidi="ar"/>
              </w:rPr>
              <w:br w:type="textWrapping"/>
            </w:r>
            <w:r>
              <w:rPr>
                <w:rFonts w:hint="eastAsia" w:ascii="仿宋" w:hAnsi="仿宋" w:eastAsia="仿宋" w:cs="仿宋"/>
                <w:b/>
                <w:bCs/>
                <w:i w:val="0"/>
                <w:iCs w:val="0"/>
                <w:color w:val="000000"/>
                <w:kern w:val="0"/>
                <w:sz w:val="16"/>
                <w:szCs w:val="16"/>
                <w:highlight w:val="none"/>
                <w:u w:val="none"/>
                <w:lang w:val="en-US" w:eastAsia="zh-CN" w:bidi="ar"/>
              </w:rPr>
              <w:t>（元）</w:t>
            </w:r>
          </w:p>
        </w:tc>
        <w:tc>
          <w:tcPr>
            <w:tcW w:w="736" w:type="dxa"/>
            <w:vAlign w:val="center"/>
          </w:tcPr>
          <w:p w14:paraId="07F37557">
            <w:pPr>
              <w:keepNext w:val="0"/>
              <w:keepLines w:val="0"/>
              <w:widowControl/>
              <w:suppressLineNumbers w:val="0"/>
              <w:jc w:val="center"/>
              <w:textAlignment w:val="center"/>
              <w:rPr>
                <w:rFonts w:hint="eastAsia" w:ascii="仿宋" w:hAnsi="仿宋" w:eastAsia="仿宋" w:cs="仿宋"/>
                <w:b/>
                <w:bCs/>
                <w:i w:val="0"/>
                <w:iCs w:val="0"/>
                <w:color w:val="000000"/>
                <w:kern w:val="0"/>
                <w:sz w:val="16"/>
                <w:szCs w:val="16"/>
                <w:highlight w:val="none"/>
                <w:u w:val="none"/>
                <w:lang w:val="en-US" w:eastAsia="zh-CN" w:bidi="ar"/>
              </w:rPr>
            </w:pPr>
            <w:r>
              <w:rPr>
                <w:rFonts w:hint="eastAsia" w:ascii="仿宋" w:hAnsi="仿宋" w:eastAsia="仿宋" w:cs="仿宋"/>
                <w:b/>
                <w:bCs/>
                <w:i w:val="0"/>
                <w:iCs w:val="0"/>
                <w:color w:val="000000"/>
                <w:kern w:val="0"/>
                <w:sz w:val="16"/>
                <w:szCs w:val="16"/>
                <w:highlight w:val="none"/>
                <w:u w:val="none"/>
                <w:lang w:val="en-US" w:eastAsia="zh-CN" w:bidi="ar"/>
              </w:rPr>
              <w:t>合价</w:t>
            </w:r>
            <w:r>
              <w:rPr>
                <w:rFonts w:hint="eastAsia" w:ascii="仿宋" w:hAnsi="仿宋" w:eastAsia="仿宋" w:cs="仿宋"/>
                <w:b/>
                <w:bCs/>
                <w:i w:val="0"/>
                <w:iCs w:val="0"/>
                <w:color w:val="000000"/>
                <w:kern w:val="0"/>
                <w:sz w:val="16"/>
                <w:szCs w:val="16"/>
                <w:highlight w:val="none"/>
                <w:u w:val="none"/>
                <w:lang w:val="en-US" w:eastAsia="zh-CN" w:bidi="ar"/>
              </w:rPr>
              <w:br w:type="textWrapping"/>
            </w:r>
            <w:r>
              <w:rPr>
                <w:rFonts w:hint="eastAsia" w:ascii="仿宋" w:hAnsi="仿宋" w:eastAsia="仿宋" w:cs="仿宋"/>
                <w:b/>
                <w:bCs/>
                <w:i w:val="0"/>
                <w:iCs w:val="0"/>
                <w:color w:val="000000"/>
                <w:kern w:val="0"/>
                <w:sz w:val="16"/>
                <w:szCs w:val="16"/>
                <w:highlight w:val="none"/>
                <w:u w:val="none"/>
                <w:lang w:val="en-US" w:eastAsia="zh-CN" w:bidi="ar"/>
              </w:rPr>
              <w:t>（元）</w:t>
            </w:r>
          </w:p>
        </w:tc>
        <w:tc>
          <w:tcPr>
            <w:tcW w:w="1923" w:type="dxa"/>
            <w:vAlign w:val="center"/>
          </w:tcPr>
          <w:p w14:paraId="3E1AFBCC">
            <w:pPr>
              <w:keepNext w:val="0"/>
              <w:keepLines w:val="0"/>
              <w:widowControl/>
              <w:suppressLineNumbers w:val="0"/>
              <w:jc w:val="center"/>
              <w:textAlignment w:val="center"/>
              <w:rPr>
                <w:rFonts w:hint="eastAsia" w:ascii="仿宋" w:hAnsi="仿宋" w:eastAsia="仿宋" w:cs="仿宋"/>
                <w:b/>
                <w:bCs/>
                <w:i w:val="0"/>
                <w:iCs w:val="0"/>
                <w:color w:val="000000"/>
                <w:kern w:val="0"/>
                <w:sz w:val="16"/>
                <w:szCs w:val="16"/>
                <w:highlight w:val="none"/>
                <w:u w:val="none"/>
                <w:lang w:val="en-US" w:eastAsia="zh-CN" w:bidi="ar"/>
              </w:rPr>
            </w:pPr>
            <w:r>
              <w:rPr>
                <w:rFonts w:hint="eastAsia" w:ascii="仿宋" w:hAnsi="仿宋" w:eastAsia="仿宋" w:cs="仿宋"/>
                <w:b/>
                <w:bCs/>
                <w:i w:val="0"/>
                <w:iCs w:val="0"/>
                <w:color w:val="000000"/>
                <w:kern w:val="0"/>
                <w:sz w:val="16"/>
                <w:szCs w:val="16"/>
                <w:highlight w:val="none"/>
                <w:u w:val="none"/>
                <w:lang w:val="en-US" w:eastAsia="zh-CN" w:bidi="ar"/>
              </w:rPr>
              <w:t>备注</w:t>
            </w:r>
          </w:p>
        </w:tc>
      </w:tr>
      <w:tr w14:paraId="6AFFE0F9">
        <w:tblPrEx>
          <w:tblLayout w:type="fixed"/>
        </w:tblPrEx>
        <w:trPr>
          <w:jc w:val="center"/>
        </w:trPr>
        <w:tc>
          <w:tcPr>
            <w:tcW w:w="658" w:type="dxa"/>
            <w:vAlign w:val="center"/>
          </w:tcPr>
          <w:p w14:paraId="5E11AB11">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1</w:t>
            </w:r>
          </w:p>
        </w:tc>
        <w:tc>
          <w:tcPr>
            <w:tcW w:w="2099" w:type="dxa"/>
            <w:vAlign w:val="center"/>
          </w:tcPr>
          <w:p w14:paraId="7A8B351D">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军工河路</w:t>
            </w:r>
          </w:p>
          <w:p w14:paraId="3C4878FD">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（二院-南二环路）</w:t>
            </w:r>
          </w:p>
        </w:tc>
        <w:tc>
          <w:tcPr>
            <w:tcW w:w="947" w:type="dxa"/>
            <w:vAlign w:val="center"/>
          </w:tcPr>
          <w:p w14:paraId="2E2373BB">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YJV5*16</w:t>
            </w:r>
          </w:p>
        </w:tc>
        <w:tc>
          <w:tcPr>
            <w:tcW w:w="1311" w:type="dxa"/>
            <w:vAlign w:val="center"/>
          </w:tcPr>
          <w:p w14:paraId="1F48AA41">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32m*28段+204m</w:t>
            </w:r>
          </w:p>
        </w:tc>
        <w:tc>
          <w:tcPr>
            <w:tcW w:w="708" w:type="dxa"/>
            <w:vAlign w:val="center"/>
          </w:tcPr>
          <w:p w14:paraId="05E966D8">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1100</w:t>
            </w:r>
          </w:p>
        </w:tc>
        <w:tc>
          <w:tcPr>
            <w:tcW w:w="703" w:type="dxa"/>
            <w:vAlign w:val="center"/>
          </w:tcPr>
          <w:p w14:paraId="0F9AF87E">
            <w:pPr>
              <w:keepNext w:val="0"/>
              <w:keepLines w:val="0"/>
              <w:widowControl/>
              <w:suppressLineNumbers w:val="0"/>
              <w:jc w:val="center"/>
              <w:textAlignment w:val="center"/>
              <w:rPr>
                <w:rFonts w:hint="eastAsia" w:ascii="仿宋" w:hAnsi="仿宋" w:eastAsia="仿宋" w:cs="仿宋"/>
                <w:b/>
                <w:bCs/>
                <w:i w:val="0"/>
                <w:iCs w:val="0"/>
                <w:color w:val="000000"/>
                <w:kern w:val="0"/>
                <w:sz w:val="16"/>
                <w:szCs w:val="16"/>
                <w:highlight w:val="none"/>
                <w:u w:val="none"/>
                <w:lang w:val="en-US" w:eastAsia="zh-CN" w:bidi="ar"/>
              </w:rPr>
            </w:pPr>
          </w:p>
        </w:tc>
        <w:tc>
          <w:tcPr>
            <w:tcW w:w="846" w:type="dxa"/>
            <w:vAlign w:val="center"/>
          </w:tcPr>
          <w:p w14:paraId="1D270431">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p>
        </w:tc>
        <w:tc>
          <w:tcPr>
            <w:tcW w:w="736" w:type="dxa"/>
            <w:vAlign w:val="center"/>
          </w:tcPr>
          <w:p w14:paraId="28F14FB7">
            <w:pPr>
              <w:jc w:val="center"/>
              <w:rPr>
                <w:rFonts w:hint="eastAsia" w:ascii="仿宋" w:hAnsi="仿宋" w:eastAsia="仿宋" w:cs="仿宋"/>
                <w:b/>
                <w:bCs/>
                <w:sz w:val="32"/>
                <w:szCs w:val="32"/>
                <w:highlight w:val="none"/>
                <w:vertAlign w:val="baseline"/>
              </w:rPr>
            </w:pPr>
          </w:p>
        </w:tc>
        <w:tc>
          <w:tcPr>
            <w:tcW w:w="1923" w:type="dxa"/>
            <w:vAlign w:val="center"/>
          </w:tcPr>
          <w:p w14:paraId="77D3CC48">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含路灯熔断器、电缆头、配线等辅材及安装费</w:t>
            </w:r>
          </w:p>
        </w:tc>
      </w:tr>
      <w:tr w14:paraId="3B567DC0">
        <w:tblPrEx>
          <w:tblLayout w:type="fixed"/>
        </w:tblPrEx>
        <w:trPr>
          <w:jc w:val="center"/>
        </w:trPr>
        <w:tc>
          <w:tcPr>
            <w:tcW w:w="658" w:type="dxa"/>
            <w:vAlign w:val="center"/>
          </w:tcPr>
          <w:p w14:paraId="6A8E0FB4">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2</w:t>
            </w:r>
          </w:p>
        </w:tc>
        <w:tc>
          <w:tcPr>
            <w:tcW w:w="2099" w:type="dxa"/>
            <w:vAlign w:val="center"/>
          </w:tcPr>
          <w:p w14:paraId="565933C8">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兆天线</w:t>
            </w:r>
          </w:p>
        </w:tc>
        <w:tc>
          <w:tcPr>
            <w:tcW w:w="947" w:type="dxa"/>
            <w:vAlign w:val="center"/>
          </w:tcPr>
          <w:p w14:paraId="21BBDEB6">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YJV5*10</w:t>
            </w:r>
          </w:p>
        </w:tc>
        <w:tc>
          <w:tcPr>
            <w:tcW w:w="1311" w:type="dxa"/>
            <w:vAlign w:val="center"/>
          </w:tcPr>
          <w:p w14:paraId="45FCF73D">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35m*96段</w:t>
            </w:r>
          </w:p>
        </w:tc>
        <w:tc>
          <w:tcPr>
            <w:tcW w:w="708" w:type="dxa"/>
            <w:vAlign w:val="center"/>
          </w:tcPr>
          <w:p w14:paraId="351EB748">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3360</w:t>
            </w:r>
          </w:p>
        </w:tc>
        <w:tc>
          <w:tcPr>
            <w:tcW w:w="703" w:type="dxa"/>
            <w:vAlign w:val="center"/>
          </w:tcPr>
          <w:p w14:paraId="0CCF25C9">
            <w:pPr>
              <w:widowControl/>
              <w:adjustRightInd w:val="0"/>
              <w:snapToGrid w:val="0"/>
              <w:spacing w:line="500" w:lineRule="exact"/>
              <w:jc w:val="center"/>
              <w:textAlignment w:val="center"/>
              <w:rPr>
                <w:rFonts w:hint="eastAsia" w:ascii="仿宋" w:hAnsi="仿宋" w:eastAsia="仿宋" w:cs="仿宋"/>
                <w:b/>
                <w:bCs/>
                <w:sz w:val="32"/>
                <w:szCs w:val="32"/>
                <w:highlight w:val="none"/>
                <w:vertAlign w:val="baseline"/>
              </w:rPr>
            </w:pPr>
          </w:p>
        </w:tc>
        <w:tc>
          <w:tcPr>
            <w:tcW w:w="846" w:type="dxa"/>
            <w:vAlign w:val="center"/>
          </w:tcPr>
          <w:p w14:paraId="2851AD20">
            <w:pPr>
              <w:jc w:val="center"/>
              <w:rPr>
                <w:rFonts w:hint="eastAsia" w:ascii="仿宋" w:hAnsi="仿宋" w:eastAsia="仿宋" w:cs="仿宋"/>
                <w:b/>
                <w:bCs/>
                <w:sz w:val="32"/>
                <w:szCs w:val="32"/>
                <w:highlight w:val="none"/>
                <w:vertAlign w:val="baseline"/>
              </w:rPr>
            </w:pPr>
          </w:p>
        </w:tc>
        <w:tc>
          <w:tcPr>
            <w:tcW w:w="736" w:type="dxa"/>
            <w:vAlign w:val="center"/>
          </w:tcPr>
          <w:p w14:paraId="09EDF4D7">
            <w:pPr>
              <w:jc w:val="center"/>
              <w:rPr>
                <w:rFonts w:hint="eastAsia" w:ascii="仿宋" w:hAnsi="仿宋" w:eastAsia="仿宋" w:cs="仿宋"/>
                <w:b/>
                <w:bCs/>
                <w:sz w:val="32"/>
                <w:szCs w:val="32"/>
                <w:highlight w:val="none"/>
                <w:vertAlign w:val="baseline"/>
              </w:rPr>
            </w:pPr>
          </w:p>
        </w:tc>
        <w:tc>
          <w:tcPr>
            <w:tcW w:w="1923" w:type="dxa"/>
            <w:vAlign w:val="center"/>
          </w:tcPr>
          <w:p w14:paraId="792346B5">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含路灯熔断器、电缆头、配线等辅材及安装费</w:t>
            </w:r>
          </w:p>
        </w:tc>
      </w:tr>
      <w:tr w14:paraId="7BDA07C5">
        <w:tblPrEx>
          <w:tblLayout w:type="fixed"/>
        </w:tblPrEx>
        <w:trPr>
          <w:jc w:val="center"/>
        </w:trPr>
        <w:tc>
          <w:tcPr>
            <w:tcW w:w="658" w:type="dxa"/>
            <w:vAlign w:val="center"/>
          </w:tcPr>
          <w:p w14:paraId="3D226C57">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3</w:t>
            </w:r>
          </w:p>
        </w:tc>
        <w:tc>
          <w:tcPr>
            <w:tcW w:w="2099" w:type="dxa"/>
            <w:vAlign w:val="center"/>
          </w:tcPr>
          <w:p w14:paraId="397A3B69">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鹤港路</w:t>
            </w:r>
          </w:p>
          <w:p w14:paraId="19EA7AC8">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（鹤飞路往北-G328）</w:t>
            </w:r>
          </w:p>
        </w:tc>
        <w:tc>
          <w:tcPr>
            <w:tcW w:w="947" w:type="dxa"/>
            <w:vAlign w:val="center"/>
          </w:tcPr>
          <w:p w14:paraId="56C73F3A">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YJV5*16</w:t>
            </w:r>
          </w:p>
        </w:tc>
        <w:tc>
          <w:tcPr>
            <w:tcW w:w="1311" w:type="dxa"/>
            <w:vAlign w:val="center"/>
          </w:tcPr>
          <w:p w14:paraId="23889216">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34m*7段*双线</w:t>
            </w:r>
          </w:p>
        </w:tc>
        <w:tc>
          <w:tcPr>
            <w:tcW w:w="708" w:type="dxa"/>
            <w:vAlign w:val="center"/>
          </w:tcPr>
          <w:p w14:paraId="2329EA88">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476</w:t>
            </w:r>
          </w:p>
        </w:tc>
        <w:tc>
          <w:tcPr>
            <w:tcW w:w="703" w:type="dxa"/>
            <w:vAlign w:val="center"/>
          </w:tcPr>
          <w:p w14:paraId="19ECD7A9">
            <w:pPr>
              <w:widowControl/>
              <w:adjustRightInd w:val="0"/>
              <w:snapToGrid w:val="0"/>
              <w:spacing w:line="500" w:lineRule="exact"/>
              <w:jc w:val="center"/>
              <w:textAlignment w:val="center"/>
              <w:rPr>
                <w:rFonts w:hint="eastAsia" w:ascii="仿宋" w:hAnsi="仿宋" w:eastAsia="仿宋" w:cs="仿宋"/>
                <w:b/>
                <w:bCs/>
                <w:sz w:val="32"/>
                <w:szCs w:val="32"/>
                <w:highlight w:val="none"/>
                <w:vertAlign w:val="baseline"/>
              </w:rPr>
            </w:pPr>
          </w:p>
        </w:tc>
        <w:tc>
          <w:tcPr>
            <w:tcW w:w="846" w:type="dxa"/>
            <w:vAlign w:val="center"/>
          </w:tcPr>
          <w:p w14:paraId="0896B892">
            <w:pPr>
              <w:jc w:val="center"/>
              <w:rPr>
                <w:rFonts w:hint="eastAsia" w:ascii="仿宋" w:hAnsi="仿宋" w:eastAsia="仿宋" w:cs="仿宋"/>
                <w:b/>
                <w:bCs/>
                <w:sz w:val="32"/>
                <w:szCs w:val="32"/>
                <w:highlight w:val="none"/>
                <w:vertAlign w:val="baseline"/>
              </w:rPr>
            </w:pPr>
          </w:p>
        </w:tc>
        <w:tc>
          <w:tcPr>
            <w:tcW w:w="736" w:type="dxa"/>
            <w:vAlign w:val="center"/>
          </w:tcPr>
          <w:p w14:paraId="2500F5E2">
            <w:pPr>
              <w:jc w:val="center"/>
              <w:rPr>
                <w:rFonts w:hint="eastAsia" w:ascii="仿宋" w:hAnsi="仿宋" w:eastAsia="仿宋" w:cs="仿宋"/>
                <w:b/>
                <w:bCs/>
                <w:sz w:val="32"/>
                <w:szCs w:val="32"/>
                <w:highlight w:val="none"/>
                <w:vertAlign w:val="baseline"/>
              </w:rPr>
            </w:pPr>
          </w:p>
        </w:tc>
        <w:tc>
          <w:tcPr>
            <w:tcW w:w="1923" w:type="dxa"/>
            <w:vAlign w:val="center"/>
          </w:tcPr>
          <w:p w14:paraId="68976839">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含路灯熔断器、电缆头、配线等辅材及安装费</w:t>
            </w:r>
          </w:p>
        </w:tc>
      </w:tr>
      <w:tr w14:paraId="22F3EB6A">
        <w:tblPrEx>
          <w:tblLayout w:type="fixed"/>
        </w:tblPrEx>
        <w:trPr>
          <w:jc w:val="center"/>
        </w:trPr>
        <w:tc>
          <w:tcPr>
            <w:tcW w:w="658" w:type="dxa"/>
            <w:vAlign w:val="center"/>
          </w:tcPr>
          <w:p w14:paraId="21604281">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4</w:t>
            </w:r>
          </w:p>
        </w:tc>
        <w:tc>
          <w:tcPr>
            <w:tcW w:w="2099" w:type="dxa"/>
            <w:vAlign w:val="center"/>
          </w:tcPr>
          <w:p w14:paraId="0097CE63">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富港路</w:t>
            </w:r>
          </w:p>
          <w:p w14:paraId="0CEBA656">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（天斧路-G328）</w:t>
            </w:r>
          </w:p>
        </w:tc>
        <w:tc>
          <w:tcPr>
            <w:tcW w:w="947" w:type="dxa"/>
            <w:vAlign w:val="center"/>
          </w:tcPr>
          <w:p w14:paraId="60849694">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YJV5*16</w:t>
            </w:r>
          </w:p>
        </w:tc>
        <w:tc>
          <w:tcPr>
            <w:tcW w:w="1311" w:type="dxa"/>
            <w:vAlign w:val="center"/>
          </w:tcPr>
          <w:p w14:paraId="00A8FD89">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33m*21段*双线</w:t>
            </w:r>
          </w:p>
        </w:tc>
        <w:tc>
          <w:tcPr>
            <w:tcW w:w="708" w:type="dxa"/>
            <w:vAlign w:val="center"/>
          </w:tcPr>
          <w:p w14:paraId="4F163FDE">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1386</w:t>
            </w:r>
          </w:p>
        </w:tc>
        <w:tc>
          <w:tcPr>
            <w:tcW w:w="703" w:type="dxa"/>
            <w:vAlign w:val="center"/>
          </w:tcPr>
          <w:p w14:paraId="71780F4F">
            <w:pPr>
              <w:widowControl/>
              <w:adjustRightInd w:val="0"/>
              <w:snapToGrid w:val="0"/>
              <w:spacing w:line="500" w:lineRule="exact"/>
              <w:jc w:val="center"/>
              <w:textAlignment w:val="center"/>
              <w:rPr>
                <w:rFonts w:hint="eastAsia" w:ascii="仿宋" w:hAnsi="仿宋" w:eastAsia="仿宋" w:cs="仿宋"/>
                <w:b/>
                <w:bCs/>
                <w:sz w:val="32"/>
                <w:szCs w:val="32"/>
                <w:highlight w:val="none"/>
                <w:vertAlign w:val="baseline"/>
              </w:rPr>
            </w:pPr>
          </w:p>
        </w:tc>
        <w:tc>
          <w:tcPr>
            <w:tcW w:w="846" w:type="dxa"/>
            <w:vAlign w:val="center"/>
          </w:tcPr>
          <w:p w14:paraId="43E7CE06">
            <w:pPr>
              <w:jc w:val="center"/>
              <w:rPr>
                <w:rFonts w:hint="eastAsia" w:ascii="仿宋" w:hAnsi="仿宋" w:eastAsia="仿宋" w:cs="仿宋"/>
                <w:b/>
                <w:bCs/>
                <w:sz w:val="32"/>
                <w:szCs w:val="32"/>
                <w:highlight w:val="none"/>
                <w:vertAlign w:val="baseline"/>
              </w:rPr>
            </w:pPr>
          </w:p>
        </w:tc>
        <w:tc>
          <w:tcPr>
            <w:tcW w:w="736" w:type="dxa"/>
            <w:vAlign w:val="center"/>
          </w:tcPr>
          <w:p w14:paraId="1AFE3DFF">
            <w:pPr>
              <w:jc w:val="center"/>
              <w:rPr>
                <w:rFonts w:hint="eastAsia" w:ascii="仿宋" w:hAnsi="仿宋" w:eastAsia="仿宋" w:cs="仿宋"/>
                <w:b/>
                <w:bCs/>
                <w:sz w:val="32"/>
                <w:szCs w:val="32"/>
                <w:highlight w:val="none"/>
                <w:vertAlign w:val="baseline"/>
              </w:rPr>
            </w:pPr>
          </w:p>
        </w:tc>
        <w:tc>
          <w:tcPr>
            <w:tcW w:w="1923" w:type="dxa"/>
            <w:vAlign w:val="center"/>
          </w:tcPr>
          <w:p w14:paraId="3EF1993E">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含路灯熔断器、电缆头、配线等辅材及安装费</w:t>
            </w:r>
          </w:p>
        </w:tc>
      </w:tr>
      <w:tr w14:paraId="26A79EEE">
        <w:tblPrEx>
          <w:tblLayout w:type="fixed"/>
        </w:tblPrEx>
        <w:trPr>
          <w:jc w:val="center"/>
        </w:trPr>
        <w:tc>
          <w:tcPr>
            <w:tcW w:w="658" w:type="dxa"/>
            <w:vAlign w:val="center"/>
          </w:tcPr>
          <w:p w14:paraId="7131BC8F">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5</w:t>
            </w:r>
          </w:p>
        </w:tc>
        <w:tc>
          <w:tcPr>
            <w:tcW w:w="2099" w:type="dxa"/>
            <w:vAlign w:val="center"/>
          </w:tcPr>
          <w:p w14:paraId="3F440763">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南二环路</w:t>
            </w:r>
          </w:p>
          <w:p w14:paraId="5732FC56">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(建设南路-通港大道）南侧</w:t>
            </w:r>
          </w:p>
        </w:tc>
        <w:tc>
          <w:tcPr>
            <w:tcW w:w="947" w:type="dxa"/>
            <w:vAlign w:val="center"/>
          </w:tcPr>
          <w:p w14:paraId="5C618ADF">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YJV5*16</w:t>
            </w:r>
          </w:p>
        </w:tc>
        <w:tc>
          <w:tcPr>
            <w:tcW w:w="1311" w:type="dxa"/>
            <w:vAlign w:val="center"/>
          </w:tcPr>
          <w:p w14:paraId="61734015">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33m*20段+33m*21段</w:t>
            </w:r>
          </w:p>
        </w:tc>
        <w:tc>
          <w:tcPr>
            <w:tcW w:w="708" w:type="dxa"/>
            <w:vAlign w:val="center"/>
          </w:tcPr>
          <w:p w14:paraId="4987AC40">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1353</w:t>
            </w:r>
          </w:p>
        </w:tc>
        <w:tc>
          <w:tcPr>
            <w:tcW w:w="703" w:type="dxa"/>
            <w:vAlign w:val="center"/>
          </w:tcPr>
          <w:p w14:paraId="2DB1E4E0">
            <w:pPr>
              <w:widowControl/>
              <w:adjustRightInd w:val="0"/>
              <w:snapToGrid w:val="0"/>
              <w:spacing w:line="500" w:lineRule="exact"/>
              <w:jc w:val="center"/>
              <w:textAlignment w:val="center"/>
              <w:rPr>
                <w:rFonts w:hint="eastAsia" w:ascii="仿宋" w:hAnsi="仿宋" w:eastAsia="仿宋" w:cs="仿宋"/>
                <w:b/>
                <w:bCs/>
                <w:sz w:val="32"/>
                <w:szCs w:val="32"/>
                <w:highlight w:val="none"/>
                <w:vertAlign w:val="baseline"/>
              </w:rPr>
            </w:pPr>
          </w:p>
        </w:tc>
        <w:tc>
          <w:tcPr>
            <w:tcW w:w="846" w:type="dxa"/>
            <w:vAlign w:val="center"/>
          </w:tcPr>
          <w:p w14:paraId="479ED2C7">
            <w:pPr>
              <w:jc w:val="center"/>
              <w:rPr>
                <w:rFonts w:hint="eastAsia" w:ascii="仿宋" w:hAnsi="仿宋" w:eastAsia="仿宋" w:cs="仿宋"/>
                <w:b/>
                <w:bCs/>
                <w:sz w:val="32"/>
                <w:szCs w:val="32"/>
                <w:highlight w:val="none"/>
                <w:vertAlign w:val="baseline"/>
              </w:rPr>
            </w:pPr>
          </w:p>
        </w:tc>
        <w:tc>
          <w:tcPr>
            <w:tcW w:w="736" w:type="dxa"/>
            <w:vAlign w:val="center"/>
          </w:tcPr>
          <w:p w14:paraId="3D328BE7">
            <w:pPr>
              <w:jc w:val="center"/>
              <w:rPr>
                <w:rFonts w:hint="eastAsia" w:ascii="仿宋" w:hAnsi="仿宋" w:eastAsia="仿宋" w:cs="仿宋"/>
                <w:b/>
                <w:bCs/>
                <w:sz w:val="32"/>
                <w:szCs w:val="32"/>
                <w:highlight w:val="none"/>
                <w:vertAlign w:val="baseline"/>
              </w:rPr>
            </w:pPr>
          </w:p>
        </w:tc>
        <w:tc>
          <w:tcPr>
            <w:tcW w:w="1923" w:type="dxa"/>
            <w:vAlign w:val="center"/>
          </w:tcPr>
          <w:p w14:paraId="704E5354">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含路灯熔断器、电缆头、配线等辅材及安装费</w:t>
            </w:r>
          </w:p>
        </w:tc>
      </w:tr>
      <w:tr w14:paraId="7908E213">
        <w:tblPrEx>
          <w:tblLayout w:type="fixed"/>
        </w:tblPrEx>
        <w:trPr>
          <w:jc w:val="center"/>
        </w:trPr>
        <w:tc>
          <w:tcPr>
            <w:tcW w:w="658" w:type="dxa"/>
            <w:vAlign w:val="center"/>
          </w:tcPr>
          <w:p w14:paraId="531341A4">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6</w:t>
            </w:r>
          </w:p>
        </w:tc>
        <w:tc>
          <w:tcPr>
            <w:tcW w:w="2099" w:type="dxa"/>
            <w:vAlign w:val="center"/>
          </w:tcPr>
          <w:p w14:paraId="32E27205">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经九路、纬九路</w:t>
            </w:r>
          </w:p>
        </w:tc>
        <w:tc>
          <w:tcPr>
            <w:tcW w:w="947" w:type="dxa"/>
            <w:vAlign w:val="center"/>
          </w:tcPr>
          <w:p w14:paraId="34837682">
            <w:pPr>
              <w:keepNext w:val="0"/>
              <w:keepLines w:val="0"/>
              <w:widowControl/>
              <w:suppressLineNumbers w:val="0"/>
              <w:jc w:val="center"/>
              <w:textAlignment w:val="center"/>
              <w:rPr>
                <w:rFonts w:hint="eastAsia" w:ascii="仿宋" w:hAnsi="仿宋" w:eastAsia="仿宋" w:cs="仿宋"/>
                <w:b/>
                <w:bCs/>
                <w:sz w:val="18"/>
                <w:szCs w:val="18"/>
                <w:highlight w:val="none"/>
                <w:vertAlign w:val="baseline"/>
              </w:rPr>
            </w:pPr>
            <w:r>
              <w:rPr>
                <w:rFonts w:hint="eastAsia" w:ascii="仿宋" w:hAnsi="仿宋" w:eastAsia="仿宋" w:cs="仿宋"/>
                <w:i w:val="0"/>
                <w:iCs w:val="0"/>
                <w:color w:val="000000"/>
                <w:kern w:val="0"/>
                <w:sz w:val="16"/>
                <w:szCs w:val="16"/>
                <w:highlight w:val="none"/>
                <w:u w:val="none"/>
                <w:lang w:val="en-US" w:eastAsia="zh-CN" w:bidi="ar"/>
              </w:rPr>
              <w:t>YJV5*10</w:t>
            </w:r>
          </w:p>
        </w:tc>
        <w:tc>
          <w:tcPr>
            <w:tcW w:w="1311" w:type="dxa"/>
            <w:vAlign w:val="center"/>
          </w:tcPr>
          <w:p w14:paraId="798851BA">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35m*12段</w:t>
            </w:r>
          </w:p>
        </w:tc>
        <w:tc>
          <w:tcPr>
            <w:tcW w:w="708" w:type="dxa"/>
            <w:vAlign w:val="center"/>
          </w:tcPr>
          <w:p w14:paraId="3078750B">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420</w:t>
            </w:r>
          </w:p>
        </w:tc>
        <w:tc>
          <w:tcPr>
            <w:tcW w:w="703" w:type="dxa"/>
            <w:vAlign w:val="center"/>
          </w:tcPr>
          <w:p w14:paraId="74F3FC20">
            <w:pPr>
              <w:widowControl/>
              <w:adjustRightInd w:val="0"/>
              <w:snapToGrid w:val="0"/>
              <w:spacing w:line="500" w:lineRule="exact"/>
              <w:jc w:val="center"/>
              <w:textAlignment w:val="center"/>
              <w:rPr>
                <w:rFonts w:hint="eastAsia" w:ascii="仿宋" w:hAnsi="仿宋" w:eastAsia="仿宋" w:cs="仿宋"/>
                <w:b/>
                <w:bCs/>
                <w:sz w:val="32"/>
                <w:szCs w:val="32"/>
                <w:highlight w:val="none"/>
                <w:vertAlign w:val="baseline"/>
              </w:rPr>
            </w:pPr>
          </w:p>
        </w:tc>
        <w:tc>
          <w:tcPr>
            <w:tcW w:w="846" w:type="dxa"/>
            <w:vAlign w:val="center"/>
          </w:tcPr>
          <w:p w14:paraId="21721C13">
            <w:pPr>
              <w:jc w:val="center"/>
              <w:rPr>
                <w:rFonts w:hint="eastAsia" w:ascii="仿宋" w:hAnsi="仿宋" w:eastAsia="仿宋" w:cs="仿宋"/>
                <w:b/>
                <w:bCs/>
                <w:sz w:val="32"/>
                <w:szCs w:val="32"/>
                <w:highlight w:val="none"/>
                <w:vertAlign w:val="baseline"/>
              </w:rPr>
            </w:pPr>
          </w:p>
        </w:tc>
        <w:tc>
          <w:tcPr>
            <w:tcW w:w="736" w:type="dxa"/>
            <w:vAlign w:val="center"/>
          </w:tcPr>
          <w:p w14:paraId="593E6CE0">
            <w:pPr>
              <w:jc w:val="center"/>
              <w:rPr>
                <w:rFonts w:hint="eastAsia" w:ascii="仿宋" w:hAnsi="仿宋" w:eastAsia="仿宋" w:cs="仿宋"/>
                <w:b/>
                <w:bCs/>
                <w:sz w:val="32"/>
                <w:szCs w:val="32"/>
                <w:highlight w:val="none"/>
                <w:vertAlign w:val="baseline"/>
              </w:rPr>
            </w:pPr>
          </w:p>
        </w:tc>
        <w:tc>
          <w:tcPr>
            <w:tcW w:w="1923" w:type="dxa"/>
            <w:vAlign w:val="center"/>
          </w:tcPr>
          <w:p w14:paraId="47B076B6">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含路灯熔断器、电缆头、配线等辅材及安装费</w:t>
            </w:r>
          </w:p>
        </w:tc>
      </w:tr>
      <w:tr w14:paraId="5A5D4AB6">
        <w:tblPrEx>
          <w:tblLayout w:type="fixed"/>
        </w:tblPrEx>
        <w:trPr>
          <w:jc w:val="center"/>
        </w:trPr>
        <w:tc>
          <w:tcPr>
            <w:tcW w:w="658" w:type="dxa"/>
            <w:vAlign w:val="center"/>
          </w:tcPr>
          <w:p w14:paraId="55ACBE63">
            <w:pPr>
              <w:keepNext w:val="0"/>
              <w:keepLines w:val="0"/>
              <w:widowControl/>
              <w:suppressLineNumbers w:val="0"/>
              <w:jc w:val="center"/>
              <w:textAlignment w:val="center"/>
              <w:rPr>
                <w:rFonts w:hint="default"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7</w:t>
            </w:r>
          </w:p>
        </w:tc>
        <w:tc>
          <w:tcPr>
            <w:tcW w:w="2099" w:type="dxa"/>
            <w:vAlign w:val="center"/>
          </w:tcPr>
          <w:p w14:paraId="555E72BB">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兴港路</w:t>
            </w:r>
          </w:p>
          <w:p w14:paraId="09F17BC9">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（人民路-来鹤路）</w:t>
            </w:r>
          </w:p>
        </w:tc>
        <w:tc>
          <w:tcPr>
            <w:tcW w:w="947" w:type="dxa"/>
            <w:vAlign w:val="center"/>
          </w:tcPr>
          <w:p w14:paraId="25530598">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YJV5*16</w:t>
            </w:r>
          </w:p>
        </w:tc>
        <w:tc>
          <w:tcPr>
            <w:tcW w:w="1311" w:type="dxa"/>
            <w:vAlign w:val="center"/>
          </w:tcPr>
          <w:p w14:paraId="679315B8">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32m*20段</w:t>
            </w:r>
          </w:p>
        </w:tc>
        <w:tc>
          <w:tcPr>
            <w:tcW w:w="708" w:type="dxa"/>
            <w:vAlign w:val="center"/>
          </w:tcPr>
          <w:p w14:paraId="1A057388">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640</w:t>
            </w:r>
          </w:p>
        </w:tc>
        <w:tc>
          <w:tcPr>
            <w:tcW w:w="703" w:type="dxa"/>
            <w:vAlign w:val="center"/>
          </w:tcPr>
          <w:p w14:paraId="14FF8777">
            <w:pPr>
              <w:widowControl/>
              <w:adjustRightInd w:val="0"/>
              <w:snapToGrid w:val="0"/>
              <w:spacing w:line="500" w:lineRule="exact"/>
              <w:jc w:val="center"/>
              <w:textAlignment w:val="center"/>
              <w:rPr>
                <w:rFonts w:hint="eastAsia" w:ascii="仿宋" w:hAnsi="仿宋" w:eastAsia="仿宋" w:cs="仿宋"/>
                <w:b/>
                <w:bCs/>
                <w:sz w:val="32"/>
                <w:szCs w:val="32"/>
                <w:highlight w:val="none"/>
                <w:vertAlign w:val="baseline"/>
              </w:rPr>
            </w:pPr>
          </w:p>
        </w:tc>
        <w:tc>
          <w:tcPr>
            <w:tcW w:w="846" w:type="dxa"/>
            <w:vAlign w:val="center"/>
          </w:tcPr>
          <w:p w14:paraId="693829D4">
            <w:pPr>
              <w:jc w:val="center"/>
              <w:rPr>
                <w:rFonts w:hint="eastAsia" w:ascii="仿宋" w:hAnsi="仿宋" w:eastAsia="仿宋" w:cs="仿宋"/>
                <w:b/>
                <w:bCs/>
                <w:sz w:val="32"/>
                <w:szCs w:val="32"/>
                <w:highlight w:val="none"/>
                <w:vertAlign w:val="baseline"/>
              </w:rPr>
            </w:pPr>
          </w:p>
        </w:tc>
        <w:tc>
          <w:tcPr>
            <w:tcW w:w="736" w:type="dxa"/>
            <w:vAlign w:val="center"/>
          </w:tcPr>
          <w:p w14:paraId="05703262">
            <w:pPr>
              <w:jc w:val="center"/>
              <w:rPr>
                <w:rFonts w:hint="eastAsia" w:ascii="仿宋" w:hAnsi="仿宋" w:eastAsia="仿宋" w:cs="仿宋"/>
                <w:b/>
                <w:bCs/>
                <w:sz w:val="32"/>
                <w:szCs w:val="32"/>
                <w:highlight w:val="none"/>
                <w:vertAlign w:val="baseline"/>
              </w:rPr>
            </w:pPr>
          </w:p>
        </w:tc>
        <w:tc>
          <w:tcPr>
            <w:tcW w:w="1923" w:type="dxa"/>
            <w:vAlign w:val="center"/>
          </w:tcPr>
          <w:p w14:paraId="60DB45BB">
            <w:pPr>
              <w:keepNext w:val="0"/>
              <w:keepLines w:val="0"/>
              <w:widowControl/>
              <w:suppressLineNumbers w:val="0"/>
              <w:jc w:val="center"/>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i w:val="0"/>
                <w:iCs w:val="0"/>
                <w:color w:val="000000"/>
                <w:kern w:val="0"/>
                <w:sz w:val="16"/>
                <w:szCs w:val="16"/>
                <w:highlight w:val="none"/>
                <w:u w:val="none"/>
                <w:lang w:val="en-US" w:eastAsia="zh-CN" w:bidi="ar"/>
              </w:rPr>
              <w:t>含路灯熔断器、电缆头、配线等辅材及安装费</w:t>
            </w:r>
          </w:p>
        </w:tc>
      </w:tr>
      <w:tr w14:paraId="5625BCEC">
        <w:tblPrEx>
          <w:tblLayout w:type="fixed"/>
        </w:tblPrEx>
        <w:trPr>
          <w:jc w:val="center"/>
        </w:trPr>
        <w:tc>
          <w:tcPr>
            <w:tcW w:w="5015" w:type="dxa"/>
            <w:gridSpan w:val="4"/>
            <w:vAlign w:val="center"/>
          </w:tcPr>
          <w:p w14:paraId="2546F148">
            <w:pPr>
              <w:keepNext w:val="0"/>
              <w:keepLines w:val="0"/>
              <w:widowControl/>
              <w:suppressLineNumbers w:val="0"/>
              <w:jc w:val="right"/>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合计</w:t>
            </w:r>
          </w:p>
        </w:tc>
        <w:tc>
          <w:tcPr>
            <w:tcW w:w="708" w:type="dxa"/>
            <w:vAlign w:val="center"/>
          </w:tcPr>
          <w:p w14:paraId="38E8CEA4">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highlight w:val="none"/>
                <w:u w:val="none"/>
                <w:lang w:val="en-US" w:eastAsia="zh-CN" w:bidi="ar"/>
              </w:rPr>
            </w:pPr>
            <w:r>
              <w:rPr>
                <w:rFonts w:hint="eastAsia" w:ascii="仿宋" w:hAnsi="仿宋" w:eastAsia="仿宋" w:cs="仿宋"/>
                <w:b/>
                <w:bCs/>
                <w:i w:val="0"/>
                <w:iCs w:val="0"/>
                <w:color w:val="000000"/>
                <w:kern w:val="0"/>
                <w:sz w:val="22"/>
                <w:szCs w:val="22"/>
                <w:highlight w:val="none"/>
                <w:u w:val="none"/>
                <w:lang w:val="en-US" w:eastAsia="zh-CN" w:bidi="ar"/>
              </w:rPr>
              <w:t>8735</w:t>
            </w:r>
          </w:p>
        </w:tc>
        <w:tc>
          <w:tcPr>
            <w:tcW w:w="703" w:type="dxa"/>
            <w:vAlign w:val="center"/>
          </w:tcPr>
          <w:p w14:paraId="05E5722C">
            <w:pPr>
              <w:widowControl/>
              <w:adjustRightInd w:val="0"/>
              <w:snapToGrid w:val="0"/>
              <w:spacing w:line="500" w:lineRule="exact"/>
              <w:jc w:val="center"/>
              <w:textAlignment w:val="center"/>
              <w:rPr>
                <w:rFonts w:hint="eastAsia" w:ascii="仿宋" w:hAnsi="仿宋" w:eastAsia="仿宋" w:cs="仿宋"/>
                <w:b/>
                <w:bCs/>
                <w:sz w:val="22"/>
                <w:szCs w:val="22"/>
                <w:highlight w:val="none"/>
                <w:vertAlign w:val="baseline"/>
              </w:rPr>
            </w:pPr>
          </w:p>
        </w:tc>
        <w:tc>
          <w:tcPr>
            <w:tcW w:w="846" w:type="dxa"/>
            <w:vAlign w:val="center"/>
          </w:tcPr>
          <w:p w14:paraId="54C41B98">
            <w:pPr>
              <w:widowControl/>
              <w:adjustRightInd w:val="0"/>
              <w:snapToGrid w:val="0"/>
              <w:spacing w:line="500" w:lineRule="exact"/>
              <w:jc w:val="center"/>
              <w:textAlignment w:val="center"/>
              <w:rPr>
                <w:rFonts w:hint="eastAsia" w:ascii="仿宋" w:hAnsi="仿宋" w:eastAsia="仿宋" w:cs="仿宋"/>
                <w:b/>
                <w:bCs/>
                <w:sz w:val="22"/>
                <w:szCs w:val="22"/>
                <w:highlight w:val="none"/>
                <w:vertAlign w:val="baseline"/>
              </w:rPr>
            </w:pPr>
          </w:p>
        </w:tc>
        <w:tc>
          <w:tcPr>
            <w:tcW w:w="736" w:type="dxa"/>
            <w:vAlign w:val="center"/>
          </w:tcPr>
          <w:p w14:paraId="426E05EF">
            <w:pPr>
              <w:widowControl/>
              <w:adjustRightInd w:val="0"/>
              <w:snapToGrid w:val="0"/>
              <w:spacing w:line="500" w:lineRule="exact"/>
              <w:jc w:val="center"/>
              <w:textAlignment w:val="center"/>
              <w:rPr>
                <w:rFonts w:hint="eastAsia" w:ascii="仿宋" w:hAnsi="仿宋" w:eastAsia="仿宋" w:cs="仿宋"/>
                <w:b/>
                <w:bCs/>
                <w:sz w:val="22"/>
                <w:szCs w:val="22"/>
                <w:highlight w:val="none"/>
                <w:vertAlign w:val="baseline"/>
              </w:rPr>
            </w:pPr>
          </w:p>
        </w:tc>
        <w:tc>
          <w:tcPr>
            <w:tcW w:w="1923" w:type="dxa"/>
            <w:vAlign w:val="center"/>
          </w:tcPr>
          <w:p w14:paraId="09923C52">
            <w:pPr>
              <w:widowControl/>
              <w:adjustRightInd w:val="0"/>
              <w:snapToGrid w:val="0"/>
              <w:spacing w:line="500" w:lineRule="exact"/>
              <w:jc w:val="center"/>
              <w:textAlignment w:val="center"/>
              <w:rPr>
                <w:rFonts w:hint="eastAsia" w:ascii="仿宋" w:hAnsi="仿宋" w:eastAsia="仿宋" w:cs="仿宋"/>
                <w:b/>
                <w:bCs/>
                <w:sz w:val="22"/>
                <w:szCs w:val="22"/>
                <w:highlight w:val="none"/>
                <w:vertAlign w:val="baseline"/>
              </w:rPr>
            </w:pPr>
          </w:p>
        </w:tc>
      </w:tr>
      <w:tr w14:paraId="77389732">
        <w:tblPrEx>
          <w:tblLayout w:type="fixed"/>
        </w:tblPrEx>
        <w:trPr>
          <w:jc w:val="center"/>
        </w:trPr>
        <w:tc>
          <w:tcPr>
            <w:tcW w:w="9931" w:type="dxa"/>
            <w:gridSpan w:val="9"/>
            <w:vAlign w:val="center"/>
          </w:tcPr>
          <w:p w14:paraId="5FE92DE0">
            <w:pPr>
              <w:widowControl/>
              <w:adjustRightInd w:val="0"/>
              <w:snapToGrid w:val="0"/>
              <w:spacing w:line="500" w:lineRule="exact"/>
              <w:jc w:val="left"/>
              <w:textAlignment w:val="center"/>
              <w:rPr>
                <w:rFonts w:hint="eastAsia" w:ascii="仿宋" w:hAnsi="仿宋" w:eastAsia="仿宋" w:cs="仿宋"/>
                <w:b/>
                <w:bCs/>
                <w:sz w:val="22"/>
                <w:szCs w:val="22"/>
                <w:highlight w:val="none"/>
                <w:vertAlign w:val="baseline"/>
              </w:rPr>
            </w:pPr>
            <w:r>
              <w:rPr>
                <w:rFonts w:hint="eastAsia" w:ascii="仿宋_GB2312" w:hAnsi="宋体" w:eastAsia="仿宋_GB2312"/>
                <w:sz w:val="28"/>
                <w:szCs w:val="28"/>
              </w:rPr>
              <w:t>本采购包中提供的符合本国产品标准的产品成本之和占该采购包提供的全部产品成本之和的比例为</w:t>
            </w:r>
            <w:r>
              <w:rPr>
                <w:rFonts w:hint="eastAsia" w:ascii="仿宋_GB2312" w:hAnsi="宋体" w:eastAsia="仿宋_GB2312"/>
                <w:sz w:val="28"/>
                <w:szCs w:val="28"/>
                <w:u w:val="single"/>
              </w:rPr>
              <w:t>***</w:t>
            </w:r>
            <w:r>
              <w:rPr>
                <w:rFonts w:hint="eastAsia" w:ascii="仿宋_GB2312" w:hAnsi="宋体" w:eastAsia="仿宋_GB2312"/>
                <w:sz w:val="28"/>
                <w:szCs w:val="28"/>
              </w:rPr>
              <w:t>%。</w:t>
            </w:r>
          </w:p>
        </w:tc>
      </w:tr>
    </w:tbl>
    <w:p w14:paraId="6CE844F3">
      <w:pPr>
        <w:pStyle w:val="2"/>
        <w:rPr>
          <w:rFonts w:hint="eastAsia"/>
          <w:highlight w:val="none"/>
        </w:rPr>
      </w:pPr>
    </w:p>
    <w:p w14:paraId="5E6C3493">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（此报价为本项目的最终报价，最终报价包含本项目所有费用）</w:t>
      </w:r>
    </w:p>
    <w:p w14:paraId="49FAF6E5">
      <w:pPr>
        <w:tabs>
          <w:tab w:val="left" w:pos="3990"/>
        </w:tabs>
        <w:snapToGrid w:val="0"/>
        <w:spacing w:line="360" w:lineRule="auto"/>
        <w:rPr>
          <w:rFonts w:hint="eastAsia" w:ascii="仿宋" w:hAnsi="仿宋" w:eastAsia="仿宋" w:cs="仿宋"/>
          <w:b/>
          <w:color w:val="auto"/>
          <w:sz w:val="24"/>
          <w:highlight w:val="none"/>
          <w:lang w:val="zh-CN"/>
        </w:rPr>
      </w:pPr>
      <w:r>
        <w:rPr>
          <w:rFonts w:hint="eastAsia" w:ascii="仿宋" w:hAnsi="仿宋" w:eastAsia="仿宋" w:cs="仿宋"/>
          <w:b/>
          <w:color w:val="auto"/>
          <w:sz w:val="24"/>
          <w:highlight w:val="none"/>
        </w:rPr>
        <w:t>注：1.本项目一次性报价，</w:t>
      </w:r>
      <w:r>
        <w:rPr>
          <w:rFonts w:hint="eastAsia" w:ascii="仿宋" w:hAnsi="仿宋" w:eastAsia="仿宋" w:cs="仿宋"/>
          <w:b/>
          <w:color w:val="auto"/>
          <w:sz w:val="24"/>
          <w:highlight w:val="none"/>
          <w:lang w:val="zh-CN"/>
        </w:rPr>
        <w:t>响应供应商必须详细报出采购清单中各个子项的名称、品牌、生产厂家名称、规格型号、数量、单价、备注中的内容等。且本表各分项报价合计应当与报价总表中的响应总报价相等。请各供应商务必按照以上要求填报，否则作为无效响应处理。</w:t>
      </w:r>
    </w:p>
    <w:p w14:paraId="10908706">
      <w:pPr>
        <w:tabs>
          <w:tab w:val="left" w:pos="3990"/>
        </w:tabs>
        <w:snapToGrid w:val="0"/>
        <w:spacing w:line="360" w:lineRule="auto"/>
        <w:ind w:firstLine="480" w:firstLineChars="200"/>
        <w:rPr>
          <w:rFonts w:hint="eastAsia" w:ascii="仿宋" w:hAnsi="仿宋" w:eastAsia="仿宋" w:cs="仿宋"/>
          <w:b/>
          <w:color w:val="auto"/>
          <w:sz w:val="24"/>
          <w:highlight w:val="none"/>
          <w:lang w:val="zh-CN"/>
        </w:rPr>
      </w:pP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lang w:val="zh-CN"/>
        </w:rPr>
        <w:t>供应商须详细备注主要标的信息。内容不实的，属于提供虚假材料谋取中标、成交，依照《中华人民共和国政府采购法》等国家有关规定追究相应责任。</w:t>
      </w:r>
    </w:p>
    <w:p w14:paraId="2EAD9034">
      <w:pPr>
        <w:tabs>
          <w:tab w:val="left" w:pos="3990"/>
        </w:tabs>
        <w:snapToGrid w:val="0"/>
        <w:spacing w:line="360" w:lineRule="auto"/>
        <w:ind w:firstLine="480" w:firstLineChars="200"/>
        <w:rPr>
          <w:rFonts w:hint="eastAsia" w:ascii="仿宋" w:hAnsi="仿宋" w:eastAsia="仿宋" w:cs="仿宋"/>
          <w:b/>
          <w:color w:val="auto"/>
          <w:sz w:val="24"/>
          <w:highlight w:val="none"/>
          <w:lang w:val="zh-CN"/>
        </w:rPr>
      </w:pPr>
      <w:r>
        <w:rPr>
          <w:rFonts w:hint="eastAsia" w:ascii="仿宋" w:hAnsi="仿宋" w:eastAsia="仿宋" w:cs="仿宋"/>
          <w:b/>
          <w:color w:val="auto"/>
          <w:sz w:val="24"/>
          <w:highlight w:val="none"/>
          <w:lang w:val="zh-CN"/>
        </w:rPr>
        <w:t>3.本采购包中含有多种产品时，供应商未填写本采购包中提供的符合本国产品标准的产品成本之和占该采购包提供的全部产品成本之和的比例数值的，或比例数值未达到80%的，将不享受本国产品价格评审优惠。</w:t>
      </w:r>
    </w:p>
    <w:p w14:paraId="5C323BE4">
      <w:pPr>
        <w:pStyle w:val="2"/>
        <w:numPr>
          <w:ilvl w:val="0"/>
          <w:numId w:val="0"/>
        </w:numPr>
        <w:rPr>
          <w:rFonts w:hint="eastAsia"/>
        </w:rPr>
      </w:pPr>
    </w:p>
    <w:p w14:paraId="091C98DB">
      <w:pPr>
        <w:rPr>
          <w:rFonts w:hint="eastAsia" w:ascii="仿宋" w:hAnsi="仿宋" w:eastAsia="仿宋" w:cs="仿宋"/>
          <w:b/>
          <w:bCs/>
          <w:color w:val="auto"/>
          <w:sz w:val="28"/>
          <w:szCs w:val="28"/>
          <w:highlight w:val="none"/>
          <w:lang w:bidi="zh-CN"/>
        </w:rPr>
      </w:pPr>
      <w:r>
        <w:rPr>
          <w:rFonts w:hint="eastAsia" w:ascii="仿宋" w:hAnsi="仿宋" w:eastAsia="仿宋" w:cs="仿宋"/>
          <w:b/>
          <w:bCs/>
          <w:color w:val="auto"/>
          <w:sz w:val="28"/>
          <w:szCs w:val="28"/>
          <w:highlight w:val="none"/>
          <w:lang w:bidi="zh-CN"/>
        </w:rPr>
        <w:br w:type="page"/>
      </w:r>
    </w:p>
    <w:p w14:paraId="786B5F24">
      <w:pPr>
        <w:snapToGrid w:val="0"/>
        <w:spacing w:line="300" w:lineRule="auto"/>
        <w:jc w:val="both"/>
        <w:outlineLvl w:val="0"/>
        <w:rPr>
          <w:rFonts w:hint="default" w:ascii="仿宋" w:hAnsi="仿宋" w:eastAsia="仿宋" w:cs="仿宋"/>
          <w:b/>
          <w:bCs/>
          <w:color w:val="auto"/>
          <w:sz w:val="28"/>
          <w:szCs w:val="28"/>
          <w:highlight w:val="none"/>
          <w:lang w:val="en-US" w:eastAsia="zh-CN" w:bidi="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13</w:t>
      </w:r>
    </w:p>
    <w:p w14:paraId="19080A25">
      <w:pPr>
        <w:snapToGrid w:val="0"/>
        <w:spacing w:line="300" w:lineRule="auto"/>
        <w:ind w:firstLine="562"/>
        <w:jc w:val="center"/>
        <w:outlineLvl w:val="0"/>
        <w:rPr>
          <w:rFonts w:hint="eastAsia" w:ascii="仿宋" w:hAnsi="仿宋" w:eastAsia="仿宋" w:cs="仿宋"/>
          <w:b/>
          <w:bCs/>
          <w:color w:val="auto"/>
          <w:sz w:val="28"/>
          <w:szCs w:val="28"/>
          <w:highlight w:val="none"/>
          <w:lang w:bidi="zh-CN"/>
        </w:rPr>
      </w:pPr>
      <w:r>
        <w:rPr>
          <w:rFonts w:hint="eastAsia" w:ascii="仿宋" w:hAnsi="仿宋" w:eastAsia="仿宋" w:cs="仿宋"/>
          <w:b/>
          <w:bCs/>
          <w:color w:val="auto"/>
          <w:sz w:val="28"/>
          <w:szCs w:val="28"/>
          <w:highlight w:val="none"/>
          <w:lang w:bidi="zh-CN"/>
        </w:rPr>
        <w:t>中小企业声明函（货物）</w:t>
      </w:r>
    </w:p>
    <w:p w14:paraId="38B559AC">
      <w:pPr>
        <w:snapToGrid w:val="0"/>
        <w:spacing w:line="360" w:lineRule="auto"/>
        <w:ind w:firstLine="560" w:firstLineChars="200"/>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本公司（联合体）郑重声明，根据《政府采购促进中小企业发展管理办法》（财库﹝2020﹞46 号）的规定，本公司（联合体）参加</w:t>
      </w:r>
      <w:r>
        <w:rPr>
          <w:rFonts w:hint="eastAsia" w:ascii="仿宋" w:hAnsi="仿宋" w:eastAsia="仿宋" w:cs="仿宋"/>
          <w:color w:val="auto"/>
          <w:sz w:val="28"/>
          <w:szCs w:val="28"/>
          <w:highlight w:val="none"/>
          <w:u w:val="single"/>
          <w:lang w:bidi="zh-CN"/>
        </w:rPr>
        <w:t>（单位名称）</w:t>
      </w:r>
      <w:r>
        <w:rPr>
          <w:rFonts w:hint="eastAsia" w:ascii="仿宋" w:hAnsi="仿宋" w:eastAsia="仿宋" w:cs="仿宋"/>
          <w:color w:val="auto"/>
          <w:sz w:val="28"/>
          <w:szCs w:val="28"/>
          <w:highlight w:val="none"/>
          <w:lang w:bidi="zh-CN"/>
        </w:rPr>
        <w:t>的</w:t>
      </w:r>
      <w:r>
        <w:rPr>
          <w:rFonts w:hint="eastAsia" w:ascii="仿宋" w:hAnsi="仿宋" w:eastAsia="仿宋" w:cs="仿宋"/>
          <w:color w:val="auto"/>
          <w:sz w:val="28"/>
          <w:szCs w:val="28"/>
          <w:highlight w:val="none"/>
          <w:u w:val="single"/>
          <w:lang w:bidi="zh-CN"/>
        </w:rPr>
        <w:t>（项目名称）</w:t>
      </w:r>
      <w:r>
        <w:rPr>
          <w:rFonts w:hint="eastAsia" w:ascii="仿宋" w:hAnsi="仿宋" w:eastAsia="仿宋" w:cs="仿宋"/>
          <w:color w:val="auto"/>
          <w:sz w:val="28"/>
          <w:szCs w:val="28"/>
          <w:highlight w:val="none"/>
          <w:lang w:bidi="zh-CN"/>
        </w:rPr>
        <w:t>采购活动，提供的货物全部由符合政策要求的中小企业制造。相关企业（含联合体中的中小企业、签订分包意向协议的中小企业） 的具体情况如下：</w:t>
      </w:r>
    </w:p>
    <w:p w14:paraId="42DBB97E">
      <w:pPr>
        <w:snapToGrid w:val="0"/>
        <w:spacing w:line="360" w:lineRule="auto"/>
        <w:ind w:firstLine="560"/>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1.</w:t>
      </w:r>
      <w:r>
        <w:rPr>
          <w:rFonts w:hint="eastAsia" w:ascii="仿宋" w:hAnsi="仿宋" w:eastAsia="仿宋" w:cs="仿宋"/>
          <w:color w:val="auto"/>
          <w:sz w:val="28"/>
          <w:szCs w:val="28"/>
          <w:highlight w:val="none"/>
          <w:u w:val="single"/>
          <w:lang w:bidi="zh-CN"/>
        </w:rPr>
        <w:t xml:space="preserve"> （标的名称）</w:t>
      </w:r>
      <w:r>
        <w:rPr>
          <w:rFonts w:hint="eastAsia" w:ascii="仿宋" w:hAnsi="仿宋" w:eastAsia="仿宋" w:cs="仿宋"/>
          <w:color w:val="auto"/>
          <w:sz w:val="28"/>
          <w:szCs w:val="28"/>
          <w:highlight w:val="none"/>
          <w:lang w:bidi="zh-CN"/>
        </w:rPr>
        <w:t xml:space="preserve"> ，属于</w:t>
      </w:r>
      <w:r>
        <w:rPr>
          <w:rFonts w:hint="eastAsia" w:ascii="仿宋" w:hAnsi="仿宋" w:eastAsia="仿宋" w:cs="仿宋"/>
          <w:color w:val="auto"/>
          <w:sz w:val="28"/>
          <w:szCs w:val="28"/>
          <w:highlight w:val="none"/>
          <w:u w:val="single"/>
          <w:lang w:bidi="zh-CN"/>
        </w:rPr>
        <w:t>（采购文件中明确的所属行业）</w:t>
      </w:r>
      <w:r>
        <w:rPr>
          <w:rFonts w:hint="eastAsia" w:ascii="仿宋" w:hAnsi="仿宋" w:eastAsia="仿宋" w:cs="仿宋"/>
          <w:color w:val="auto"/>
          <w:sz w:val="28"/>
          <w:szCs w:val="28"/>
          <w:highlight w:val="none"/>
          <w:lang w:bidi="zh-CN"/>
        </w:rPr>
        <w:t>行业；制造商为</w:t>
      </w:r>
      <w:r>
        <w:rPr>
          <w:rFonts w:hint="eastAsia" w:ascii="仿宋" w:hAnsi="仿宋" w:eastAsia="仿宋" w:cs="仿宋"/>
          <w:color w:val="auto"/>
          <w:sz w:val="28"/>
          <w:szCs w:val="28"/>
          <w:highlight w:val="none"/>
          <w:u w:val="single"/>
          <w:lang w:bidi="zh-CN"/>
        </w:rPr>
        <w:t>（企业名称）</w:t>
      </w:r>
      <w:r>
        <w:rPr>
          <w:rFonts w:hint="eastAsia" w:ascii="仿宋" w:hAnsi="仿宋" w:eastAsia="仿宋" w:cs="仿宋"/>
          <w:color w:val="auto"/>
          <w:sz w:val="28"/>
          <w:szCs w:val="28"/>
          <w:highlight w:val="none"/>
          <w:lang w:bidi="zh-CN"/>
        </w:rPr>
        <w:t>，从业人员</w:t>
      </w:r>
      <w:r>
        <w:rPr>
          <w:rFonts w:hint="eastAsia" w:ascii="仿宋" w:hAnsi="仿宋" w:eastAsia="仿宋" w:cs="仿宋"/>
          <w:color w:val="auto"/>
          <w:sz w:val="28"/>
          <w:szCs w:val="28"/>
          <w:highlight w:val="none"/>
          <w:u w:val="single"/>
          <w:lang w:bidi="zh-CN"/>
        </w:rPr>
        <w:t xml:space="preserve"> </w:t>
      </w:r>
      <w:r>
        <w:rPr>
          <w:rFonts w:hint="eastAsia" w:ascii="仿宋" w:hAnsi="仿宋" w:eastAsia="仿宋" w:cs="仿宋"/>
          <w:color w:val="auto"/>
          <w:sz w:val="28"/>
          <w:szCs w:val="28"/>
          <w:highlight w:val="none"/>
          <w:u w:val="single"/>
          <w:lang w:bidi="zh-CN"/>
        </w:rPr>
        <w:tab/>
      </w:r>
      <w:r>
        <w:rPr>
          <w:rFonts w:hint="eastAsia" w:ascii="仿宋" w:hAnsi="仿宋" w:eastAsia="仿宋" w:cs="仿宋"/>
          <w:color w:val="auto"/>
          <w:sz w:val="28"/>
          <w:szCs w:val="28"/>
          <w:highlight w:val="none"/>
          <w:lang w:bidi="zh-CN"/>
        </w:rPr>
        <w:t>人，营业收入为</w:t>
      </w:r>
      <w:r>
        <w:rPr>
          <w:rFonts w:hint="eastAsia" w:ascii="仿宋" w:hAnsi="仿宋" w:eastAsia="仿宋" w:cs="仿宋"/>
          <w:color w:val="auto"/>
          <w:sz w:val="28"/>
          <w:szCs w:val="28"/>
          <w:highlight w:val="none"/>
          <w:u w:val="single"/>
          <w:lang w:bidi="zh-CN"/>
        </w:rPr>
        <w:t xml:space="preserve"> </w:t>
      </w:r>
      <w:r>
        <w:rPr>
          <w:rFonts w:hint="eastAsia" w:ascii="仿宋" w:hAnsi="仿宋" w:eastAsia="仿宋" w:cs="仿宋"/>
          <w:color w:val="auto"/>
          <w:sz w:val="28"/>
          <w:szCs w:val="28"/>
          <w:highlight w:val="none"/>
          <w:u w:val="single"/>
          <w:lang w:bidi="zh-CN"/>
        </w:rPr>
        <w:tab/>
      </w:r>
      <w:r>
        <w:rPr>
          <w:rFonts w:hint="eastAsia" w:ascii="仿宋" w:hAnsi="仿宋" w:eastAsia="仿宋" w:cs="仿宋"/>
          <w:color w:val="auto"/>
          <w:sz w:val="28"/>
          <w:szCs w:val="28"/>
          <w:highlight w:val="none"/>
          <w:lang w:bidi="zh-CN"/>
        </w:rPr>
        <w:t>万元，资产总额为</w:t>
      </w:r>
      <w:r>
        <w:rPr>
          <w:rFonts w:hint="eastAsia" w:ascii="仿宋" w:hAnsi="仿宋" w:eastAsia="仿宋" w:cs="仿宋"/>
          <w:color w:val="auto"/>
          <w:sz w:val="28"/>
          <w:szCs w:val="28"/>
          <w:highlight w:val="none"/>
          <w:u w:val="single"/>
          <w:lang w:bidi="zh-CN"/>
        </w:rPr>
        <w:t xml:space="preserve"> </w:t>
      </w:r>
      <w:r>
        <w:rPr>
          <w:rFonts w:hint="eastAsia" w:ascii="仿宋" w:hAnsi="仿宋" w:eastAsia="仿宋" w:cs="仿宋"/>
          <w:color w:val="auto"/>
          <w:sz w:val="28"/>
          <w:szCs w:val="28"/>
          <w:highlight w:val="none"/>
          <w:u w:val="single"/>
          <w:lang w:bidi="zh-CN"/>
        </w:rPr>
        <w:tab/>
      </w:r>
      <w:r>
        <w:rPr>
          <w:rFonts w:hint="eastAsia" w:ascii="仿宋" w:hAnsi="仿宋" w:eastAsia="仿宋" w:cs="仿宋"/>
          <w:color w:val="auto"/>
          <w:sz w:val="28"/>
          <w:szCs w:val="28"/>
          <w:highlight w:val="none"/>
          <w:lang w:bidi="zh-CN"/>
        </w:rPr>
        <w:t>万元，属于</w:t>
      </w:r>
      <w:r>
        <w:rPr>
          <w:rFonts w:hint="eastAsia" w:ascii="仿宋" w:hAnsi="仿宋" w:eastAsia="仿宋" w:cs="仿宋"/>
          <w:color w:val="auto"/>
          <w:sz w:val="28"/>
          <w:szCs w:val="28"/>
          <w:highlight w:val="none"/>
          <w:u w:val="single"/>
          <w:lang w:bidi="zh-CN"/>
        </w:rPr>
        <w:t>（中型企业、小型企业、微型企业）</w:t>
      </w:r>
      <w:r>
        <w:rPr>
          <w:rFonts w:hint="eastAsia" w:ascii="仿宋" w:hAnsi="仿宋" w:eastAsia="仿宋" w:cs="仿宋"/>
          <w:color w:val="auto"/>
          <w:sz w:val="28"/>
          <w:szCs w:val="28"/>
          <w:highlight w:val="none"/>
          <w:lang w:bidi="zh-CN"/>
        </w:rPr>
        <w:t>；</w:t>
      </w:r>
    </w:p>
    <w:p w14:paraId="3245F231">
      <w:pPr>
        <w:snapToGrid w:val="0"/>
        <w:spacing w:line="360" w:lineRule="auto"/>
        <w:ind w:firstLine="560"/>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2.</w:t>
      </w:r>
      <w:r>
        <w:rPr>
          <w:rFonts w:hint="eastAsia" w:ascii="仿宋" w:hAnsi="仿宋" w:eastAsia="仿宋" w:cs="仿宋"/>
          <w:i/>
          <w:color w:val="auto"/>
          <w:sz w:val="28"/>
          <w:szCs w:val="28"/>
          <w:highlight w:val="none"/>
          <w:u w:val="single"/>
          <w:lang w:bidi="zh-CN"/>
        </w:rPr>
        <w:t xml:space="preserve"> </w:t>
      </w:r>
      <w:r>
        <w:rPr>
          <w:rFonts w:hint="eastAsia" w:ascii="仿宋" w:hAnsi="仿宋" w:eastAsia="仿宋" w:cs="仿宋"/>
          <w:color w:val="auto"/>
          <w:sz w:val="28"/>
          <w:szCs w:val="28"/>
          <w:highlight w:val="none"/>
          <w:u w:val="single"/>
          <w:lang w:bidi="zh-CN"/>
        </w:rPr>
        <w:t xml:space="preserve">（标的名称） </w:t>
      </w:r>
      <w:r>
        <w:rPr>
          <w:rFonts w:hint="eastAsia" w:ascii="仿宋" w:hAnsi="仿宋" w:eastAsia="仿宋" w:cs="仿宋"/>
          <w:color w:val="auto"/>
          <w:sz w:val="28"/>
          <w:szCs w:val="28"/>
          <w:highlight w:val="none"/>
          <w:lang w:bidi="zh-CN"/>
        </w:rPr>
        <w:t>，属于</w:t>
      </w:r>
      <w:r>
        <w:rPr>
          <w:rFonts w:hint="eastAsia" w:ascii="仿宋" w:hAnsi="仿宋" w:eastAsia="仿宋" w:cs="仿宋"/>
          <w:color w:val="auto"/>
          <w:sz w:val="28"/>
          <w:szCs w:val="28"/>
          <w:highlight w:val="none"/>
          <w:u w:val="single"/>
          <w:lang w:bidi="zh-CN"/>
        </w:rPr>
        <w:t>（采购文件中明确的所属行业）</w:t>
      </w:r>
      <w:r>
        <w:rPr>
          <w:rFonts w:hint="eastAsia" w:ascii="仿宋" w:hAnsi="仿宋" w:eastAsia="仿宋" w:cs="仿宋"/>
          <w:color w:val="auto"/>
          <w:sz w:val="28"/>
          <w:szCs w:val="28"/>
          <w:highlight w:val="none"/>
          <w:lang w:bidi="zh-CN"/>
        </w:rPr>
        <w:t>行业；制造商为</w:t>
      </w:r>
      <w:r>
        <w:rPr>
          <w:rFonts w:hint="eastAsia" w:ascii="仿宋" w:hAnsi="仿宋" w:eastAsia="仿宋" w:cs="仿宋"/>
          <w:color w:val="auto"/>
          <w:sz w:val="28"/>
          <w:szCs w:val="28"/>
          <w:highlight w:val="none"/>
          <w:u w:val="single"/>
          <w:lang w:bidi="zh-CN"/>
        </w:rPr>
        <w:t>（企业名称）</w:t>
      </w:r>
      <w:r>
        <w:rPr>
          <w:rFonts w:hint="eastAsia" w:ascii="仿宋" w:hAnsi="仿宋" w:eastAsia="仿宋" w:cs="仿宋"/>
          <w:color w:val="auto"/>
          <w:sz w:val="28"/>
          <w:szCs w:val="28"/>
          <w:highlight w:val="none"/>
          <w:lang w:bidi="zh-CN"/>
        </w:rPr>
        <w:t>，从业人员</w:t>
      </w:r>
      <w:r>
        <w:rPr>
          <w:rFonts w:hint="eastAsia" w:ascii="仿宋" w:hAnsi="仿宋" w:eastAsia="仿宋" w:cs="仿宋"/>
          <w:color w:val="auto"/>
          <w:sz w:val="28"/>
          <w:szCs w:val="28"/>
          <w:highlight w:val="none"/>
          <w:u w:val="single"/>
          <w:lang w:bidi="zh-CN"/>
        </w:rPr>
        <w:t xml:space="preserve"> </w:t>
      </w:r>
      <w:r>
        <w:rPr>
          <w:rFonts w:hint="eastAsia" w:ascii="仿宋" w:hAnsi="仿宋" w:eastAsia="仿宋" w:cs="仿宋"/>
          <w:color w:val="auto"/>
          <w:sz w:val="28"/>
          <w:szCs w:val="28"/>
          <w:highlight w:val="none"/>
          <w:u w:val="single"/>
          <w:lang w:bidi="zh-CN"/>
        </w:rPr>
        <w:tab/>
      </w:r>
      <w:r>
        <w:rPr>
          <w:rFonts w:hint="eastAsia" w:ascii="仿宋" w:hAnsi="仿宋" w:eastAsia="仿宋" w:cs="仿宋"/>
          <w:color w:val="auto"/>
          <w:sz w:val="28"/>
          <w:szCs w:val="28"/>
          <w:highlight w:val="none"/>
          <w:lang w:bidi="zh-CN"/>
        </w:rPr>
        <w:t>人，营业收入为</w:t>
      </w:r>
      <w:r>
        <w:rPr>
          <w:rFonts w:hint="eastAsia" w:ascii="仿宋" w:hAnsi="仿宋" w:eastAsia="仿宋" w:cs="仿宋"/>
          <w:color w:val="auto"/>
          <w:sz w:val="28"/>
          <w:szCs w:val="28"/>
          <w:highlight w:val="none"/>
          <w:u w:val="single"/>
          <w:lang w:bidi="zh-CN"/>
        </w:rPr>
        <w:t xml:space="preserve"> </w:t>
      </w:r>
      <w:r>
        <w:rPr>
          <w:rFonts w:hint="eastAsia" w:ascii="仿宋" w:hAnsi="仿宋" w:eastAsia="仿宋" w:cs="仿宋"/>
          <w:color w:val="auto"/>
          <w:sz w:val="28"/>
          <w:szCs w:val="28"/>
          <w:highlight w:val="none"/>
          <w:u w:val="single"/>
          <w:lang w:bidi="zh-CN"/>
        </w:rPr>
        <w:tab/>
      </w:r>
      <w:r>
        <w:rPr>
          <w:rFonts w:hint="eastAsia" w:ascii="仿宋" w:hAnsi="仿宋" w:eastAsia="仿宋" w:cs="仿宋"/>
          <w:color w:val="auto"/>
          <w:sz w:val="28"/>
          <w:szCs w:val="28"/>
          <w:highlight w:val="none"/>
          <w:lang w:bidi="zh-CN"/>
        </w:rPr>
        <w:t>万元，资产总额为</w:t>
      </w:r>
      <w:r>
        <w:rPr>
          <w:rFonts w:hint="eastAsia" w:ascii="仿宋" w:hAnsi="仿宋" w:eastAsia="仿宋" w:cs="仿宋"/>
          <w:color w:val="auto"/>
          <w:sz w:val="28"/>
          <w:szCs w:val="28"/>
          <w:highlight w:val="none"/>
          <w:u w:val="single"/>
          <w:lang w:bidi="zh-CN"/>
        </w:rPr>
        <w:t xml:space="preserve"> </w:t>
      </w:r>
      <w:r>
        <w:rPr>
          <w:rFonts w:hint="eastAsia" w:ascii="仿宋" w:hAnsi="仿宋" w:eastAsia="仿宋" w:cs="仿宋"/>
          <w:color w:val="auto"/>
          <w:sz w:val="28"/>
          <w:szCs w:val="28"/>
          <w:highlight w:val="none"/>
          <w:u w:val="single"/>
          <w:lang w:bidi="zh-CN"/>
        </w:rPr>
        <w:tab/>
      </w:r>
      <w:r>
        <w:rPr>
          <w:rFonts w:hint="eastAsia" w:ascii="仿宋" w:hAnsi="仿宋" w:eastAsia="仿宋" w:cs="仿宋"/>
          <w:color w:val="auto"/>
          <w:sz w:val="28"/>
          <w:szCs w:val="28"/>
          <w:highlight w:val="none"/>
          <w:lang w:bidi="zh-CN"/>
        </w:rPr>
        <w:t>万元，属于</w:t>
      </w:r>
      <w:r>
        <w:rPr>
          <w:rFonts w:hint="eastAsia" w:ascii="仿宋" w:hAnsi="仿宋" w:eastAsia="仿宋" w:cs="仿宋"/>
          <w:color w:val="auto"/>
          <w:sz w:val="28"/>
          <w:szCs w:val="28"/>
          <w:highlight w:val="none"/>
          <w:u w:val="single"/>
          <w:lang w:bidi="zh-CN"/>
        </w:rPr>
        <w:t>（中型企业、小型企业、微型企业）</w:t>
      </w:r>
      <w:r>
        <w:rPr>
          <w:rFonts w:hint="eastAsia" w:ascii="仿宋" w:hAnsi="仿宋" w:eastAsia="仿宋" w:cs="仿宋"/>
          <w:color w:val="auto"/>
          <w:sz w:val="28"/>
          <w:szCs w:val="28"/>
          <w:highlight w:val="none"/>
          <w:lang w:bidi="zh-CN"/>
        </w:rPr>
        <w:t>；</w:t>
      </w:r>
    </w:p>
    <w:p w14:paraId="0A6BFCE4">
      <w:pPr>
        <w:snapToGrid w:val="0"/>
        <w:spacing w:line="360" w:lineRule="auto"/>
        <w:ind w:firstLine="560"/>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w:t>
      </w:r>
    </w:p>
    <w:p w14:paraId="51C3E4D5">
      <w:pPr>
        <w:snapToGrid w:val="0"/>
        <w:spacing w:line="360" w:lineRule="auto"/>
        <w:ind w:firstLine="560" w:firstLineChars="200"/>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以上企业，不属于大企业的分支机构，不存在控股股东为大企业的情形，也不存在与大企业的负责人为同一人的情形。</w:t>
      </w:r>
    </w:p>
    <w:p w14:paraId="1DEDF47C">
      <w:pPr>
        <w:snapToGrid w:val="0"/>
        <w:spacing w:line="360" w:lineRule="auto"/>
        <w:ind w:firstLine="560" w:firstLineChars="200"/>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本企业对上述声明内容的真实性负责。如有虚假，将依法承担相应责任。</w:t>
      </w:r>
    </w:p>
    <w:p w14:paraId="31E7D55E">
      <w:pPr>
        <w:snapToGrid w:val="0"/>
        <w:spacing w:line="300" w:lineRule="auto"/>
        <w:ind w:firstLine="560"/>
        <w:outlineLvl w:val="0"/>
        <w:rPr>
          <w:rFonts w:hint="eastAsia" w:ascii="仿宋" w:hAnsi="仿宋" w:eastAsia="仿宋" w:cs="仿宋"/>
          <w:color w:val="auto"/>
          <w:sz w:val="28"/>
          <w:szCs w:val="28"/>
          <w:highlight w:val="none"/>
          <w:lang w:bidi="zh-CN"/>
        </w:rPr>
      </w:pPr>
    </w:p>
    <w:p w14:paraId="7F1558E5">
      <w:pPr>
        <w:snapToGrid w:val="0"/>
        <w:spacing w:line="300" w:lineRule="auto"/>
        <w:outlineLvl w:val="0"/>
        <w:rPr>
          <w:rFonts w:hint="eastAsia" w:ascii="仿宋" w:hAnsi="仿宋" w:eastAsia="仿宋" w:cs="仿宋"/>
          <w:color w:val="auto"/>
          <w:szCs w:val="21"/>
          <w:highlight w:val="none"/>
          <w:lang w:bidi="zh-CN"/>
        </w:rPr>
      </w:pPr>
      <w:r>
        <w:rPr>
          <w:rFonts w:hint="eastAsia" w:ascii="仿宋" w:hAnsi="仿宋" w:eastAsia="仿宋" w:cs="仿宋"/>
          <w:color w:val="auto"/>
          <w:szCs w:val="21"/>
          <w:highlight w:val="none"/>
          <w:lang w:bidi="zh-CN"/>
        </w:rPr>
        <w:t>注：1.从业人员、营业收入、资产总额填报上一年度数据，无上一年度数据的新成立企业可不填报。</w:t>
      </w:r>
    </w:p>
    <w:p w14:paraId="5EF9598D">
      <w:pPr>
        <w:snapToGrid w:val="0"/>
        <w:spacing w:line="300" w:lineRule="auto"/>
        <w:outlineLvl w:val="0"/>
        <w:rPr>
          <w:rFonts w:hint="eastAsia" w:ascii="仿宋" w:hAnsi="仿宋" w:eastAsia="仿宋" w:cs="仿宋"/>
          <w:color w:val="auto"/>
          <w:szCs w:val="21"/>
          <w:highlight w:val="none"/>
          <w:lang w:bidi="zh-CN"/>
        </w:rPr>
      </w:pPr>
      <w:r>
        <w:rPr>
          <w:rFonts w:hint="eastAsia" w:ascii="仿宋" w:hAnsi="仿宋" w:eastAsia="仿宋" w:cs="仿宋"/>
          <w:color w:val="auto"/>
          <w:szCs w:val="21"/>
          <w:highlight w:val="none"/>
          <w:lang w:bidi="zh-CN"/>
        </w:rPr>
        <w:t xml:space="preserve">    2.投标供应商须根据上述要求，详细列明货物清单中所有产品制造商的具体情况，否则不能享受中小企业扶持政策。</w:t>
      </w:r>
    </w:p>
    <w:p w14:paraId="2F9A2822">
      <w:pPr>
        <w:snapToGrid w:val="0"/>
        <w:spacing w:line="300" w:lineRule="auto"/>
        <w:ind w:firstLine="420" w:firstLineChars="200"/>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Cs w:val="21"/>
          <w:highlight w:val="none"/>
          <w:lang w:bidi="zh-CN"/>
        </w:rPr>
        <w:t>3.供应商按照本办法规定提供声明函内容不实的，属于提供虚假材料谋取中标、成交，依照《中华人民共和国政府采购法》等国家有关规定追究相应责任。</w:t>
      </w:r>
    </w:p>
    <w:p w14:paraId="512C0521">
      <w:pPr>
        <w:snapToGrid w:val="0"/>
        <w:spacing w:line="300" w:lineRule="auto"/>
        <w:ind w:firstLine="560"/>
        <w:jc w:val="center"/>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 xml:space="preserve">                      </w:t>
      </w:r>
    </w:p>
    <w:p w14:paraId="4A035F9B">
      <w:pPr>
        <w:snapToGrid w:val="0"/>
        <w:spacing w:line="300" w:lineRule="auto"/>
        <w:ind w:firstLine="560"/>
        <w:jc w:val="center"/>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企业名称（盖章）：</w:t>
      </w:r>
    </w:p>
    <w:p w14:paraId="60733704">
      <w:pPr>
        <w:snapToGrid w:val="0"/>
        <w:spacing w:line="300" w:lineRule="auto"/>
        <w:ind w:firstLine="560"/>
        <w:jc w:val="center"/>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 xml:space="preserve">          日期：</w:t>
      </w:r>
    </w:p>
    <w:p w14:paraId="545EBAEA">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1218EF6A">
      <w:pPr>
        <w:snapToGrid w:val="0"/>
        <w:spacing w:line="300" w:lineRule="auto"/>
        <w:outlineLvl w:val="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14</w:t>
      </w:r>
    </w:p>
    <w:p w14:paraId="0E625A83">
      <w:pPr>
        <w:spacing w:line="460" w:lineRule="exact"/>
        <w:ind w:firstLine="643"/>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残疾人福利性单位声明函</w:t>
      </w:r>
    </w:p>
    <w:p w14:paraId="0618E318">
      <w:pPr>
        <w:spacing w:line="588"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项目采购活动提供本单位制造的货物（由本单位承担工程/提供服务），或者提供其他残疾人福利性单位制造的货物（不包括使用非残疾人福利性单位注册商标的货物）。</w:t>
      </w:r>
    </w:p>
    <w:p w14:paraId="4FE5EF41">
      <w:pPr>
        <w:spacing w:line="588"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本单位对上述声明的真实性负责。如有虚假，将依法承担相应责任。</w:t>
      </w:r>
    </w:p>
    <w:p w14:paraId="0BC1FBD6">
      <w:pPr>
        <w:spacing w:line="588" w:lineRule="exact"/>
        <w:ind w:firstLine="560" w:firstLineChars="200"/>
        <w:rPr>
          <w:rFonts w:hint="eastAsia" w:ascii="仿宋" w:hAnsi="仿宋" w:eastAsia="仿宋" w:cs="仿宋"/>
          <w:color w:val="auto"/>
          <w:sz w:val="28"/>
          <w:szCs w:val="28"/>
          <w:highlight w:val="none"/>
        </w:rPr>
      </w:pPr>
    </w:p>
    <w:p w14:paraId="64BB3CBC">
      <w:pPr>
        <w:spacing w:line="588" w:lineRule="exact"/>
        <w:ind w:firstLine="584" w:firstLineChars="200"/>
        <w:rPr>
          <w:rFonts w:hint="eastAsia" w:ascii="仿宋" w:hAnsi="仿宋" w:eastAsia="仿宋" w:cs="仿宋"/>
          <w:color w:val="auto"/>
          <w:spacing w:val="6"/>
          <w:sz w:val="28"/>
          <w:szCs w:val="28"/>
          <w:highlight w:val="none"/>
        </w:rPr>
      </w:pPr>
    </w:p>
    <w:p w14:paraId="1DE42C15">
      <w:pPr>
        <w:spacing w:line="588" w:lineRule="exact"/>
        <w:ind w:firstLine="584" w:firstLineChars="200"/>
        <w:rPr>
          <w:rFonts w:hint="eastAsia" w:ascii="仿宋" w:hAnsi="仿宋" w:eastAsia="仿宋" w:cs="仿宋"/>
          <w:color w:val="auto"/>
          <w:spacing w:val="6"/>
          <w:sz w:val="28"/>
          <w:szCs w:val="28"/>
          <w:highlight w:val="none"/>
        </w:rPr>
      </w:pPr>
    </w:p>
    <w:p w14:paraId="33DB88AD">
      <w:pPr>
        <w:snapToGrid w:val="0"/>
        <w:spacing w:line="300" w:lineRule="auto"/>
        <w:ind w:firstLine="560"/>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注：1、供应商如不提供此声明函，价格将不做相应扣除。</w:t>
      </w:r>
    </w:p>
    <w:p w14:paraId="120663D1">
      <w:pPr>
        <w:numPr>
          <w:ilvl w:val="0"/>
          <w:numId w:val="4"/>
        </w:numPr>
        <w:spacing w:line="588" w:lineRule="exact"/>
        <w:ind w:firstLine="1120" w:firstLineChars="40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中标（成交）供应商为残疾人福利单位的，此声明函将随中标（成交）结果同时公告，接受社会监督。供应商按照本办法规定提供声明函内容不实的，属于提供虚假材料谋取中标、成交，依照《中华人民共和国政府采购法》等国家有关规定追究相应责任。</w:t>
      </w:r>
    </w:p>
    <w:p w14:paraId="672F0BCD">
      <w:pPr>
        <w:pStyle w:val="2"/>
        <w:numPr>
          <w:ilvl w:val="0"/>
          <w:numId w:val="0"/>
        </w:numPr>
        <w:rPr>
          <w:rFonts w:hint="eastAsia"/>
        </w:rPr>
      </w:pPr>
    </w:p>
    <w:p w14:paraId="34969700">
      <w:pPr>
        <w:spacing w:line="588" w:lineRule="exact"/>
        <w:ind w:firstLine="584" w:firstLineChars="200"/>
        <w:rPr>
          <w:rFonts w:hint="eastAsia" w:ascii="仿宋" w:hAnsi="仿宋" w:eastAsia="仿宋" w:cs="仿宋"/>
          <w:color w:val="auto"/>
          <w:spacing w:val="6"/>
          <w:sz w:val="28"/>
          <w:szCs w:val="28"/>
          <w:highlight w:val="none"/>
        </w:rPr>
      </w:pPr>
    </w:p>
    <w:p w14:paraId="4F40E35B">
      <w:pPr>
        <w:tabs>
          <w:tab w:val="left" w:pos="4860"/>
        </w:tabs>
        <w:spacing w:line="588" w:lineRule="exact"/>
        <w:ind w:right="1560" w:firstLine="584" w:firstLineChars="200"/>
        <w:jc w:val="center"/>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 xml:space="preserve">             </w:t>
      </w:r>
      <w:r>
        <w:rPr>
          <w:rFonts w:hint="eastAsia" w:ascii="仿宋" w:hAnsi="仿宋" w:eastAsia="仿宋" w:cs="仿宋"/>
          <w:color w:val="auto"/>
          <w:sz w:val="28"/>
          <w:szCs w:val="28"/>
          <w:highlight w:val="none"/>
        </w:rPr>
        <w:t xml:space="preserve">           供应商全称（盖章）：</w:t>
      </w:r>
    </w:p>
    <w:p w14:paraId="587C44D3">
      <w:pPr>
        <w:tabs>
          <w:tab w:val="left" w:pos="4860"/>
        </w:tabs>
        <w:spacing w:line="588" w:lineRule="exact"/>
        <w:ind w:right="1560" w:firstLine="560" w:firstLineChars="2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日  期：</w:t>
      </w:r>
    </w:p>
    <w:p w14:paraId="5DF133BD">
      <w:pPr>
        <w:snapToGrid w:val="0"/>
        <w:spacing w:line="300" w:lineRule="auto"/>
        <w:ind w:firstLine="560"/>
        <w:outlineLvl w:val="0"/>
        <w:rPr>
          <w:rFonts w:hint="eastAsia" w:ascii="仿宋" w:hAnsi="仿宋" w:eastAsia="仿宋" w:cs="仿宋"/>
          <w:color w:val="auto"/>
          <w:sz w:val="28"/>
          <w:szCs w:val="28"/>
          <w:highlight w:val="none"/>
        </w:rPr>
      </w:pPr>
    </w:p>
    <w:p w14:paraId="01420CEE">
      <w:pPr>
        <w:pStyle w:val="2"/>
        <w:rPr>
          <w:rFonts w:hint="eastAsia" w:ascii="仿宋" w:hAnsi="仿宋" w:eastAsia="仿宋" w:cs="仿宋"/>
          <w:color w:val="auto"/>
          <w:highlight w:val="none"/>
        </w:rPr>
      </w:pPr>
    </w:p>
    <w:p w14:paraId="57D27718">
      <w:pPr>
        <w:snapToGrid w:val="0"/>
        <w:spacing w:line="300" w:lineRule="auto"/>
        <w:ind w:firstLine="640"/>
        <w:outlineLvl w:val="0"/>
        <w:rPr>
          <w:rFonts w:hint="eastAsia" w:ascii="仿宋" w:hAnsi="仿宋" w:eastAsia="仿宋" w:cs="仿宋"/>
          <w:color w:val="auto"/>
          <w:sz w:val="32"/>
          <w:szCs w:val="32"/>
          <w:highlight w:val="none"/>
        </w:rPr>
      </w:pPr>
    </w:p>
    <w:p w14:paraId="7911CA41">
      <w:pPr>
        <w:snapToGrid w:val="0"/>
        <w:spacing w:line="300" w:lineRule="auto"/>
        <w:ind w:firstLine="640"/>
        <w:outlineLvl w:val="0"/>
        <w:rPr>
          <w:rFonts w:hint="eastAsia" w:ascii="仿宋" w:hAnsi="仿宋" w:eastAsia="仿宋" w:cs="仿宋"/>
          <w:color w:val="auto"/>
          <w:sz w:val="32"/>
          <w:szCs w:val="32"/>
          <w:highlight w:val="none"/>
        </w:rPr>
      </w:pPr>
    </w:p>
    <w:p w14:paraId="0B546212">
      <w:pPr>
        <w:snapToGrid w:val="0"/>
        <w:spacing w:line="300" w:lineRule="auto"/>
        <w:outlineLvl w:val="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15</w:t>
      </w:r>
    </w:p>
    <w:p w14:paraId="07E4B1C8">
      <w:pPr>
        <w:snapToGrid w:val="0"/>
        <w:spacing w:line="420" w:lineRule="exact"/>
        <w:ind w:firstLine="643"/>
        <w:jc w:val="center"/>
        <w:outlineLvl w:val="3"/>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监狱和戒毒企业证明材料</w:t>
      </w:r>
    </w:p>
    <w:p w14:paraId="746D035C">
      <w:pPr>
        <w:snapToGrid w:val="0"/>
        <w:spacing w:line="420" w:lineRule="exact"/>
        <w:ind w:firstLine="495" w:firstLineChars="177"/>
        <w:rPr>
          <w:rFonts w:hint="eastAsia" w:ascii="仿宋" w:hAnsi="仿宋" w:eastAsia="仿宋" w:cs="仿宋"/>
          <w:color w:val="auto"/>
          <w:sz w:val="28"/>
          <w:szCs w:val="28"/>
          <w:highlight w:val="none"/>
        </w:rPr>
      </w:pPr>
    </w:p>
    <w:p w14:paraId="61BC08E1">
      <w:pPr>
        <w:snapToGrid w:val="0"/>
        <w:spacing w:line="420" w:lineRule="exact"/>
        <w:ind w:firstLine="495" w:firstLineChars="177"/>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（格式自拟）</w:t>
      </w:r>
    </w:p>
    <w:p w14:paraId="61C7051F">
      <w:pPr>
        <w:snapToGrid w:val="0"/>
        <w:spacing w:line="420" w:lineRule="exact"/>
        <w:ind w:firstLine="495" w:firstLineChars="177"/>
        <w:rPr>
          <w:rFonts w:hint="eastAsia" w:ascii="仿宋" w:hAnsi="仿宋" w:eastAsia="仿宋" w:cs="仿宋"/>
          <w:color w:val="auto"/>
          <w:sz w:val="28"/>
          <w:szCs w:val="28"/>
          <w:highlight w:val="none"/>
        </w:rPr>
      </w:pPr>
    </w:p>
    <w:p w14:paraId="37D8CFEA">
      <w:pPr>
        <w:snapToGrid w:val="0"/>
        <w:spacing w:line="420" w:lineRule="exact"/>
        <w:ind w:firstLine="660" w:firstLineChars="23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436595F4">
      <w:pPr>
        <w:pStyle w:val="2"/>
        <w:rPr>
          <w:rFonts w:hint="eastAsia" w:ascii="仿宋" w:hAnsi="仿宋" w:eastAsia="仿宋" w:cs="仿宋"/>
          <w:color w:val="auto"/>
          <w:highlight w:val="none"/>
        </w:rPr>
      </w:pPr>
    </w:p>
    <w:p w14:paraId="3EF3FC0D">
      <w:pPr>
        <w:rPr>
          <w:rFonts w:hint="eastAsia" w:ascii="仿宋" w:hAnsi="仿宋" w:eastAsia="仿宋" w:cs="仿宋"/>
          <w:color w:val="auto"/>
          <w:highlight w:val="none"/>
        </w:rPr>
      </w:pPr>
    </w:p>
    <w:p w14:paraId="5FA58B3A">
      <w:pPr>
        <w:pStyle w:val="2"/>
        <w:rPr>
          <w:rFonts w:hint="eastAsia" w:ascii="仿宋" w:hAnsi="仿宋" w:eastAsia="仿宋" w:cs="仿宋"/>
          <w:color w:val="auto"/>
          <w:highlight w:val="none"/>
        </w:rPr>
      </w:pPr>
    </w:p>
    <w:p w14:paraId="7556382A">
      <w:pPr>
        <w:snapToGrid w:val="0"/>
        <w:spacing w:line="300" w:lineRule="auto"/>
        <w:ind w:firstLine="560"/>
        <w:outlineLvl w:val="0"/>
        <w:rPr>
          <w:rFonts w:hint="eastAsia" w:ascii="仿宋" w:hAnsi="仿宋" w:eastAsia="仿宋" w:cs="仿宋"/>
          <w:color w:val="auto"/>
          <w:sz w:val="28"/>
          <w:szCs w:val="28"/>
          <w:highlight w:val="none"/>
        </w:rPr>
      </w:pPr>
    </w:p>
    <w:p w14:paraId="6A074FB4">
      <w:pPr>
        <w:snapToGrid w:val="0"/>
        <w:spacing w:line="300" w:lineRule="auto"/>
        <w:ind w:firstLine="560"/>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注：1、供应商如不提供此声明函，价格将不做相应扣除。</w:t>
      </w:r>
    </w:p>
    <w:p w14:paraId="7E2E304D">
      <w:pPr>
        <w:snapToGrid w:val="0"/>
        <w:spacing w:line="300" w:lineRule="auto"/>
        <w:ind w:firstLine="1120" w:firstLineChars="400"/>
        <w:outlineLvl w:val="0"/>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2、中标（成交）供应商为监狱企业的，此声明函将随中标（成交）结果同时公告，接受社会监督。供应商按照本办法规定提供声明函内容不实的，属于提供虚假材料谋取中标、成交，依照《中华人民共和国政府采购法》等国家有关规定追究相应责任。</w:t>
      </w:r>
    </w:p>
    <w:p w14:paraId="78572A79">
      <w:pPr>
        <w:snapToGrid w:val="0"/>
        <w:spacing w:line="300" w:lineRule="auto"/>
        <w:ind w:firstLine="560"/>
        <w:outlineLvl w:val="0"/>
        <w:rPr>
          <w:rFonts w:hint="eastAsia" w:ascii="仿宋" w:hAnsi="仿宋" w:eastAsia="仿宋" w:cs="仿宋"/>
          <w:color w:val="auto"/>
          <w:sz w:val="28"/>
          <w:szCs w:val="28"/>
          <w:highlight w:val="none"/>
        </w:rPr>
      </w:pPr>
    </w:p>
    <w:p w14:paraId="4F2334E6">
      <w:pPr>
        <w:snapToGrid w:val="0"/>
        <w:spacing w:line="300" w:lineRule="auto"/>
        <w:ind w:firstLine="560"/>
        <w:outlineLvl w:val="0"/>
        <w:rPr>
          <w:rFonts w:hint="eastAsia" w:ascii="仿宋" w:hAnsi="仿宋" w:eastAsia="仿宋" w:cs="仿宋"/>
          <w:color w:val="auto"/>
          <w:sz w:val="28"/>
          <w:szCs w:val="28"/>
          <w:highlight w:val="none"/>
        </w:rPr>
      </w:pPr>
    </w:p>
    <w:p w14:paraId="48906AD2">
      <w:pPr>
        <w:snapToGrid w:val="0"/>
        <w:spacing w:line="300" w:lineRule="auto"/>
        <w:ind w:firstLine="560"/>
        <w:outlineLvl w:val="0"/>
        <w:rPr>
          <w:rFonts w:hint="eastAsia" w:ascii="仿宋" w:hAnsi="仿宋" w:eastAsia="仿宋" w:cs="仿宋"/>
          <w:color w:val="auto"/>
          <w:sz w:val="28"/>
          <w:szCs w:val="28"/>
          <w:highlight w:val="none"/>
        </w:rPr>
      </w:pPr>
    </w:p>
    <w:p w14:paraId="3F3C145E">
      <w:pPr>
        <w:snapToGrid w:val="0"/>
        <w:spacing w:line="300" w:lineRule="auto"/>
        <w:ind w:firstLine="560"/>
        <w:outlineLvl w:val="0"/>
        <w:rPr>
          <w:rFonts w:hint="eastAsia" w:ascii="仿宋" w:hAnsi="仿宋" w:eastAsia="仿宋" w:cs="仿宋"/>
          <w:color w:val="auto"/>
          <w:sz w:val="28"/>
          <w:szCs w:val="28"/>
          <w:highlight w:val="none"/>
        </w:rPr>
      </w:pPr>
    </w:p>
    <w:p w14:paraId="3DB24224">
      <w:pPr>
        <w:snapToGrid w:val="0"/>
        <w:spacing w:line="300" w:lineRule="auto"/>
        <w:ind w:firstLine="560"/>
        <w:outlineLvl w:val="0"/>
        <w:rPr>
          <w:rFonts w:hint="eastAsia" w:ascii="仿宋" w:hAnsi="仿宋" w:eastAsia="仿宋" w:cs="仿宋"/>
          <w:color w:val="auto"/>
          <w:sz w:val="28"/>
          <w:szCs w:val="28"/>
          <w:highlight w:val="none"/>
        </w:rPr>
      </w:pPr>
    </w:p>
    <w:p w14:paraId="224969D9">
      <w:pPr>
        <w:snapToGrid w:val="0"/>
        <w:spacing w:line="300" w:lineRule="auto"/>
        <w:ind w:firstLine="560"/>
        <w:outlineLvl w:val="0"/>
        <w:rPr>
          <w:rFonts w:hint="eastAsia" w:ascii="仿宋" w:hAnsi="仿宋" w:eastAsia="仿宋" w:cs="仿宋"/>
          <w:color w:val="auto"/>
          <w:sz w:val="28"/>
          <w:szCs w:val="28"/>
          <w:highlight w:val="none"/>
        </w:rPr>
      </w:pPr>
    </w:p>
    <w:p w14:paraId="2A3E4CD6">
      <w:pPr>
        <w:snapToGrid w:val="0"/>
        <w:spacing w:line="300" w:lineRule="auto"/>
        <w:ind w:firstLine="560"/>
        <w:outlineLvl w:val="0"/>
        <w:rPr>
          <w:rFonts w:hint="eastAsia" w:ascii="仿宋" w:hAnsi="仿宋" w:eastAsia="仿宋" w:cs="仿宋"/>
          <w:color w:val="auto"/>
          <w:sz w:val="28"/>
          <w:szCs w:val="28"/>
          <w:highlight w:val="none"/>
        </w:rPr>
      </w:pPr>
    </w:p>
    <w:p w14:paraId="06FC2BCC">
      <w:pPr>
        <w:snapToGrid w:val="0"/>
        <w:spacing w:line="300" w:lineRule="auto"/>
        <w:ind w:firstLine="560"/>
        <w:outlineLvl w:val="0"/>
        <w:rPr>
          <w:rFonts w:hint="eastAsia" w:ascii="仿宋" w:hAnsi="仿宋" w:eastAsia="仿宋" w:cs="仿宋"/>
          <w:color w:val="auto"/>
          <w:sz w:val="28"/>
          <w:szCs w:val="28"/>
          <w:highlight w:val="none"/>
        </w:rPr>
      </w:pPr>
    </w:p>
    <w:p w14:paraId="43C236A4">
      <w:pPr>
        <w:snapToGrid w:val="0"/>
        <w:spacing w:line="300" w:lineRule="auto"/>
        <w:ind w:firstLine="560"/>
        <w:outlineLvl w:val="0"/>
        <w:rPr>
          <w:rFonts w:hint="eastAsia" w:ascii="仿宋" w:hAnsi="仿宋" w:eastAsia="仿宋" w:cs="仿宋"/>
          <w:color w:val="auto"/>
          <w:sz w:val="28"/>
          <w:szCs w:val="28"/>
          <w:highlight w:val="none"/>
        </w:rPr>
      </w:pPr>
    </w:p>
    <w:p w14:paraId="62133BD6">
      <w:pPr>
        <w:snapToGrid w:val="0"/>
        <w:spacing w:line="300" w:lineRule="auto"/>
        <w:ind w:firstLine="560"/>
        <w:outlineLvl w:val="0"/>
        <w:rPr>
          <w:rFonts w:hint="eastAsia" w:ascii="仿宋" w:hAnsi="仿宋" w:eastAsia="仿宋" w:cs="仿宋"/>
          <w:color w:val="auto"/>
          <w:sz w:val="28"/>
          <w:szCs w:val="28"/>
          <w:highlight w:val="none"/>
        </w:rPr>
      </w:pPr>
    </w:p>
    <w:p w14:paraId="4ECE58F9">
      <w:pPr>
        <w:snapToGrid w:val="0"/>
        <w:spacing w:line="300" w:lineRule="auto"/>
        <w:ind w:firstLine="560"/>
        <w:outlineLvl w:val="0"/>
        <w:rPr>
          <w:rFonts w:hint="eastAsia" w:ascii="仿宋" w:hAnsi="仿宋" w:eastAsia="仿宋" w:cs="仿宋"/>
          <w:color w:val="auto"/>
          <w:sz w:val="28"/>
          <w:szCs w:val="28"/>
          <w:highlight w:val="none"/>
        </w:rPr>
      </w:pPr>
    </w:p>
    <w:p w14:paraId="06E01F63">
      <w:pPr>
        <w:snapToGrid w:val="0"/>
        <w:spacing w:line="300" w:lineRule="auto"/>
        <w:ind w:firstLine="560"/>
        <w:outlineLvl w:val="0"/>
        <w:rPr>
          <w:rFonts w:hint="eastAsia" w:ascii="仿宋" w:hAnsi="仿宋" w:eastAsia="仿宋" w:cs="仿宋"/>
          <w:color w:val="auto"/>
          <w:sz w:val="28"/>
          <w:szCs w:val="28"/>
          <w:highlight w:val="none"/>
        </w:rPr>
      </w:pPr>
    </w:p>
    <w:p w14:paraId="312094DF">
      <w:pPr>
        <w:rPr>
          <w:rFonts w:hint="eastAsia" w:eastAsia="方正黑体_GBK"/>
          <w:sz w:val="32"/>
          <w:szCs w:val="32"/>
        </w:rPr>
      </w:pPr>
      <w:r>
        <w:rPr>
          <w:rFonts w:hint="eastAsia" w:eastAsia="方正黑体_GBK"/>
          <w:sz w:val="32"/>
          <w:szCs w:val="32"/>
        </w:rPr>
        <w:br w:type="page"/>
      </w:r>
    </w:p>
    <w:p w14:paraId="5568317C">
      <w:pPr>
        <w:snapToGrid w:val="0"/>
        <w:spacing w:line="300" w:lineRule="auto"/>
        <w:outlineLvl w:val="0"/>
        <w:rPr>
          <w:rFonts w:eastAsia="方正黑体_GBK"/>
          <w:sz w:val="32"/>
          <w:szCs w:val="32"/>
        </w:rPr>
      </w:pPr>
      <w:r>
        <w:rPr>
          <w:rFonts w:hint="eastAsia" w:eastAsia="方正黑体_GBK"/>
          <w:sz w:val="32"/>
          <w:szCs w:val="32"/>
        </w:rPr>
        <w:t>附件1</w:t>
      </w:r>
      <w:r>
        <w:rPr>
          <w:rFonts w:hint="eastAsia" w:eastAsia="方正黑体_GBK"/>
          <w:sz w:val="32"/>
          <w:szCs w:val="32"/>
          <w:lang w:val="en-US" w:eastAsia="zh-CN"/>
        </w:rPr>
        <w:t>6</w:t>
      </w:r>
      <w:r>
        <w:rPr>
          <w:rFonts w:hint="eastAsia" w:eastAsia="方正黑体_GBK"/>
          <w:sz w:val="32"/>
          <w:szCs w:val="32"/>
        </w:rPr>
        <w:t xml:space="preserve">  </w:t>
      </w:r>
    </w:p>
    <w:p w14:paraId="193F4448">
      <w:pPr>
        <w:snapToGrid w:val="0"/>
        <w:spacing w:line="300" w:lineRule="auto"/>
        <w:jc w:val="center"/>
        <w:outlineLvl w:val="0"/>
        <w:rPr>
          <w:rFonts w:eastAsia="方正黑体_GBK"/>
          <w:sz w:val="32"/>
          <w:szCs w:val="32"/>
        </w:rPr>
      </w:pPr>
      <w:r>
        <w:rPr>
          <w:rFonts w:hint="eastAsia" w:eastAsia="方正黑体_GBK"/>
          <w:sz w:val="32"/>
          <w:szCs w:val="32"/>
        </w:rPr>
        <w:t>关于符合本国产品标准的声明函（</w:t>
      </w:r>
      <w:r>
        <w:rPr>
          <w:rFonts w:hint="eastAsia" w:eastAsia="方正黑体_GBK"/>
          <w:sz w:val="32"/>
          <w:szCs w:val="32"/>
          <w:lang w:val="en-US" w:eastAsia="zh-CN"/>
        </w:rPr>
        <w:t>项目名称</w:t>
      </w:r>
      <w:r>
        <w:rPr>
          <w:rFonts w:hint="eastAsia" w:eastAsia="方正黑体_GBK"/>
          <w:sz w:val="32"/>
          <w:szCs w:val="32"/>
        </w:rPr>
        <w:t>：**）</w:t>
      </w:r>
    </w:p>
    <w:p w14:paraId="2B2B36A7">
      <w:pPr>
        <w:pStyle w:val="13"/>
        <w:spacing w:before="0" w:beforeAutospacing="0" w:after="0" w:afterAutospacing="0" w:line="0" w:lineRule="atLeast"/>
        <w:ind w:firstLine="420"/>
        <w:rPr>
          <w:rFonts w:hint="default" w:ascii="方正魏碑_GBK" w:hAnsi="方正魏碑_GBK" w:eastAsia="方正魏碑_GBK" w:cs="方正魏碑_GBK"/>
          <w:color w:val="FF0000"/>
        </w:rPr>
      </w:pPr>
    </w:p>
    <w:p w14:paraId="33DC7CDC">
      <w:pPr>
        <w:pStyle w:val="13"/>
        <w:spacing w:before="0" w:beforeAutospacing="0" w:after="0" w:afterAutospacing="0" w:line="0" w:lineRule="atLeast"/>
        <w:ind w:firstLine="420"/>
        <w:rPr>
          <w:rFonts w:hint="default" w:ascii="方正魏碑_GBK" w:hAnsi="方正魏碑_GBK" w:eastAsia="方正魏碑_GBK" w:cs="方正魏碑_GBK"/>
        </w:rPr>
      </w:pPr>
      <w:r>
        <w:rPr>
          <w:rFonts w:ascii="方正魏碑_GBK" w:hAnsi="方正魏碑_GBK" w:eastAsia="方正魏碑_GBK" w:cs="方正魏碑_GBK"/>
        </w:rPr>
        <w:t>本公司（单位）郑重声明，根据《国务院办公厅关于在政府采购中实施本国产品标准及相关政策的通知》（国办发〔2025〕34号）的规定，本公司（单位）提供的以下产品属于本国产品。具体情况如下：</w:t>
      </w:r>
    </w:p>
    <w:p w14:paraId="2CAED5BF">
      <w:pPr>
        <w:pStyle w:val="13"/>
        <w:spacing w:before="30" w:beforeAutospacing="0" w:after="30" w:afterAutospacing="0" w:line="0" w:lineRule="atLeast"/>
        <w:ind w:firstLine="420"/>
        <w:rPr>
          <w:rFonts w:hint="default" w:ascii="方正魏碑_GBK" w:hAnsi="方正魏碑_GBK" w:eastAsia="方正魏碑_GBK" w:cs="方正魏碑_GBK"/>
        </w:rPr>
      </w:pPr>
      <w:r>
        <w:rPr>
          <w:rFonts w:ascii="方正魏碑_GBK" w:hAnsi="方正魏碑_GBK" w:eastAsia="方正魏碑_GBK" w:cs="方正魏碑_GBK"/>
        </w:rPr>
        <mc:AlternateContent>
          <mc:Choice Requires="wps">
            <w:drawing>
              <wp:anchor distT="0" distB="0" distL="114300" distR="114300" simplePos="0" relativeHeight="251672576" behindDoc="0" locked="0" layoutInCell="1" allowOverlap="1">
                <wp:simplePos x="0" y="0"/>
                <wp:positionH relativeFrom="column">
                  <wp:posOffset>-8890</wp:posOffset>
                </wp:positionH>
                <wp:positionV relativeFrom="paragraph">
                  <wp:posOffset>511175</wp:posOffset>
                </wp:positionV>
                <wp:extent cx="565785" cy="130810"/>
                <wp:effectExtent l="1270" t="4445" r="4445" b="17145"/>
                <wp:wrapNone/>
                <wp:docPr id="17" name="直接箭头连接符 17"/>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0.7pt;margin-top:40.25pt;height:10.3pt;width:44.55pt;z-index:251672576;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zQTxy1QAAAAgB&#10;AAAPAAAAAAAAAAEAIAAAACIAAABkcnMvZG93bnJldi54bWxQSwECFAAUAAAACACHTuJAPlMF0+UB&#10;AACAAwAADgAAAAAAAAABACAAAAAkAQAAZHJzL2Uyb0RvYy54bWxQSwUGAAAAAAYABgBZAQAAewUA&#10;AAAA&#10;">
                <v:fill on="f" focussize="0,0"/>
                <v:stroke color="#000000" joinstyle="round"/>
                <v:imagedata o:title=""/>
                <o:lock v:ext="edit" aspectratio="f"/>
              </v:shape>
            </w:pict>
          </mc:Fallback>
        </mc:AlternateContent>
      </w:r>
      <w:r>
        <w:rPr>
          <w:rFonts w:ascii="方正魏碑_GBK" w:hAnsi="方正魏碑_GBK" w:eastAsia="方正魏碑_GBK" w:cs="方正魏碑_GBK"/>
        </w:rPr>
        <mc:AlternateContent>
          <mc:Choice Requires="wps">
            <w:drawing>
              <wp:anchor distT="0" distB="0" distL="114300" distR="114300" simplePos="0" relativeHeight="251671552" behindDoc="0" locked="0" layoutInCell="1" allowOverlap="1">
                <wp:simplePos x="0" y="0"/>
                <wp:positionH relativeFrom="column">
                  <wp:posOffset>4976495</wp:posOffset>
                </wp:positionH>
                <wp:positionV relativeFrom="paragraph">
                  <wp:posOffset>309880</wp:posOffset>
                </wp:positionV>
                <wp:extent cx="196215" cy="97790"/>
                <wp:effectExtent l="1905" t="4445" r="11430" b="12065"/>
                <wp:wrapNone/>
                <wp:docPr id="16" name="直接箭头连接符 16"/>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391.85pt;margin-top:24.4pt;height:7.7pt;width:15.45pt;z-index:251671552;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a9kFQ1gAAAAkB&#10;AAAPAAAAAAAAAAEAIAAAACIAAABkcnMvZG93bnJldi54bWxQSwECFAAUAAAACACHTuJApFel0uQB&#10;AAB/AwAADgAAAAAAAAABACAAAAAlAQAAZHJzL2Uyb0RvYy54bWxQSwUGAAAAAAYABgBZAQAAewUA&#10;AAAA&#10;">
                <v:fill on="f" focussize="0,0"/>
                <v:stroke color="#000000" joinstyle="round"/>
                <v:imagedata o:title=""/>
                <o:lock v:ext="edit" aspectratio="f"/>
              </v:shape>
            </w:pict>
          </mc:Fallback>
        </mc:AlternateContent>
      </w:r>
      <w:r>
        <w:rPr>
          <w:rFonts w:ascii="方正魏碑_GBK" w:hAnsi="方正魏碑_GBK" w:eastAsia="方正魏碑_GBK" w:cs="方正魏碑_GBK"/>
        </w:rPr>
        <mc:AlternateContent>
          <mc:Choice Requires="wps">
            <w:drawing>
              <wp:anchor distT="0" distB="0" distL="114300" distR="114300" simplePos="0" relativeHeight="251670528" behindDoc="0" locked="0" layoutInCell="1" allowOverlap="1">
                <wp:simplePos x="0" y="0"/>
                <wp:positionH relativeFrom="column">
                  <wp:posOffset>3109595</wp:posOffset>
                </wp:positionH>
                <wp:positionV relativeFrom="paragraph">
                  <wp:posOffset>511175</wp:posOffset>
                </wp:positionV>
                <wp:extent cx="816610" cy="147320"/>
                <wp:effectExtent l="635" t="4445" r="1905" b="19685"/>
                <wp:wrapNone/>
                <wp:docPr id="15" name="直接箭头连接符 15"/>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244.85pt;margin-top:40.25pt;height:11.6pt;width:64.3pt;z-index:251670528;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mIWc9cAAAAK&#10;AQAADwAAAAAAAAABACAAAAAiAAAAZHJzL2Rvd25yZXYueG1sUEsBAhQAFAAAAAgAh07iQAbdKxPk&#10;AQAAgAMAAA4AAAAAAAAAAQAgAAAAJgEAAGRycy9lMm9Eb2MueG1sUEsFBgAAAAAGAAYAWQEAAHwF&#10;AAAAAAAA&#10;">
                <v:fill on="f" focussize="0,0"/>
                <v:stroke color="#000000" joinstyle="round"/>
                <v:imagedata o:title=""/>
                <o:lock v:ext="edit" aspectratio="f"/>
              </v:shape>
            </w:pict>
          </mc:Fallback>
        </mc:AlternateContent>
      </w:r>
      <w:r>
        <w:rPr>
          <w:rFonts w:ascii="方正魏碑_GBK" w:hAnsi="方正魏碑_GBK" w:eastAsia="方正魏碑_GBK" w:cs="方正魏碑_GBK"/>
        </w:rPr>
        <mc:AlternateContent>
          <mc:Choice Requires="wps">
            <w:drawing>
              <wp:anchor distT="0" distB="0" distL="114300" distR="114300" simplePos="0" relativeHeight="251669504" behindDoc="0" locked="0" layoutInCell="1" allowOverlap="1">
                <wp:simplePos x="0" y="0"/>
                <wp:positionH relativeFrom="column">
                  <wp:posOffset>29210</wp:posOffset>
                </wp:positionH>
                <wp:positionV relativeFrom="paragraph">
                  <wp:posOffset>309880</wp:posOffset>
                </wp:positionV>
                <wp:extent cx="364490" cy="97790"/>
                <wp:effectExtent l="1270" t="4445" r="15240" b="12065"/>
                <wp:wrapNone/>
                <wp:docPr id="14" name="直接箭头连接符 14"/>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2.3pt;margin-top:24.4pt;height:7.7pt;width:28.7pt;z-index:251669504;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kd11S0wAAAAYBAAAP&#10;AAAAAAAAAAEAIAAAACIAAABkcnMvZG93bnJldi54bWxQSwECFAAUAAAACACHTuJAO3AjruQBAAB/&#10;AwAADgAAAAAAAAABACAAAAAiAQAAZHJzL2Uyb0RvYy54bWxQSwUGAAAAAAYABgBZAQAAeAUAAAAA&#10;">
                <v:fill on="f" focussize="0,0"/>
                <v:stroke color="#000000" joinstyle="round"/>
                <v:imagedata o:title=""/>
                <o:lock v:ext="edit" aspectratio="f"/>
              </v:shape>
            </w:pict>
          </mc:Fallback>
        </mc:AlternateContent>
      </w:r>
      <w:r>
        <w:rPr>
          <w:rFonts w:ascii="方正魏碑_GBK" w:hAnsi="方正魏碑_GBK" w:eastAsia="方正魏碑_GBK" w:cs="方正魏碑_GBK"/>
        </w:rPr>
        <mc:AlternateContent>
          <mc:Choice Requires="wps">
            <w:drawing>
              <wp:anchor distT="0" distB="0" distL="114300" distR="114300" simplePos="0" relativeHeight="251668480" behindDoc="0" locked="0" layoutInCell="1" allowOverlap="1">
                <wp:simplePos x="0" y="0"/>
                <wp:positionH relativeFrom="column">
                  <wp:posOffset>4595495</wp:posOffset>
                </wp:positionH>
                <wp:positionV relativeFrom="paragraph">
                  <wp:posOffset>86995</wp:posOffset>
                </wp:positionV>
                <wp:extent cx="577215" cy="92075"/>
                <wp:effectExtent l="635" t="4445" r="12700" b="17780"/>
                <wp:wrapNone/>
                <wp:docPr id="13" name="直接箭头连接符 13"/>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361.85pt;margin-top:6.85pt;height:7.25pt;width:45.45pt;z-index:251668480;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ihcWtYAAAAJAQAA&#10;DwAAAAAAAAABACAAAAAiAAAAZHJzL2Rvd25yZXYueG1sUEsBAhQAFAAAAAgAh07iQM2+GIviAQAA&#10;fwMAAA4AAAAAAAAAAQAgAAAAJQEAAGRycy9lMm9Eb2MueG1sUEsFBgAAAAAGAAYAWQEAAHkFAAAA&#10;AAAA&#10;">
                <v:fill on="f" focussize="0,0"/>
                <v:stroke color="#000000" joinstyle="round"/>
                <v:imagedata o:title=""/>
                <o:lock v:ext="edit" aspectratio="f"/>
              </v:shape>
            </w:pict>
          </mc:Fallback>
        </mc:AlternateContent>
      </w:r>
      <w:r>
        <w:rPr>
          <w:rFonts w:ascii="方正魏碑_GBK" w:hAnsi="方正魏碑_GBK" w:eastAsia="方正魏碑_GBK" w:cs="方正魏碑_GBK"/>
        </w:rPr>
        <mc:AlternateContent>
          <mc:Choice Requires="wps">
            <w:drawing>
              <wp:anchor distT="0" distB="0" distL="114300" distR="114300" simplePos="0" relativeHeight="251663360" behindDoc="0" locked="0" layoutInCell="1" allowOverlap="1">
                <wp:simplePos x="0" y="0"/>
                <wp:positionH relativeFrom="column">
                  <wp:posOffset>1945005</wp:posOffset>
                </wp:positionH>
                <wp:positionV relativeFrom="paragraph">
                  <wp:posOffset>521970</wp:posOffset>
                </wp:positionV>
                <wp:extent cx="876300" cy="120015"/>
                <wp:effectExtent l="635" t="4445" r="18415" b="8890"/>
                <wp:wrapNone/>
                <wp:docPr id="12" name="直接箭头连接符 12"/>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153.15pt;margin-top:41.1pt;height:9.45pt;width:69pt;z-index:251663360;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H8n7vWAAAACgEA&#10;AA8AAAAAAAAAAQAgAAAAIgAAAGRycy9kb3ducmV2LnhtbFBLAQIUABQAAAAIAIdO4kD0XnYk4wEA&#10;AIADAAAOAAAAAAAAAAEAIAAAACUBAABkcnMvZTJvRG9jLnhtbFBLBQYAAAAABgAGAFkBAAB6BQAA&#10;AAAA&#10;">
                <v:fill on="f" focussize="0,0"/>
                <v:stroke color="#000000" joinstyle="round"/>
                <v:imagedata o:title=""/>
                <o:lock v:ext="edit" aspectratio="f"/>
              </v:shape>
            </w:pict>
          </mc:Fallback>
        </mc:AlternateContent>
      </w:r>
      <w:r>
        <w:rPr>
          <w:rFonts w:ascii="方正魏碑_GBK" w:hAnsi="方正魏碑_GBK" w:eastAsia="方正魏碑_GBK" w:cs="方正魏碑_GBK"/>
        </w:rPr>
        <mc:AlternateContent>
          <mc:Choice Requires="wps">
            <w:drawing>
              <wp:anchor distT="0" distB="0" distL="114300" distR="114300" simplePos="0" relativeHeight="251662336" behindDoc="0" locked="0" layoutInCell="1" allowOverlap="1">
                <wp:simplePos x="0" y="0"/>
                <wp:positionH relativeFrom="column">
                  <wp:posOffset>3844290</wp:posOffset>
                </wp:positionH>
                <wp:positionV relativeFrom="paragraph">
                  <wp:posOffset>304165</wp:posOffset>
                </wp:positionV>
                <wp:extent cx="816610" cy="103505"/>
                <wp:effectExtent l="635" t="4445" r="1905" b="6350"/>
                <wp:wrapNone/>
                <wp:docPr id="11" name="直接箭头连接符 11"/>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302.7pt;margin-top:23.95pt;height:8.15pt;width:64.3pt;z-index:251662336;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9Ce+tcAAAAJ&#10;AQAADwAAAAAAAAABACAAAAAiAAAAZHJzL2Rvd25yZXYueG1sUEsBAhQAFAAAAAgAh07iQG+QJ3fk&#10;AQAAgAMAAA4AAAAAAAAAAQAgAAAAJgEAAGRycy9lMm9Eb2MueG1sUEsFBgAAAAAGAAYAWQEAAHwF&#10;AAAAAAAA&#10;">
                <v:fill on="f" focussize="0,0"/>
                <v:stroke color="#000000" joinstyle="round"/>
                <v:imagedata o:title=""/>
                <o:lock v:ext="edit" aspectratio="f"/>
              </v:shape>
            </w:pict>
          </mc:Fallback>
        </mc:AlternateContent>
      </w:r>
      <w:r>
        <w:rPr>
          <w:rFonts w:ascii="方正魏碑_GBK" w:hAnsi="方正魏碑_GBK" w:eastAsia="方正魏碑_GBK" w:cs="方正魏碑_GBK"/>
        </w:rPr>
        <mc:AlternateContent>
          <mc:Choice Requires="wps">
            <w:drawing>
              <wp:anchor distT="0" distB="0" distL="114300" distR="114300" simplePos="0" relativeHeight="251661312" behindDoc="0" locked="0" layoutInCell="1" allowOverlap="1">
                <wp:simplePos x="0" y="0"/>
                <wp:positionH relativeFrom="column">
                  <wp:posOffset>2772410</wp:posOffset>
                </wp:positionH>
                <wp:positionV relativeFrom="paragraph">
                  <wp:posOffset>320675</wp:posOffset>
                </wp:positionV>
                <wp:extent cx="816610" cy="76200"/>
                <wp:effectExtent l="635" t="4445" r="1905" b="14605"/>
                <wp:wrapNone/>
                <wp:docPr id="10" name="直接箭头连接符 10"/>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218.3pt;margin-top:25.25pt;height:6pt;width:64.3pt;z-index:251661312;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luf9s1wAAAAkBAAAP&#10;AAAAAAAAAAEAIAAAACIAAABkcnMvZG93bnJldi54bWxQSwECFAAUAAAACACHTuJA0Mro+eABAAB/&#10;AwAADgAAAAAAAAABACAAAAAmAQAAZHJzL2Uyb0RvYy54bWxQSwUGAAAAAAYABgBZAQAAeAUAAAAA&#10;">
                <v:fill on="f" focussize="0,0"/>
                <v:stroke color="#000000" joinstyle="round"/>
                <v:imagedata o:title=""/>
                <o:lock v:ext="edit" aspectratio="f"/>
              </v:shape>
            </w:pict>
          </mc:Fallback>
        </mc:AlternateContent>
      </w:r>
      <w:r>
        <w:rPr>
          <w:rFonts w:ascii="方正魏碑_GBK" w:hAnsi="方正魏碑_GBK" w:eastAsia="方正魏碑_GBK" w:cs="方正魏碑_GBK"/>
          <w:shd w:val="clear" w:color="auto" w:fill="FFFFFF"/>
        </w:rPr>
        <w:t>1.</w:t>
      </w:r>
      <w:r>
        <w:rPr>
          <w:rStyle w:val="17"/>
          <w:rFonts w:ascii="方正魏碑_GBK" w:hAnsi="方正魏碑_GBK" w:eastAsia="方正魏碑_GBK" w:cs="方正魏碑_GBK"/>
          <w:u w:val="single"/>
          <w:shd w:val="clear" w:color="auto" w:fill="FFFFFF"/>
        </w:rPr>
        <w:t>（产品名称1）</w:t>
      </w:r>
      <w:r>
        <w:rPr>
          <w:rStyle w:val="17"/>
          <w:rFonts w:ascii="方正魏碑_GBK" w:hAnsi="方正魏碑_GBK" w:eastAsia="方正魏碑_GBK" w:cs="方正魏碑_GBK"/>
          <w:shd w:val="clear" w:color="auto" w:fill="FFFFFF"/>
          <w:vertAlign w:val="superscript"/>
        </w:rPr>
        <w:t>1</w:t>
      </w:r>
      <w:r>
        <w:rPr>
          <w:rFonts w:ascii="方正魏碑_GBK" w:hAnsi="方正魏碑_GBK" w:eastAsia="方正魏碑_GBK" w:cs="方正魏碑_GBK"/>
          <w:shd w:val="clear" w:color="auto" w:fill="FFFFFF"/>
        </w:rPr>
        <w:t>，生产厂为</w:t>
      </w:r>
      <w:r>
        <w:rPr>
          <w:rStyle w:val="17"/>
          <w:rFonts w:ascii="方正魏碑_GBK" w:hAnsi="方正魏碑_GBK" w:eastAsia="方正魏碑_GBK" w:cs="方正魏碑_GBK"/>
          <w:u w:val="single"/>
          <w:shd w:val="clear" w:color="auto" w:fill="FFFFFF"/>
        </w:rPr>
        <w:t>（厂名）</w:t>
      </w:r>
      <w:r>
        <w:rPr>
          <w:rStyle w:val="17"/>
          <w:rFonts w:ascii="方正魏碑_GBK" w:hAnsi="方正魏碑_GBK" w:eastAsia="方正魏碑_GBK" w:cs="方正魏碑_GBK"/>
          <w:shd w:val="clear" w:color="auto" w:fill="FFFFFF"/>
          <w:vertAlign w:val="superscript"/>
        </w:rPr>
        <w:t>2</w:t>
      </w:r>
      <w:r>
        <w:rPr>
          <w:rFonts w:ascii="方正魏碑_GBK" w:hAnsi="方正魏碑_GBK" w:eastAsia="方正魏碑_GBK" w:cs="方正魏碑_GBK"/>
          <w:shd w:val="clear" w:color="auto" w:fill="FFFFFF"/>
        </w:rPr>
        <w:t>，厂址为</w:t>
      </w:r>
      <w:r>
        <w:rPr>
          <w:rStyle w:val="17"/>
          <w:rFonts w:ascii="方正魏碑_GBK" w:hAnsi="方正魏碑_GBK" w:eastAsia="方正魏碑_GBK" w:cs="方正魏碑_GBK"/>
          <w:u w:val="single"/>
          <w:shd w:val="clear" w:color="auto" w:fill="FFFFFF"/>
        </w:rPr>
        <w:t>（生产厂址）</w:t>
      </w:r>
      <w:r>
        <w:rPr>
          <w:rFonts w:ascii="方正魏碑_GBK" w:hAnsi="方正魏碑_GBK" w:eastAsia="方正魏碑_GBK" w:cs="方正魏碑_GBK"/>
          <w:shd w:val="clear" w:color="auto" w:fill="FFFFFF"/>
        </w:rPr>
        <w:t>。</w:t>
      </w:r>
      <w:r>
        <w:rPr>
          <w:rFonts w:ascii="方正魏碑_GBK" w:hAnsi="方正魏碑_GBK" w:eastAsia="方正魏碑_GBK" w:cs="方正魏碑_GBK"/>
          <w:u w:val="single"/>
          <w:shd w:val="clear" w:color="auto" w:fill="FFFFFF"/>
        </w:rPr>
        <w:t xml:space="preserve"> </w:t>
      </w:r>
      <w:r>
        <w:rPr>
          <w:rStyle w:val="17"/>
          <w:rFonts w:ascii="方正魏碑_GBK" w:hAnsi="方正魏碑_GBK" w:eastAsia="方正魏碑_GBK" w:cs="方正魏碑_GBK"/>
          <w:u w:val="single"/>
          <w:shd w:val="clear" w:color="auto" w:fill="FFFFFF"/>
        </w:rPr>
        <w:t xml:space="preserve">（产品名称1） </w:t>
      </w:r>
      <w:r>
        <w:rPr>
          <w:rFonts w:ascii="方正魏碑_GBK" w:hAnsi="方正魏碑_GBK" w:eastAsia="方正魏碑_GBK" w:cs="方正魏碑_GBK"/>
          <w:shd w:val="clear" w:color="auto" w:fill="FFFFFF"/>
        </w:rPr>
        <w:t>的中国境内生产的组件成本占比≥</w:t>
      </w:r>
      <w:r>
        <w:rPr>
          <w:rStyle w:val="17"/>
          <w:rFonts w:ascii="方正魏碑_GBK" w:hAnsi="方正魏碑_GBK" w:eastAsia="方正魏碑_GBK" w:cs="方正魏碑_GBK"/>
          <w:u w:val="single"/>
          <w:shd w:val="clear" w:color="auto" w:fill="FFFFFF"/>
        </w:rPr>
        <w:t>（规定比例）</w:t>
      </w:r>
      <w:r>
        <w:rPr>
          <w:rStyle w:val="17"/>
          <w:rFonts w:ascii="方正魏碑_GBK" w:hAnsi="方正魏碑_GBK" w:eastAsia="方正魏碑_GBK" w:cs="方正魏碑_GBK"/>
          <w:shd w:val="clear" w:color="auto" w:fill="FFFFFF"/>
          <w:vertAlign w:val="superscript"/>
        </w:rPr>
        <w:t>3</w:t>
      </w:r>
      <w:r>
        <w:rPr>
          <w:rFonts w:ascii="方正魏碑_GBK" w:hAnsi="方正魏碑_GBK" w:eastAsia="方正魏碑_GBK" w:cs="方正魏碑_GBK"/>
          <w:shd w:val="clear" w:color="auto" w:fill="FFFFFF"/>
        </w:rPr>
        <w:t>。</w:t>
      </w:r>
      <w:r>
        <w:rPr>
          <w:rStyle w:val="17"/>
          <w:rFonts w:ascii="方正魏碑_GBK" w:hAnsi="方正魏碑_GBK" w:eastAsia="方正魏碑_GBK" w:cs="方正魏碑_GBK"/>
          <w:u w:val="single"/>
          <w:shd w:val="clear" w:color="auto" w:fill="FFFFFF"/>
        </w:rPr>
        <w:t>（产品名称1）</w:t>
      </w:r>
      <w:r>
        <w:rPr>
          <w:rFonts w:ascii="方正魏碑_GBK" w:hAnsi="方正魏碑_GBK" w:eastAsia="方正魏碑_GBK" w:cs="方正魏碑_GBK"/>
          <w:shd w:val="clear" w:color="auto" w:fill="FFFFFF"/>
        </w:rPr>
        <w:t>的</w:t>
      </w:r>
      <w:r>
        <w:rPr>
          <w:rStyle w:val="17"/>
          <w:rFonts w:ascii="方正魏碑_GBK" w:hAnsi="方正魏碑_GBK" w:eastAsia="方正魏碑_GBK" w:cs="方正魏碑_GBK"/>
          <w:u w:val="single"/>
          <w:shd w:val="clear" w:color="auto" w:fill="FFFFFF"/>
        </w:rPr>
        <w:t>（关键组件）</w:t>
      </w:r>
      <w:r>
        <w:rPr>
          <w:rStyle w:val="17"/>
          <w:rFonts w:ascii="方正魏碑_GBK" w:hAnsi="方正魏碑_GBK" w:eastAsia="方正魏碑_GBK" w:cs="方正魏碑_GBK"/>
          <w:shd w:val="clear" w:color="auto" w:fill="FFFFFF"/>
          <w:vertAlign w:val="superscript"/>
        </w:rPr>
        <w:t>4</w:t>
      </w:r>
      <w:r>
        <w:rPr>
          <w:rFonts w:ascii="方正魏碑_GBK" w:hAnsi="方正魏碑_GBK" w:eastAsia="方正魏碑_GBK" w:cs="方正魏碑_GBK"/>
          <w:shd w:val="clear" w:color="auto" w:fill="FFFFFF"/>
        </w:rPr>
        <w:t>在中国境内生产。</w:t>
      </w:r>
      <w:r>
        <w:rPr>
          <w:rStyle w:val="17"/>
          <w:rFonts w:ascii="方正魏碑_GBK" w:hAnsi="方正魏碑_GBK" w:eastAsia="方正魏碑_GBK" w:cs="方正魏碑_GBK"/>
          <w:u w:val="single"/>
          <w:shd w:val="clear" w:color="auto" w:fill="FFFFFF"/>
        </w:rPr>
        <w:t>（产品名称1）</w:t>
      </w:r>
      <w:r>
        <w:rPr>
          <w:rFonts w:ascii="方正魏碑_GBK" w:hAnsi="方正魏碑_GBK" w:eastAsia="方正魏碑_GBK" w:cs="方正魏碑_GBK"/>
          <w:shd w:val="clear" w:color="auto" w:fill="FFFFFF"/>
        </w:rPr>
        <w:t>的</w:t>
      </w:r>
      <w:r>
        <w:rPr>
          <w:rStyle w:val="17"/>
          <w:rFonts w:ascii="方正魏碑_GBK" w:hAnsi="方正魏碑_GBK" w:eastAsia="方正魏碑_GBK" w:cs="方正魏碑_GBK"/>
          <w:u w:val="single"/>
          <w:shd w:val="clear" w:color="auto" w:fill="FFFFFF"/>
        </w:rPr>
        <w:t>（关键工序）</w:t>
      </w:r>
      <w:r>
        <w:rPr>
          <w:rStyle w:val="17"/>
          <w:rFonts w:ascii="方正魏碑_GBK" w:hAnsi="方正魏碑_GBK" w:eastAsia="方正魏碑_GBK" w:cs="方正魏碑_GBK"/>
          <w:shd w:val="clear" w:color="auto" w:fill="FFFFFF"/>
          <w:vertAlign w:val="superscript"/>
        </w:rPr>
        <w:t>5</w:t>
      </w:r>
      <w:r>
        <w:rPr>
          <w:rFonts w:ascii="方正魏碑_GBK" w:hAnsi="方正魏碑_GBK" w:eastAsia="方正魏碑_GBK" w:cs="方正魏碑_GBK"/>
          <w:shd w:val="clear" w:color="auto" w:fill="FFFFFF"/>
        </w:rPr>
        <w:t>在中国境内完成。</w:t>
      </w:r>
    </w:p>
    <w:p w14:paraId="4A4AC159">
      <w:pPr>
        <w:pStyle w:val="13"/>
        <w:spacing w:before="30" w:beforeAutospacing="0" w:after="30" w:afterAutospacing="0" w:line="0" w:lineRule="atLeast"/>
        <w:ind w:firstLine="420"/>
        <w:rPr>
          <w:rFonts w:hint="default" w:ascii="方正魏碑_GBK" w:hAnsi="方正魏碑_GBK" w:eastAsia="方正魏碑_GBK" w:cs="方正魏碑_GBK"/>
        </w:rPr>
      </w:pPr>
      <w:r>
        <w:rPr>
          <w:rFonts w:ascii="方正魏碑_GBK" w:hAnsi="方正魏碑_GBK" w:eastAsia="方正魏碑_GBK" w:cs="方正魏碑_GBK"/>
        </w:rPr>
        <mc:AlternateContent>
          <mc:Choice Requires="wps">
            <w:drawing>
              <wp:anchor distT="0" distB="0" distL="114300" distR="114300" simplePos="0" relativeHeight="251675648" behindDoc="0" locked="0" layoutInCell="1" allowOverlap="1">
                <wp:simplePos x="0" y="0"/>
                <wp:positionH relativeFrom="column">
                  <wp:posOffset>4780915</wp:posOffset>
                </wp:positionH>
                <wp:positionV relativeFrom="paragraph">
                  <wp:posOffset>271780</wp:posOffset>
                </wp:positionV>
                <wp:extent cx="462280" cy="147320"/>
                <wp:effectExtent l="1270" t="4445" r="12700" b="19685"/>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376.45pt;margin-top:21.4pt;height:11.6pt;width:36.4pt;z-index:251675648;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9Fb5NcAAAAJ&#10;AQAADwAAAAAAAAABACAAAAAiAAAAZHJzL2Rvd25yZXYueG1sUEsBAhQAFAAAAAgAh07iQNOqsX/k&#10;AQAAfgMAAA4AAAAAAAAAAQAgAAAAJgEAAGRycy9lMm9Eb2MueG1sUEsFBgAAAAAGAAYAWQEAAHwF&#10;AAAAAAAA&#10;">
                <v:fill on="f" focussize="0,0"/>
                <v:stroke color="#000000" joinstyle="round"/>
                <v:imagedata o:title=""/>
                <o:lock v:ext="edit" aspectratio="f"/>
              </v:shape>
            </w:pict>
          </mc:Fallback>
        </mc:AlternateContent>
      </w:r>
      <w:r>
        <w:rPr>
          <w:rFonts w:ascii="方正魏碑_GBK" w:hAnsi="方正魏碑_GBK" w:eastAsia="方正魏碑_GBK" w:cs="方正魏碑_GBK"/>
        </w:rPr>
        <mc:AlternateContent>
          <mc:Choice Requires="wps">
            <w:drawing>
              <wp:anchor distT="0" distB="0" distL="114300" distR="114300" simplePos="0" relativeHeight="251676672" behindDoc="0" locked="0" layoutInCell="1" allowOverlap="1">
                <wp:simplePos x="0" y="0"/>
                <wp:positionH relativeFrom="column">
                  <wp:posOffset>12700</wp:posOffset>
                </wp:positionH>
                <wp:positionV relativeFrom="paragraph">
                  <wp:posOffset>511810</wp:posOffset>
                </wp:positionV>
                <wp:extent cx="424815" cy="112395"/>
                <wp:effectExtent l="1270" t="4445" r="12065" b="1651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1pt;margin-top:40.3pt;height:8.85pt;width:33.45pt;z-index:251676672;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qp4ydUAAAAGAQAA&#10;DwAAAAAAAAABACAAAAAiAAAAZHJzL2Rvd25yZXYueG1sUEsBAhQAFAAAAAgAh07iQNQKKtTjAQAA&#10;fgMAAA4AAAAAAAAAAQAgAAAAJAEAAGRycy9lMm9Eb2MueG1sUEsFBgAAAAAGAAYAWQEAAHkFAAAA&#10;AAAA&#10;">
                <v:fill on="f" focussize="0,0"/>
                <v:stroke color="#000000" joinstyle="round"/>
                <v:imagedata o:title=""/>
                <o:lock v:ext="edit" aspectratio="f"/>
              </v:shape>
            </w:pict>
          </mc:Fallback>
        </mc:AlternateContent>
      </w:r>
      <w:r>
        <w:rPr>
          <w:rFonts w:ascii="方正魏碑_GBK" w:hAnsi="方正魏碑_GBK" w:eastAsia="方正魏碑_GBK" w:cs="方正魏碑_GBK"/>
        </w:rPr>
        <mc:AlternateContent>
          <mc:Choice Requires="wps">
            <w:drawing>
              <wp:anchor distT="0" distB="0" distL="114300" distR="114300" simplePos="0" relativeHeight="251674624" behindDoc="0" locked="0" layoutInCell="1" allowOverlap="1">
                <wp:simplePos x="0" y="0"/>
                <wp:positionH relativeFrom="column">
                  <wp:posOffset>-25400</wp:posOffset>
                </wp:positionH>
                <wp:positionV relativeFrom="paragraph">
                  <wp:posOffset>288290</wp:posOffset>
                </wp:positionV>
                <wp:extent cx="234315" cy="86995"/>
                <wp:effectExtent l="1905" t="4445" r="11430" b="2286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2pt;margin-top:22.7pt;height:6.85pt;width:18.45pt;z-index:251674624;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lUFDHXAAAABwEA&#10;AA8AAAAAAAAAAQAgAAAAIgAAAGRycy9kb3ducmV2LnhtbFBLAQIUABQAAAAIAIdO4kDoBmmc4gEA&#10;AH0DAAAOAAAAAAAAAAEAIAAAACYBAABkcnMvZTJvRG9jLnhtbFBLBQYAAAAABgAGAFkBAAB6BQAA&#10;AAAA&#10;">
                <v:fill on="f" focussize="0,0"/>
                <v:stroke color="#000000" joinstyle="round"/>
                <v:imagedata o:title=""/>
                <o:lock v:ext="edit" aspectratio="f"/>
              </v:shape>
            </w:pict>
          </mc:Fallback>
        </mc:AlternateContent>
      </w:r>
      <w:r>
        <w:rPr>
          <w:rFonts w:ascii="方正魏碑_GBK" w:hAnsi="方正魏碑_GBK" w:eastAsia="方正魏碑_GBK" w:cs="方正魏碑_GBK"/>
        </w:rPr>
        <mc:AlternateContent>
          <mc:Choice Requires="wps">
            <w:drawing>
              <wp:anchor distT="0" distB="0" distL="114300" distR="114300" simplePos="0" relativeHeight="251673600" behindDoc="0" locked="0" layoutInCell="1" allowOverlap="1">
                <wp:simplePos x="0" y="0"/>
                <wp:positionH relativeFrom="column">
                  <wp:posOffset>4476115</wp:posOffset>
                </wp:positionH>
                <wp:positionV relativeFrom="paragraph">
                  <wp:posOffset>59690</wp:posOffset>
                </wp:positionV>
                <wp:extent cx="718185" cy="97790"/>
                <wp:effectExtent l="635" t="4445" r="5080" b="12065"/>
                <wp:wrapNone/>
                <wp:docPr id="4" name="直接箭头连接符 4"/>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352.45pt;margin-top:4.7pt;height:7.7pt;width:56.55pt;z-index:251673600;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785Zu1wAAAAgB&#10;AAAPAAAAAAAAAAEAIAAAACIAAABkcnMvZG93bnJldi54bWxQSwECFAAUAAAACACHTuJARMlcJeMB&#10;AAB9AwAADgAAAAAAAAABACAAAAAmAQAAZHJzL2Uyb0RvYy54bWxQSwUGAAAAAAYABgBZAQAAewUA&#10;AAAA&#10;">
                <v:fill on="f" focussize="0,0"/>
                <v:stroke color="#000000" joinstyle="round"/>
                <v:imagedata o:title=""/>
                <o:lock v:ext="edit" aspectratio="f"/>
              </v:shape>
            </w:pict>
          </mc:Fallback>
        </mc:AlternateContent>
      </w:r>
      <w:r>
        <w:rPr>
          <w:rFonts w:ascii="方正魏碑_GBK" w:hAnsi="方正魏碑_GBK" w:eastAsia="方正魏碑_GBK" w:cs="方正魏碑_GBK"/>
        </w:rPr>
        <mc:AlternateContent>
          <mc:Choice Requires="wps">
            <w:drawing>
              <wp:anchor distT="0" distB="0" distL="114300" distR="114300" simplePos="0" relativeHeight="251666432" behindDoc="0" locked="0" layoutInCell="1" allowOverlap="1">
                <wp:simplePos x="0" y="0"/>
                <wp:positionH relativeFrom="column">
                  <wp:posOffset>1734185</wp:posOffset>
                </wp:positionH>
                <wp:positionV relativeFrom="paragraph">
                  <wp:posOffset>483235</wp:posOffset>
                </wp:positionV>
                <wp:extent cx="908685" cy="140970"/>
                <wp:effectExtent l="635" t="4445" r="5080" b="6985"/>
                <wp:wrapNone/>
                <wp:docPr id="18" name="直接箭头连接符 18"/>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136.55pt;margin-top:38.05pt;height:11.1pt;width:71.55pt;z-index:251666432;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XUvHTYAAAA&#10;CQEAAA8AAAAAAAAAAQAgAAAAIgAAAGRycy9kb3ducmV2LnhtbFBLAQIUABQAAAAIAIdO4kCf4DjJ&#10;5AEAAIADAAAOAAAAAAAAAAEAIAAAACcBAABkcnMvZTJvRG9jLnhtbFBLBQYAAAAABgAGAFkBAAB9&#10;BQAAAAAA&#10;">
                <v:fill on="f" focussize="0,0"/>
                <v:stroke color="#000000" joinstyle="round"/>
                <v:imagedata o:title=""/>
                <o:lock v:ext="edit" aspectratio="f"/>
              </v:shape>
            </w:pict>
          </mc:Fallback>
        </mc:AlternateContent>
      </w:r>
      <w:r>
        <w:rPr>
          <w:rFonts w:ascii="方正魏碑_GBK" w:hAnsi="方正魏碑_GBK" w:eastAsia="方正魏碑_GBK" w:cs="方正魏碑_GBK"/>
        </w:rPr>
        <mc:AlternateContent>
          <mc:Choice Requires="wps">
            <w:drawing>
              <wp:anchor distT="0" distB="0" distL="114300" distR="114300" simplePos="0" relativeHeight="251667456" behindDoc="0" locked="0" layoutInCell="1" allowOverlap="1">
                <wp:simplePos x="0" y="0"/>
                <wp:positionH relativeFrom="column">
                  <wp:posOffset>2914015</wp:posOffset>
                </wp:positionH>
                <wp:positionV relativeFrom="paragraph">
                  <wp:posOffset>511810</wp:posOffset>
                </wp:positionV>
                <wp:extent cx="821690" cy="102870"/>
                <wp:effectExtent l="635" t="4445" r="15875" b="6985"/>
                <wp:wrapNone/>
                <wp:docPr id="19" name="直接箭头连接符 19"/>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229.45pt;margin-top:40.3pt;height:8.1pt;width:64.7pt;z-index:251667456;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68NePXAAAA&#10;CQEAAA8AAAAAAAAAAQAgAAAAIgAAAGRycy9kb3ducmV2LnhtbFBLAQIUABQAAAAIAIdO4kBgh9DZ&#10;5QEAAIADAAAOAAAAAAAAAAEAIAAAACYBAABkcnMvZTJvRG9jLnhtbFBLBQYAAAAABgAGAFkBAAB9&#10;BQAAAAAA&#10;">
                <v:fill on="f" focussize="0,0"/>
                <v:stroke color="#000000" joinstyle="round"/>
                <v:imagedata o:title=""/>
                <o:lock v:ext="edit" aspectratio="f"/>
              </v:shape>
            </w:pict>
          </mc:Fallback>
        </mc:AlternateContent>
      </w:r>
      <w:r>
        <w:rPr>
          <w:rFonts w:ascii="方正魏碑_GBK" w:hAnsi="方正魏碑_GBK" w:eastAsia="方正魏碑_GBK" w:cs="方正魏碑_GBK"/>
        </w:rPr>
        <mc:AlternateContent>
          <mc:Choice Requires="wps">
            <w:drawing>
              <wp:anchor distT="0" distB="0" distL="114300" distR="114300" simplePos="0" relativeHeight="251665408" behindDoc="0" locked="0" layoutInCell="1" allowOverlap="1">
                <wp:simplePos x="0" y="0"/>
                <wp:positionH relativeFrom="column">
                  <wp:posOffset>3615690</wp:posOffset>
                </wp:positionH>
                <wp:positionV relativeFrom="paragraph">
                  <wp:posOffset>277495</wp:posOffset>
                </wp:positionV>
                <wp:extent cx="849630" cy="120015"/>
                <wp:effectExtent l="635" t="4445" r="6985" b="8890"/>
                <wp:wrapNone/>
                <wp:docPr id="20" name="直接箭头连接符 20"/>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284.7pt;margin-top:21.85pt;height:9.45pt;width:66.9pt;z-index:251665408;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3Eado9gAAAAJ&#10;AQAADwAAAAAAAAABACAAAAAiAAAAZHJzL2Rvd25yZXYueG1sUEsBAhQAFAAAAAgAh07iQJ4KQQ/j&#10;AQAAgAMAAA4AAAAAAAAAAQAgAAAAJwEAAGRycy9lMm9Eb2MueG1sUEsFBgAAAAAGAAYAWQEAAHwF&#10;AAAAAAAA&#10;">
                <v:fill on="f" focussize="0,0"/>
                <v:stroke color="#000000" joinstyle="round"/>
                <v:imagedata o:title=""/>
                <o:lock v:ext="edit" aspectratio="f"/>
              </v:shape>
            </w:pict>
          </mc:Fallback>
        </mc:AlternateContent>
      </w:r>
      <w:r>
        <w:rPr>
          <w:rFonts w:ascii="方正魏碑_GBK" w:hAnsi="方正魏碑_GBK" w:eastAsia="方正魏碑_GBK" w:cs="方正魏碑_GBK"/>
        </w:rPr>
        <mc:AlternateContent>
          <mc:Choice Requires="wps">
            <w:drawing>
              <wp:anchor distT="0" distB="0" distL="114300" distR="114300" simplePos="0" relativeHeight="251664384" behindDoc="0" locked="0" layoutInCell="1" allowOverlap="1">
                <wp:simplePos x="0" y="0"/>
                <wp:positionH relativeFrom="column">
                  <wp:posOffset>2554605</wp:posOffset>
                </wp:positionH>
                <wp:positionV relativeFrom="paragraph">
                  <wp:posOffset>271780</wp:posOffset>
                </wp:positionV>
                <wp:extent cx="843915" cy="125730"/>
                <wp:effectExtent l="635" t="4445" r="12700" b="22225"/>
                <wp:wrapNone/>
                <wp:docPr id="21" name="直接箭头连接符 21"/>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201.15pt;margin-top:21.4pt;height:9.9pt;width:66.45pt;z-index:251664384;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5LJAkNcA&#10;AAAJAQAADwAAAAAAAAABACAAAAAiAAAAZHJzL2Rvd25yZXYueG1sUEsBAhQAFAAAAAgAh07iQO9n&#10;OYznAQAAgAMAAA4AAAAAAAAAAQAgAAAAJgEAAGRycy9lMm9Eb2MueG1sUEsFBgAAAAAGAAYAWQEA&#10;AH8FAAAAAAAA&#10;">
                <v:fill on="f" focussize="0,0"/>
                <v:stroke color="#000000" joinstyle="round"/>
                <v:imagedata o:title=""/>
                <o:lock v:ext="edit" aspectratio="f"/>
              </v:shape>
            </w:pict>
          </mc:Fallback>
        </mc:AlternateContent>
      </w:r>
      <w:r>
        <w:rPr>
          <w:rFonts w:ascii="方正魏碑_GBK" w:hAnsi="方正魏碑_GBK" w:eastAsia="方正魏碑_GBK" w:cs="方正魏碑_GBK"/>
          <w:shd w:val="clear" w:color="auto" w:fill="FFFFFF"/>
        </w:rPr>
        <w:t>2.</w:t>
      </w:r>
      <w:r>
        <w:rPr>
          <w:rStyle w:val="17"/>
          <w:rFonts w:ascii="方正魏碑_GBK" w:hAnsi="方正魏碑_GBK" w:eastAsia="方正魏碑_GBK" w:cs="方正魏碑_GBK"/>
          <w:u w:val="single"/>
          <w:shd w:val="clear" w:color="auto" w:fill="FFFFFF"/>
        </w:rPr>
        <w:t>（产品名称2）</w:t>
      </w:r>
      <w:r>
        <w:rPr>
          <w:rFonts w:ascii="方正魏碑_GBK" w:hAnsi="方正魏碑_GBK" w:eastAsia="方正魏碑_GBK" w:cs="方正魏碑_GBK"/>
          <w:shd w:val="clear" w:color="auto" w:fill="FFFFFF"/>
        </w:rPr>
        <w:t>，生产厂为</w:t>
      </w:r>
      <w:r>
        <w:rPr>
          <w:rStyle w:val="17"/>
          <w:rFonts w:ascii="方正魏碑_GBK" w:hAnsi="方正魏碑_GBK" w:eastAsia="方正魏碑_GBK" w:cs="方正魏碑_GBK"/>
          <w:u w:val="single"/>
          <w:shd w:val="clear" w:color="auto" w:fill="FFFFFF"/>
        </w:rPr>
        <w:t>（厂名）</w:t>
      </w:r>
      <w:r>
        <w:rPr>
          <w:rFonts w:ascii="方正魏碑_GBK" w:hAnsi="方正魏碑_GBK" w:eastAsia="方正魏碑_GBK" w:cs="方正魏碑_GBK"/>
          <w:shd w:val="clear" w:color="auto" w:fill="FFFFFF"/>
        </w:rPr>
        <w:t>，厂址为</w:t>
      </w:r>
      <w:r>
        <w:rPr>
          <w:rStyle w:val="17"/>
          <w:rFonts w:ascii="方正魏碑_GBK" w:hAnsi="方正魏碑_GBK" w:eastAsia="方正魏碑_GBK" w:cs="方正魏碑_GBK"/>
          <w:u w:val="single"/>
          <w:shd w:val="clear" w:color="auto" w:fill="FFFFFF"/>
        </w:rPr>
        <w:t>（生产厂址）</w:t>
      </w:r>
      <w:r>
        <w:rPr>
          <w:rFonts w:ascii="方正魏碑_GBK" w:hAnsi="方正魏碑_GBK" w:eastAsia="方正魏碑_GBK" w:cs="方正魏碑_GBK"/>
          <w:shd w:val="clear" w:color="auto" w:fill="FFFFFF"/>
        </w:rPr>
        <w:t>。</w:t>
      </w:r>
      <w:r>
        <w:rPr>
          <w:rStyle w:val="17"/>
          <w:rFonts w:ascii="方正魏碑_GBK" w:hAnsi="方正魏碑_GBK" w:eastAsia="方正魏碑_GBK" w:cs="方正魏碑_GBK"/>
          <w:u w:val="single"/>
          <w:shd w:val="clear" w:color="auto" w:fill="FFFFFF"/>
        </w:rPr>
        <w:t>（产品名称2）</w:t>
      </w:r>
      <w:r>
        <w:rPr>
          <w:rFonts w:ascii="方正魏碑_GBK" w:hAnsi="方正魏碑_GBK" w:eastAsia="方正魏碑_GBK" w:cs="方正魏碑_GBK"/>
          <w:shd w:val="clear" w:color="auto" w:fill="FFFFFF"/>
        </w:rPr>
        <w:t>的中国境内生产的组件成本占比≥</w:t>
      </w:r>
      <w:r>
        <w:rPr>
          <w:rStyle w:val="17"/>
          <w:rFonts w:ascii="方正魏碑_GBK" w:hAnsi="方正魏碑_GBK" w:eastAsia="方正魏碑_GBK" w:cs="方正魏碑_GBK"/>
          <w:u w:val="single"/>
          <w:shd w:val="clear" w:color="auto" w:fill="FFFFFF"/>
        </w:rPr>
        <w:t>（规定比例）</w:t>
      </w:r>
      <w:r>
        <w:rPr>
          <w:rFonts w:ascii="方正魏碑_GBK" w:hAnsi="方正魏碑_GBK" w:eastAsia="方正魏碑_GBK" w:cs="方正魏碑_GBK"/>
          <w:shd w:val="clear" w:color="auto" w:fill="FFFFFF"/>
        </w:rPr>
        <w:t>。</w:t>
      </w:r>
      <w:r>
        <w:rPr>
          <w:rStyle w:val="17"/>
          <w:rFonts w:ascii="方正魏碑_GBK" w:hAnsi="方正魏碑_GBK" w:eastAsia="方正魏碑_GBK" w:cs="方正魏碑_GBK"/>
          <w:u w:val="single"/>
          <w:shd w:val="clear" w:color="auto" w:fill="FFFFFF"/>
        </w:rPr>
        <w:t>（产品名称2）</w:t>
      </w:r>
      <w:r>
        <w:rPr>
          <w:rFonts w:ascii="方正魏碑_GBK" w:hAnsi="方正魏碑_GBK" w:eastAsia="方正魏碑_GBK" w:cs="方正魏碑_GBK"/>
          <w:shd w:val="clear" w:color="auto" w:fill="FFFFFF"/>
        </w:rPr>
        <w:t>的</w:t>
      </w:r>
      <w:r>
        <w:rPr>
          <w:rStyle w:val="17"/>
          <w:rFonts w:ascii="方正魏碑_GBK" w:hAnsi="方正魏碑_GBK" w:eastAsia="方正魏碑_GBK" w:cs="方正魏碑_GBK"/>
          <w:u w:val="single"/>
          <w:shd w:val="clear" w:color="auto" w:fill="FFFFFF"/>
        </w:rPr>
        <w:t>（关键组件）</w:t>
      </w:r>
      <w:r>
        <w:rPr>
          <w:rFonts w:ascii="方正魏碑_GBK" w:hAnsi="方正魏碑_GBK" w:eastAsia="方正魏碑_GBK" w:cs="方正魏碑_GBK"/>
          <w:shd w:val="clear" w:color="auto" w:fill="FFFFFF"/>
        </w:rPr>
        <w:t>在中国境内生产。</w:t>
      </w:r>
      <w:r>
        <w:rPr>
          <w:rStyle w:val="17"/>
          <w:rFonts w:ascii="方正魏碑_GBK" w:hAnsi="方正魏碑_GBK" w:eastAsia="方正魏碑_GBK" w:cs="方正魏碑_GBK"/>
          <w:u w:val="single"/>
          <w:shd w:val="clear" w:color="auto" w:fill="FFFFFF"/>
        </w:rPr>
        <w:t>（产品名称1）</w:t>
      </w:r>
      <w:r>
        <w:rPr>
          <w:rFonts w:ascii="方正魏碑_GBK" w:hAnsi="方正魏碑_GBK" w:eastAsia="方正魏碑_GBK" w:cs="方正魏碑_GBK"/>
          <w:shd w:val="clear" w:color="auto" w:fill="FFFFFF"/>
        </w:rPr>
        <w:t>的</w:t>
      </w:r>
      <w:r>
        <w:rPr>
          <w:rStyle w:val="17"/>
          <w:rFonts w:ascii="方正魏碑_GBK" w:hAnsi="方正魏碑_GBK" w:eastAsia="方正魏碑_GBK" w:cs="方正魏碑_GBK"/>
          <w:u w:val="single"/>
          <w:shd w:val="clear" w:color="auto" w:fill="FFFFFF"/>
        </w:rPr>
        <w:t>（关键工序）</w:t>
      </w:r>
      <w:r>
        <w:rPr>
          <w:rFonts w:ascii="方正魏碑_GBK" w:hAnsi="方正魏碑_GBK" w:eastAsia="方正魏碑_GBK" w:cs="方正魏碑_GBK"/>
          <w:shd w:val="clear" w:color="auto" w:fill="FFFFFF"/>
        </w:rPr>
        <w:t>在中国境内完成。</w:t>
      </w:r>
    </w:p>
    <w:p w14:paraId="30E85FAE">
      <w:pPr>
        <w:pStyle w:val="13"/>
        <w:spacing w:before="30" w:beforeAutospacing="0" w:after="30" w:afterAutospacing="0" w:line="0" w:lineRule="atLeast"/>
        <w:ind w:firstLine="420"/>
        <w:rPr>
          <w:rFonts w:hint="default" w:ascii="方正魏碑_GBK" w:hAnsi="方正魏碑_GBK" w:eastAsia="方正魏碑_GBK" w:cs="方正魏碑_GBK"/>
        </w:rPr>
      </w:pPr>
      <w:r>
        <w:rPr>
          <w:rFonts w:ascii="方正魏碑_GBK" w:hAnsi="方正魏碑_GBK" w:eastAsia="方正魏碑_GBK" w:cs="方正魏碑_GBK"/>
          <w:shd w:val="clear" w:color="auto" w:fill="FFFFFF"/>
        </w:rPr>
        <w:t>……</w:t>
      </w:r>
    </w:p>
    <w:p w14:paraId="5DAB62B6">
      <w:pPr>
        <w:pStyle w:val="13"/>
        <w:spacing w:before="30" w:beforeAutospacing="0" w:after="30" w:afterAutospacing="0" w:line="0" w:lineRule="atLeast"/>
        <w:ind w:firstLine="420"/>
        <w:rPr>
          <w:rFonts w:hint="default" w:ascii="方正魏碑_GBK" w:hAnsi="方正魏碑_GBK" w:eastAsia="方正魏碑_GBK" w:cs="方正魏碑_GBK"/>
        </w:rPr>
      </w:pPr>
      <w:r>
        <w:rPr>
          <w:rFonts w:ascii="方正魏碑_GBK" w:hAnsi="方正魏碑_GBK" w:eastAsia="方正魏碑_GBK" w:cs="方正魏碑_GBK"/>
          <w:shd w:val="clear" w:color="auto" w:fill="FFFFFF"/>
        </w:rPr>
        <w:t>本公司（单位）对上述声明内容的真实性负责。如有虚假，愿承担相应法律责任。</w:t>
      </w:r>
    </w:p>
    <w:p w14:paraId="12F6CB6B">
      <w:pPr>
        <w:pStyle w:val="13"/>
        <w:spacing w:before="30" w:beforeAutospacing="0" w:after="30" w:afterAutospacing="0" w:line="0" w:lineRule="atLeast"/>
        <w:rPr>
          <w:rFonts w:hint="default" w:ascii="方正魏碑_GBK" w:hAnsi="方正魏碑_GBK" w:eastAsia="方正魏碑_GBK" w:cs="方正魏碑_GBK"/>
        </w:rPr>
      </w:pPr>
    </w:p>
    <w:p w14:paraId="20E67F8C">
      <w:pPr>
        <w:pStyle w:val="13"/>
        <w:spacing w:before="30" w:beforeAutospacing="0" w:after="30" w:afterAutospacing="0" w:line="0" w:lineRule="atLeast"/>
        <w:ind w:right="480" w:firstLine="3720" w:firstLineChars="1550"/>
        <w:rPr>
          <w:rFonts w:hint="default" w:ascii="方正魏碑_GBK" w:hAnsi="方正魏碑_GBK" w:eastAsia="方正魏碑_GBK" w:cs="方正魏碑_GBK"/>
        </w:rPr>
      </w:pPr>
      <w:r>
        <w:rPr>
          <w:rFonts w:ascii="方正魏碑_GBK" w:hAnsi="方正魏碑_GBK" w:eastAsia="方正魏碑_GBK" w:cs="方正魏碑_GBK"/>
          <w:shd w:val="clear" w:color="auto" w:fill="FFFFFF"/>
        </w:rPr>
        <w:t>公司（单位）名称（盖章）：　        </w:t>
      </w:r>
    </w:p>
    <w:p w14:paraId="45B7CFC3">
      <w:pPr>
        <w:pStyle w:val="13"/>
        <w:spacing w:before="30" w:beforeAutospacing="0" w:after="30" w:afterAutospacing="0" w:line="0" w:lineRule="atLeast"/>
        <w:jc w:val="center"/>
        <w:rPr>
          <w:rFonts w:hint="default" w:ascii="方正魏碑_GBK" w:hAnsi="方正魏碑_GBK" w:eastAsia="方正魏碑_GBK" w:cs="方正魏碑_GBK"/>
        </w:rPr>
      </w:pPr>
      <w:r>
        <w:rPr>
          <w:rFonts w:ascii="方正魏碑_GBK" w:hAnsi="方正魏碑_GBK" w:eastAsia="方正魏碑_GBK" w:cs="方正魏碑_GBK"/>
          <w:shd w:val="clear" w:color="auto" w:fill="FFFFFF"/>
        </w:rPr>
        <w:t xml:space="preserve">                                日期：　   </w:t>
      </w:r>
      <w:r>
        <w:rPr>
          <w:rFonts w:ascii="微软雅黑" w:hAnsi="微软雅黑" w:eastAsia="微软雅黑" w:cs="微软雅黑"/>
          <w:shd w:val="clear" w:color="auto" w:fill="FFFFFF"/>
        </w:rPr>
        <w:t>年</w:t>
      </w:r>
      <w:r>
        <w:rPr>
          <w:rFonts w:ascii="方正魏碑_GBK" w:hAnsi="方正魏碑_GBK" w:eastAsia="方正魏碑_GBK" w:cs="方正魏碑_GBK"/>
          <w:shd w:val="clear" w:color="auto" w:fill="FFFFFF"/>
        </w:rPr>
        <w:t>　  </w:t>
      </w:r>
      <w:r>
        <w:rPr>
          <w:rFonts w:ascii="微软雅黑" w:hAnsi="微软雅黑" w:eastAsia="微软雅黑" w:cs="微软雅黑"/>
          <w:shd w:val="clear" w:color="auto" w:fill="FFFFFF"/>
        </w:rPr>
        <w:t>月　</w:t>
      </w:r>
      <w:r>
        <w:rPr>
          <w:rFonts w:ascii="方正魏碑_GBK" w:hAnsi="方正魏碑_GBK" w:eastAsia="方正魏碑_GBK" w:cs="方正魏碑_GBK"/>
          <w:shd w:val="clear" w:color="auto" w:fill="FFFFFF"/>
        </w:rPr>
        <w:t>  </w:t>
      </w:r>
      <w:r>
        <w:rPr>
          <w:rFonts w:ascii="微软雅黑" w:hAnsi="微软雅黑" w:eastAsia="微软雅黑" w:cs="微软雅黑"/>
          <w:shd w:val="clear" w:color="auto" w:fill="FFFFFF"/>
        </w:rPr>
        <w:t>日</w:t>
      </w:r>
      <w:r>
        <w:rPr>
          <w:rFonts w:ascii="方正魏碑_GBK" w:hAnsi="方正魏碑_GBK" w:eastAsia="方正魏碑_GBK" w:cs="方正魏碑_GBK"/>
          <w:shd w:val="clear" w:color="auto" w:fill="FFFFFF"/>
        </w:rPr>
        <w:t>         </w:t>
      </w:r>
    </w:p>
    <w:p w14:paraId="37AA44A1">
      <w:pPr>
        <w:pStyle w:val="13"/>
        <w:spacing w:before="30" w:beforeAutospacing="0" w:after="30" w:afterAutospacing="0" w:line="0" w:lineRule="atLeast"/>
        <w:rPr>
          <w:rFonts w:hint="default" w:ascii="方正魏碑_GBK" w:hAnsi="方正魏碑_GBK" w:eastAsia="方正魏碑_GBK" w:cs="方正魏碑_GBK"/>
        </w:rPr>
      </w:pPr>
      <w:r>
        <w:rPr>
          <w:rFonts w:ascii="方正魏碑_GBK" w:hAnsi="方正魏碑_GBK" w:eastAsia="方正魏碑_GBK" w:cs="方正魏碑_GBK"/>
          <w:shd w:val="clear" w:color="auto" w:fill="FFFFFF"/>
        </w:rPr>
        <w:t>__________________</w:t>
      </w:r>
    </w:p>
    <w:p w14:paraId="1A17B7B2">
      <w:pPr>
        <w:pStyle w:val="13"/>
        <w:spacing w:before="30" w:beforeAutospacing="0" w:after="30" w:afterAutospacing="0" w:line="0" w:lineRule="atLeast"/>
        <w:ind w:firstLine="440"/>
        <w:rPr>
          <w:rFonts w:hint="default" w:ascii="方正魏碑_GBK" w:hAnsi="方正魏碑_GBK" w:eastAsia="方正魏碑_GBK" w:cs="方正魏碑_GBK"/>
          <w:sz w:val="22"/>
        </w:rPr>
      </w:pPr>
      <w:r>
        <w:rPr>
          <w:rFonts w:ascii="方正魏碑_GBK" w:hAnsi="方正魏碑_GBK" w:eastAsia="方正魏碑_GBK" w:cs="方正魏碑_GBK"/>
          <w:sz w:val="22"/>
          <w:shd w:val="clear" w:color="auto" w:fill="FFFFFF"/>
        </w:rPr>
        <w:t>1.产品如有型号，请在“产品名称”栏一并填写。</w:t>
      </w:r>
    </w:p>
    <w:p w14:paraId="1AEEEE06">
      <w:pPr>
        <w:pStyle w:val="13"/>
        <w:spacing w:before="30" w:beforeAutospacing="0" w:after="30" w:afterAutospacing="0" w:line="0" w:lineRule="atLeast"/>
        <w:ind w:firstLine="440"/>
        <w:rPr>
          <w:rFonts w:hint="default" w:ascii="方正魏碑_GBK" w:hAnsi="方正魏碑_GBK" w:eastAsia="方正魏碑_GBK" w:cs="方正魏碑_GBK"/>
          <w:sz w:val="22"/>
        </w:rPr>
      </w:pPr>
      <w:r>
        <w:rPr>
          <w:rFonts w:ascii="方正魏碑_GBK" w:hAnsi="方正魏碑_GBK" w:eastAsia="方正魏碑_GBK" w:cs="方正魏碑_GBK"/>
          <w:sz w:val="22"/>
          <w:shd w:val="clear" w:color="auto" w:fill="FFFFFF"/>
        </w:rPr>
        <w:t>2.生产厂名与厂址应与生产厂营业执照载明的相关信息保持一致。</w:t>
      </w:r>
    </w:p>
    <w:p w14:paraId="5B2E2529">
      <w:pPr>
        <w:pStyle w:val="13"/>
        <w:spacing w:before="30" w:beforeAutospacing="0" w:after="30" w:afterAutospacing="0" w:line="0" w:lineRule="atLeast"/>
        <w:ind w:firstLine="440"/>
        <w:rPr>
          <w:rFonts w:hint="default" w:ascii="方正魏碑_GBK" w:hAnsi="方正魏碑_GBK" w:eastAsia="方正魏碑_GBK" w:cs="方正魏碑_GBK"/>
          <w:sz w:val="22"/>
        </w:rPr>
      </w:pPr>
      <w:r>
        <w:rPr>
          <w:rFonts w:ascii="方正魏碑_GBK" w:hAnsi="方正魏碑_GBK" w:eastAsia="方正魏碑_GBK" w:cs="方正魏碑_GBK"/>
          <w:sz w:val="22"/>
          <w:shd w:val="clear" w:color="auto" w:fill="FFFFFF"/>
        </w:rPr>
        <w:t>3.该产品的中国境内生产的组件成本占比相关要求实施前，“规定比例”栏可不填，下同。</w:t>
      </w:r>
    </w:p>
    <w:p w14:paraId="14546C97">
      <w:pPr>
        <w:pStyle w:val="13"/>
        <w:spacing w:before="30" w:beforeAutospacing="0" w:after="30" w:afterAutospacing="0" w:line="0" w:lineRule="atLeast"/>
        <w:ind w:firstLine="440"/>
        <w:rPr>
          <w:rFonts w:hint="default" w:ascii="方正魏碑_GBK" w:hAnsi="方正魏碑_GBK" w:eastAsia="方正魏碑_GBK" w:cs="方正魏碑_GBK"/>
          <w:sz w:val="22"/>
        </w:rPr>
      </w:pPr>
      <w:r>
        <w:rPr>
          <w:rFonts w:ascii="方正魏碑_GBK" w:hAnsi="方正魏碑_GBK" w:eastAsia="方正魏碑_GBK" w:cs="方正魏碑_GBK"/>
          <w:sz w:val="22"/>
          <w:shd w:val="clear" w:color="auto" w:fill="FFFFFF"/>
        </w:rPr>
        <w:t>4.该产品的关键组件要求实施前，“关键组件”栏可不填，下同。</w:t>
      </w:r>
    </w:p>
    <w:p w14:paraId="05D69667">
      <w:pPr>
        <w:pStyle w:val="13"/>
        <w:spacing w:before="30" w:beforeAutospacing="0" w:after="30" w:afterAutospacing="0" w:line="0" w:lineRule="atLeast"/>
        <w:ind w:firstLine="440"/>
        <w:rPr>
          <w:rFonts w:hint="default" w:ascii="方正魏碑_GBK" w:hAnsi="方正魏碑_GBK" w:eastAsia="方正魏碑_GBK" w:cs="方正魏碑_GBK"/>
          <w:sz w:val="22"/>
          <w:shd w:val="clear" w:color="auto" w:fill="FFFFFF"/>
        </w:rPr>
      </w:pPr>
      <w:r>
        <w:rPr>
          <w:rFonts w:ascii="方正魏碑_GBK" w:hAnsi="方正魏碑_GBK" w:eastAsia="方正魏碑_GBK" w:cs="方正魏碑_GBK"/>
          <w:sz w:val="22"/>
          <w:shd w:val="clear" w:color="auto" w:fill="FFFFFF"/>
        </w:rPr>
        <w:t>5.该产品的关键工序要求实施前，“关键工序”栏可不填，下同。</w:t>
      </w:r>
    </w:p>
    <w:p w14:paraId="1454B414">
      <w:pPr>
        <w:pStyle w:val="13"/>
        <w:spacing w:before="30" w:beforeAutospacing="0" w:after="30" w:afterAutospacing="0" w:line="0" w:lineRule="atLeast"/>
        <w:ind w:firstLine="440"/>
        <w:rPr>
          <w:rFonts w:hint="default" w:ascii="方正魏碑_GBK" w:hAnsi="方正魏碑_GBK" w:eastAsia="方正魏碑_GBK" w:cs="方正魏碑_GBK"/>
          <w:sz w:val="22"/>
          <w:shd w:val="clear" w:color="auto" w:fill="FFFFFF"/>
        </w:rPr>
      </w:pPr>
      <w:r>
        <w:rPr>
          <w:rFonts w:ascii="方正魏碑_GBK" w:hAnsi="方正魏碑_GBK" w:eastAsia="方正魏碑_GBK" w:cs="方正魏碑_GBK"/>
          <w:sz w:val="22"/>
          <w:shd w:val="clear" w:color="auto" w:fill="FFFFFF"/>
        </w:rPr>
        <w:t>6.用斜线划除的地方无需填写。</w:t>
      </w:r>
    </w:p>
    <w:p w14:paraId="108D21C2">
      <w:pPr>
        <w:snapToGrid w:val="0"/>
        <w:spacing w:line="300" w:lineRule="auto"/>
        <w:outlineLvl w:val="0"/>
        <w:rPr>
          <w:sz w:val="28"/>
          <w:szCs w:val="28"/>
        </w:rPr>
      </w:pPr>
    </w:p>
    <w:p w14:paraId="45345A5F">
      <w:pPr>
        <w:snapToGrid w:val="0"/>
        <w:spacing w:line="300" w:lineRule="auto"/>
        <w:outlineLvl w:val="0"/>
        <w:rPr>
          <w:rFonts w:ascii="Times New Roman" w:hAnsi="Times New Roman"/>
          <w:sz w:val="28"/>
          <w:szCs w:val="28"/>
        </w:rPr>
      </w:pPr>
    </w:p>
    <w:p w14:paraId="1D1E7E7F">
      <w:pPr>
        <w:rPr>
          <w:rFonts w:hint="eastAsia" w:ascii="仿宋" w:hAnsi="仿宋" w:eastAsia="仿宋" w:cs="仿宋"/>
          <w:bCs/>
          <w:color w:val="auto"/>
          <w:sz w:val="32"/>
          <w:szCs w:val="32"/>
          <w:highlight w:val="none"/>
          <w:lang w:bidi="ar"/>
        </w:rPr>
      </w:pPr>
      <w:r>
        <w:rPr>
          <w:rFonts w:hint="eastAsia" w:ascii="仿宋" w:hAnsi="仿宋" w:eastAsia="仿宋" w:cs="仿宋"/>
          <w:bCs/>
          <w:color w:val="auto"/>
          <w:sz w:val="32"/>
          <w:szCs w:val="32"/>
          <w:highlight w:val="none"/>
          <w:lang w:bidi="ar"/>
        </w:rPr>
        <w:br w:type="page"/>
      </w:r>
    </w:p>
    <w:p w14:paraId="075091E7">
      <w:pPr>
        <w:rPr>
          <w:rFonts w:hint="eastAsia" w:ascii="仿宋" w:hAnsi="仿宋" w:eastAsia="仿宋" w:cs="仿宋"/>
          <w:color w:val="auto"/>
          <w:sz w:val="32"/>
          <w:szCs w:val="32"/>
          <w:highlight w:val="none"/>
          <w:lang w:eastAsia="zh-CN"/>
        </w:rPr>
      </w:pPr>
      <w:r>
        <w:rPr>
          <w:rFonts w:hint="eastAsia" w:ascii="仿宋" w:hAnsi="仿宋" w:eastAsia="仿宋" w:cs="仿宋"/>
          <w:bCs/>
          <w:color w:val="auto"/>
          <w:sz w:val="32"/>
          <w:szCs w:val="32"/>
          <w:highlight w:val="none"/>
          <w:lang w:bidi="ar"/>
        </w:rPr>
        <w:t>附件1</w:t>
      </w:r>
      <w:r>
        <w:rPr>
          <w:rFonts w:hint="eastAsia" w:ascii="仿宋" w:hAnsi="仿宋" w:eastAsia="仿宋" w:cs="仿宋"/>
          <w:bCs/>
          <w:color w:val="auto"/>
          <w:sz w:val="32"/>
          <w:szCs w:val="32"/>
          <w:highlight w:val="none"/>
          <w:lang w:val="en-US" w:eastAsia="zh-CN" w:bidi="ar"/>
        </w:rPr>
        <w:t>7</w:t>
      </w:r>
    </w:p>
    <w:p w14:paraId="0A6AB8AE">
      <w:pPr>
        <w:ind w:firstLine="720"/>
        <w:jc w:val="center"/>
        <w:rPr>
          <w:rFonts w:hint="eastAsia" w:ascii="仿宋" w:hAnsi="仿宋" w:eastAsia="仿宋" w:cs="仿宋"/>
          <w:bCs/>
          <w:color w:val="auto"/>
          <w:sz w:val="36"/>
          <w:szCs w:val="36"/>
          <w:highlight w:val="none"/>
        </w:rPr>
      </w:pPr>
      <w:r>
        <w:rPr>
          <w:rFonts w:hint="eastAsia" w:ascii="仿宋" w:hAnsi="仿宋" w:eastAsia="仿宋" w:cs="仿宋"/>
          <w:bCs/>
          <w:color w:val="auto"/>
          <w:sz w:val="36"/>
          <w:szCs w:val="36"/>
          <w:highlight w:val="none"/>
        </w:rPr>
        <w:t>质疑函范本</w:t>
      </w:r>
    </w:p>
    <w:p w14:paraId="4830B521">
      <w:pPr>
        <w:adjustRightInd w:val="0"/>
        <w:snapToGrid w:val="0"/>
        <w:spacing w:before="312" w:beforeLines="100"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一、质疑供应商基本信息</w:t>
      </w:r>
    </w:p>
    <w:p w14:paraId="2E1571EA">
      <w:pPr>
        <w:adjustRightInd w:val="0"/>
        <w:snapToGrid w:val="0"/>
        <w:spacing w:line="312" w:lineRule="auto"/>
        <w:ind w:firstLine="560"/>
        <w:rPr>
          <w:rFonts w:hint="eastAsia" w:ascii="仿宋" w:hAnsi="仿宋" w:eastAsia="仿宋" w:cs="仿宋"/>
          <w:color w:val="auto"/>
          <w:sz w:val="28"/>
          <w:szCs w:val="28"/>
          <w:highlight w:val="none"/>
          <w:u w:val="dotted"/>
        </w:rPr>
      </w:pPr>
      <w:r>
        <w:rPr>
          <w:rFonts w:hint="eastAsia" w:ascii="仿宋" w:hAnsi="仿宋" w:eastAsia="仿宋" w:cs="仿宋"/>
          <w:color w:val="auto"/>
          <w:sz w:val="28"/>
          <w:szCs w:val="28"/>
          <w:highlight w:val="none"/>
        </w:rPr>
        <w:t>质疑供应商：</w:t>
      </w:r>
    </w:p>
    <w:p w14:paraId="0873D7C9">
      <w:pPr>
        <w:adjustRightInd w:val="0"/>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地址：邮编：</w:t>
      </w:r>
    </w:p>
    <w:p w14:paraId="61B38095">
      <w:pPr>
        <w:adjustRightInd w:val="0"/>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联系人：联系电话：</w:t>
      </w:r>
    </w:p>
    <w:p w14:paraId="40B044EF">
      <w:pPr>
        <w:adjustRightInd w:val="0"/>
        <w:snapToGrid w:val="0"/>
        <w:spacing w:line="312" w:lineRule="auto"/>
        <w:ind w:firstLine="560"/>
        <w:rPr>
          <w:rFonts w:hint="eastAsia" w:ascii="仿宋" w:hAnsi="仿宋" w:eastAsia="仿宋" w:cs="仿宋"/>
          <w:color w:val="auto"/>
          <w:sz w:val="28"/>
          <w:szCs w:val="28"/>
          <w:highlight w:val="none"/>
          <w:u w:val="dotted"/>
        </w:rPr>
      </w:pPr>
      <w:r>
        <w:rPr>
          <w:rFonts w:hint="eastAsia" w:ascii="仿宋" w:hAnsi="仿宋" w:eastAsia="仿宋" w:cs="仿宋"/>
          <w:color w:val="auto"/>
          <w:sz w:val="28"/>
          <w:szCs w:val="28"/>
          <w:highlight w:val="none"/>
        </w:rPr>
        <w:t>授权代表：</w:t>
      </w:r>
    </w:p>
    <w:p w14:paraId="39C1818E">
      <w:pPr>
        <w:adjustRightInd w:val="0"/>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p w14:paraId="6EB444C1">
      <w:pPr>
        <w:adjustRightInd w:val="0"/>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地址：邮编：</w:t>
      </w:r>
    </w:p>
    <w:p w14:paraId="4743DC2A">
      <w:pPr>
        <w:adjustRightInd w:val="0"/>
        <w:snapToGrid w:val="0"/>
        <w:spacing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二、质疑项目基本情况</w:t>
      </w:r>
    </w:p>
    <w:p w14:paraId="15B4D335">
      <w:pPr>
        <w:adjustRightInd w:val="0"/>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质疑项目的名称：</w:t>
      </w:r>
    </w:p>
    <w:p w14:paraId="3737D5CE">
      <w:pPr>
        <w:adjustRightInd w:val="0"/>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质疑项目的编号：包号：</w:t>
      </w:r>
    </w:p>
    <w:p w14:paraId="68B71E14">
      <w:pPr>
        <w:adjustRightInd w:val="0"/>
        <w:snapToGrid w:val="0"/>
        <w:spacing w:line="312" w:lineRule="auto"/>
        <w:ind w:firstLine="560"/>
        <w:rPr>
          <w:rFonts w:hint="eastAsia" w:ascii="仿宋" w:hAnsi="仿宋" w:eastAsia="仿宋" w:cs="仿宋"/>
          <w:color w:val="auto"/>
          <w:sz w:val="28"/>
          <w:szCs w:val="28"/>
          <w:highlight w:val="none"/>
          <w:u w:val="dotted"/>
        </w:rPr>
      </w:pPr>
      <w:r>
        <w:rPr>
          <w:rFonts w:hint="eastAsia" w:ascii="仿宋" w:hAnsi="仿宋" w:eastAsia="仿宋" w:cs="仿宋"/>
          <w:color w:val="auto"/>
          <w:sz w:val="28"/>
          <w:szCs w:val="28"/>
          <w:highlight w:val="none"/>
        </w:rPr>
        <w:t>采购人名称：</w:t>
      </w:r>
    </w:p>
    <w:p w14:paraId="20BB6242">
      <w:pPr>
        <w:adjustRightInd w:val="0"/>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采购文件获取日期：</w:t>
      </w:r>
    </w:p>
    <w:p w14:paraId="5CEDEBA3">
      <w:pPr>
        <w:adjustRightInd w:val="0"/>
        <w:snapToGrid w:val="0"/>
        <w:spacing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三、质疑事项具体内容</w:t>
      </w:r>
    </w:p>
    <w:p w14:paraId="0D61D0B4">
      <w:pPr>
        <w:adjustRightInd w:val="0"/>
        <w:snapToGrid w:val="0"/>
        <w:spacing w:line="312" w:lineRule="auto"/>
        <w:ind w:firstLine="560"/>
        <w:rPr>
          <w:rFonts w:hint="eastAsia" w:ascii="仿宋" w:hAnsi="仿宋" w:eastAsia="仿宋" w:cs="仿宋"/>
          <w:color w:val="auto"/>
          <w:sz w:val="28"/>
          <w:szCs w:val="28"/>
          <w:highlight w:val="none"/>
          <w:u w:val="dotted"/>
        </w:rPr>
      </w:pPr>
      <w:r>
        <w:rPr>
          <w:rFonts w:hint="eastAsia" w:ascii="仿宋" w:hAnsi="仿宋" w:eastAsia="仿宋" w:cs="仿宋"/>
          <w:color w:val="auto"/>
          <w:sz w:val="28"/>
          <w:szCs w:val="28"/>
          <w:highlight w:val="none"/>
        </w:rPr>
        <w:t>质疑事项1：</w:t>
      </w:r>
    </w:p>
    <w:p w14:paraId="705072C9">
      <w:pPr>
        <w:adjustRightInd w:val="0"/>
        <w:snapToGrid w:val="0"/>
        <w:spacing w:line="312" w:lineRule="auto"/>
        <w:ind w:firstLine="560"/>
        <w:rPr>
          <w:rFonts w:hint="eastAsia" w:ascii="仿宋" w:hAnsi="仿宋" w:eastAsia="仿宋" w:cs="仿宋"/>
          <w:color w:val="auto"/>
          <w:sz w:val="28"/>
          <w:szCs w:val="28"/>
          <w:highlight w:val="none"/>
          <w:u w:val="dotted"/>
        </w:rPr>
      </w:pPr>
      <w:r>
        <w:rPr>
          <w:rFonts w:hint="eastAsia" w:ascii="仿宋" w:hAnsi="仿宋" w:eastAsia="仿宋" w:cs="仿宋"/>
          <w:color w:val="auto"/>
          <w:sz w:val="28"/>
          <w:szCs w:val="28"/>
          <w:highlight w:val="none"/>
        </w:rPr>
        <w:t>事实依据：</w:t>
      </w:r>
    </w:p>
    <w:p w14:paraId="5FAD2CC2">
      <w:pPr>
        <w:adjustRightInd w:val="0"/>
        <w:snapToGrid w:val="0"/>
        <w:spacing w:line="312" w:lineRule="auto"/>
        <w:ind w:firstLine="560"/>
        <w:rPr>
          <w:rFonts w:hint="eastAsia" w:ascii="仿宋" w:hAnsi="仿宋" w:eastAsia="仿宋" w:cs="仿宋"/>
          <w:color w:val="auto"/>
          <w:sz w:val="28"/>
          <w:szCs w:val="28"/>
          <w:highlight w:val="none"/>
        </w:rPr>
      </w:pPr>
    </w:p>
    <w:p w14:paraId="4884CBED">
      <w:pPr>
        <w:adjustRightInd w:val="0"/>
        <w:snapToGrid w:val="0"/>
        <w:spacing w:line="312" w:lineRule="auto"/>
        <w:ind w:firstLine="560"/>
        <w:rPr>
          <w:rFonts w:hint="eastAsia" w:ascii="仿宋" w:hAnsi="仿宋" w:eastAsia="仿宋" w:cs="仿宋"/>
          <w:color w:val="auto"/>
          <w:sz w:val="28"/>
          <w:szCs w:val="28"/>
          <w:highlight w:val="none"/>
          <w:u w:val="dotted"/>
        </w:rPr>
      </w:pPr>
      <w:r>
        <w:rPr>
          <w:rFonts w:hint="eastAsia" w:ascii="仿宋" w:hAnsi="仿宋" w:eastAsia="仿宋" w:cs="仿宋"/>
          <w:color w:val="auto"/>
          <w:sz w:val="28"/>
          <w:szCs w:val="28"/>
          <w:highlight w:val="none"/>
        </w:rPr>
        <w:t>法律依据：</w:t>
      </w:r>
    </w:p>
    <w:p w14:paraId="3CDA0F15">
      <w:pPr>
        <w:adjustRightInd w:val="0"/>
        <w:snapToGrid w:val="0"/>
        <w:spacing w:line="312" w:lineRule="auto"/>
        <w:ind w:firstLine="560"/>
        <w:rPr>
          <w:rFonts w:hint="eastAsia" w:ascii="仿宋" w:hAnsi="仿宋" w:eastAsia="仿宋" w:cs="仿宋"/>
          <w:color w:val="auto"/>
          <w:sz w:val="28"/>
          <w:szCs w:val="28"/>
          <w:highlight w:val="none"/>
          <w:u w:val="dotted"/>
        </w:rPr>
      </w:pPr>
    </w:p>
    <w:p w14:paraId="1C063E00">
      <w:pPr>
        <w:adjustRightInd w:val="0"/>
        <w:snapToGrid w:val="0"/>
        <w:spacing w:line="312" w:lineRule="auto"/>
        <w:ind w:firstLine="560"/>
        <w:rPr>
          <w:rFonts w:hint="eastAsia" w:ascii="仿宋" w:hAnsi="仿宋" w:eastAsia="仿宋" w:cs="仿宋"/>
          <w:color w:val="auto"/>
          <w:sz w:val="28"/>
          <w:szCs w:val="28"/>
          <w:highlight w:val="none"/>
          <w:u w:val="dotted"/>
        </w:rPr>
      </w:pPr>
      <w:r>
        <w:rPr>
          <w:rFonts w:hint="eastAsia" w:ascii="仿宋" w:hAnsi="仿宋" w:eastAsia="仿宋" w:cs="仿宋"/>
          <w:color w:val="auto"/>
          <w:sz w:val="28"/>
          <w:szCs w:val="28"/>
          <w:highlight w:val="none"/>
        </w:rPr>
        <w:t>质疑事项2</w:t>
      </w:r>
    </w:p>
    <w:p w14:paraId="032ABE4E">
      <w:pPr>
        <w:adjustRightInd w:val="0"/>
        <w:snapToGrid w:val="0"/>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p w14:paraId="50F5F7E1">
      <w:pPr>
        <w:adjustRightInd w:val="0"/>
        <w:snapToGrid w:val="0"/>
        <w:spacing w:line="312" w:lineRule="auto"/>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四、与质疑事项相关的质疑请求</w:t>
      </w:r>
    </w:p>
    <w:p w14:paraId="1C202544">
      <w:pPr>
        <w:adjustRightInd w:val="0"/>
        <w:snapToGrid w:val="0"/>
        <w:spacing w:line="312" w:lineRule="auto"/>
        <w:ind w:firstLine="560"/>
        <w:rPr>
          <w:rFonts w:hint="eastAsia" w:ascii="仿宋" w:hAnsi="仿宋" w:eastAsia="仿宋" w:cs="仿宋"/>
          <w:color w:val="auto"/>
          <w:sz w:val="28"/>
          <w:szCs w:val="28"/>
          <w:highlight w:val="none"/>
          <w:u w:val="dotted"/>
        </w:rPr>
      </w:pPr>
      <w:r>
        <w:rPr>
          <w:rFonts w:hint="eastAsia" w:ascii="仿宋" w:hAnsi="仿宋" w:eastAsia="仿宋" w:cs="仿宋"/>
          <w:color w:val="auto"/>
          <w:sz w:val="28"/>
          <w:szCs w:val="28"/>
          <w:highlight w:val="none"/>
        </w:rPr>
        <w:t>请求：</w:t>
      </w:r>
    </w:p>
    <w:p w14:paraId="03BEF93D">
      <w:pPr>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签字(签章)：                   公章：                      </w:t>
      </w:r>
    </w:p>
    <w:p w14:paraId="4270A6A2">
      <w:pPr>
        <w:spacing w:line="312"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日期：    </w:t>
      </w:r>
    </w:p>
    <w:p w14:paraId="58BCC36B">
      <w:pPr>
        <w:adjustRightInd w:val="0"/>
        <w:snapToGrid w:val="0"/>
        <w:spacing w:line="288" w:lineRule="auto"/>
        <w:ind w:firstLine="560"/>
        <w:rPr>
          <w:rFonts w:hint="eastAsia" w:ascii="仿宋" w:hAnsi="仿宋" w:eastAsia="仿宋" w:cs="仿宋"/>
          <w:color w:val="auto"/>
          <w:sz w:val="28"/>
          <w:szCs w:val="28"/>
          <w:highlight w:val="none"/>
        </w:rPr>
      </w:pPr>
    </w:p>
    <w:p w14:paraId="168FDCF9">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0F5610DD">
      <w:pPr>
        <w:ind w:firstLine="560"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质疑函制作说明：</w:t>
      </w:r>
    </w:p>
    <w:p w14:paraId="1E2D5032">
      <w:pPr>
        <w:widowControl/>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1.供应商提出质疑时，应提交质疑函和必要的证明材料。</w:t>
      </w:r>
    </w:p>
    <w:p w14:paraId="64F75167">
      <w:pPr>
        <w:widowControl/>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2.质疑供应商若委托代理人进行质疑的，质疑函应按要求列明“授权代表”的有关内容，并在附件中提交由质疑</w:t>
      </w:r>
      <w:r>
        <w:rPr>
          <w:rFonts w:hint="eastAsia" w:ascii="仿宋" w:hAnsi="仿宋" w:eastAsia="仿宋" w:cs="仿宋"/>
          <w:color w:val="auto"/>
          <w:kern w:val="0"/>
          <w:sz w:val="28"/>
          <w:szCs w:val="28"/>
          <w:highlight w:val="none"/>
        </w:rPr>
        <w:t>供应商签署的授权委托书。授权委托书应载明代理人的姓名或者名称、代理事项、具体权限、期限和相关事项。</w:t>
      </w:r>
    </w:p>
    <w:p w14:paraId="7F2F205B">
      <w:pPr>
        <w:widowControl/>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3.质疑供应商若对项目的某一分包进行质疑，质疑函中应列明具体分包号。</w:t>
      </w:r>
    </w:p>
    <w:p w14:paraId="1D50F09B">
      <w:pPr>
        <w:widowControl/>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4.质疑函的质疑事项应具体、明确，并有必要的事实依据和法律依据。</w:t>
      </w:r>
    </w:p>
    <w:p w14:paraId="1E93B508">
      <w:pPr>
        <w:widowControl/>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5.质疑函的质疑请求应与质疑事项相关。</w:t>
      </w:r>
    </w:p>
    <w:p w14:paraId="23C4EE05">
      <w:pPr>
        <w:widowControl/>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048FBA1A">
      <w:pPr>
        <w:snapToGrid w:val="0"/>
        <w:spacing w:line="300" w:lineRule="auto"/>
        <w:ind w:firstLine="560"/>
        <w:outlineLvl w:val="0"/>
        <w:rPr>
          <w:rFonts w:ascii="宋体" w:hAnsi="宋体" w:cs="宋体"/>
          <w:color w:val="auto"/>
          <w:sz w:val="28"/>
          <w:szCs w:val="28"/>
          <w:highlight w:val="none"/>
        </w:rPr>
      </w:pPr>
    </w:p>
    <w:p w14:paraId="0343B152">
      <w:pPr>
        <w:snapToGrid w:val="0"/>
        <w:spacing w:line="300" w:lineRule="auto"/>
        <w:ind w:firstLine="560"/>
        <w:outlineLvl w:val="0"/>
        <w:rPr>
          <w:rFonts w:ascii="宋体" w:hAnsi="宋体" w:cs="宋体"/>
          <w:color w:val="auto"/>
          <w:sz w:val="28"/>
          <w:szCs w:val="28"/>
          <w:highlight w:val="none"/>
        </w:rPr>
      </w:pPr>
    </w:p>
    <w:p w14:paraId="321E4F19">
      <w:pPr>
        <w:spacing w:line="312" w:lineRule="auto"/>
        <w:ind w:firstLine="560"/>
        <w:rPr>
          <w:rFonts w:ascii="宋体" w:hAnsi="宋体" w:cs="宋体"/>
          <w:color w:val="auto"/>
          <w:sz w:val="28"/>
          <w:szCs w:val="28"/>
          <w:highlight w:val="none"/>
        </w:rPr>
      </w:pPr>
    </w:p>
    <w:p w14:paraId="1C7426E9">
      <w:pPr>
        <w:rPr>
          <w:rFonts w:hint="eastAsia" w:ascii="仿宋" w:hAnsi="仿宋" w:eastAsia="仿宋" w:cs="仿宋"/>
          <w:highlight w:val="none"/>
          <w:lang w:val="zh-CN"/>
        </w:rPr>
      </w:pPr>
    </w:p>
    <w:p w14:paraId="11E6376E">
      <w:pPr>
        <w:pStyle w:val="2"/>
        <w:rPr>
          <w:rFonts w:hint="eastAsia" w:ascii="仿宋" w:hAnsi="仿宋" w:eastAsia="仿宋" w:cs="仿宋"/>
          <w:highlight w:val="none"/>
          <w:lang w:val="zh-CN"/>
        </w:rPr>
        <w:sectPr>
          <w:footerReference r:id="rId7" w:type="default"/>
          <w:footerReference r:id="rId8" w:type="even"/>
          <w:pgSz w:w="11915" w:h="16840"/>
          <w:pgMar w:top="1440" w:right="1758" w:bottom="567" w:left="1758" w:header="851" w:footer="850" w:gutter="0"/>
          <w:pgNumType w:fmt="decimal"/>
          <w:cols w:space="720" w:num="1"/>
          <w:docGrid w:type="linesAndChars" w:linePitch="312" w:charSpace="0"/>
        </w:sectPr>
      </w:pPr>
    </w:p>
    <w:p w14:paraId="5A28D9D3">
      <w:pPr>
        <w:shd w:val="clear" w:color="auto" w:fill="auto"/>
        <w:spacing w:line="16" w:lineRule="atLeast"/>
        <w:jc w:val="left"/>
        <w:outlineLvl w:val="1"/>
        <w:rPr>
          <w:rFonts w:hint="eastAsia" w:ascii="宋体" w:hAnsi="宋体" w:eastAsia="宋体"/>
          <w:b/>
          <w:kern w:val="44"/>
          <w:sz w:val="28"/>
          <w:highlight w:val="none"/>
          <w:lang w:eastAsia="zh-CN"/>
        </w:rPr>
      </w:pPr>
      <w:r>
        <w:rPr>
          <w:rFonts w:hint="eastAsia" w:ascii="宋体" w:hAnsi="宋体"/>
          <w:b/>
          <w:kern w:val="44"/>
          <w:sz w:val="28"/>
          <w:highlight w:val="none"/>
        </w:rPr>
        <w:t>附表</w:t>
      </w:r>
      <w:r>
        <w:rPr>
          <w:rFonts w:hint="eastAsia" w:ascii="宋体" w:hAnsi="宋体"/>
          <w:b/>
          <w:kern w:val="44"/>
          <w:sz w:val="28"/>
          <w:highlight w:val="none"/>
          <w:lang w:val="en-US" w:eastAsia="zh-CN"/>
        </w:rPr>
        <w:t>1</w:t>
      </w:r>
    </w:p>
    <w:p w14:paraId="41840122">
      <w:pPr>
        <w:shd w:val="clear" w:color="auto" w:fill="auto"/>
        <w:spacing w:line="16" w:lineRule="atLeast"/>
        <w:jc w:val="left"/>
        <w:rPr>
          <w:rFonts w:hint="eastAsia" w:ascii="Times New Roman" w:hAnsi="Times New Roman" w:eastAsia="宋体" w:cs="Times New Roman"/>
          <w:b/>
          <w:kern w:val="44"/>
          <w:sz w:val="24"/>
          <w:highlight w:val="none"/>
        </w:rPr>
      </w:pPr>
    </w:p>
    <w:p w14:paraId="65E52969">
      <w:pPr>
        <w:shd w:val="clear" w:color="auto" w:fill="auto"/>
        <w:jc w:val="center"/>
        <w:rPr>
          <w:rFonts w:hint="eastAsia" w:ascii="宋体" w:hAnsi="宋体" w:eastAsia="宋体" w:cs="Times New Roman"/>
          <w:b/>
          <w:color w:val="000000"/>
          <w:kern w:val="0"/>
          <w:sz w:val="28"/>
          <w:highlight w:val="none"/>
        </w:rPr>
      </w:pPr>
      <w:r>
        <w:rPr>
          <w:rFonts w:hint="eastAsia" w:ascii="宋体" w:hAnsi="宋体" w:eastAsia="宋体" w:cs="Times New Roman"/>
          <w:b/>
          <w:color w:val="000000"/>
          <w:kern w:val="0"/>
          <w:sz w:val="28"/>
          <w:highlight w:val="none"/>
        </w:rPr>
        <w:t>导地线类物资Ｋ值一览表</w:t>
      </w:r>
    </w:p>
    <w:tbl>
      <w:tblPr>
        <w:tblStyle w:val="27"/>
        <w:tblW w:w="1423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2"/>
        <w:gridCol w:w="3480"/>
        <w:gridCol w:w="1590"/>
        <w:gridCol w:w="1160"/>
        <w:gridCol w:w="880"/>
        <w:gridCol w:w="950"/>
        <w:gridCol w:w="1420"/>
        <w:gridCol w:w="1920"/>
        <w:gridCol w:w="2042"/>
      </w:tblGrid>
      <w:tr w14:paraId="0B68D83E">
        <w:tblPrEx>
          <w:tblLayout w:type="fixed"/>
        </w:tblPrEx>
        <w:trPr>
          <w:trHeight w:val="0" w:hRule="atLeast"/>
          <w:jc w:val="center"/>
        </w:trPr>
        <w:tc>
          <w:tcPr>
            <w:tcW w:w="792" w:type="dxa"/>
            <w:tcBorders>
              <w:top w:val="single" w:color="auto" w:sz="6" w:space="0"/>
              <w:left w:val="single" w:color="auto" w:sz="6" w:space="0"/>
              <w:bottom w:val="single" w:color="auto" w:sz="6" w:space="0"/>
              <w:right w:val="single" w:color="auto" w:sz="6" w:space="0"/>
            </w:tcBorders>
            <w:vAlign w:val="center"/>
          </w:tcPr>
          <w:p w14:paraId="14164159">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b/>
                <w:color w:val="000000"/>
                <w:sz w:val="20"/>
                <w:szCs w:val="22"/>
                <w:highlight w:val="none"/>
                <w:lang w:eastAsia="zh-CN"/>
              </w:rPr>
            </w:pPr>
            <w:r>
              <w:rPr>
                <w:rFonts w:hint="eastAsia" w:ascii="宋体" w:hAnsi="宋体" w:eastAsia="宋体" w:cs="Times New Roman"/>
                <w:b/>
                <w:color w:val="000000"/>
                <w:sz w:val="20"/>
                <w:szCs w:val="22"/>
                <w:highlight w:val="none"/>
                <w:lang w:val="en-US" w:eastAsia="zh-CN"/>
              </w:rPr>
              <w:t>序号</w:t>
            </w:r>
          </w:p>
        </w:tc>
        <w:tc>
          <w:tcPr>
            <w:tcW w:w="3480" w:type="dxa"/>
            <w:tcBorders>
              <w:top w:val="single" w:color="auto" w:sz="6" w:space="0"/>
              <w:left w:val="single" w:color="auto" w:sz="6" w:space="0"/>
              <w:bottom w:val="single" w:color="auto" w:sz="6" w:space="0"/>
              <w:right w:val="single" w:color="auto" w:sz="6" w:space="0"/>
            </w:tcBorders>
            <w:vAlign w:val="center"/>
          </w:tcPr>
          <w:p w14:paraId="41CD7713">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b/>
                <w:color w:val="000000"/>
                <w:sz w:val="20"/>
                <w:szCs w:val="22"/>
                <w:highlight w:val="none"/>
              </w:rPr>
            </w:pPr>
            <w:r>
              <w:rPr>
                <w:rFonts w:hint="eastAsia" w:ascii="宋体" w:hAnsi="宋体" w:eastAsia="宋体" w:cs="Times New Roman"/>
                <w:b/>
                <w:color w:val="000000"/>
                <w:sz w:val="20"/>
                <w:szCs w:val="22"/>
                <w:highlight w:val="none"/>
              </w:rPr>
              <w:t>物料描述</w:t>
            </w:r>
          </w:p>
        </w:tc>
        <w:tc>
          <w:tcPr>
            <w:tcW w:w="1590" w:type="dxa"/>
            <w:tcBorders>
              <w:top w:val="single" w:color="auto" w:sz="6" w:space="0"/>
              <w:left w:val="single" w:color="auto" w:sz="6" w:space="0"/>
              <w:bottom w:val="single" w:color="auto" w:sz="6" w:space="0"/>
              <w:right w:val="single" w:color="auto" w:sz="6" w:space="0"/>
            </w:tcBorders>
            <w:vAlign w:val="center"/>
          </w:tcPr>
          <w:p w14:paraId="3D363DEA">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b/>
                <w:color w:val="000000"/>
                <w:sz w:val="20"/>
                <w:szCs w:val="22"/>
                <w:highlight w:val="none"/>
              </w:rPr>
            </w:pPr>
            <w:r>
              <w:rPr>
                <w:rFonts w:hint="eastAsia" w:ascii="宋体" w:hAnsi="宋体" w:eastAsia="宋体" w:cs="Times New Roman"/>
                <w:b/>
                <w:color w:val="000000"/>
                <w:sz w:val="20"/>
                <w:szCs w:val="22"/>
                <w:highlight w:val="none"/>
              </w:rPr>
              <w:t>小类描述</w:t>
            </w:r>
          </w:p>
        </w:tc>
        <w:tc>
          <w:tcPr>
            <w:tcW w:w="1160" w:type="dxa"/>
            <w:tcBorders>
              <w:top w:val="single" w:color="auto" w:sz="6" w:space="0"/>
              <w:left w:val="single" w:color="auto" w:sz="6" w:space="0"/>
              <w:bottom w:val="single" w:color="auto" w:sz="6" w:space="0"/>
              <w:right w:val="single" w:color="auto" w:sz="6" w:space="0"/>
            </w:tcBorders>
            <w:vAlign w:val="center"/>
          </w:tcPr>
          <w:p w14:paraId="66A4AC6C">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b/>
                <w:color w:val="000000"/>
                <w:sz w:val="20"/>
                <w:szCs w:val="22"/>
                <w:highlight w:val="none"/>
              </w:rPr>
            </w:pPr>
            <w:r>
              <w:rPr>
                <w:rFonts w:hint="eastAsia" w:ascii="宋体" w:hAnsi="宋体" w:eastAsia="宋体" w:cs="Times New Roman"/>
                <w:b/>
                <w:color w:val="000000"/>
                <w:sz w:val="20"/>
                <w:szCs w:val="22"/>
                <w:highlight w:val="none"/>
              </w:rPr>
              <w:t>计量单位</w:t>
            </w:r>
          </w:p>
        </w:tc>
        <w:tc>
          <w:tcPr>
            <w:tcW w:w="880" w:type="dxa"/>
            <w:tcBorders>
              <w:top w:val="single" w:color="auto" w:sz="6" w:space="0"/>
              <w:left w:val="single" w:color="auto" w:sz="6" w:space="0"/>
              <w:bottom w:val="single" w:color="auto" w:sz="6" w:space="0"/>
              <w:right w:val="single" w:color="auto" w:sz="6" w:space="0"/>
            </w:tcBorders>
            <w:vAlign w:val="center"/>
          </w:tcPr>
          <w:p w14:paraId="41F59506">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b/>
                <w:color w:val="000000"/>
                <w:sz w:val="20"/>
                <w:szCs w:val="22"/>
                <w:highlight w:val="none"/>
              </w:rPr>
            </w:pPr>
            <w:r>
              <w:rPr>
                <w:rFonts w:hint="eastAsia" w:ascii="宋体" w:hAnsi="宋体" w:eastAsia="宋体" w:cs="Times New Roman"/>
                <w:b/>
                <w:color w:val="000000"/>
                <w:sz w:val="20"/>
                <w:szCs w:val="22"/>
                <w:highlight w:val="none"/>
              </w:rPr>
              <w:t>芯数</w:t>
            </w:r>
          </w:p>
        </w:tc>
        <w:tc>
          <w:tcPr>
            <w:tcW w:w="950" w:type="dxa"/>
            <w:tcBorders>
              <w:top w:val="single" w:color="auto" w:sz="6" w:space="0"/>
              <w:left w:val="single" w:color="auto" w:sz="6" w:space="0"/>
              <w:bottom w:val="single" w:color="auto" w:sz="6" w:space="0"/>
              <w:right w:val="single" w:color="auto" w:sz="6" w:space="0"/>
            </w:tcBorders>
            <w:vAlign w:val="center"/>
          </w:tcPr>
          <w:p w14:paraId="098E1610">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b/>
                <w:color w:val="000000"/>
                <w:sz w:val="20"/>
                <w:szCs w:val="22"/>
                <w:highlight w:val="none"/>
              </w:rPr>
            </w:pPr>
            <w:r>
              <w:rPr>
                <w:rFonts w:hint="eastAsia" w:ascii="宋体" w:hAnsi="宋体" w:eastAsia="宋体" w:cs="Times New Roman"/>
                <w:b/>
                <w:color w:val="000000"/>
                <w:sz w:val="20"/>
                <w:szCs w:val="22"/>
                <w:highlight w:val="none"/>
              </w:rPr>
              <w:t>截面</w:t>
            </w:r>
          </w:p>
        </w:tc>
        <w:tc>
          <w:tcPr>
            <w:tcW w:w="1420" w:type="dxa"/>
            <w:tcBorders>
              <w:top w:val="single" w:color="auto" w:sz="6" w:space="0"/>
              <w:left w:val="single" w:color="auto" w:sz="6" w:space="0"/>
              <w:bottom w:val="single" w:color="auto" w:sz="6" w:space="0"/>
              <w:right w:val="single" w:color="auto" w:sz="6" w:space="0"/>
            </w:tcBorders>
            <w:vAlign w:val="center"/>
          </w:tcPr>
          <w:p w14:paraId="19B1F90C">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b/>
                <w:color w:val="000000"/>
                <w:sz w:val="20"/>
                <w:szCs w:val="22"/>
                <w:highlight w:val="none"/>
              </w:rPr>
            </w:pPr>
            <w:r>
              <w:rPr>
                <w:rFonts w:hint="eastAsia" w:ascii="宋体" w:hAnsi="宋体" w:eastAsia="宋体" w:cs="Times New Roman"/>
                <w:b/>
                <w:color w:val="000000"/>
                <w:sz w:val="20"/>
                <w:szCs w:val="22"/>
                <w:highlight w:val="none"/>
              </w:rPr>
              <w:t>联动原材料</w:t>
            </w:r>
          </w:p>
        </w:tc>
        <w:tc>
          <w:tcPr>
            <w:tcW w:w="1920" w:type="dxa"/>
            <w:tcBorders>
              <w:top w:val="single" w:color="auto" w:sz="6" w:space="0"/>
              <w:left w:val="single" w:color="auto" w:sz="6" w:space="0"/>
              <w:bottom w:val="single" w:color="auto" w:sz="6" w:space="0"/>
              <w:right w:val="single" w:color="auto" w:sz="6" w:space="0"/>
            </w:tcBorders>
            <w:vAlign w:val="center"/>
          </w:tcPr>
          <w:p w14:paraId="6E760406">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b/>
                <w:color w:val="000000"/>
                <w:sz w:val="20"/>
                <w:szCs w:val="22"/>
                <w:highlight w:val="none"/>
              </w:rPr>
            </w:pPr>
            <w:r>
              <w:rPr>
                <w:rFonts w:hint="eastAsia" w:ascii="宋体" w:hAnsi="宋体" w:eastAsia="宋体" w:cs="Times New Roman"/>
                <w:b/>
                <w:color w:val="000000"/>
                <w:sz w:val="20"/>
                <w:szCs w:val="22"/>
                <w:highlight w:val="none"/>
              </w:rPr>
              <w:t>原材料型号</w:t>
            </w:r>
          </w:p>
        </w:tc>
        <w:tc>
          <w:tcPr>
            <w:tcW w:w="2042" w:type="dxa"/>
            <w:tcBorders>
              <w:top w:val="single" w:color="auto" w:sz="6" w:space="0"/>
              <w:left w:val="single" w:color="auto" w:sz="6" w:space="0"/>
              <w:bottom w:val="single" w:color="auto" w:sz="6" w:space="0"/>
              <w:right w:val="single" w:color="auto" w:sz="6" w:space="0"/>
            </w:tcBorders>
            <w:vAlign w:val="center"/>
          </w:tcPr>
          <w:p w14:paraId="7DACC352">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b/>
                <w:color w:val="000000"/>
                <w:sz w:val="20"/>
                <w:szCs w:val="22"/>
                <w:highlight w:val="none"/>
              </w:rPr>
            </w:pPr>
            <w:r>
              <w:rPr>
                <w:rFonts w:hint="eastAsia" w:ascii="宋体" w:hAnsi="宋体" w:eastAsia="宋体" w:cs="Times New Roman"/>
                <w:b/>
                <w:color w:val="000000"/>
                <w:sz w:val="20"/>
                <w:szCs w:val="22"/>
                <w:highlight w:val="none"/>
              </w:rPr>
              <w:t>系数K（kg/计量单位）</w:t>
            </w:r>
          </w:p>
        </w:tc>
      </w:tr>
      <w:tr w14:paraId="3DF795CE">
        <w:tblPrEx>
          <w:tblLayout w:type="fixed"/>
        </w:tblPrEx>
        <w:trPr>
          <w:trHeight w:val="0" w:hRule="atLeast"/>
          <w:jc w:val="center"/>
        </w:trPr>
        <w:tc>
          <w:tcPr>
            <w:tcW w:w="792" w:type="dxa"/>
            <w:tcBorders>
              <w:top w:val="single" w:color="auto" w:sz="6" w:space="0"/>
              <w:left w:val="single" w:color="auto" w:sz="6" w:space="0"/>
              <w:bottom w:val="single" w:color="auto" w:sz="6" w:space="0"/>
              <w:right w:val="single" w:color="auto" w:sz="6" w:space="0"/>
            </w:tcBorders>
            <w:vAlign w:val="center"/>
          </w:tcPr>
          <w:p w14:paraId="6AFB2D65">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color w:val="000000"/>
                <w:sz w:val="20"/>
                <w:szCs w:val="22"/>
                <w:highlight w:val="none"/>
                <w:lang w:val="en-US" w:eastAsia="zh-CN"/>
              </w:rPr>
            </w:pPr>
            <w:r>
              <w:rPr>
                <w:rFonts w:hint="eastAsia" w:ascii="宋体" w:hAnsi="宋体" w:eastAsia="宋体" w:cs="Times New Roman"/>
                <w:color w:val="000000"/>
                <w:sz w:val="20"/>
                <w:szCs w:val="22"/>
                <w:highlight w:val="none"/>
                <w:lang w:val="en-US" w:eastAsia="zh-CN"/>
              </w:rPr>
              <w:t>1</w:t>
            </w:r>
          </w:p>
        </w:tc>
        <w:tc>
          <w:tcPr>
            <w:tcW w:w="3480" w:type="dxa"/>
            <w:tcBorders>
              <w:top w:val="single" w:color="auto" w:sz="6" w:space="0"/>
              <w:left w:val="single" w:color="auto" w:sz="6" w:space="0"/>
              <w:bottom w:val="single" w:color="auto" w:sz="6" w:space="0"/>
              <w:right w:val="single" w:color="auto" w:sz="6" w:space="0"/>
            </w:tcBorders>
            <w:vAlign w:val="center"/>
          </w:tcPr>
          <w:p w14:paraId="593627A6">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color w:val="000000"/>
                <w:sz w:val="20"/>
                <w:szCs w:val="22"/>
                <w:highlight w:val="none"/>
              </w:rPr>
            </w:pPr>
            <w:r>
              <w:rPr>
                <w:rFonts w:hint="eastAsia" w:ascii="宋体" w:hAnsi="宋体" w:eastAsia="宋体" w:cs="Times New Roman"/>
                <w:color w:val="000000"/>
                <w:sz w:val="20"/>
                <w:szCs w:val="22"/>
                <w:highlight w:val="none"/>
              </w:rPr>
              <w:t>电力电缆, YJV, 铜, 5×16</w:t>
            </w:r>
          </w:p>
        </w:tc>
        <w:tc>
          <w:tcPr>
            <w:tcW w:w="1590" w:type="dxa"/>
            <w:tcBorders>
              <w:top w:val="single" w:color="auto" w:sz="6" w:space="0"/>
              <w:left w:val="single" w:color="auto" w:sz="6" w:space="0"/>
              <w:bottom w:val="single" w:color="auto" w:sz="6" w:space="0"/>
              <w:right w:val="single" w:color="auto" w:sz="6" w:space="0"/>
            </w:tcBorders>
            <w:vAlign w:val="center"/>
          </w:tcPr>
          <w:p w14:paraId="69230AE3">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color w:val="000000"/>
                <w:sz w:val="20"/>
                <w:szCs w:val="22"/>
                <w:highlight w:val="none"/>
                <w:lang w:eastAsia="zh-CN"/>
              </w:rPr>
            </w:pPr>
            <w:r>
              <w:rPr>
                <w:rFonts w:hint="eastAsia" w:ascii="宋体" w:hAnsi="宋体" w:eastAsia="宋体" w:cs="Times New Roman"/>
                <w:color w:val="000000"/>
                <w:sz w:val="20"/>
                <w:szCs w:val="22"/>
                <w:highlight w:val="none"/>
                <w:lang w:val="en-US" w:eastAsia="zh-CN"/>
              </w:rPr>
              <w:t>电力电缆</w:t>
            </w:r>
          </w:p>
        </w:tc>
        <w:tc>
          <w:tcPr>
            <w:tcW w:w="1160" w:type="dxa"/>
            <w:tcBorders>
              <w:top w:val="single" w:color="auto" w:sz="6" w:space="0"/>
              <w:left w:val="single" w:color="auto" w:sz="6" w:space="0"/>
              <w:bottom w:val="single" w:color="auto" w:sz="6" w:space="0"/>
              <w:right w:val="single" w:color="auto" w:sz="6" w:space="0"/>
            </w:tcBorders>
            <w:vAlign w:val="center"/>
          </w:tcPr>
          <w:p w14:paraId="5A841A0B">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color w:val="000000"/>
                <w:sz w:val="20"/>
                <w:szCs w:val="22"/>
                <w:highlight w:val="none"/>
              </w:rPr>
            </w:pPr>
            <w:r>
              <w:rPr>
                <w:rFonts w:hint="eastAsia" w:ascii="宋体" w:hAnsi="宋体" w:eastAsia="宋体" w:cs="Times New Roman"/>
                <w:color w:val="000000"/>
                <w:sz w:val="20"/>
                <w:szCs w:val="22"/>
                <w:highlight w:val="none"/>
              </w:rPr>
              <w:t>米</w:t>
            </w:r>
          </w:p>
        </w:tc>
        <w:tc>
          <w:tcPr>
            <w:tcW w:w="880" w:type="dxa"/>
            <w:tcBorders>
              <w:top w:val="single" w:color="auto" w:sz="6" w:space="0"/>
              <w:left w:val="single" w:color="auto" w:sz="6" w:space="0"/>
              <w:bottom w:val="single" w:color="auto" w:sz="6" w:space="0"/>
              <w:right w:val="single" w:color="auto" w:sz="6" w:space="0"/>
            </w:tcBorders>
            <w:vAlign w:val="center"/>
          </w:tcPr>
          <w:p w14:paraId="3F5470A1">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color w:val="000000"/>
                <w:sz w:val="20"/>
                <w:szCs w:val="22"/>
                <w:highlight w:val="none"/>
                <w:lang w:eastAsia="zh-CN"/>
              </w:rPr>
            </w:pPr>
            <w:r>
              <w:rPr>
                <w:rFonts w:hint="eastAsia" w:ascii="宋体" w:hAnsi="宋体" w:eastAsia="宋体" w:cs="Times New Roman"/>
                <w:color w:val="000000"/>
                <w:sz w:val="20"/>
                <w:szCs w:val="22"/>
                <w:highlight w:val="none"/>
                <w:lang w:val="en-US" w:eastAsia="zh-CN"/>
              </w:rPr>
              <w:t>5</w:t>
            </w:r>
          </w:p>
        </w:tc>
        <w:tc>
          <w:tcPr>
            <w:tcW w:w="950" w:type="dxa"/>
            <w:tcBorders>
              <w:top w:val="single" w:color="auto" w:sz="6" w:space="0"/>
              <w:left w:val="single" w:color="auto" w:sz="6" w:space="0"/>
              <w:bottom w:val="single" w:color="auto" w:sz="6" w:space="0"/>
              <w:right w:val="single" w:color="auto" w:sz="6" w:space="0"/>
            </w:tcBorders>
            <w:vAlign w:val="center"/>
          </w:tcPr>
          <w:p w14:paraId="5D700C58">
            <w:pPr>
              <w:keepNext w:val="0"/>
              <w:keepLines w:val="0"/>
              <w:suppressLineNumbers w:val="0"/>
              <w:shd w:val="clear" w:color="auto" w:fill="auto"/>
              <w:autoSpaceDE w:val="0"/>
              <w:autoSpaceDN w:val="0"/>
              <w:spacing w:before="0" w:beforeAutospacing="0" w:after="0" w:afterAutospacing="0"/>
              <w:ind w:left="0" w:right="0"/>
              <w:jc w:val="center"/>
              <w:rPr>
                <w:rFonts w:hint="default" w:ascii="宋体" w:hAnsi="宋体" w:eastAsia="宋体" w:cs="Times New Roman"/>
                <w:color w:val="000000"/>
                <w:sz w:val="20"/>
                <w:szCs w:val="22"/>
                <w:highlight w:val="none"/>
                <w:lang w:val="en-US" w:eastAsia="zh-CN"/>
              </w:rPr>
            </w:pPr>
            <w:r>
              <w:rPr>
                <w:rFonts w:hint="eastAsia" w:ascii="宋体" w:hAnsi="宋体" w:eastAsia="宋体" w:cs="Times New Roman"/>
                <w:color w:val="000000"/>
                <w:sz w:val="20"/>
                <w:szCs w:val="22"/>
                <w:highlight w:val="none"/>
                <w:lang w:val="en-US" w:eastAsia="zh-CN"/>
              </w:rPr>
              <w:t>16</w:t>
            </w:r>
          </w:p>
        </w:tc>
        <w:tc>
          <w:tcPr>
            <w:tcW w:w="1420" w:type="dxa"/>
            <w:tcBorders>
              <w:top w:val="single" w:color="auto" w:sz="6" w:space="0"/>
              <w:left w:val="single" w:color="auto" w:sz="6" w:space="0"/>
              <w:bottom w:val="single" w:color="auto" w:sz="6" w:space="0"/>
              <w:right w:val="single" w:color="auto" w:sz="6" w:space="0"/>
            </w:tcBorders>
            <w:vAlign w:val="center"/>
          </w:tcPr>
          <w:p w14:paraId="319D8AEB">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color w:val="000000"/>
                <w:sz w:val="20"/>
                <w:szCs w:val="22"/>
                <w:highlight w:val="none"/>
              </w:rPr>
            </w:pPr>
            <w:r>
              <w:rPr>
                <w:rFonts w:hint="eastAsia" w:ascii="宋体" w:hAnsi="宋体" w:eastAsia="宋体" w:cs="Times New Roman"/>
                <w:color w:val="000000"/>
                <w:sz w:val="20"/>
                <w:szCs w:val="22"/>
                <w:highlight w:val="none"/>
              </w:rPr>
              <w:t>铜</w:t>
            </w:r>
          </w:p>
        </w:tc>
        <w:tc>
          <w:tcPr>
            <w:tcW w:w="1920" w:type="dxa"/>
            <w:tcBorders>
              <w:top w:val="single" w:color="auto" w:sz="6" w:space="0"/>
              <w:left w:val="single" w:color="auto" w:sz="6" w:space="0"/>
              <w:bottom w:val="single" w:color="auto" w:sz="6" w:space="0"/>
              <w:right w:val="single" w:color="auto" w:sz="6" w:space="0"/>
            </w:tcBorders>
            <w:vAlign w:val="center"/>
          </w:tcPr>
          <w:p w14:paraId="6737F4CF">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color w:val="000000"/>
                <w:sz w:val="20"/>
                <w:szCs w:val="22"/>
                <w:highlight w:val="none"/>
              </w:rPr>
            </w:pPr>
            <w:r>
              <w:rPr>
                <w:rFonts w:hint="eastAsia" w:ascii="宋体" w:hAnsi="宋体" w:eastAsia="宋体" w:cs="Times New Roman"/>
                <w:color w:val="000000"/>
                <w:sz w:val="20"/>
                <w:szCs w:val="22"/>
                <w:highlight w:val="none"/>
              </w:rPr>
              <w:t>1#电解铜</w:t>
            </w:r>
          </w:p>
        </w:tc>
        <w:tc>
          <w:tcPr>
            <w:tcW w:w="2042" w:type="dxa"/>
            <w:tcBorders>
              <w:top w:val="single" w:color="auto" w:sz="6" w:space="0"/>
              <w:left w:val="single" w:color="auto" w:sz="6" w:space="0"/>
              <w:bottom w:val="single" w:color="auto" w:sz="6" w:space="0"/>
              <w:right w:val="single" w:color="auto" w:sz="6" w:space="0"/>
            </w:tcBorders>
            <w:vAlign w:val="center"/>
          </w:tcPr>
          <w:p w14:paraId="4C712898">
            <w:pPr>
              <w:keepNext w:val="0"/>
              <w:keepLines w:val="0"/>
              <w:suppressLineNumbers w:val="0"/>
              <w:shd w:val="clear" w:color="auto" w:fill="auto"/>
              <w:autoSpaceDE w:val="0"/>
              <w:autoSpaceDN w:val="0"/>
              <w:spacing w:before="0" w:beforeAutospacing="0" w:after="0" w:afterAutospacing="0"/>
              <w:ind w:left="0" w:leftChars="0" w:right="0" w:rightChars="0"/>
              <w:jc w:val="center"/>
              <w:rPr>
                <w:rFonts w:hint="default" w:ascii="宋体" w:hAnsi="宋体" w:eastAsia="宋体" w:cs="Times New Roman"/>
                <w:color w:val="000000"/>
                <w:sz w:val="20"/>
                <w:szCs w:val="22"/>
                <w:highlight w:val="none"/>
                <w:lang w:val="en-US" w:eastAsia="zh-CN"/>
              </w:rPr>
            </w:pPr>
            <w:r>
              <w:rPr>
                <w:rFonts w:hint="eastAsia" w:ascii="宋体" w:hAnsi="宋体" w:eastAsia="宋体" w:cs="Times New Roman"/>
                <w:color w:val="000000"/>
                <w:sz w:val="20"/>
                <w:szCs w:val="22"/>
                <w:highlight w:val="none"/>
                <w:lang w:val="en-US" w:eastAsia="zh-CN"/>
              </w:rPr>
              <w:t>0.7120</w:t>
            </w:r>
          </w:p>
        </w:tc>
      </w:tr>
      <w:tr w14:paraId="7DD3C47B">
        <w:tblPrEx>
          <w:tblLayout w:type="fixed"/>
        </w:tblPrEx>
        <w:trPr>
          <w:trHeight w:val="0" w:hRule="atLeast"/>
          <w:jc w:val="center"/>
        </w:trPr>
        <w:tc>
          <w:tcPr>
            <w:tcW w:w="792" w:type="dxa"/>
            <w:tcBorders>
              <w:top w:val="single" w:color="auto" w:sz="6" w:space="0"/>
              <w:left w:val="single" w:color="auto" w:sz="6" w:space="0"/>
              <w:bottom w:val="single" w:color="auto" w:sz="6" w:space="0"/>
              <w:right w:val="single" w:color="auto" w:sz="6" w:space="0"/>
            </w:tcBorders>
            <w:vAlign w:val="center"/>
          </w:tcPr>
          <w:p w14:paraId="7391858C">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color w:val="000000"/>
                <w:sz w:val="20"/>
                <w:szCs w:val="22"/>
                <w:highlight w:val="none"/>
                <w:lang w:val="en-US" w:eastAsia="zh-CN"/>
              </w:rPr>
            </w:pPr>
            <w:r>
              <w:rPr>
                <w:rFonts w:hint="eastAsia" w:ascii="宋体" w:hAnsi="宋体" w:eastAsia="宋体" w:cs="Times New Roman"/>
                <w:color w:val="000000"/>
                <w:sz w:val="20"/>
                <w:szCs w:val="22"/>
                <w:highlight w:val="none"/>
                <w:lang w:val="en-US" w:eastAsia="zh-CN"/>
              </w:rPr>
              <w:t>2</w:t>
            </w:r>
          </w:p>
        </w:tc>
        <w:tc>
          <w:tcPr>
            <w:tcW w:w="3480" w:type="dxa"/>
            <w:tcBorders>
              <w:top w:val="single" w:color="auto" w:sz="6" w:space="0"/>
              <w:left w:val="single" w:color="auto" w:sz="6" w:space="0"/>
              <w:bottom w:val="single" w:color="auto" w:sz="6" w:space="0"/>
              <w:right w:val="single" w:color="auto" w:sz="6" w:space="0"/>
            </w:tcBorders>
            <w:vAlign w:val="center"/>
          </w:tcPr>
          <w:p w14:paraId="798F73CF">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color w:val="000000"/>
                <w:sz w:val="20"/>
                <w:szCs w:val="22"/>
                <w:highlight w:val="none"/>
                <w:lang w:val="en-US" w:eastAsia="zh-CN"/>
              </w:rPr>
            </w:pPr>
            <w:r>
              <w:rPr>
                <w:rFonts w:hint="eastAsia" w:ascii="宋体" w:hAnsi="宋体" w:eastAsia="宋体" w:cs="Times New Roman"/>
                <w:color w:val="000000"/>
                <w:sz w:val="20"/>
                <w:szCs w:val="22"/>
                <w:highlight w:val="none"/>
              </w:rPr>
              <w:t>电力电缆, YJV, 铜, 5×1</w:t>
            </w:r>
            <w:r>
              <w:rPr>
                <w:rFonts w:hint="eastAsia" w:ascii="宋体" w:hAnsi="宋体" w:eastAsia="宋体" w:cs="Times New Roman"/>
                <w:color w:val="000000"/>
                <w:sz w:val="20"/>
                <w:szCs w:val="22"/>
                <w:highlight w:val="none"/>
                <w:lang w:val="en-US" w:eastAsia="zh-CN"/>
              </w:rPr>
              <w:t>0</w:t>
            </w:r>
          </w:p>
        </w:tc>
        <w:tc>
          <w:tcPr>
            <w:tcW w:w="1590" w:type="dxa"/>
            <w:tcBorders>
              <w:top w:val="single" w:color="auto" w:sz="6" w:space="0"/>
              <w:left w:val="single" w:color="auto" w:sz="6" w:space="0"/>
              <w:bottom w:val="single" w:color="auto" w:sz="6" w:space="0"/>
              <w:right w:val="single" w:color="auto" w:sz="6" w:space="0"/>
            </w:tcBorders>
            <w:vAlign w:val="center"/>
          </w:tcPr>
          <w:p w14:paraId="0DEDF07B">
            <w:pPr>
              <w:keepNext w:val="0"/>
              <w:keepLines w:val="0"/>
              <w:suppressLineNumbers w:val="0"/>
              <w:shd w:val="clear" w:color="auto" w:fill="auto"/>
              <w:autoSpaceDE w:val="0"/>
              <w:autoSpaceDN w:val="0"/>
              <w:spacing w:before="0" w:beforeAutospacing="0" w:after="0" w:afterAutospacing="0"/>
              <w:ind w:left="0" w:leftChars="0" w:right="0" w:rightChars="0"/>
              <w:jc w:val="center"/>
              <w:rPr>
                <w:rFonts w:hint="eastAsia" w:ascii="宋体" w:hAnsi="宋体" w:eastAsia="宋体" w:cs="Times New Roman"/>
                <w:color w:val="000000"/>
                <w:sz w:val="20"/>
                <w:szCs w:val="22"/>
                <w:highlight w:val="none"/>
              </w:rPr>
            </w:pPr>
            <w:r>
              <w:rPr>
                <w:rFonts w:hint="eastAsia" w:ascii="宋体" w:hAnsi="宋体" w:eastAsia="宋体" w:cs="Times New Roman"/>
                <w:color w:val="000000"/>
                <w:sz w:val="20"/>
                <w:szCs w:val="22"/>
                <w:highlight w:val="none"/>
                <w:lang w:val="en-US" w:eastAsia="zh-CN"/>
              </w:rPr>
              <w:t>电力电缆</w:t>
            </w:r>
          </w:p>
        </w:tc>
        <w:tc>
          <w:tcPr>
            <w:tcW w:w="1160" w:type="dxa"/>
            <w:tcBorders>
              <w:top w:val="single" w:color="auto" w:sz="6" w:space="0"/>
              <w:left w:val="single" w:color="auto" w:sz="6" w:space="0"/>
              <w:bottom w:val="single" w:color="auto" w:sz="6" w:space="0"/>
              <w:right w:val="single" w:color="auto" w:sz="6" w:space="0"/>
            </w:tcBorders>
            <w:vAlign w:val="center"/>
          </w:tcPr>
          <w:p w14:paraId="4C99279A">
            <w:pPr>
              <w:keepNext w:val="0"/>
              <w:keepLines w:val="0"/>
              <w:suppressLineNumbers w:val="0"/>
              <w:shd w:val="clear" w:color="auto" w:fill="auto"/>
              <w:autoSpaceDE w:val="0"/>
              <w:autoSpaceDN w:val="0"/>
              <w:spacing w:before="0" w:beforeAutospacing="0" w:after="0" w:afterAutospacing="0"/>
              <w:ind w:left="0" w:leftChars="0" w:right="0" w:rightChars="0"/>
              <w:jc w:val="center"/>
              <w:rPr>
                <w:rFonts w:hint="eastAsia" w:ascii="宋体" w:hAnsi="宋体" w:eastAsia="宋体" w:cs="Times New Roman"/>
                <w:color w:val="000000"/>
                <w:sz w:val="20"/>
                <w:szCs w:val="22"/>
                <w:highlight w:val="none"/>
              </w:rPr>
            </w:pPr>
            <w:r>
              <w:rPr>
                <w:rFonts w:hint="eastAsia" w:ascii="宋体" w:hAnsi="宋体" w:eastAsia="宋体" w:cs="Times New Roman"/>
                <w:color w:val="000000"/>
                <w:sz w:val="20"/>
                <w:szCs w:val="22"/>
                <w:highlight w:val="none"/>
              </w:rPr>
              <w:t>米</w:t>
            </w:r>
          </w:p>
        </w:tc>
        <w:tc>
          <w:tcPr>
            <w:tcW w:w="880" w:type="dxa"/>
            <w:tcBorders>
              <w:top w:val="single" w:color="auto" w:sz="6" w:space="0"/>
              <w:left w:val="single" w:color="auto" w:sz="6" w:space="0"/>
              <w:bottom w:val="single" w:color="auto" w:sz="6" w:space="0"/>
              <w:right w:val="single" w:color="auto" w:sz="6" w:space="0"/>
            </w:tcBorders>
            <w:vAlign w:val="center"/>
          </w:tcPr>
          <w:p w14:paraId="75994D98">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color w:val="000000"/>
                <w:sz w:val="20"/>
                <w:szCs w:val="22"/>
                <w:highlight w:val="none"/>
                <w:lang w:val="en-US" w:eastAsia="zh-CN"/>
              </w:rPr>
            </w:pPr>
            <w:r>
              <w:rPr>
                <w:rFonts w:hint="eastAsia" w:ascii="宋体" w:hAnsi="宋体" w:eastAsia="宋体" w:cs="Times New Roman"/>
                <w:color w:val="000000"/>
                <w:sz w:val="20"/>
                <w:szCs w:val="22"/>
                <w:highlight w:val="none"/>
                <w:lang w:val="en-US" w:eastAsia="zh-CN"/>
              </w:rPr>
              <w:t>5</w:t>
            </w:r>
          </w:p>
        </w:tc>
        <w:tc>
          <w:tcPr>
            <w:tcW w:w="950" w:type="dxa"/>
            <w:tcBorders>
              <w:top w:val="single" w:color="auto" w:sz="6" w:space="0"/>
              <w:left w:val="single" w:color="auto" w:sz="6" w:space="0"/>
              <w:bottom w:val="single" w:color="auto" w:sz="6" w:space="0"/>
              <w:right w:val="single" w:color="auto" w:sz="6" w:space="0"/>
            </w:tcBorders>
            <w:vAlign w:val="center"/>
          </w:tcPr>
          <w:p w14:paraId="1E803D1A">
            <w:pPr>
              <w:keepNext w:val="0"/>
              <w:keepLines w:val="0"/>
              <w:suppressLineNumbers w:val="0"/>
              <w:shd w:val="clear" w:color="auto" w:fill="auto"/>
              <w:autoSpaceDE w:val="0"/>
              <w:autoSpaceDN w:val="0"/>
              <w:spacing w:before="0" w:beforeAutospacing="0" w:after="0" w:afterAutospacing="0"/>
              <w:ind w:left="0" w:right="0"/>
              <w:jc w:val="center"/>
              <w:rPr>
                <w:rFonts w:hint="default" w:ascii="宋体" w:hAnsi="宋体" w:eastAsia="宋体" w:cs="Times New Roman"/>
                <w:color w:val="000000"/>
                <w:sz w:val="20"/>
                <w:szCs w:val="22"/>
                <w:highlight w:val="none"/>
                <w:lang w:val="en-US" w:eastAsia="zh-CN"/>
              </w:rPr>
            </w:pPr>
            <w:r>
              <w:rPr>
                <w:rFonts w:hint="eastAsia" w:ascii="宋体" w:hAnsi="宋体" w:eastAsia="宋体" w:cs="Times New Roman"/>
                <w:color w:val="000000"/>
                <w:sz w:val="20"/>
                <w:szCs w:val="22"/>
                <w:highlight w:val="none"/>
                <w:lang w:val="en-US" w:eastAsia="zh-CN"/>
              </w:rPr>
              <w:t>10</w:t>
            </w:r>
          </w:p>
        </w:tc>
        <w:tc>
          <w:tcPr>
            <w:tcW w:w="1420" w:type="dxa"/>
            <w:tcBorders>
              <w:top w:val="single" w:color="auto" w:sz="6" w:space="0"/>
              <w:left w:val="single" w:color="auto" w:sz="6" w:space="0"/>
              <w:bottom w:val="single" w:color="auto" w:sz="6" w:space="0"/>
              <w:right w:val="single" w:color="auto" w:sz="6" w:space="0"/>
            </w:tcBorders>
            <w:vAlign w:val="center"/>
          </w:tcPr>
          <w:p w14:paraId="7AF699B5">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color w:val="000000"/>
                <w:sz w:val="20"/>
                <w:szCs w:val="22"/>
                <w:highlight w:val="none"/>
              </w:rPr>
            </w:pPr>
            <w:r>
              <w:rPr>
                <w:rFonts w:hint="eastAsia" w:ascii="宋体" w:hAnsi="宋体" w:eastAsia="宋体" w:cs="Times New Roman"/>
                <w:color w:val="000000"/>
                <w:sz w:val="20"/>
                <w:szCs w:val="22"/>
                <w:highlight w:val="none"/>
              </w:rPr>
              <w:t>铜</w:t>
            </w:r>
          </w:p>
        </w:tc>
        <w:tc>
          <w:tcPr>
            <w:tcW w:w="1920" w:type="dxa"/>
            <w:tcBorders>
              <w:top w:val="single" w:color="auto" w:sz="6" w:space="0"/>
              <w:left w:val="single" w:color="auto" w:sz="6" w:space="0"/>
              <w:bottom w:val="single" w:color="auto" w:sz="6" w:space="0"/>
              <w:right w:val="single" w:color="auto" w:sz="6" w:space="0"/>
            </w:tcBorders>
            <w:vAlign w:val="center"/>
          </w:tcPr>
          <w:p w14:paraId="5A23FA03">
            <w:pPr>
              <w:keepNext w:val="0"/>
              <w:keepLines w:val="0"/>
              <w:suppressLineNumbers w:val="0"/>
              <w:shd w:val="clear" w:color="auto" w:fill="auto"/>
              <w:autoSpaceDE w:val="0"/>
              <w:autoSpaceDN w:val="0"/>
              <w:spacing w:before="0" w:beforeAutospacing="0" w:after="0" w:afterAutospacing="0"/>
              <w:ind w:left="0" w:right="0"/>
              <w:jc w:val="center"/>
              <w:rPr>
                <w:rFonts w:hint="eastAsia" w:ascii="宋体" w:hAnsi="宋体" w:eastAsia="宋体" w:cs="Times New Roman"/>
                <w:color w:val="000000"/>
                <w:sz w:val="20"/>
                <w:szCs w:val="22"/>
                <w:highlight w:val="none"/>
              </w:rPr>
            </w:pPr>
            <w:r>
              <w:rPr>
                <w:rFonts w:hint="eastAsia" w:ascii="宋体" w:hAnsi="宋体" w:eastAsia="宋体" w:cs="Times New Roman"/>
                <w:color w:val="000000"/>
                <w:sz w:val="20"/>
                <w:szCs w:val="22"/>
                <w:highlight w:val="none"/>
              </w:rPr>
              <w:t>1#电解铜</w:t>
            </w:r>
          </w:p>
        </w:tc>
        <w:tc>
          <w:tcPr>
            <w:tcW w:w="2042" w:type="dxa"/>
            <w:tcBorders>
              <w:top w:val="single" w:color="auto" w:sz="6" w:space="0"/>
              <w:left w:val="single" w:color="auto" w:sz="6" w:space="0"/>
              <w:bottom w:val="single" w:color="auto" w:sz="6" w:space="0"/>
              <w:right w:val="single" w:color="auto" w:sz="6" w:space="0"/>
            </w:tcBorders>
            <w:vAlign w:val="center"/>
          </w:tcPr>
          <w:p w14:paraId="250DCE47">
            <w:pPr>
              <w:keepNext w:val="0"/>
              <w:keepLines w:val="0"/>
              <w:suppressLineNumbers w:val="0"/>
              <w:shd w:val="clear" w:color="auto" w:fill="auto"/>
              <w:autoSpaceDE w:val="0"/>
              <w:autoSpaceDN w:val="0"/>
              <w:spacing w:before="0" w:beforeAutospacing="0" w:after="0" w:afterAutospacing="0"/>
              <w:ind w:left="0" w:leftChars="0" w:right="0" w:rightChars="0"/>
              <w:jc w:val="center"/>
              <w:rPr>
                <w:rFonts w:hint="default" w:ascii="宋体" w:hAnsi="宋体" w:eastAsia="宋体" w:cs="Times New Roman"/>
                <w:color w:val="000000"/>
                <w:sz w:val="20"/>
                <w:szCs w:val="22"/>
                <w:highlight w:val="none"/>
                <w:lang w:val="en-US" w:eastAsia="zh-CN"/>
              </w:rPr>
            </w:pPr>
            <w:r>
              <w:rPr>
                <w:rFonts w:hint="eastAsia" w:ascii="宋体" w:hAnsi="宋体" w:eastAsia="宋体" w:cs="Times New Roman"/>
                <w:color w:val="000000"/>
                <w:sz w:val="20"/>
                <w:szCs w:val="22"/>
                <w:highlight w:val="none"/>
                <w:lang w:val="en-US" w:eastAsia="zh-CN"/>
              </w:rPr>
              <w:t>0.4450</w:t>
            </w:r>
          </w:p>
        </w:tc>
      </w:tr>
    </w:tbl>
    <w:p w14:paraId="101DB9FC">
      <w:pPr>
        <w:shd w:val="clear" w:color="auto" w:fill="auto"/>
        <w:rPr>
          <w:highlight w:val="none"/>
        </w:rPr>
      </w:pPr>
    </w:p>
    <w:p w14:paraId="3E12125A">
      <w:pPr>
        <w:rPr>
          <w:rFonts w:hint="eastAsia"/>
          <w:lang w:val="zh-CN"/>
        </w:rPr>
      </w:pPr>
    </w:p>
    <w:p w14:paraId="4DE444E9">
      <w:pPr>
        <w:rPr>
          <w:rFonts w:hint="eastAsia" w:ascii="仿宋" w:hAnsi="仿宋" w:eastAsia="仿宋" w:cs="仿宋"/>
          <w:highlight w:val="none"/>
          <w:lang w:val="zh-CN"/>
        </w:rPr>
      </w:pPr>
    </w:p>
    <w:p w14:paraId="49348A64">
      <w:pPr>
        <w:pStyle w:val="2"/>
        <w:rPr>
          <w:rFonts w:hint="eastAsia" w:ascii="仿宋" w:hAnsi="仿宋" w:eastAsia="仿宋" w:cs="仿宋"/>
          <w:highlight w:val="none"/>
          <w:lang w:val="zh-CN"/>
        </w:rPr>
      </w:pPr>
    </w:p>
    <w:p w14:paraId="7FADFFCE">
      <w:pPr>
        <w:rPr>
          <w:rFonts w:hint="eastAsia" w:ascii="仿宋" w:hAnsi="仿宋" w:eastAsia="仿宋" w:cs="仿宋"/>
          <w:highlight w:val="none"/>
          <w:lang w:val="zh-CN"/>
        </w:rPr>
      </w:pPr>
    </w:p>
    <w:p w14:paraId="513B8E1A">
      <w:pPr>
        <w:pStyle w:val="2"/>
        <w:rPr>
          <w:rFonts w:hint="eastAsia" w:ascii="仿宋" w:hAnsi="仿宋" w:eastAsia="仿宋" w:cs="仿宋"/>
          <w:highlight w:val="none"/>
          <w:lang w:val="zh-CN"/>
        </w:rPr>
      </w:pPr>
    </w:p>
    <w:p w14:paraId="74C7567B">
      <w:pPr>
        <w:rPr>
          <w:rFonts w:hint="eastAsia" w:ascii="仿宋" w:hAnsi="仿宋" w:eastAsia="仿宋" w:cs="仿宋"/>
          <w:highlight w:val="none"/>
          <w:lang w:val="zh-CN"/>
        </w:rPr>
      </w:pPr>
    </w:p>
    <w:p w14:paraId="1E4DA120">
      <w:pPr>
        <w:pStyle w:val="2"/>
        <w:rPr>
          <w:rFonts w:hint="eastAsia" w:ascii="仿宋" w:hAnsi="仿宋" w:eastAsia="仿宋" w:cs="仿宋"/>
          <w:highlight w:val="none"/>
          <w:lang w:val="zh-CN"/>
        </w:rPr>
      </w:pPr>
    </w:p>
    <w:p w14:paraId="7BB9269B">
      <w:pPr>
        <w:rPr>
          <w:rFonts w:hint="eastAsia" w:ascii="仿宋" w:hAnsi="仿宋" w:eastAsia="仿宋" w:cs="仿宋"/>
          <w:sz w:val="28"/>
          <w:szCs w:val="28"/>
          <w:highlight w:val="none"/>
        </w:rPr>
      </w:pPr>
    </w:p>
    <w:sectPr>
      <w:pgSz w:w="16840" w:h="11915" w:orient="landscape"/>
      <w:pgMar w:top="1417" w:right="1134" w:bottom="1134" w:left="1134" w:header="851" w:footer="850"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新宋体">
    <w:panose1 w:val="02010609030101010101"/>
    <w:charset w:val="86"/>
    <w:family w:val="modern"/>
    <w:pitch w:val="default"/>
    <w:sig w:usb0="00000000" w:usb1="00000000" w:usb2="00000006" w:usb3="00000000" w:csb0="00040001" w:csb1="00000000"/>
  </w:font>
  <w:font w:name="Microsoft YaHei UI">
    <w:panose1 w:val="020B0503020204020204"/>
    <w:charset w:val="86"/>
    <w:family w:val="swiss"/>
    <w:pitch w:val="default"/>
    <w:sig w:usb0="00000000" w:usb1="0000000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Microsoft YaHei UI"/>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1" w:fontKey="{7D20DF57-5168-3FBF-8AB9-066ABFC238C3}"/>
  </w:font>
  <w:font w:name="仿宋">
    <w:panose1 w:val="02010609060101010101"/>
    <w:charset w:val="86"/>
    <w:family w:val="modern"/>
    <w:pitch w:val="default"/>
    <w:sig w:usb0="00000000" w:usb1="00000000" w:usb2="00000016" w:usb3="00000000" w:csb0="00040001" w:csb1="00000000"/>
    <w:embedRegular r:id="rId2" w:fontKey="{928ECACB-6736-6C84-8AB9-066A37E49833}"/>
  </w:font>
  <w:font w:name="方正仿宋_GBK">
    <w:panose1 w:val="02000000000000000000"/>
    <w:charset w:val="86"/>
    <w:family w:val="script"/>
    <w:pitch w:val="default"/>
    <w:sig w:usb0="00000000" w:usb1="00000000" w:usb2="00082016" w:usb3="00000000" w:csb0="00040001" w:csb1="00000000"/>
    <w:embedRegular r:id="rId3" w:fontKey="{1506F719-5061-94F9-8AB9-066A3D4B596C}"/>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00000000" w:usb1="00000000" w:usb2="00000016" w:usb3="00000000" w:csb0="0004001F" w:csb1="00000000"/>
    <w:embedRegular r:id="rId4" w:fontKey="{C34D816E-6290-2BEE-8AB9-066A54739A06}"/>
  </w:font>
  <w:font w:name="方正魏碑_GBK">
    <w:altName w:val="微软雅黑"/>
    <w:panose1 w:val="00000000000000000000"/>
    <w:charset w:val="86"/>
    <w:family w:val="script"/>
    <w:pitch w:val="default"/>
    <w:sig w:usb0="00000000" w:usb1="00000000" w:usb2="00000010" w:usb3="00000000" w:csb0="00040000" w:csb1="00000000"/>
  </w:font>
  <w:font w:name="WPSEMBED8">
    <w:panose1 w:val="02000000000000000000"/>
    <w:charset w:val="86"/>
    <w:family w:val="auto"/>
    <w:pitch w:val="default"/>
    <w:sig w:usb0="00000000" w:usb1="00000000" w:usb2="00082016" w:usb3="00000000" w:csb0="00040001" w:csb1="00000000"/>
  </w:font>
  <w:font w:name="KSOFE44F9426">
    <w:panose1 w:val="02010609060101010101"/>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A8B59">
    <w:pPr>
      <w:pStyle w:val="10"/>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65100">
                          <w:pPr>
                            <w:pStyle w:val="10"/>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14:paraId="27665100">
                    <w:pPr>
                      <w:pStyle w:val="10"/>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3B2EE">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91C37">
                          <w:pPr>
                            <w:pStyle w:val="10"/>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A&#10;">
              <v:fill on="f" focussize="0,0"/>
              <v:stroke on="f" weight="0.5pt"/>
              <v:imagedata o:title=""/>
              <o:lock v:ext="edit" aspectratio="f"/>
              <v:textbox inset="0mm,0mm,0mm,0mm" style="mso-fit-shape-to-text:t;">
                <w:txbxContent>
                  <w:p w14:paraId="2A991C37">
                    <w:pPr>
                      <w:pStyle w:val="10"/>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C566E">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7C21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AA&#10;">
              <v:fill on="f" focussize="0,0"/>
              <v:stroke on="f" weight="0.5pt"/>
              <v:imagedata o:title=""/>
              <o:lock v:ext="edit" aspectratio="f"/>
              <v:textbox inset="0mm,0mm,0mm,0mm" style="mso-fit-shape-to-text:t;">
                <w:txbxContent>
                  <w:p w14:paraId="4577C210">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A6507">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 name="文本框 1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47C0141">
                          <w:pPr>
                            <w:pStyle w:val="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zyeptrIB&#10;AABdAwAADgAAAAAAAAABACAAAAAeAQAAZHJzL2Uyb0RvYy54bWxQSwUGAAAAAAYABgBZAQAAQgUA&#10;AAAA&#10;">
              <v:fill on="f" focussize="0,0"/>
              <v:stroke on="f"/>
              <v:imagedata o:title=""/>
              <o:lock v:ext="edit" aspectratio="f"/>
              <v:textbox inset="0mm,0mm,0mm,0mm" style="mso-fit-shape-to-text:t;">
                <w:txbxContent>
                  <w:p w14:paraId="047C0141">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D862F">
    <w:pPr>
      <w:pStyle w:val="10"/>
      <w:rPr>
        <w:rFonts w:ascii="Times New Roman" w:hAnsi="Times New Roman"/>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388EF">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AA&#10;">
              <v:fill on="f" focussize="0,0"/>
              <v:stroke on="f" weight="0.5pt"/>
              <v:imagedata o:title=""/>
              <o:lock v:ext="edit" aspectratio="f"/>
              <v:textbox inset="0mm,0mm,0mm,0mm" style="mso-fit-shape-to-text:t;">
                <w:txbxContent>
                  <w:p w14:paraId="684388EF">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E99D7">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C626E">
                          <w:pPr>
                            <w:pStyle w:val="1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AA&#10;">
              <v:fill on="f" focussize="0,0"/>
              <v:stroke on="f" weight="0.5pt"/>
              <v:imagedata o:title=""/>
              <o:lock v:ext="edit" aspectratio="f"/>
              <v:textbox inset="0mm,0mm,0mm,0mm" style="mso-fit-shape-to-text:t;">
                <w:txbxContent>
                  <w:p w14:paraId="7D1C626E">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0F39D"/>
    <w:multiLevelType w:val="singleLevel"/>
    <w:tmpl w:val="8700F39D"/>
    <w:lvl w:ilvl="0" w:tentative="0">
      <w:start w:val="4"/>
      <w:numFmt w:val="decimal"/>
      <w:lvlText w:val="%1."/>
      <w:lvlJc w:val="left"/>
      <w:pPr>
        <w:tabs>
          <w:tab w:val="left" w:pos="312"/>
        </w:tabs>
      </w:pPr>
    </w:lvl>
  </w:abstractNum>
  <w:abstractNum w:abstractNumId="1">
    <w:nsid w:val="457CB385"/>
    <w:multiLevelType w:val="singleLevel"/>
    <w:tmpl w:val="457CB385"/>
    <w:lvl w:ilvl="0" w:tentative="0">
      <w:start w:val="2"/>
      <w:numFmt w:val="decimal"/>
      <w:suff w:val="nothing"/>
      <w:lvlText w:val="%1、"/>
      <w:lvlJc w:val="left"/>
    </w:lvl>
  </w:abstractNum>
  <w:abstractNum w:abstractNumId="2">
    <w:nsid w:val="5664C485"/>
    <w:multiLevelType w:val="singleLevel"/>
    <w:tmpl w:val="5664C485"/>
    <w:lvl w:ilvl="0" w:tentative="0">
      <w:start w:val="1"/>
      <w:numFmt w:val="chineseCounting"/>
      <w:suff w:val="nothing"/>
      <w:lvlText w:val="%1、"/>
      <w:lvlJc w:val="left"/>
      <w:rPr>
        <w:rFonts w:hint="eastAsia"/>
      </w:rPr>
    </w:lvl>
  </w:abstractNum>
  <w:abstractNum w:abstractNumId="3">
    <w:nsid w:val="6890A793"/>
    <w:multiLevelType w:val="singleLevel"/>
    <w:tmpl w:val="6890A793"/>
    <w:lvl w:ilvl="0" w:tentative="0">
      <w:start w:val="10"/>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
  </w:docVar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40"/>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3"/>
    <w:basedOn w:val="1"/>
    <w:next w:val="1"/>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5">
    <w:name w:val="heading 4"/>
    <w:basedOn w:val="1"/>
    <w:next w:val="1"/>
    <w:qFormat/>
    <w:uiPriority w:val="0"/>
    <w:pPr>
      <w:keepNext/>
      <w:jc w:val="center"/>
      <w:outlineLvl w:val="3"/>
    </w:pPr>
    <w:rPr>
      <w:rFonts w:eastAsia="新宋体"/>
      <w:kern w:val="0"/>
      <w:sz w:val="30"/>
      <w:szCs w:val="21"/>
    </w:rPr>
  </w:style>
  <w:style w:type="character" w:default="1" w:styleId="14">
    <w:name w:val="Default Paragraph Font"/>
    <w:unhideWhenUsed/>
    <w:qFormat/>
    <w:uiPriority w:val="1"/>
  </w:style>
  <w:style w:type="table" w:default="1" w:styleId="2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0"/>
    </w:rPr>
  </w:style>
  <w:style w:type="paragraph" w:styleId="6">
    <w:name w:val="Document Map"/>
    <w:basedOn w:val="1"/>
    <w:link w:val="41"/>
    <w:unhideWhenUsed/>
    <w:qFormat/>
    <w:uiPriority w:val="0"/>
    <w:rPr>
      <w:rFonts w:ascii="Microsoft YaHei UI" w:eastAsia="Microsoft YaHei UI"/>
      <w:sz w:val="18"/>
      <w:szCs w:val="18"/>
    </w:rPr>
  </w:style>
  <w:style w:type="paragraph" w:styleId="7">
    <w:name w:val="Body Text Indent"/>
    <w:basedOn w:val="1"/>
    <w:qFormat/>
    <w:uiPriority w:val="0"/>
    <w:pPr>
      <w:ind w:left="420" w:leftChars="200"/>
    </w:pPr>
  </w:style>
  <w:style w:type="paragraph" w:styleId="8">
    <w:name w:val="index 4"/>
    <w:basedOn w:val="1"/>
    <w:next w:val="1"/>
    <w:unhideWhenUsed/>
    <w:qFormat/>
    <w:uiPriority w:val="99"/>
    <w:pPr>
      <w:ind w:left="600" w:leftChars="600"/>
    </w:pPr>
  </w:style>
  <w:style w:type="paragraph" w:styleId="9">
    <w:name w:val="Plain Text"/>
    <w:basedOn w:val="1"/>
    <w:next w:val="1"/>
    <w:qFormat/>
    <w:uiPriority w:val="0"/>
    <w:rPr>
      <w:rFonts w:hint="eastAsia" w:ascii="宋体" w:hAnsi="Courier New"/>
      <w:szCs w:val="20"/>
    </w:rPr>
  </w:style>
  <w:style w:type="paragraph" w:styleId="10">
    <w:name w:val="footer"/>
    <w:basedOn w:val="1"/>
    <w:link w:val="38"/>
    <w:qFormat/>
    <w:uiPriority w:val="99"/>
    <w:pPr>
      <w:tabs>
        <w:tab w:val="center" w:pos="4153"/>
        <w:tab w:val="right" w:pos="8306"/>
      </w:tabs>
      <w:snapToGrid w:val="0"/>
      <w:jc w:val="left"/>
    </w:pPr>
    <w:rPr>
      <w:sz w:val="18"/>
    </w:rPr>
  </w:style>
  <w:style w:type="paragraph" w:styleId="11">
    <w:name w:val="Body Text First Indent 2"/>
    <w:basedOn w:val="7"/>
    <w:next w:val="1"/>
    <w:qFormat/>
    <w:uiPriority w:val="0"/>
    <w:pPr>
      <w:spacing w:after="120"/>
      <w:ind w:firstLine="420" w:firstLineChars="200"/>
    </w:pPr>
    <w:rPr>
      <w:rFonts w:ascii="Times New Roman" w:hAnsi="Times New Roman"/>
      <w:szCs w:val="20"/>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widowControl/>
      <w:spacing w:before="100" w:beforeAutospacing="1" w:after="100" w:afterAutospacing="1"/>
      <w:jc w:val="left"/>
    </w:pPr>
    <w:rPr>
      <w:rFonts w:hint="eastAsia" w:ascii="Arial Unicode MS" w:hAnsi="Arial Unicode MS"/>
      <w:kern w:val="0"/>
      <w:sz w:val="24"/>
      <w:szCs w:val="20"/>
    </w:rPr>
  </w:style>
  <w:style w:type="character" w:styleId="15">
    <w:name w:val="page number"/>
    <w:basedOn w:val="14"/>
    <w:qFormat/>
    <w:uiPriority w:val="0"/>
  </w:style>
  <w:style w:type="character" w:styleId="16">
    <w:name w:val="FollowedHyperlink"/>
    <w:qFormat/>
    <w:uiPriority w:val="0"/>
    <w:rPr>
      <w:color w:val="800080"/>
      <w:u w:val="none"/>
    </w:rPr>
  </w:style>
  <w:style w:type="character" w:styleId="17">
    <w:name w:val="Emphasis"/>
    <w:qFormat/>
    <w:uiPriority w:val="0"/>
    <w:rPr>
      <w:i/>
    </w:rPr>
  </w:style>
  <w:style w:type="character" w:styleId="18">
    <w:name w:val="HTML Definition"/>
    <w:basedOn w:val="14"/>
    <w:qFormat/>
    <w:uiPriority w:val="0"/>
  </w:style>
  <w:style w:type="character" w:styleId="19">
    <w:name w:val="HTML Typewriter"/>
    <w:basedOn w:val="14"/>
    <w:qFormat/>
    <w:uiPriority w:val="0"/>
    <w:rPr>
      <w:rFonts w:hint="default" w:ascii="monospace" w:hAnsi="monospace" w:eastAsia="monospace" w:cs="monospace"/>
      <w:sz w:val="20"/>
    </w:rPr>
  </w:style>
  <w:style w:type="character" w:styleId="20">
    <w:name w:val="HTML Acronym"/>
    <w:basedOn w:val="14"/>
    <w:qFormat/>
    <w:uiPriority w:val="0"/>
  </w:style>
  <w:style w:type="character" w:styleId="21">
    <w:name w:val="HTML Variable"/>
    <w:basedOn w:val="14"/>
    <w:qFormat/>
    <w:uiPriority w:val="0"/>
  </w:style>
  <w:style w:type="character" w:styleId="22">
    <w:name w:val="Hyperlink"/>
    <w:basedOn w:val="14"/>
    <w:qFormat/>
    <w:uiPriority w:val="0"/>
    <w:rPr>
      <w:color w:val="0000FF"/>
      <w:u w:val="none"/>
    </w:rPr>
  </w:style>
  <w:style w:type="character" w:styleId="23">
    <w:name w:val="HTML Code"/>
    <w:basedOn w:val="14"/>
    <w:qFormat/>
    <w:uiPriority w:val="0"/>
    <w:rPr>
      <w:rFonts w:ascii="monospace" w:hAnsi="monospace" w:eastAsia="monospace" w:cs="monospace"/>
      <w:sz w:val="20"/>
    </w:rPr>
  </w:style>
  <w:style w:type="character" w:styleId="24">
    <w:name w:val="HTML Cite"/>
    <w:basedOn w:val="14"/>
    <w:qFormat/>
    <w:uiPriority w:val="0"/>
  </w:style>
  <w:style w:type="character" w:styleId="25">
    <w:name w:val="HTML Keyboard"/>
    <w:basedOn w:val="14"/>
    <w:qFormat/>
    <w:uiPriority w:val="0"/>
    <w:rPr>
      <w:rFonts w:hint="default" w:ascii="monospace" w:hAnsi="monospace" w:eastAsia="monospace" w:cs="monospace"/>
      <w:sz w:val="20"/>
    </w:rPr>
  </w:style>
  <w:style w:type="character" w:styleId="26">
    <w:name w:val="HTML Sample"/>
    <w:basedOn w:val="14"/>
    <w:qFormat/>
    <w:uiPriority w:val="0"/>
    <w:rPr>
      <w:rFonts w:hint="default" w:ascii="monospace" w:hAnsi="monospace" w:eastAsia="monospace" w:cs="monospace"/>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9">
    <w:name w:val="正文文本11"/>
    <w:basedOn w:val="1"/>
    <w:next w:val="1"/>
    <w:qFormat/>
    <w:uiPriority w:val="0"/>
    <w:pPr>
      <w:spacing w:after="120"/>
    </w:pPr>
    <w:rPr>
      <w:rFonts w:ascii="Times New Roman" w:hAnsi="Times New Roman"/>
      <w:szCs w:val="20"/>
    </w:rPr>
  </w:style>
  <w:style w:type="paragraph" w:customStyle="1" w:styleId="30">
    <w:name w:val="二级目录"/>
    <w:basedOn w:val="1"/>
    <w:next w:val="1"/>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31">
    <w:name w:val="首行缩进"/>
    <w:basedOn w:val="1"/>
    <w:qFormat/>
    <w:uiPriority w:val="0"/>
    <w:pPr>
      <w:spacing w:line="360" w:lineRule="auto"/>
      <w:ind w:firstLine="480" w:firstLineChars="200"/>
    </w:pPr>
    <w:rPr>
      <w:rFonts w:ascii="Times New Roman" w:hAnsi="Times New Roman"/>
      <w:szCs w:val="20"/>
    </w:rPr>
  </w:style>
  <w:style w:type="character" w:customStyle="1" w:styleId="32">
    <w:name w:val="first-child"/>
    <w:basedOn w:val="14"/>
    <w:qFormat/>
    <w:uiPriority w:val="0"/>
  </w:style>
  <w:style w:type="character" w:customStyle="1" w:styleId="33">
    <w:name w:val="hover2"/>
    <w:basedOn w:val="14"/>
    <w:qFormat/>
    <w:uiPriority w:val="0"/>
    <w:rPr>
      <w:color w:val="5FB878"/>
    </w:rPr>
  </w:style>
  <w:style w:type="character" w:customStyle="1" w:styleId="34">
    <w:name w:val="hover3"/>
    <w:basedOn w:val="14"/>
    <w:qFormat/>
    <w:uiPriority w:val="0"/>
    <w:rPr>
      <w:color w:val="5FB878"/>
    </w:rPr>
  </w:style>
  <w:style w:type="character" w:customStyle="1" w:styleId="35">
    <w:name w:val="hover4"/>
    <w:basedOn w:val="14"/>
    <w:qFormat/>
    <w:uiPriority w:val="0"/>
    <w:rPr>
      <w:color w:val="FFFFFF"/>
    </w:rPr>
  </w:style>
  <w:style w:type="character" w:customStyle="1" w:styleId="36">
    <w:name w:val="layui-this"/>
    <w:basedOn w:val="14"/>
    <w:qFormat/>
    <w:uiPriority w:val="0"/>
    <w:rPr>
      <w:bdr w:val="single" w:color="EEEEEE" w:sz="6" w:space="0"/>
      <w:shd w:val="clear" w:color="auto" w:fill="FFFFFF"/>
    </w:rPr>
  </w:style>
  <w:style w:type="paragraph" w:customStyle="1" w:styleId="37">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38">
    <w:name w:val="页脚 字符"/>
    <w:basedOn w:val="14"/>
    <w:link w:val="10"/>
    <w:qFormat/>
    <w:uiPriority w:val="99"/>
    <w:rPr>
      <w:rFonts w:ascii="Calibri" w:hAnsi="Calibri"/>
      <w:kern w:val="2"/>
      <w:sz w:val="18"/>
      <w:szCs w:val="24"/>
    </w:rPr>
  </w:style>
  <w:style w:type="paragraph" w:customStyle="1" w:styleId="39">
    <w:name w:val="List Paragraph"/>
    <w:basedOn w:val="1"/>
    <w:qFormat/>
    <w:uiPriority w:val="99"/>
    <w:pPr>
      <w:ind w:firstLine="420" w:firstLineChars="200"/>
    </w:pPr>
  </w:style>
  <w:style w:type="character" w:customStyle="1" w:styleId="40">
    <w:name w:val="标题 1 字符"/>
    <w:link w:val="3"/>
    <w:qFormat/>
    <w:uiPriority w:val="0"/>
    <w:rPr>
      <w:b/>
      <w:kern w:val="44"/>
      <w:sz w:val="44"/>
    </w:rPr>
  </w:style>
  <w:style w:type="character" w:customStyle="1" w:styleId="41">
    <w:name w:val="文档结构图 字符"/>
    <w:basedOn w:val="14"/>
    <w:link w:val="6"/>
    <w:semiHidden/>
    <w:qFormat/>
    <w:uiPriority w:val="0"/>
    <w:rPr>
      <w:rFonts w:ascii="Microsoft YaHei UI" w:hAnsi="Calibri" w:eastAsia="Microsoft YaHei UI"/>
      <w:kern w:val="2"/>
      <w:sz w:val="18"/>
      <w:szCs w:val="18"/>
    </w:rPr>
  </w:style>
  <w:style w:type="paragraph" w:customStyle="1" w:styleId="42">
    <w:name w:val="*正文"/>
    <w:basedOn w:val="1"/>
    <w:qFormat/>
    <w:uiPriority w:val="0"/>
    <w:rPr>
      <w:rFonts w:ascii="宋体" w:hAnsi="宋体"/>
      <w:kern w:val="0"/>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53</Pages>
  <Words>24265</Words>
  <Characters>25476</Characters>
  <Lines>133</Lines>
  <Paragraphs>37</Paragraphs>
  <TotalTime>0</TotalTime>
  <ScaleCrop>false</ScaleCrop>
  <LinksUpToDate>false</LinksUpToDate>
  <CharactersWithSpaces>26638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2025-04-03T09:27:00Z</dcterms:created>
  <dc:creator>Administrator</dc:creator>
  <cp:lastModifiedBy>iPhone</cp:lastModifiedBy>
  <cp:lastPrinted>2026-01-29T09:58:00Z</cp:lastPrinted>
  <dcterms:modified xsi:type="dcterms:W3CDTF">2026-05-15T14:13:30Z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2052-12.43.1</vt:lpwstr>
  </property>
  <property fmtid="{D5CDD505-2E9C-101B-9397-08002B2CF9AE}" pid="3" name="ICV">
    <vt:lpwstr>8D1A1111A5104F3B9668FBA00A8C337C_13</vt:lpwstr>
  </property>
  <property fmtid="{D5CDD505-2E9C-101B-9397-08002B2CF9AE}" pid="4" name="KSOTemplateDocerSaveRecord">
    <vt:lpwstr>eyJoZGlkIjoiZjNhODVlZTNlZmE1YzUzZTViODUyMmQ4ZTI5MjNiNmMiLCJ1c2VySWQiOiIyMzc1ODQwODgifQ==</vt:lpwstr>
  </property>
</Properties>
</file>