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57E4">
      <w:pPr>
        <w:keepNext w:val="0"/>
        <w:keepLines w:val="0"/>
        <w:pageBreakBefore w:val="0"/>
        <w:kinsoku/>
        <w:wordWrap/>
        <w:overflowPunct/>
        <w:topLinePunct w:val="0"/>
        <w:autoSpaceDE/>
        <w:autoSpaceDN/>
        <w:bidi w:val="0"/>
        <w:adjustRightInd/>
        <w:snapToGrid/>
        <w:spacing w:beforeAutospacing="0" w:line="500" w:lineRule="exact"/>
        <w:jc w:val="center"/>
        <w:textAlignment w:val="auto"/>
        <w:rPr>
          <w:rFonts w:hint="eastAsia" w:ascii="仿宋" w:hAnsi="仿宋" w:eastAsia="仿宋" w:cs="仿宋"/>
          <w:b/>
          <w:bCs/>
          <w:color w:val="333333"/>
          <w:kern w:val="0"/>
          <w:sz w:val="44"/>
          <w:szCs w:val="44"/>
        </w:rPr>
      </w:pPr>
      <w:r>
        <w:rPr>
          <w:rFonts w:hint="eastAsia" w:ascii="仿宋" w:hAnsi="仿宋" w:eastAsia="仿宋" w:cs="仿宋"/>
          <w:b/>
          <w:bCs/>
          <w:color w:val="333333"/>
          <w:kern w:val="0"/>
          <w:sz w:val="44"/>
          <w:szCs w:val="44"/>
        </w:rPr>
        <w:t>关于下达202</w:t>
      </w:r>
      <w:r>
        <w:rPr>
          <w:rFonts w:hint="eastAsia" w:ascii="仿宋" w:hAnsi="仿宋" w:eastAsia="仿宋" w:cs="仿宋"/>
          <w:b/>
          <w:bCs/>
          <w:color w:val="333333"/>
          <w:kern w:val="0"/>
          <w:sz w:val="44"/>
          <w:szCs w:val="44"/>
          <w:lang w:val="en-US" w:eastAsia="zh-CN"/>
        </w:rPr>
        <w:t>6</w:t>
      </w:r>
      <w:r>
        <w:rPr>
          <w:rFonts w:hint="eastAsia" w:ascii="仿宋" w:hAnsi="仿宋" w:eastAsia="仿宋" w:cs="仿宋"/>
          <w:b/>
          <w:bCs/>
          <w:color w:val="333333"/>
          <w:kern w:val="0"/>
          <w:sz w:val="44"/>
          <w:szCs w:val="44"/>
        </w:rPr>
        <w:t>年度革命老区相对薄弱乡镇振兴发展年度项目实施计划</w:t>
      </w:r>
    </w:p>
    <w:p w14:paraId="6CEF0120">
      <w:pPr>
        <w:keepNext w:val="0"/>
        <w:keepLines w:val="0"/>
        <w:pageBreakBefore w:val="0"/>
        <w:kinsoku/>
        <w:wordWrap/>
        <w:overflowPunct/>
        <w:topLinePunct w:val="0"/>
        <w:autoSpaceDE/>
        <w:autoSpaceDN/>
        <w:bidi w:val="0"/>
        <w:adjustRightInd/>
        <w:snapToGrid/>
        <w:spacing w:beforeAutospacing="0" w:line="500" w:lineRule="exact"/>
        <w:jc w:val="center"/>
        <w:textAlignment w:val="auto"/>
        <w:rPr>
          <w:rFonts w:hint="eastAsia" w:ascii="仿宋" w:hAnsi="仿宋" w:eastAsia="仿宋" w:cs="仿宋"/>
          <w:b/>
          <w:bCs/>
          <w:color w:val="333333"/>
          <w:kern w:val="0"/>
          <w:sz w:val="44"/>
          <w:szCs w:val="44"/>
        </w:rPr>
      </w:pPr>
      <w:r>
        <w:rPr>
          <w:rFonts w:hint="eastAsia" w:ascii="仿宋" w:hAnsi="仿宋" w:eastAsia="仿宋" w:cs="仿宋"/>
          <w:b/>
          <w:bCs/>
          <w:color w:val="333333"/>
          <w:kern w:val="0"/>
          <w:sz w:val="44"/>
          <w:szCs w:val="44"/>
          <w:lang w:val="en-US" w:eastAsia="zh-CN"/>
        </w:rPr>
        <w:t>和</w:t>
      </w:r>
      <w:r>
        <w:rPr>
          <w:rFonts w:hint="eastAsia" w:ascii="仿宋" w:hAnsi="仿宋" w:eastAsia="仿宋" w:cs="仿宋"/>
          <w:b/>
          <w:bCs/>
          <w:color w:val="333333"/>
          <w:kern w:val="0"/>
          <w:sz w:val="44"/>
          <w:szCs w:val="44"/>
        </w:rPr>
        <w:t>资金使用方案的公告</w:t>
      </w:r>
    </w:p>
    <w:p w14:paraId="19EAE1D8">
      <w:pPr>
        <w:keepNext w:val="0"/>
        <w:keepLines w:val="0"/>
        <w:pageBreakBefore w:val="0"/>
        <w:kinsoku/>
        <w:wordWrap/>
        <w:overflowPunct/>
        <w:topLinePunct w:val="0"/>
        <w:autoSpaceDE w:val="0"/>
        <w:autoSpaceDN w:val="0"/>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省政府办公厅《关于印发支持革命老区相对薄弱乡镇振兴发展促进共同富裕若干措施的通知》(苏政办发〔2022〕80号)、省财政厅《关于提前下达2026年度中央财政衔接推进乡村振兴补助资金的通知》（苏财农〔2025 〕90号），王鲍镇被确定为革命老区，2026年度下达省级补助资金380万元。</w:t>
      </w:r>
    </w:p>
    <w:p w14:paraId="3C0607D5">
      <w:pPr>
        <w:keepNext w:val="0"/>
        <w:keepLines w:val="0"/>
        <w:pageBreakBefore w:val="0"/>
        <w:kinsoku/>
        <w:wordWrap/>
        <w:overflowPunct/>
        <w:topLinePunct w:val="0"/>
        <w:autoSpaceDE w:val="0"/>
        <w:autoSpaceDN w:val="0"/>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lang w:val="en-US" w:eastAsia="zh-CN"/>
        </w:rPr>
        <w:t>根据《关于印发&lt;江苏省财政衔接推进乡村振兴补助资金项目管理办法（试行）&gt;》的通知（苏乡振〔2021〕16号）的要求，将</w:t>
      </w:r>
      <w:r>
        <w:rPr>
          <w:rFonts w:hint="eastAsia" w:ascii="方正仿宋_GB2312" w:hAnsi="方正仿宋_GB2312" w:eastAsia="方正仿宋_GB2312" w:cs="方正仿宋_GB2312"/>
          <w:bCs/>
          <w:color w:val="auto"/>
          <w:sz w:val="32"/>
          <w:szCs w:val="32"/>
          <w:lang w:val="en-US" w:eastAsia="zh-CN"/>
        </w:rPr>
        <w:t>王鲍镇安良村和元北村光伏项目确认为2026年度革命老区相对薄弱乡镇振兴发展补助项目年度实施计划，</w:t>
      </w:r>
      <w:r>
        <w:rPr>
          <w:rFonts w:hint="eastAsia" w:ascii="方正仿宋_GB2312" w:hAnsi="方正仿宋_GB2312" w:eastAsia="方正仿宋_GB2312" w:cs="方正仿宋_GB2312"/>
          <w:color w:val="auto"/>
          <w:kern w:val="0"/>
          <w:sz w:val="32"/>
          <w:szCs w:val="32"/>
          <w:lang w:val="en-US" w:eastAsia="zh-CN"/>
        </w:rPr>
        <w:t>革命老区相对薄弱乡镇振兴发展补助资金190万元分配给</w:t>
      </w:r>
      <w:r>
        <w:rPr>
          <w:rFonts w:hint="eastAsia" w:ascii="方正仿宋_GB2312" w:hAnsi="方正仿宋_GB2312" w:eastAsia="方正仿宋_GB2312" w:cs="方正仿宋_GB2312"/>
          <w:bCs/>
          <w:color w:val="auto"/>
          <w:sz w:val="32"/>
          <w:szCs w:val="32"/>
          <w:lang w:val="en-US" w:eastAsia="zh-CN"/>
        </w:rPr>
        <w:t>安良村，</w:t>
      </w:r>
      <w:r>
        <w:rPr>
          <w:rFonts w:hint="eastAsia" w:ascii="方正仿宋_GB2312" w:hAnsi="方正仿宋_GB2312" w:eastAsia="方正仿宋_GB2312" w:cs="方正仿宋_GB2312"/>
          <w:color w:val="auto"/>
          <w:kern w:val="0"/>
          <w:sz w:val="32"/>
          <w:szCs w:val="32"/>
          <w:lang w:val="en-US" w:eastAsia="zh-CN"/>
        </w:rPr>
        <w:t>190万元分配给</w:t>
      </w:r>
      <w:r>
        <w:rPr>
          <w:rFonts w:hint="eastAsia" w:ascii="方正仿宋_GB2312" w:hAnsi="方正仿宋_GB2312" w:eastAsia="方正仿宋_GB2312" w:cs="方正仿宋_GB2312"/>
          <w:bCs/>
          <w:color w:val="auto"/>
          <w:sz w:val="32"/>
          <w:szCs w:val="32"/>
          <w:lang w:val="en-US" w:eastAsia="zh-CN"/>
        </w:rPr>
        <w:t>元北村</w:t>
      </w:r>
      <w:r>
        <w:rPr>
          <w:rFonts w:hint="eastAsia" w:ascii="方正仿宋_GB2312" w:hAnsi="方正仿宋_GB2312" w:eastAsia="方正仿宋_GB2312" w:cs="方正仿宋_GB2312"/>
          <w:snapToGrid w:val="0"/>
          <w:color w:val="auto"/>
          <w:kern w:val="0"/>
          <w:sz w:val="32"/>
          <w:szCs w:val="32"/>
        </w:rPr>
        <w:t>。</w:t>
      </w:r>
    </w:p>
    <w:p w14:paraId="54B5945E">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现予公</w:t>
      </w:r>
      <w:r>
        <w:rPr>
          <w:rFonts w:hint="eastAsia" w:ascii="方正仿宋_GB2312" w:hAnsi="方正仿宋_GB2312" w:eastAsia="方正仿宋_GB2312" w:cs="方正仿宋_GB2312"/>
          <w:color w:val="auto"/>
          <w:kern w:val="0"/>
          <w:sz w:val="32"/>
          <w:szCs w:val="32"/>
          <w:lang w:val="en-US" w:eastAsia="zh-CN"/>
        </w:rPr>
        <w:t>告</w:t>
      </w:r>
      <w:r>
        <w:rPr>
          <w:rFonts w:hint="eastAsia" w:ascii="方正仿宋_GB2312" w:hAnsi="方正仿宋_GB2312" w:eastAsia="方正仿宋_GB2312" w:cs="方正仿宋_GB2312"/>
          <w:color w:val="auto"/>
          <w:kern w:val="0"/>
          <w:sz w:val="32"/>
          <w:szCs w:val="32"/>
        </w:rPr>
        <w:t>，公</w:t>
      </w:r>
      <w:r>
        <w:rPr>
          <w:rFonts w:hint="eastAsia" w:ascii="方正仿宋_GB2312" w:hAnsi="方正仿宋_GB2312" w:eastAsia="方正仿宋_GB2312" w:cs="方正仿宋_GB2312"/>
          <w:color w:val="auto"/>
          <w:kern w:val="0"/>
          <w:sz w:val="32"/>
          <w:szCs w:val="32"/>
          <w:lang w:val="en-US" w:eastAsia="zh-CN"/>
        </w:rPr>
        <w:t>告</w:t>
      </w:r>
      <w:r>
        <w:rPr>
          <w:rFonts w:hint="eastAsia" w:ascii="方正仿宋_GB2312" w:hAnsi="方正仿宋_GB2312" w:eastAsia="方正仿宋_GB2312" w:cs="方正仿宋_GB2312"/>
          <w:color w:val="auto"/>
          <w:kern w:val="0"/>
          <w:sz w:val="32"/>
          <w:szCs w:val="32"/>
        </w:rPr>
        <w:t>时间10天（202</w:t>
      </w:r>
      <w:r>
        <w:rPr>
          <w:rFonts w:hint="eastAsia" w:ascii="方正仿宋_GB2312" w:hAnsi="方正仿宋_GB2312" w:eastAsia="方正仿宋_GB2312" w:cs="方正仿宋_GB2312"/>
          <w:color w:val="auto"/>
          <w:kern w:val="0"/>
          <w:sz w:val="32"/>
          <w:szCs w:val="32"/>
          <w:lang w:val="en-US" w:eastAsia="zh-CN"/>
        </w:rPr>
        <w:t>6</w:t>
      </w:r>
      <w:r>
        <w:rPr>
          <w:rFonts w:hint="eastAsia" w:ascii="方正仿宋_GB2312" w:hAnsi="方正仿宋_GB2312" w:eastAsia="方正仿宋_GB2312" w:cs="方正仿宋_GB2312"/>
          <w:color w:val="auto"/>
          <w:kern w:val="0"/>
          <w:sz w:val="32"/>
          <w:szCs w:val="32"/>
        </w:rPr>
        <w:t>年</w:t>
      </w:r>
      <w:r>
        <w:rPr>
          <w:rFonts w:hint="eastAsia" w:ascii="方正仿宋_GB2312" w:hAnsi="方正仿宋_GB2312" w:eastAsia="方正仿宋_GB2312" w:cs="方正仿宋_GB2312"/>
          <w:color w:val="auto"/>
          <w:kern w:val="0"/>
          <w:sz w:val="32"/>
          <w:szCs w:val="32"/>
          <w:lang w:val="en-US" w:eastAsia="zh-CN"/>
        </w:rPr>
        <w:t>2</w:t>
      </w:r>
      <w:r>
        <w:rPr>
          <w:rFonts w:hint="eastAsia" w:ascii="方正仿宋_GB2312" w:hAnsi="方正仿宋_GB2312" w:eastAsia="方正仿宋_GB2312" w:cs="方正仿宋_GB2312"/>
          <w:color w:val="auto"/>
          <w:kern w:val="0"/>
          <w:sz w:val="32"/>
          <w:szCs w:val="32"/>
        </w:rPr>
        <w:t>月</w:t>
      </w:r>
      <w:r>
        <w:rPr>
          <w:rFonts w:hint="eastAsia" w:ascii="方正仿宋_GB2312" w:hAnsi="方正仿宋_GB2312" w:eastAsia="方正仿宋_GB2312" w:cs="方正仿宋_GB2312"/>
          <w:color w:val="auto"/>
          <w:kern w:val="0"/>
          <w:sz w:val="32"/>
          <w:szCs w:val="32"/>
          <w:lang w:val="en-US" w:eastAsia="zh-CN"/>
        </w:rPr>
        <w:t>11</w:t>
      </w:r>
      <w:r>
        <w:rPr>
          <w:rFonts w:hint="eastAsia" w:ascii="方正仿宋_GB2312" w:hAnsi="方正仿宋_GB2312" w:eastAsia="方正仿宋_GB2312" w:cs="方正仿宋_GB2312"/>
          <w:color w:val="auto"/>
          <w:kern w:val="0"/>
          <w:sz w:val="32"/>
          <w:szCs w:val="32"/>
        </w:rPr>
        <w:t>日—202</w:t>
      </w:r>
      <w:r>
        <w:rPr>
          <w:rFonts w:hint="eastAsia" w:ascii="方正仿宋_GB2312" w:hAnsi="方正仿宋_GB2312" w:eastAsia="方正仿宋_GB2312" w:cs="方正仿宋_GB2312"/>
          <w:color w:val="auto"/>
          <w:kern w:val="0"/>
          <w:sz w:val="32"/>
          <w:szCs w:val="32"/>
          <w:lang w:val="en-US" w:eastAsia="zh-CN"/>
        </w:rPr>
        <w:t>6</w:t>
      </w:r>
      <w:r>
        <w:rPr>
          <w:rFonts w:hint="eastAsia" w:ascii="方正仿宋_GB2312" w:hAnsi="方正仿宋_GB2312" w:eastAsia="方正仿宋_GB2312" w:cs="方正仿宋_GB2312"/>
          <w:color w:val="auto"/>
          <w:kern w:val="0"/>
          <w:sz w:val="32"/>
          <w:szCs w:val="32"/>
        </w:rPr>
        <w:t>年</w:t>
      </w:r>
      <w:r>
        <w:rPr>
          <w:rFonts w:hint="eastAsia" w:ascii="方正仿宋_GB2312" w:hAnsi="方正仿宋_GB2312" w:eastAsia="方正仿宋_GB2312" w:cs="方正仿宋_GB2312"/>
          <w:color w:val="auto"/>
          <w:kern w:val="0"/>
          <w:sz w:val="32"/>
          <w:szCs w:val="32"/>
          <w:lang w:val="en-US" w:eastAsia="zh-CN"/>
        </w:rPr>
        <w:t>2</w:t>
      </w:r>
      <w:r>
        <w:rPr>
          <w:rFonts w:hint="eastAsia" w:ascii="方正仿宋_GB2312" w:hAnsi="方正仿宋_GB2312" w:eastAsia="方正仿宋_GB2312" w:cs="方正仿宋_GB2312"/>
          <w:color w:val="auto"/>
          <w:kern w:val="0"/>
          <w:sz w:val="32"/>
          <w:szCs w:val="32"/>
        </w:rPr>
        <w:t>月</w:t>
      </w:r>
      <w:r>
        <w:rPr>
          <w:rFonts w:hint="eastAsia" w:ascii="方正仿宋_GB2312" w:hAnsi="方正仿宋_GB2312" w:eastAsia="方正仿宋_GB2312" w:cs="方正仿宋_GB2312"/>
          <w:color w:val="auto"/>
          <w:kern w:val="0"/>
          <w:sz w:val="32"/>
          <w:szCs w:val="32"/>
          <w:lang w:val="en-US" w:eastAsia="zh-CN"/>
        </w:rPr>
        <w:t>21</w:t>
      </w:r>
      <w:bookmarkStart w:id="2" w:name="_GoBack"/>
      <w:bookmarkEnd w:id="2"/>
      <w:r>
        <w:rPr>
          <w:rFonts w:hint="eastAsia" w:ascii="方正仿宋_GB2312" w:hAnsi="方正仿宋_GB2312" w:eastAsia="方正仿宋_GB2312" w:cs="方正仿宋_GB2312"/>
          <w:color w:val="auto"/>
          <w:kern w:val="0"/>
          <w:sz w:val="32"/>
          <w:szCs w:val="32"/>
        </w:rPr>
        <w:t>日）。</w:t>
      </w:r>
    </w:p>
    <w:p w14:paraId="5B660D81">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rPr>
      </w:pPr>
    </w:p>
    <w:p w14:paraId="232C5227">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附件：启东市2026年</w:t>
      </w:r>
      <w:r>
        <w:rPr>
          <w:rFonts w:hint="eastAsia" w:ascii="方正仿宋_GB2312" w:hAnsi="方正仿宋_GB2312" w:eastAsia="方正仿宋_GB2312" w:cs="方正仿宋_GB2312"/>
          <w:color w:val="auto"/>
          <w:kern w:val="0"/>
          <w:sz w:val="32"/>
          <w:szCs w:val="32"/>
        </w:rPr>
        <w:t>革命老区相对薄弱乡镇振兴发展补助</w:t>
      </w:r>
      <w:r>
        <w:rPr>
          <w:rFonts w:hint="eastAsia" w:ascii="方正仿宋_GB2312" w:hAnsi="方正仿宋_GB2312" w:eastAsia="方正仿宋_GB2312" w:cs="方正仿宋_GB2312"/>
          <w:color w:val="auto"/>
          <w:kern w:val="0"/>
          <w:sz w:val="32"/>
          <w:szCs w:val="32"/>
          <w:lang w:val="en-US" w:eastAsia="zh-CN"/>
        </w:rPr>
        <w:t>项目申报详情</w:t>
      </w:r>
    </w:p>
    <w:p w14:paraId="307BA964">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lang w:val="en-US" w:eastAsia="zh-CN"/>
        </w:rPr>
      </w:pPr>
    </w:p>
    <w:p w14:paraId="4292F54D">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jc w:val="right"/>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启东市农业农村局</w:t>
      </w:r>
    </w:p>
    <w:p w14:paraId="61D9E029">
      <w:pPr>
        <w:keepNext w:val="0"/>
        <w:keepLines w:val="0"/>
        <w:pageBreakBefore w:val="0"/>
        <w:widowControl/>
        <w:shd w:val="clear" w:color="auto" w:fill="FFFFFF"/>
        <w:kinsoku/>
        <w:wordWrap/>
        <w:overflowPunct/>
        <w:topLinePunct w:val="0"/>
        <w:autoSpaceDE/>
        <w:autoSpaceDN/>
        <w:bidi w:val="0"/>
        <w:adjustRightInd/>
        <w:snapToGrid/>
        <w:spacing w:beforeAutospacing="0" w:line="560" w:lineRule="exact"/>
        <w:ind w:firstLine="640" w:firstLineChars="200"/>
        <w:jc w:val="right"/>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2026年2月11日</w:t>
      </w:r>
    </w:p>
    <w:p w14:paraId="6E52229C">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2F9C67BE">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1FE39708">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117C8C75">
      <w:pPr>
        <w:jc w:val="both"/>
      </w:pPr>
    </w:p>
    <w:p w14:paraId="6610F8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val="en-US" w:eastAsia="zh-CN"/>
        </w:rPr>
        <w:t>2026年度</w:t>
      </w:r>
      <w:bookmarkStart w:id="0" w:name="OLE_LINK1"/>
      <w:r>
        <w:rPr>
          <w:rFonts w:hint="eastAsia" w:ascii="方正小标宋_GBK" w:hAnsi="方正小标宋_GBK" w:eastAsia="方正小标宋_GBK" w:cs="方正小标宋_GBK"/>
          <w:b w:val="0"/>
          <w:bCs w:val="0"/>
          <w:sz w:val="44"/>
          <w:szCs w:val="44"/>
          <w:lang w:val="en-US" w:eastAsia="zh-CN"/>
        </w:rPr>
        <w:t>革命老区相对薄弱乡镇衔接资金补助</w:t>
      </w:r>
      <w:bookmarkEnd w:id="0"/>
      <w:r>
        <w:rPr>
          <w:rFonts w:hint="eastAsia" w:ascii="方正小标宋_GBK" w:hAnsi="方正小标宋_GBK" w:eastAsia="方正小标宋_GBK" w:cs="方正小标宋_GBK"/>
          <w:b w:val="0"/>
          <w:bCs w:val="0"/>
          <w:sz w:val="44"/>
          <w:szCs w:val="44"/>
          <w:lang w:val="en-US" w:eastAsia="zh-CN"/>
        </w:rPr>
        <w:t>项目储备拟申报项目</w:t>
      </w:r>
    </w:p>
    <w:p w14:paraId="3A4C8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p>
    <w:p w14:paraId="47DF5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根据</w:t>
      </w:r>
      <w:r>
        <w:rPr>
          <w:rFonts w:hint="eastAsia" w:ascii="仿宋" w:hAnsi="仿宋" w:eastAsia="仿宋" w:cs="仿宋"/>
          <w:b w:val="0"/>
          <w:bCs w:val="0"/>
          <w:sz w:val="32"/>
          <w:szCs w:val="32"/>
          <w:lang w:val="en-US" w:eastAsia="zh-CN"/>
        </w:rPr>
        <w:t>上级部门</w:t>
      </w:r>
      <w:r>
        <w:rPr>
          <w:rFonts w:hint="eastAsia" w:ascii="仿宋" w:hAnsi="仿宋" w:eastAsia="仿宋" w:cs="仿宋"/>
          <w:b w:val="0"/>
          <w:bCs w:val="0"/>
          <w:sz w:val="32"/>
          <w:szCs w:val="32"/>
          <w:lang w:eastAsia="zh-CN"/>
        </w:rPr>
        <w:t>要求开展</w:t>
      </w:r>
      <w:r>
        <w:rPr>
          <w:rFonts w:hint="eastAsia" w:ascii="仿宋" w:hAnsi="仿宋" w:eastAsia="仿宋" w:cs="仿宋"/>
          <w:b w:val="0"/>
          <w:bCs w:val="0"/>
          <w:sz w:val="32"/>
          <w:szCs w:val="32"/>
          <w:lang w:val="en-US" w:eastAsia="zh-CN"/>
        </w:rPr>
        <w:t>2026年度革命老区相对薄弱乡镇衔接资金补助项目库申报工作，</w:t>
      </w:r>
      <w:r>
        <w:rPr>
          <w:rFonts w:hint="eastAsia" w:ascii="仿宋" w:hAnsi="仿宋" w:eastAsia="仿宋" w:cs="仿宋"/>
          <w:b w:val="0"/>
          <w:bCs w:val="0"/>
          <w:sz w:val="32"/>
          <w:szCs w:val="32"/>
          <w:lang w:eastAsia="zh-CN"/>
        </w:rPr>
        <w:t>严格按照“村申报、镇审核、县审定”的流程程序组织项目申报、评审和报批，经发动各村申报，镇开展实地核实，拟申报如下</w:t>
      </w: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lang w:eastAsia="zh-CN"/>
        </w:rPr>
        <w:t>：</w:t>
      </w:r>
    </w:p>
    <w:p w14:paraId="407B2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bookmarkStart w:id="1" w:name="OLE_LINK2"/>
      <w:r>
        <w:rPr>
          <w:rFonts w:hint="eastAsia" w:ascii="黑体" w:hAnsi="黑体" w:eastAsia="黑体" w:cs="黑体"/>
          <w:b w:val="0"/>
          <w:bCs w:val="0"/>
          <w:sz w:val="32"/>
          <w:szCs w:val="32"/>
          <w:lang w:val="en-US" w:eastAsia="zh-CN"/>
        </w:rPr>
        <w:t>一、王鲍镇安良村光伏项目</w:t>
      </w:r>
    </w:p>
    <w:p w14:paraId="428B1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项目名称：王鲍镇安良村和元北村光伏项目</w:t>
      </w:r>
    </w:p>
    <w:p w14:paraId="1552A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项目类别：产业发展</w:t>
      </w:r>
    </w:p>
    <w:p w14:paraId="5F1D7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建设性质：新建</w:t>
      </w:r>
    </w:p>
    <w:p w14:paraId="411E8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责任单位：王鲍镇安良村股份经济合作社、王鲍镇元北村股份经济合作社</w:t>
      </w:r>
    </w:p>
    <w:p w14:paraId="5291A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建设内容：</w:t>
      </w:r>
      <w:r>
        <w:rPr>
          <w:rFonts w:hint="eastAsia" w:ascii="仿宋" w:hAnsi="仿宋" w:eastAsia="仿宋" w:cs="仿宋"/>
          <w:b w:val="0"/>
          <w:bCs w:val="0"/>
          <w:sz w:val="32"/>
          <w:szCs w:val="32"/>
          <w:lang w:eastAsia="zh-CN"/>
        </w:rPr>
        <w:t>安良村</w:t>
      </w:r>
      <w:r>
        <w:rPr>
          <w:rFonts w:hint="eastAsia" w:ascii="仿宋" w:hAnsi="仿宋" w:eastAsia="仿宋" w:cs="仿宋"/>
          <w:b w:val="0"/>
          <w:bCs w:val="0"/>
          <w:sz w:val="32"/>
          <w:szCs w:val="32"/>
          <w:lang w:val="en-US" w:eastAsia="zh-CN"/>
        </w:rPr>
        <w:t>科技保鲜仓库、启辉包装</w:t>
      </w:r>
      <w:r>
        <w:rPr>
          <w:rFonts w:hint="eastAsia" w:ascii="仿宋" w:hAnsi="仿宋" w:eastAsia="仿宋" w:cs="仿宋"/>
          <w:b w:val="0"/>
          <w:bCs w:val="0"/>
          <w:sz w:val="32"/>
          <w:szCs w:val="32"/>
          <w:lang w:eastAsia="zh-CN"/>
        </w:rPr>
        <w:t>等屋顶安装光伏。</w:t>
      </w:r>
    </w:p>
    <w:p w14:paraId="499D2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建设规模：安良村约1MW光伏发电站，元北村约1MW光伏发电站。</w:t>
      </w:r>
    </w:p>
    <w:p w14:paraId="76D9D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实施地点：王鲍镇安良村、启辉包装等，滨行农业、镇文体中心</w:t>
      </w:r>
      <w:r>
        <w:rPr>
          <w:rFonts w:hint="eastAsia" w:ascii="仿宋" w:hAnsi="仿宋" w:eastAsia="仿宋" w:cs="仿宋"/>
          <w:b w:val="0"/>
          <w:bCs w:val="0"/>
          <w:sz w:val="32"/>
          <w:szCs w:val="32"/>
          <w:lang w:eastAsia="zh-CN"/>
        </w:rPr>
        <w:t>等屋顶安装光伏</w:t>
      </w:r>
      <w:r>
        <w:rPr>
          <w:rFonts w:hint="eastAsia" w:ascii="仿宋" w:hAnsi="仿宋" w:eastAsia="仿宋" w:cs="仿宋"/>
          <w:b w:val="0"/>
          <w:bCs w:val="0"/>
          <w:sz w:val="32"/>
          <w:szCs w:val="32"/>
          <w:lang w:val="en-US" w:eastAsia="zh-CN"/>
        </w:rPr>
        <w:t>。</w:t>
      </w:r>
    </w:p>
    <w:p w14:paraId="681D87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时间进度：</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月完成工程预算编制；</w:t>
      </w:r>
    </w:p>
    <w:p w14:paraId="2FC6D5B0">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月至202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月完成项目招标；</w:t>
      </w:r>
    </w:p>
    <w:p w14:paraId="222943BD">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月至202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月完成项目施工；</w:t>
      </w:r>
    </w:p>
    <w:p w14:paraId="25AA1352">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月完成项目验收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审计</w:t>
      </w:r>
      <w:r>
        <w:rPr>
          <w:rFonts w:hint="eastAsia" w:ascii="仿宋" w:hAnsi="仿宋" w:eastAsia="仿宋" w:cs="仿宋"/>
          <w:b w:val="0"/>
          <w:bCs w:val="0"/>
          <w:sz w:val="32"/>
          <w:szCs w:val="32"/>
        </w:rPr>
        <w:t>。</w:t>
      </w:r>
    </w:p>
    <w:p w14:paraId="71B47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资金规模：380万元。</w:t>
      </w:r>
    </w:p>
    <w:p w14:paraId="2FF4D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筹资方式：革命老区相对薄弱乡镇补助资金380万元。</w:t>
      </w:r>
    </w:p>
    <w:p w14:paraId="64C4B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受益对象与利益联结机制：安良村股份经济合作社及全体成员、元北村股份经济合作社及全体成员。</w:t>
      </w:r>
    </w:p>
    <w:p w14:paraId="67208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绩效目标：年增加每个村村营收入约15万元。</w:t>
      </w:r>
    </w:p>
    <w:p w14:paraId="0711C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项目资产管护与运营：安良村股份经济合作社、元北村股份经济合作社。</w:t>
      </w:r>
    </w:p>
    <w:bookmarkEnd w:id="1"/>
    <w:p w14:paraId="606E3B5C">
      <w:pPr>
        <w:rPr>
          <w:rFonts w:hint="eastAsia" w:eastAsia="宋体"/>
          <w:lang w:val="en-US" w:eastAsia="zh-CN"/>
        </w:rPr>
      </w:pPr>
    </w:p>
    <w:p w14:paraId="684BA6B0">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79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A68A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34A68A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YjI4YzcwZDZmZWEyYThjNTE1NTM3ZWU0NjUxNTMifQ=="/>
    <w:docVar w:name="KSO_WPS_MARK_KEY" w:val="04da6857-35e0-4c1e-a4cc-c836e23f4168"/>
  </w:docVars>
  <w:rsids>
    <w:rsidRoot w:val="00703B03"/>
    <w:rsid w:val="00000FBA"/>
    <w:rsid w:val="00007486"/>
    <w:rsid w:val="0020559A"/>
    <w:rsid w:val="00263434"/>
    <w:rsid w:val="002E56AE"/>
    <w:rsid w:val="003C73C8"/>
    <w:rsid w:val="006B77FA"/>
    <w:rsid w:val="00703B03"/>
    <w:rsid w:val="008A2F3F"/>
    <w:rsid w:val="009D46F6"/>
    <w:rsid w:val="00F928E6"/>
    <w:rsid w:val="00FD62F2"/>
    <w:rsid w:val="057C3423"/>
    <w:rsid w:val="07A742C1"/>
    <w:rsid w:val="07B135CE"/>
    <w:rsid w:val="14694189"/>
    <w:rsid w:val="1FD55B0C"/>
    <w:rsid w:val="23A47C26"/>
    <w:rsid w:val="27DB7A00"/>
    <w:rsid w:val="27FC0466"/>
    <w:rsid w:val="2D4212AA"/>
    <w:rsid w:val="37FADCC6"/>
    <w:rsid w:val="3AA5784C"/>
    <w:rsid w:val="3AFA0780"/>
    <w:rsid w:val="3B4F093D"/>
    <w:rsid w:val="3C384164"/>
    <w:rsid w:val="433E3014"/>
    <w:rsid w:val="44DD7D21"/>
    <w:rsid w:val="4CC93E90"/>
    <w:rsid w:val="52913C91"/>
    <w:rsid w:val="59276802"/>
    <w:rsid w:val="5A0667C2"/>
    <w:rsid w:val="61214177"/>
    <w:rsid w:val="62E34E62"/>
    <w:rsid w:val="66AA2FB1"/>
    <w:rsid w:val="70BC5C25"/>
    <w:rsid w:val="71BE0D78"/>
    <w:rsid w:val="74C748C4"/>
    <w:rsid w:val="755F1275"/>
    <w:rsid w:val="76E62A81"/>
    <w:rsid w:val="7BC20682"/>
    <w:rsid w:val="9EDF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sz w:val="32"/>
      <w:szCs w:val="32"/>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u w:val="none"/>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920</Words>
  <Characters>1002</Characters>
  <Lines>3</Lines>
  <Paragraphs>1</Paragraphs>
  <TotalTime>0</TotalTime>
  <ScaleCrop>false</ScaleCrop>
  <LinksUpToDate>false</LinksUpToDate>
  <CharactersWithSpaces>1002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2023-06-06T17:18:00Z</dcterms:created>
  <dc:creator>PC</dc:creator>
  <cp:lastModifiedBy>咕噜咕噜~_^</cp:lastModifiedBy>
  <dcterms:modified xsi:type="dcterms:W3CDTF">2026-02-11T10:57:07Z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AFD9EDF6C78E3927B0DC6969ADE549F5_43</vt:lpwstr>
  </property>
</Properties>
</file>