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9" w:line="219" w:lineRule="auto"/>
        <w:jc w:val="center"/>
        <w:outlineLvl w:val="0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hint="eastAsia" w:ascii="宋体" w:hAnsi="宋体" w:eastAsia="宋体" w:cs="宋体"/>
          <w:b/>
          <w:bCs/>
          <w:spacing w:val="-14"/>
          <w:sz w:val="46"/>
          <w:szCs w:val="46"/>
          <w:lang w:val="en-US" w:eastAsia="zh-CN"/>
        </w:rPr>
        <w:t>关于</w:t>
      </w:r>
      <w:r>
        <w:rPr>
          <w:rFonts w:ascii="宋体" w:hAnsi="宋体" w:eastAsia="宋体" w:cs="宋体"/>
          <w:b/>
          <w:bCs/>
          <w:spacing w:val="-14"/>
          <w:sz w:val="46"/>
          <w:szCs w:val="46"/>
        </w:rPr>
        <w:t>2026年省级现代农业发展补助专项</w:t>
      </w: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(农产品加工能力提升政策)项目储备</w:t>
      </w:r>
      <w:r>
        <w:rPr>
          <w:rFonts w:hint="eastAsia" w:ascii="宋体" w:hAnsi="宋体" w:eastAsia="宋体" w:cs="宋体"/>
          <w:b/>
          <w:bCs/>
          <w:spacing w:val="-10"/>
          <w:sz w:val="46"/>
          <w:szCs w:val="46"/>
          <w:lang w:val="en-US" w:eastAsia="zh-CN"/>
        </w:rPr>
        <w:t>通知</w:t>
      </w:r>
    </w:p>
    <w:p>
      <w:pPr>
        <w:spacing w:before="63" w:line="220" w:lineRule="auto"/>
        <w:ind w:firstLine="590" w:firstLineChars="200"/>
        <w:rPr>
          <w:rFonts w:ascii="黑体" w:hAnsi="黑体" w:eastAsia="黑体" w:cs="黑体"/>
          <w:b/>
          <w:bCs/>
          <w:spacing w:val="-8"/>
          <w:sz w:val="31"/>
          <w:szCs w:val="3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63" w:line="560" w:lineRule="exact"/>
        <w:ind w:firstLine="57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</w:rPr>
        <w:t>一</w:t>
      </w:r>
      <w:r>
        <w:rPr>
          <w:rFonts w:hint="eastAsia"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</w:rPr>
        <w:t>、支持对象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11" w:line="560" w:lineRule="exact"/>
        <w:ind w:right="118" w:firstLine="659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县级及以上农业龙头企业，且在省内有自建或稳定的合作共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建生产基地，与省内农户建立订单农业、服务或技术带动、保底</w:t>
      </w:r>
      <w:r>
        <w:rPr>
          <w:rFonts w:hint="eastAsia" w:ascii="仿宋" w:hAnsi="仿宋" w:eastAsia="仿宋" w:cs="仿宋"/>
          <w:spacing w:val="23"/>
          <w:sz w:val="30"/>
          <w:szCs w:val="30"/>
        </w:rPr>
        <w:t>收购、二次返利等紧密的利益联结机制。已承担2023、2024年</w:t>
      </w:r>
      <w:r>
        <w:rPr>
          <w:rFonts w:hint="eastAsia" w:ascii="仿宋" w:hAnsi="仿宋" w:eastAsia="仿宋" w:cs="仿宋"/>
          <w:spacing w:val="30"/>
          <w:sz w:val="30"/>
          <w:szCs w:val="30"/>
        </w:rPr>
        <w:t>度省级现代农业发展专项农业全产业链项目(2024年农产品加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工项目)或中晚熟</w:t>
      </w: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大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蒜产业集群，苏系肉鸡产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业集群，小龙虾产</w:t>
      </w:r>
      <w:r>
        <w:rPr>
          <w:rFonts w:hint="eastAsia" w:ascii="仿宋" w:hAnsi="仿宋" w:eastAsia="仿宋" w:cs="仿宋"/>
          <w:spacing w:val="32"/>
          <w:sz w:val="30"/>
          <w:szCs w:val="30"/>
        </w:rPr>
        <w:t>业集群2022年度、2024年度，稻米产业集群2023年度、生猪</w:t>
      </w:r>
      <w:r>
        <w:rPr>
          <w:rFonts w:hint="eastAsia" w:ascii="仿宋" w:hAnsi="仿宋" w:eastAsia="仿宋" w:cs="仿宋"/>
          <w:spacing w:val="24"/>
          <w:sz w:val="30"/>
          <w:szCs w:val="30"/>
        </w:rPr>
        <w:t>产业集群2024年度项目但尚未完成建设的主体，不得参与2026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年农产品加工提升项目储备入库。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" w:line="560" w:lineRule="exact"/>
        <w:ind w:left="664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二</w:t>
      </w:r>
      <w:r>
        <w:rPr>
          <w:rFonts w:hint="eastAsia"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、支持内容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16" w:line="560" w:lineRule="exact"/>
        <w:ind w:firstLine="659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支持农产品加工能力提升和转型升级，加快生物、数字、信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息等技术在农产品加工的集成应用。重点支持引领型、带动型农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业龙头企业在以新质生产力为引领的保健食品、休闲食品、冻干</w:t>
      </w:r>
      <w:r>
        <w:rPr>
          <w:rFonts w:hint="eastAsia" w:ascii="仿宋" w:hAnsi="仿宋" w:eastAsia="仿宋" w:cs="仿宋"/>
          <w:spacing w:val="5"/>
          <w:sz w:val="30"/>
          <w:szCs w:val="30"/>
        </w:rPr>
        <w:t>食品、海洋食品、宠物产业以及功能物提取、副产物利用等新兴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产业领域发展高附加值、深层次、全方位利用的精深加工和产品、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技术创新研发。具体支持农产品加工设备和技术、产品研发设备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的购置、升级以及“智改数转网联”。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654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三、补助标准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97" w:line="560" w:lineRule="exact"/>
        <w:ind w:right="33" w:firstLine="649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</w:rPr>
        <w:t>单个项目总投资不低于200万元、省级财政资金补助不超过</w:t>
      </w:r>
      <w:r>
        <w:rPr>
          <w:rFonts w:hint="eastAsia" w:ascii="仿宋" w:hAnsi="仿宋" w:eastAsia="仿宋" w:cs="仿宋"/>
          <w:spacing w:val="26"/>
          <w:sz w:val="30"/>
          <w:szCs w:val="30"/>
        </w:rPr>
        <w:t>总投资30%、各级财政累计补助比例不超过总投资50%。单个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项目省级财政补助资金最高不超400万元。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01" w:line="560" w:lineRule="exact"/>
        <w:ind w:left="654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四、储备要求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28" w:line="560" w:lineRule="exact"/>
        <w:ind w:firstLine="76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1"/>
          <w:sz w:val="30"/>
          <w:szCs w:val="30"/>
        </w:rPr>
        <w:t>(一)</w:t>
      </w:r>
      <w:r>
        <w:rPr>
          <w:rFonts w:hint="eastAsia" w:ascii="仿宋" w:hAnsi="仿宋" w:eastAsia="仿宋" w:cs="仿宋"/>
          <w:sz w:val="30"/>
          <w:szCs w:val="30"/>
        </w:rPr>
        <w:t>所有项目以申报获批、建后验收、先建后补为原则，验收合格后方可补助。</w:t>
      </w:r>
      <w:r>
        <w:rPr>
          <w:rFonts w:hint="eastAsia" w:cs="仿宋"/>
          <w:spacing w:val="5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5"/>
          <w:sz w:val="30"/>
          <w:szCs w:val="30"/>
        </w:rPr>
        <w:t>026年度项目实施期原则上为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一年</w:t>
      </w:r>
      <w:r>
        <w:rPr>
          <w:rFonts w:hint="eastAsia" w:ascii="仿宋" w:hAnsi="仿宋" w:eastAsia="仿宋" w:cs="仿宋"/>
          <w:spacing w:val="5"/>
          <w:sz w:val="30"/>
          <w:szCs w:val="30"/>
        </w:rPr>
        <w:t>，项目建设起始时间自项目批复文件日期算起。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4" w:line="560" w:lineRule="exact"/>
        <w:ind w:right="18" w:firstLine="76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(二)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省级财政资金不得用于楼堂馆所、市政道路、农村公路、厂房车间等各类基建支出，不得用于第三方项目咨询服务费用、人员工资等及其他一般性支出，不得用于一次性物料或耗材支出、不得用于弥补预算支出缺口等。项目同一建设内容不得与其他省级及以上财政资金重复支持。财政资金支持内容与配套资金建设内容应紧密关联、有机统一，不得为满足配套要求，在项目方案中增加无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(三)</w:t>
      </w:r>
      <w:r>
        <w:rPr>
          <w:rFonts w:hint="eastAsia" w:ascii="仿宋" w:hAnsi="仿宋" w:eastAsia="仿宋" w:cs="仿宋"/>
          <w:sz w:val="30"/>
          <w:szCs w:val="30"/>
        </w:rPr>
        <w:t>凡符合上述申报条件的启东各有关单位应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及时申报（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参考格式</w:t>
      </w:r>
      <w:r>
        <w:rPr>
          <w:rFonts w:hint="eastAsia" w:ascii="仿宋" w:hAnsi="仿宋" w:eastAsia="仿宋" w:cs="仿宋"/>
          <w:sz w:val="30"/>
          <w:szCs w:val="30"/>
        </w:rPr>
        <w:t>见附件），以电子版形式上报市农业农村局乡村产业发展科。同时，附公共信用系统的信用审查报告一并上报。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申报截止时间为202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日晚前，逾期不候。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启东市农业农村局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2025年11月10日</w:t>
      </w:r>
    </w:p>
    <w:p>
      <w:pPr>
        <w:pStyle w:val="2"/>
        <w:spacing w:before="228" w:line="315" w:lineRule="auto"/>
        <w:ind w:firstLine="769"/>
        <w:rPr>
          <w:spacing w:val="15"/>
          <w:sz w:val="31"/>
          <w:szCs w:val="31"/>
        </w:rPr>
      </w:pPr>
    </w:p>
    <w:p>
      <w:pPr>
        <w:pStyle w:val="2"/>
        <w:spacing w:before="228" w:line="315" w:lineRule="auto"/>
        <w:ind w:firstLine="769"/>
        <w:rPr>
          <w:spacing w:val="15"/>
          <w:sz w:val="31"/>
          <w:szCs w:val="31"/>
        </w:rPr>
      </w:pPr>
    </w:p>
    <w:p>
      <w:pPr>
        <w:rPr>
          <w:spacing w:val="15"/>
          <w:sz w:val="31"/>
          <w:szCs w:val="31"/>
        </w:rPr>
      </w:pPr>
      <w:r>
        <w:rPr>
          <w:spacing w:val="15"/>
          <w:sz w:val="31"/>
          <w:szCs w:val="31"/>
        </w:rPr>
        <w:br w:type="page"/>
      </w:r>
    </w:p>
    <w:p>
      <w:pPr>
        <w:pStyle w:val="2"/>
        <w:spacing w:before="228" w:line="315" w:lineRule="auto"/>
        <w:ind w:firstLine="769"/>
        <w:rPr>
          <w:spacing w:val="15"/>
          <w:sz w:val="31"/>
          <w:szCs w:val="31"/>
        </w:rPr>
      </w:pPr>
    </w:p>
    <w:p>
      <w:pPr>
        <w:spacing w:before="149" w:line="219" w:lineRule="auto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  <w:u w:val="single" w:color="auto"/>
        </w:rPr>
        <w:t>附：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49" w:line="219" w:lineRule="auto"/>
        <w:ind w:left="200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"/>
          <w:sz w:val="46"/>
          <w:szCs w:val="46"/>
          <w:u w:val="single" w:color="auto"/>
        </w:rPr>
        <w:t>(项目名称)</w:t>
      </w:r>
      <w:r>
        <w:rPr>
          <w:rFonts w:ascii="宋体" w:hAnsi="宋体" w:eastAsia="宋体" w:cs="宋体"/>
          <w:b/>
          <w:bCs/>
          <w:spacing w:val="-3"/>
          <w:sz w:val="46"/>
          <w:szCs w:val="46"/>
        </w:rPr>
        <w:t>项目内容简介</w:t>
      </w:r>
    </w:p>
    <w:p>
      <w:pPr>
        <w:spacing w:before="51" w:line="222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、主体简介</w:t>
      </w:r>
    </w:p>
    <w:p>
      <w:pPr>
        <w:pStyle w:val="2"/>
        <w:spacing w:before="209" w:line="221" w:lineRule="auto"/>
        <w:ind w:left="643"/>
        <w:rPr>
          <w:sz w:val="31"/>
          <w:szCs w:val="31"/>
        </w:rPr>
      </w:pPr>
      <w:r>
        <w:rPr>
          <w:spacing w:val="9"/>
          <w:sz w:val="31"/>
          <w:szCs w:val="31"/>
        </w:rPr>
        <w:t>名称、龙头企业级别、主营业务、位置等</w:t>
      </w:r>
    </w:p>
    <w:p>
      <w:pPr>
        <w:spacing w:before="178" w:line="222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、主要建设内容</w:t>
      </w:r>
    </w:p>
    <w:p>
      <w:pPr>
        <w:pStyle w:val="2"/>
        <w:spacing w:before="180" w:line="335" w:lineRule="auto"/>
        <w:ind w:left="13" w:firstLine="630"/>
        <w:jc w:val="both"/>
        <w:rPr>
          <w:sz w:val="31"/>
          <w:szCs w:val="31"/>
        </w:rPr>
      </w:pPr>
      <w:r>
        <w:rPr>
          <w:spacing w:val="19"/>
          <w:sz w:val="31"/>
          <w:szCs w:val="31"/>
        </w:rPr>
        <w:t>阐述项目实施内容(包括配套资金建设内容)及投资收益、</w:t>
      </w:r>
      <w:r>
        <w:rPr>
          <w:spacing w:val="4"/>
          <w:sz w:val="31"/>
          <w:szCs w:val="31"/>
        </w:rPr>
        <w:t>生产扩能、社会效益等相关情况，并简述项目购置、升级的设备</w:t>
      </w:r>
      <w:r>
        <w:rPr>
          <w:spacing w:val="5"/>
          <w:sz w:val="31"/>
          <w:szCs w:val="31"/>
        </w:rPr>
        <w:t>设施用途。</w:t>
      </w:r>
    </w:p>
    <w:p>
      <w:pPr>
        <w:spacing w:before="1" w:line="221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、资金预算</w:t>
      </w:r>
    </w:p>
    <w:p>
      <w:pPr>
        <w:pStyle w:val="2"/>
        <w:spacing w:before="210" w:line="326" w:lineRule="auto"/>
        <w:ind w:left="13" w:firstLine="630"/>
        <w:rPr>
          <w:sz w:val="31"/>
          <w:szCs w:val="31"/>
        </w:rPr>
      </w:pPr>
      <w:r>
        <w:rPr>
          <w:spacing w:val="13"/>
          <w:sz w:val="31"/>
          <w:szCs w:val="31"/>
        </w:rPr>
        <w:t>分渠道阐述省级资金及配套资金使用明细(如有市县资金，</w:t>
      </w:r>
      <w:r>
        <w:rPr>
          <w:spacing w:val="26"/>
          <w:sz w:val="31"/>
          <w:szCs w:val="31"/>
        </w:rPr>
        <w:t>也请单列)</w:t>
      </w:r>
    </w:p>
    <w:p>
      <w:pPr>
        <w:spacing w:before="31"/>
      </w:pPr>
    </w:p>
    <w:tbl>
      <w:tblPr>
        <w:tblStyle w:val="5"/>
        <w:tblW w:w="10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708"/>
        <w:gridCol w:w="1678"/>
        <w:gridCol w:w="1708"/>
        <w:gridCol w:w="1728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49" w:type="dxa"/>
            <w:gridSpan w:val="6"/>
            <w:vAlign w:val="top"/>
          </w:tcPr>
          <w:p>
            <w:pPr>
              <w:spacing w:before="225" w:line="219" w:lineRule="auto"/>
              <w:ind w:left="35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项目投资额及主要建设内容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71" w:type="dxa"/>
            <w:gridSpan w:val="2"/>
            <w:vAlign w:val="top"/>
          </w:tcPr>
          <w:p>
            <w:pPr>
              <w:spacing w:before="241" w:line="219" w:lineRule="auto"/>
              <w:ind w:left="1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省级资金</w:t>
            </w:r>
          </w:p>
        </w:tc>
        <w:tc>
          <w:tcPr>
            <w:tcW w:w="3386" w:type="dxa"/>
            <w:gridSpan w:val="2"/>
            <w:vAlign w:val="top"/>
          </w:tcPr>
          <w:p>
            <w:pPr>
              <w:spacing w:before="241" w:line="219" w:lineRule="auto"/>
              <w:ind w:left="1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市县资金</w:t>
            </w:r>
          </w:p>
        </w:tc>
        <w:tc>
          <w:tcPr>
            <w:tcW w:w="3292" w:type="dxa"/>
            <w:gridSpan w:val="2"/>
            <w:vAlign w:val="top"/>
          </w:tcPr>
          <w:p>
            <w:pPr>
              <w:spacing w:before="231" w:line="219" w:lineRule="auto"/>
              <w:ind w:left="11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自筹资金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63" w:type="dxa"/>
            <w:vAlign w:val="top"/>
          </w:tcPr>
          <w:p>
            <w:pPr>
              <w:spacing w:before="232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额度(万元)</w:t>
            </w:r>
          </w:p>
        </w:tc>
        <w:tc>
          <w:tcPr>
            <w:tcW w:w="1708" w:type="dxa"/>
            <w:vAlign w:val="top"/>
          </w:tcPr>
          <w:p>
            <w:pPr>
              <w:spacing w:before="232" w:line="219" w:lineRule="auto"/>
              <w:ind w:left="3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建设内容</w:t>
            </w:r>
          </w:p>
        </w:tc>
        <w:tc>
          <w:tcPr>
            <w:tcW w:w="1678" w:type="dxa"/>
            <w:vAlign w:val="top"/>
          </w:tcPr>
          <w:p>
            <w:pPr>
              <w:spacing w:before="232" w:line="219" w:lineRule="auto"/>
              <w:ind w:left="1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额度(万元)</w:t>
            </w:r>
          </w:p>
        </w:tc>
        <w:tc>
          <w:tcPr>
            <w:tcW w:w="1708" w:type="dxa"/>
            <w:vAlign w:val="top"/>
          </w:tcPr>
          <w:p>
            <w:pPr>
              <w:spacing w:before="232" w:line="219" w:lineRule="auto"/>
              <w:ind w:left="3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建设内容</w:t>
            </w:r>
          </w:p>
        </w:tc>
        <w:tc>
          <w:tcPr>
            <w:tcW w:w="1728" w:type="dxa"/>
            <w:vAlign w:val="top"/>
          </w:tcPr>
          <w:p>
            <w:pPr>
              <w:spacing w:before="232" w:line="219" w:lineRule="auto"/>
              <w:ind w:left="1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额度(万元)</w:t>
            </w:r>
          </w:p>
        </w:tc>
        <w:tc>
          <w:tcPr>
            <w:tcW w:w="1564" w:type="dxa"/>
            <w:vAlign w:val="top"/>
          </w:tcPr>
          <w:p>
            <w:pPr>
              <w:spacing w:before="232" w:line="219" w:lineRule="auto"/>
              <w:ind w:left="3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建设内容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7" w:line="224" w:lineRule="auto"/>
        <w:ind w:left="7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四、附件</w:t>
      </w:r>
    </w:p>
    <w:p>
      <w:pPr>
        <w:pStyle w:val="2"/>
        <w:spacing w:before="189" w:line="222" w:lineRule="auto"/>
        <w:ind w:left="804"/>
        <w:rPr>
          <w:sz w:val="31"/>
          <w:szCs w:val="31"/>
        </w:rPr>
      </w:pPr>
      <w:r>
        <w:rPr>
          <w:spacing w:val="7"/>
          <w:sz w:val="31"/>
          <w:szCs w:val="31"/>
        </w:rPr>
        <w:t>龙头企业认定文件及其他项目开工所需资质文件</w:t>
      </w:r>
    </w:p>
    <w:sectPr>
      <w:footerReference r:id="rId5" w:type="default"/>
      <w:pgSz w:w="11910" w:h="16850"/>
      <w:pgMar w:top="1432" w:right="395" w:bottom="1266" w:left="1455" w:header="0" w:footer="8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4NjkzZTViOWJkOThiNWUwY2ViZmNiZDZkMjdjNDkifQ=="/>
  </w:docVars>
  <w:rsids>
    <w:rsidRoot w:val="00000000"/>
    <w:rsid w:val="282A6DAC"/>
    <w:rsid w:val="2C8E3E25"/>
    <w:rsid w:val="585D5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2025-11-10T09:15:00Z</dcterms:created>
  <dc:creator>hp</dc:creator>
  <cp:lastModifiedBy>lj</cp:lastModifiedBy>
  <dcterms:modified xsi:type="dcterms:W3CDTF">2025-11-10T02:39:54Z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2025-11-10T09:15:54Z</vt:filetime>
  </property>
  <property fmtid="{D5CDD505-2E9C-101B-9397-08002B2CF9AE}" pid="4" name="UsrData">
    <vt:lpwstr>69113cc86b974f001ff265ecwl</vt:lpwstr>
  </property>
  <property fmtid="{D5CDD505-2E9C-101B-9397-08002B2CF9AE}" pid="5" name="KSOProductBuildVer">
    <vt:lpwstr>2052-12.1.0.16388</vt:lpwstr>
  </property>
  <property fmtid="{D5CDD505-2E9C-101B-9397-08002B2CF9AE}" pid="6" name="ICV">
    <vt:lpwstr>57F481F7E41C479D9FD2CFAD8A89DE44_12</vt:lpwstr>
  </property>
</Properties>
</file>