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line="560" w:lineRule="exact"/>
        <w:rPr>
          <w:rFonts w:ascii="Times New Roman" w:hAnsi="Times New Roman" w:eastAsia="仿宋_GB2312" w:cs="Times New Roman"/>
          <w:sz w:val="32"/>
          <w:szCs w:val="32"/>
        </w:rPr>
      </w:pPr>
    </w:p>
    <w:p>
      <w:pPr>
        <w:pStyle w:val="13"/>
        <w:spacing w:before="156" w:beforeLines="50"/>
        <w:ind w:firstLine="0"/>
        <w:jc w:val="center"/>
        <w:rPr>
          <w:rFonts w:ascii="Times New Roman" w:hAnsi="Times New Roman" w:eastAsia="仿宋_GB2312"/>
          <w:sz w:val="32"/>
          <w:szCs w:val="32"/>
        </w:rPr>
      </w:pPr>
    </w:p>
    <w:p/>
    <w:p>
      <w:pPr>
        <w:pStyle w:val="13"/>
        <w:spacing w:before="156" w:beforeLines="50"/>
        <w:ind w:firstLine="0"/>
        <w:jc w:val="center"/>
        <w:rPr>
          <w:rFonts w:ascii="Times New Roman" w:hAnsi="Times New Roman" w:eastAsia="仿宋_GB2312"/>
          <w:sz w:val="32"/>
          <w:szCs w:val="32"/>
        </w:rPr>
      </w:pPr>
      <w:r>
        <w:rPr>
          <w:rFonts w:ascii="Times New Roman" w:hAnsi="Times New Roman" w:eastAsia="仿宋_GB2312"/>
          <w:sz w:val="32"/>
          <w:szCs w:val="32"/>
        </w:rPr>
        <w:t>启农发〔202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116</w:t>
      </w:r>
      <w:r>
        <w:rPr>
          <w:rFonts w:ascii="Times New Roman" w:hAnsi="Times New Roman" w:eastAsia="仿宋_GB2312"/>
          <w:sz w:val="32"/>
          <w:szCs w:val="32"/>
        </w:rPr>
        <w:t>号</w:t>
      </w:r>
    </w:p>
    <w:p>
      <w:pPr>
        <w:rPr>
          <w:rFonts w:ascii="宋体" w:hAnsi="宋体" w:eastAsia="宋体" w:cs="宋体"/>
          <w:sz w:val="30"/>
          <w:szCs w:val="30"/>
        </w:rPr>
      </w:pPr>
    </w:p>
    <w:p>
      <w:pPr>
        <w:pStyle w:val="13"/>
      </w:pPr>
    </w:p>
    <w:p/>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关于下达2025年度中央和省级对市县农业相关专项转移支付第二批预算资金的通知</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局属相关科室及下属单位：</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根据省财政厅、农业农村厅《关于下达2025年度中央和省级财政衔接推进乡村振兴补助资金的通知》（</w:t>
      </w:r>
      <w:bookmarkStart w:id="0" w:name="_Hlk204674189"/>
      <w:r>
        <w:rPr>
          <w:rFonts w:hint="eastAsia" w:ascii="Times New Roman" w:hAnsi="Times New Roman" w:eastAsia="仿宋_GB2312" w:cs="Times New Roman"/>
          <w:sz w:val="32"/>
          <w:szCs w:val="32"/>
        </w:rPr>
        <w:t>苏财农〔2025〕30号</w:t>
      </w:r>
      <w:bookmarkEnd w:id="0"/>
      <w:r>
        <w:rPr>
          <w:rFonts w:hint="eastAsia" w:ascii="Times New Roman" w:hAnsi="Times New Roman" w:eastAsia="仿宋_GB2312" w:cs="Times New Roman"/>
          <w:sz w:val="32"/>
          <w:szCs w:val="32"/>
        </w:rPr>
        <w:t>）、《关于下达</w:t>
      </w:r>
      <w:bookmarkStart w:id="1" w:name="OLE_LINK3"/>
      <w:r>
        <w:rPr>
          <w:rFonts w:hint="eastAsia" w:ascii="Times New Roman" w:hAnsi="Times New Roman" w:eastAsia="仿宋_GB2312" w:cs="Times New Roman"/>
          <w:sz w:val="32"/>
          <w:szCs w:val="32"/>
        </w:rPr>
        <w:t>2025年第二批省级现代农业发展补助专项资金</w:t>
      </w:r>
      <w:bookmarkEnd w:id="1"/>
      <w:r>
        <w:rPr>
          <w:rFonts w:hint="eastAsia" w:ascii="Times New Roman" w:hAnsi="Times New Roman" w:eastAsia="仿宋_GB2312" w:cs="Times New Roman"/>
          <w:sz w:val="32"/>
          <w:szCs w:val="32"/>
        </w:rPr>
        <w:t>的通知》（苏财农〔2025〕36号）等文件精神，现将2025年度中央和省级相关专项转移支付第二批资金下达给你们（详见附件1），并将有关事项通知如下：</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一、各部门要根据相关专项实施意见及工作任务清单等要求，编制项目实施方案，并做好各项目的组织实施等工作。</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各部门要加快预算执行进度，尤其对政策性强、涉及群众切身利益的专项资金，要确保及时下达、及时兑付。对预算执行进度较慢的项目，要全面分析原因，并采取措施加以改进，杜绝资金滞留。同时要及时在农业农村部转移支付管理平台和江苏省农业农村厅财政专项执行信息管理系统填报预算执行进度。</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三、各部门要按照《中共江苏省委 江苏省人民政府关于全面实施预算绩效管理的实施意见》（苏发〔2019〕6号）要求，进一步加强预算绩效管理，切实提高财政资金使用效益，在组织预算执行中严格对照上级下发的各项绩效目标做好绩效运行监控，确保年度绩效目标如期实现。</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四、各部门要按照有关法律法规及专项资金管理办法规范资金管理使用，确保涉农资金管理“阳光操作”，全面公开公示制度，做好资金监管，及时开展绩效自评。</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附件1：2025年度中央和省级对市县农业相关转移支付第二批资金分配表</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p>
    <w:p>
      <w:pPr>
        <w:pStyle w:val="2"/>
        <w:rPr>
          <w:rFonts w:hint="eastAsia"/>
        </w:rPr>
      </w:pPr>
    </w:p>
    <w:p>
      <w:pPr>
        <w:spacing w:line="560" w:lineRule="exact"/>
        <w:ind w:firstLine="2240" w:firstLineChars="7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启东市农业农村局          启东市财政局</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月9日</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p>
    <w:p>
      <w:pPr>
        <w:ind w:firstLine="640" w:firstLineChars="200"/>
        <w:rPr>
          <w:rFonts w:ascii="仿宋" w:hAnsi="仿宋" w:eastAsia="仿宋"/>
          <w:sz w:val="32"/>
          <w:szCs w:val="32"/>
        </w:rPr>
      </w:pPr>
    </w:p>
    <w:p>
      <w:pPr>
        <w:rPr>
          <w:rFonts w:ascii="仿宋" w:hAnsi="仿宋" w:eastAsia="仿宋"/>
          <w:sz w:val="32"/>
          <w:szCs w:val="32"/>
        </w:rPr>
        <w:sectPr>
          <w:pgSz w:w="11906" w:h="16838"/>
          <w:pgMar w:top="2098" w:right="1474" w:bottom="1984" w:left="1587" w:header="851" w:footer="992" w:gutter="0"/>
          <w:cols w:space="425" w:num="1"/>
          <w:docGrid w:type="lines" w:linePitch="312" w:charSpace="0"/>
        </w:sect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附件1-1</w:t>
      </w:r>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2025年省级财政衔接推进乡村振兴补助资金分配表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3"/>
        <w:gridCol w:w="2512"/>
        <w:gridCol w:w="1275"/>
        <w:gridCol w:w="2410"/>
        <w:gridCol w:w="2414"/>
        <w:gridCol w:w="31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1" w:hRule="atLeast"/>
          <w:jc w:val="center"/>
        </w:trPr>
        <w:tc>
          <w:tcPr>
            <w:tcW w:w="90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51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27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241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农村厕所革命</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省级补贴</w:t>
            </w:r>
          </w:p>
        </w:tc>
        <w:tc>
          <w:tcPr>
            <w:tcW w:w="241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革命老区相对薄弱乡镇发展补助</w:t>
            </w:r>
          </w:p>
        </w:tc>
        <w:tc>
          <w:tcPr>
            <w:tcW w:w="315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jc w:val="center"/>
        </w:trPr>
        <w:tc>
          <w:tcPr>
            <w:tcW w:w="903"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2512"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乡村建设促进科</w:t>
            </w:r>
          </w:p>
        </w:tc>
        <w:tc>
          <w:tcPr>
            <w:tcW w:w="1275"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548</w:t>
            </w:r>
          </w:p>
        </w:tc>
        <w:tc>
          <w:tcPr>
            <w:tcW w:w="2410"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548</w:t>
            </w:r>
          </w:p>
        </w:tc>
        <w:tc>
          <w:tcPr>
            <w:tcW w:w="2414" w:type="dxa"/>
            <w:vAlign w:val="center"/>
          </w:tcPr>
          <w:p>
            <w:pPr>
              <w:spacing w:line="360" w:lineRule="auto"/>
              <w:jc w:val="center"/>
              <w:rPr>
                <w:rFonts w:hint="default" w:ascii="Times New Roman" w:hAnsi="Times New Roman" w:eastAsia="仿宋_GB2312" w:cs="Times New Roman"/>
                <w:sz w:val="28"/>
                <w:szCs w:val="28"/>
              </w:rPr>
            </w:pPr>
          </w:p>
        </w:tc>
        <w:tc>
          <w:tcPr>
            <w:tcW w:w="3155" w:type="dxa"/>
            <w:vMerge w:val="restart"/>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苏财农〔2025〕30号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jc w:val="center"/>
        </w:trPr>
        <w:tc>
          <w:tcPr>
            <w:tcW w:w="903"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2512"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帮促指导科</w:t>
            </w:r>
          </w:p>
        </w:tc>
        <w:tc>
          <w:tcPr>
            <w:tcW w:w="1275"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400</w:t>
            </w:r>
          </w:p>
        </w:tc>
        <w:tc>
          <w:tcPr>
            <w:tcW w:w="2410" w:type="dxa"/>
            <w:vAlign w:val="center"/>
          </w:tcPr>
          <w:p>
            <w:pPr>
              <w:spacing w:line="360" w:lineRule="auto"/>
              <w:jc w:val="center"/>
              <w:rPr>
                <w:rFonts w:hint="default" w:ascii="Times New Roman" w:hAnsi="Times New Roman" w:eastAsia="仿宋_GB2312" w:cs="Times New Roman"/>
                <w:sz w:val="28"/>
                <w:szCs w:val="28"/>
              </w:rPr>
            </w:pPr>
          </w:p>
        </w:tc>
        <w:tc>
          <w:tcPr>
            <w:tcW w:w="2414"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400</w:t>
            </w:r>
          </w:p>
        </w:tc>
        <w:tc>
          <w:tcPr>
            <w:tcW w:w="3155" w:type="dxa"/>
            <w:vMerge w:val="continue"/>
            <w:vAlign w:val="center"/>
          </w:tcPr>
          <w:p>
            <w:pPr>
              <w:spacing w:line="360" w:lineRule="auto"/>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8" w:hRule="atLeast"/>
          <w:jc w:val="center"/>
        </w:trPr>
        <w:tc>
          <w:tcPr>
            <w:tcW w:w="903" w:type="dxa"/>
            <w:vAlign w:val="center"/>
          </w:tcPr>
          <w:p>
            <w:pPr>
              <w:spacing w:line="360" w:lineRule="auto"/>
              <w:jc w:val="center"/>
              <w:rPr>
                <w:rFonts w:hint="default" w:ascii="Times New Roman" w:hAnsi="Times New Roman" w:eastAsia="仿宋_GB2312" w:cs="Times New Roman"/>
                <w:sz w:val="28"/>
                <w:szCs w:val="28"/>
              </w:rPr>
            </w:pPr>
          </w:p>
        </w:tc>
        <w:tc>
          <w:tcPr>
            <w:tcW w:w="2512" w:type="dxa"/>
            <w:vAlign w:val="center"/>
          </w:tcPr>
          <w:p>
            <w:pPr>
              <w:spacing w:line="360" w:lineRule="auto"/>
              <w:jc w:val="center"/>
              <w:rPr>
                <w:rFonts w:hint="default" w:ascii="Times New Roman" w:hAnsi="Times New Roman" w:eastAsia="仿宋_GB2312" w:cs="Times New Roman"/>
                <w:sz w:val="28"/>
                <w:szCs w:val="28"/>
              </w:rPr>
            </w:pPr>
          </w:p>
        </w:tc>
        <w:tc>
          <w:tcPr>
            <w:tcW w:w="1275"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948</w:t>
            </w:r>
          </w:p>
        </w:tc>
        <w:tc>
          <w:tcPr>
            <w:tcW w:w="2410"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548</w:t>
            </w:r>
          </w:p>
        </w:tc>
        <w:tc>
          <w:tcPr>
            <w:tcW w:w="2414"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400</w:t>
            </w:r>
          </w:p>
        </w:tc>
        <w:tc>
          <w:tcPr>
            <w:tcW w:w="3155" w:type="dxa"/>
            <w:vAlign w:val="center"/>
          </w:tcPr>
          <w:p>
            <w:pPr>
              <w:spacing w:line="360" w:lineRule="auto"/>
              <w:jc w:val="center"/>
              <w:rPr>
                <w:rFonts w:hint="default" w:ascii="Times New Roman" w:hAnsi="Times New Roman" w:eastAsia="仿宋_GB2312" w:cs="Times New Roman"/>
                <w:sz w:val="28"/>
                <w:szCs w:val="28"/>
              </w:rPr>
            </w:pPr>
          </w:p>
        </w:tc>
      </w:tr>
    </w:tbl>
    <w:p>
      <w:pPr>
        <w:spacing w:line="360" w:lineRule="auto"/>
        <w:ind w:firstLine="640" w:firstLineChars="200"/>
        <w:rPr>
          <w:rFonts w:ascii="仿宋" w:hAnsi="仿宋" w:eastAsia="仿宋"/>
          <w:sz w:val="32"/>
          <w:szCs w:val="32"/>
        </w:rPr>
      </w:pPr>
    </w:p>
    <w:p>
      <w:pPr>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1-2</w:t>
      </w:r>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2025年土地二轮延包试点专项资金分配表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8"/>
        <w:tblW w:w="127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4"/>
        <w:gridCol w:w="2631"/>
        <w:gridCol w:w="1489"/>
        <w:gridCol w:w="3243"/>
        <w:gridCol w:w="4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9" w:hRule="atLeast"/>
          <w:jc w:val="center"/>
        </w:trPr>
        <w:tc>
          <w:tcPr>
            <w:tcW w:w="130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63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48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324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二轮延包试点资金</w:t>
            </w:r>
          </w:p>
        </w:tc>
        <w:tc>
          <w:tcPr>
            <w:tcW w:w="413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3" w:hRule="atLeast"/>
          <w:jc w:val="center"/>
        </w:trPr>
        <w:tc>
          <w:tcPr>
            <w:tcW w:w="1304"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631"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政策与改革科</w:t>
            </w:r>
          </w:p>
        </w:tc>
        <w:tc>
          <w:tcPr>
            <w:tcW w:w="1489"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160</w:t>
            </w:r>
          </w:p>
        </w:tc>
        <w:tc>
          <w:tcPr>
            <w:tcW w:w="3243"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160</w:t>
            </w:r>
          </w:p>
        </w:tc>
        <w:tc>
          <w:tcPr>
            <w:tcW w:w="4131"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改〔2025〕14号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5" w:hRule="atLeast"/>
          <w:jc w:val="center"/>
        </w:trPr>
        <w:tc>
          <w:tcPr>
            <w:tcW w:w="1304" w:type="dxa"/>
            <w:vAlign w:val="center"/>
          </w:tcPr>
          <w:p>
            <w:pPr>
              <w:spacing w:line="360" w:lineRule="auto"/>
              <w:jc w:val="center"/>
              <w:rPr>
                <w:rFonts w:hint="default" w:ascii="Times New Roman" w:hAnsi="Times New Roman" w:eastAsia="仿宋_GB2312" w:cs="Times New Roman"/>
                <w:sz w:val="28"/>
                <w:szCs w:val="28"/>
              </w:rPr>
            </w:pPr>
          </w:p>
        </w:tc>
        <w:tc>
          <w:tcPr>
            <w:tcW w:w="2631" w:type="dxa"/>
            <w:vAlign w:val="center"/>
          </w:tcPr>
          <w:p>
            <w:pPr>
              <w:spacing w:line="360" w:lineRule="auto"/>
              <w:jc w:val="center"/>
              <w:rPr>
                <w:rFonts w:hint="default" w:ascii="Times New Roman" w:hAnsi="Times New Roman" w:eastAsia="仿宋_GB2312" w:cs="Times New Roman"/>
                <w:sz w:val="28"/>
                <w:szCs w:val="28"/>
              </w:rPr>
            </w:pPr>
          </w:p>
        </w:tc>
        <w:tc>
          <w:tcPr>
            <w:tcW w:w="1489"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160</w:t>
            </w:r>
          </w:p>
        </w:tc>
        <w:tc>
          <w:tcPr>
            <w:tcW w:w="3243"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160</w:t>
            </w:r>
          </w:p>
        </w:tc>
        <w:tc>
          <w:tcPr>
            <w:tcW w:w="4131" w:type="dxa"/>
            <w:vAlign w:val="center"/>
          </w:tcPr>
          <w:p>
            <w:pPr>
              <w:spacing w:line="360" w:lineRule="auto"/>
              <w:jc w:val="center"/>
              <w:rPr>
                <w:rFonts w:hint="default" w:ascii="Times New Roman" w:hAnsi="Times New Roman" w:eastAsia="仿宋_GB2312" w:cs="Times New Roman"/>
                <w:sz w:val="28"/>
                <w:szCs w:val="28"/>
              </w:rPr>
            </w:pPr>
          </w:p>
        </w:tc>
      </w:tr>
    </w:tbl>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1-3</w:t>
      </w:r>
    </w:p>
    <w:p>
      <w:pPr>
        <w:spacing w:line="520" w:lineRule="exact"/>
        <w:jc w:val="center"/>
        <w:rPr>
          <w:rFonts w:hint="eastAsia" w:ascii="方正大标宋_GBK" w:hAnsi="方正大标宋_GBK" w:eastAsia="方正大标宋_GBK" w:cs="方正大标宋_GBK"/>
          <w:bCs/>
          <w:spacing w:val="-6"/>
          <w:sz w:val="42"/>
          <w:szCs w:val="42"/>
        </w:rPr>
      </w:pPr>
      <w:r>
        <w:rPr>
          <w:rFonts w:hint="eastAsia" w:ascii="方正大标宋_GBK" w:hAnsi="方正大标宋_GBK" w:eastAsia="方正大标宋_GBK" w:cs="方正大标宋_GBK"/>
          <w:bCs/>
          <w:spacing w:val="-6"/>
          <w:sz w:val="42"/>
          <w:szCs w:val="42"/>
        </w:rPr>
        <w:t>2025年中央农业防灾减灾和水利救灾资金（防灾救灾第三批）分配表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单位：万元</w:t>
      </w:r>
    </w:p>
    <w:tbl>
      <w:tblPr>
        <w:tblStyle w:val="8"/>
        <w:tblW w:w="12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6"/>
        <w:gridCol w:w="3206"/>
        <w:gridCol w:w="1350"/>
        <w:gridCol w:w="3769"/>
        <w:gridCol w:w="33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jc w:val="center"/>
        </w:trPr>
        <w:tc>
          <w:tcPr>
            <w:tcW w:w="1216" w:type="dxa"/>
            <w:vAlign w:val="center"/>
          </w:tcPr>
          <w:p>
            <w:pPr>
              <w:spacing w:line="400" w:lineRule="exact"/>
              <w:jc w:val="center"/>
              <w:rPr>
                <w:rFonts w:hint="eastAsia" w:ascii="黑体" w:hAnsi="黑体" w:eastAsia="黑体" w:cs="黑体"/>
                <w:b w:val="0"/>
                <w:bCs/>
                <w:sz w:val="28"/>
                <w:szCs w:val="28"/>
              </w:rPr>
            </w:pPr>
            <w:bookmarkStart w:id="2" w:name="OLE_LINK7"/>
            <w:bookmarkStart w:id="3" w:name="OLE_LINK6"/>
            <w:r>
              <w:rPr>
                <w:rFonts w:hint="eastAsia" w:ascii="黑体" w:hAnsi="黑体" w:eastAsia="黑体" w:cs="黑体"/>
                <w:b w:val="0"/>
                <w:bCs/>
                <w:sz w:val="28"/>
                <w:szCs w:val="28"/>
              </w:rPr>
              <w:t>序号</w:t>
            </w:r>
          </w:p>
        </w:tc>
        <w:tc>
          <w:tcPr>
            <w:tcW w:w="320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35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376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农业防灾减灾和水利救灾资金应对病虫害</w:t>
            </w:r>
          </w:p>
        </w:tc>
        <w:tc>
          <w:tcPr>
            <w:tcW w:w="334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1216"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3206"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农业技术推广中心</w:t>
            </w:r>
          </w:p>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植保站</w:t>
            </w:r>
          </w:p>
        </w:tc>
        <w:tc>
          <w:tcPr>
            <w:tcW w:w="135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47</w:t>
            </w:r>
          </w:p>
        </w:tc>
        <w:tc>
          <w:tcPr>
            <w:tcW w:w="3769"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47</w:t>
            </w:r>
          </w:p>
        </w:tc>
        <w:tc>
          <w:tcPr>
            <w:tcW w:w="3348"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〔2025〕42号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3" w:hRule="atLeast"/>
          <w:jc w:val="center"/>
        </w:trPr>
        <w:tc>
          <w:tcPr>
            <w:tcW w:w="1216" w:type="dxa"/>
            <w:vAlign w:val="center"/>
          </w:tcPr>
          <w:p>
            <w:pPr>
              <w:spacing w:line="360" w:lineRule="auto"/>
              <w:jc w:val="center"/>
              <w:rPr>
                <w:rFonts w:hint="default" w:ascii="Times New Roman" w:hAnsi="Times New Roman" w:eastAsia="仿宋_GB2312" w:cs="Times New Roman"/>
                <w:sz w:val="28"/>
                <w:szCs w:val="28"/>
              </w:rPr>
            </w:pPr>
          </w:p>
        </w:tc>
        <w:tc>
          <w:tcPr>
            <w:tcW w:w="3206" w:type="dxa"/>
            <w:vAlign w:val="center"/>
          </w:tcPr>
          <w:p>
            <w:pPr>
              <w:spacing w:line="360" w:lineRule="auto"/>
              <w:jc w:val="center"/>
              <w:rPr>
                <w:rFonts w:hint="default" w:ascii="Times New Roman" w:hAnsi="Times New Roman" w:eastAsia="仿宋_GB2312" w:cs="Times New Roman"/>
                <w:sz w:val="28"/>
                <w:szCs w:val="28"/>
              </w:rPr>
            </w:pPr>
          </w:p>
        </w:tc>
        <w:tc>
          <w:tcPr>
            <w:tcW w:w="135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47</w:t>
            </w:r>
          </w:p>
        </w:tc>
        <w:tc>
          <w:tcPr>
            <w:tcW w:w="3769"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47</w:t>
            </w:r>
          </w:p>
        </w:tc>
        <w:tc>
          <w:tcPr>
            <w:tcW w:w="3348" w:type="dxa"/>
            <w:vAlign w:val="center"/>
          </w:tcPr>
          <w:p>
            <w:pPr>
              <w:spacing w:line="360" w:lineRule="auto"/>
              <w:jc w:val="center"/>
              <w:rPr>
                <w:rFonts w:hint="default" w:ascii="Times New Roman" w:hAnsi="Times New Roman" w:eastAsia="仿宋_GB2312" w:cs="Times New Roman"/>
                <w:sz w:val="28"/>
                <w:szCs w:val="28"/>
              </w:rPr>
            </w:pPr>
          </w:p>
        </w:tc>
      </w:tr>
      <w:bookmarkEnd w:id="2"/>
      <w:bookmarkEnd w:id="3"/>
    </w:tbl>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p>
    <w:p>
      <w:pPr>
        <w:rPr>
          <w:rFonts w:hint="default" w:ascii="Times New Roman" w:hAnsi="Times New Roman" w:eastAsia="仿宋_GB2312" w:cs="Times New Roman"/>
          <w:sz w:val="32"/>
          <w:szCs w:val="32"/>
        </w:rPr>
      </w:pPr>
      <w:bookmarkStart w:id="4" w:name="OLE_LINK13"/>
      <w:bookmarkStart w:id="5" w:name="OLE_LINK12"/>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1-4</w:t>
      </w:r>
    </w:p>
    <w:p>
      <w:pPr>
        <w:spacing w:line="520" w:lineRule="exact"/>
        <w:jc w:val="center"/>
        <w:rPr>
          <w:rFonts w:hint="eastAsia" w:ascii="方正大标宋_GBK" w:hAnsi="方正大标宋_GBK" w:eastAsia="方正大标宋_GBK" w:cs="方正大标宋_GBK"/>
          <w:bCs/>
          <w:spacing w:val="-6"/>
          <w:sz w:val="40"/>
          <w:szCs w:val="40"/>
        </w:rPr>
      </w:pPr>
      <w:r>
        <w:rPr>
          <w:rFonts w:hint="eastAsia" w:ascii="方正大标宋_GBK" w:hAnsi="方正大标宋_GBK" w:eastAsia="方正大标宋_GBK" w:cs="方正大标宋_GBK"/>
          <w:bCs/>
          <w:spacing w:val="-6"/>
          <w:sz w:val="40"/>
          <w:szCs w:val="40"/>
        </w:rPr>
        <w:t>2025年第二批省级现代农业发展补助专项（农业生产发展）资金分配表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单位：万元</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2"/>
        <w:gridCol w:w="2609"/>
        <w:gridCol w:w="1275"/>
        <w:gridCol w:w="1834"/>
        <w:gridCol w:w="1972"/>
        <w:gridCol w:w="2083"/>
        <w:gridCol w:w="2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4" w:hRule="atLeast"/>
          <w:jc w:val="center"/>
        </w:trPr>
        <w:tc>
          <w:tcPr>
            <w:tcW w:w="95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60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27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1834" w:type="dxa"/>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耕地质量监测与评价</w:t>
            </w:r>
          </w:p>
        </w:tc>
        <w:tc>
          <w:tcPr>
            <w:tcW w:w="197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高标准农田建设（第一批）</w:t>
            </w:r>
          </w:p>
        </w:tc>
        <w:tc>
          <w:tcPr>
            <w:tcW w:w="208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水产良种保种及亲本更新</w:t>
            </w:r>
          </w:p>
        </w:tc>
        <w:tc>
          <w:tcPr>
            <w:tcW w:w="224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bookmarkEnd w:id="4"/>
      <w:bookmarkEnd w:id="5"/>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95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农业技术推广中心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土肥站</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224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95" w:hRule="atLeast"/>
          <w:jc w:val="center"/>
        </w:trPr>
        <w:tc>
          <w:tcPr>
            <w:tcW w:w="95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农田建设管理科</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6451.66</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6451.66</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224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〔2024〕92号2680万，</w:t>
            </w:r>
            <w:bookmarkStart w:id="6" w:name="OLE_LINK11"/>
            <w:bookmarkStart w:id="7" w:name="OLE_LINK10"/>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〔2025〕36号</w:t>
            </w:r>
            <w:bookmarkEnd w:id="6"/>
            <w:bookmarkEnd w:id="7"/>
            <w:r>
              <w:rPr>
                <w:rFonts w:hint="eastAsia" w:ascii="Times New Roman" w:hAnsi="Times New Roman" w:eastAsia="仿宋_GB2312" w:cs="Times New Roman"/>
                <w:sz w:val="28"/>
                <w:szCs w:val="28"/>
              </w:rPr>
              <w:t>3771.66万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3" w:hRule="atLeast"/>
          <w:jc w:val="center"/>
        </w:trPr>
        <w:tc>
          <w:tcPr>
            <w:tcW w:w="95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渔业科</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40</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40</w:t>
            </w:r>
          </w:p>
        </w:tc>
        <w:tc>
          <w:tcPr>
            <w:tcW w:w="224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bookmarkStart w:id="8" w:name="OLE_LINK31"/>
            <w:bookmarkStart w:id="9" w:name="OLE_LINK32"/>
            <w:r>
              <w:rPr>
                <w:rFonts w:hint="eastAsia" w:ascii="Times New Roman" w:hAnsi="Times New Roman" w:eastAsia="仿宋_GB2312" w:cs="Times New Roman"/>
                <w:sz w:val="28"/>
                <w:szCs w:val="28"/>
              </w:rPr>
              <w:t>苏财农〔2025〕36号</w:t>
            </w:r>
            <w:bookmarkEnd w:id="8"/>
            <w:bookmarkEnd w:id="9"/>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8" w:hRule="atLeast"/>
          <w:jc w:val="center"/>
        </w:trPr>
        <w:tc>
          <w:tcPr>
            <w:tcW w:w="95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2609"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6508.66</w:t>
            </w:r>
          </w:p>
        </w:tc>
        <w:tc>
          <w:tcPr>
            <w:tcW w:w="183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17</w:t>
            </w:r>
          </w:p>
        </w:tc>
        <w:tc>
          <w:tcPr>
            <w:tcW w:w="197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6451.66</w:t>
            </w:r>
          </w:p>
        </w:tc>
        <w:tc>
          <w:tcPr>
            <w:tcW w:w="208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40</w:t>
            </w:r>
          </w:p>
        </w:tc>
        <w:tc>
          <w:tcPr>
            <w:tcW w:w="2247"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r>
    </w:tbl>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1-5</w:t>
      </w:r>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2025年第二批省级现代农业发展补助专项（农林水）资金分配表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单位：万元</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8"/>
        <w:gridCol w:w="1460"/>
        <w:gridCol w:w="1200"/>
        <w:gridCol w:w="862"/>
        <w:gridCol w:w="573"/>
        <w:gridCol w:w="943"/>
        <w:gridCol w:w="895"/>
        <w:gridCol w:w="895"/>
        <w:gridCol w:w="895"/>
        <w:gridCol w:w="1124"/>
        <w:gridCol w:w="1123"/>
        <w:gridCol w:w="1088"/>
        <w:gridCol w:w="12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146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20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86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畜禽粪污处理设施更新</w:t>
            </w:r>
          </w:p>
        </w:tc>
        <w:tc>
          <w:tcPr>
            <w:tcW w:w="57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智慧农业发展</w:t>
            </w:r>
          </w:p>
        </w:tc>
        <w:tc>
          <w:tcPr>
            <w:tcW w:w="94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动物及水生物疫病防控</w:t>
            </w:r>
          </w:p>
        </w:tc>
        <w:tc>
          <w:tcPr>
            <w:tcW w:w="8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农产品质量安全监管</w:t>
            </w:r>
          </w:p>
        </w:tc>
        <w:tc>
          <w:tcPr>
            <w:tcW w:w="8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执法及安全生产监管</w:t>
            </w:r>
          </w:p>
        </w:tc>
        <w:tc>
          <w:tcPr>
            <w:tcW w:w="8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升级改造渔业岸台基站</w:t>
            </w:r>
          </w:p>
        </w:tc>
        <w:tc>
          <w:tcPr>
            <w:tcW w:w="112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对承担省调执法任务市县执法船补贴</w:t>
            </w:r>
          </w:p>
        </w:tc>
        <w:tc>
          <w:tcPr>
            <w:tcW w:w="112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农药化肥双减与农业废弃物处置</w:t>
            </w:r>
          </w:p>
        </w:tc>
        <w:tc>
          <w:tcPr>
            <w:tcW w:w="108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海洋渔业资源养护补贴</w:t>
            </w:r>
          </w:p>
        </w:tc>
        <w:tc>
          <w:tcPr>
            <w:tcW w:w="123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1460"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畜牧科</w:t>
            </w:r>
          </w:p>
        </w:tc>
        <w:tc>
          <w:tcPr>
            <w:tcW w:w="120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81</w:t>
            </w:r>
          </w:p>
        </w:tc>
        <w:tc>
          <w:tcPr>
            <w:tcW w:w="862"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15</w:t>
            </w:r>
          </w:p>
        </w:tc>
        <w:tc>
          <w:tcPr>
            <w:tcW w:w="57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36</w:t>
            </w:r>
          </w:p>
        </w:tc>
        <w:tc>
          <w:tcPr>
            <w:tcW w:w="94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30</w:t>
            </w: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1124" w:type="dxa"/>
            <w:vAlign w:val="center"/>
          </w:tcPr>
          <w:p>
            <w:pPr>
              <w:spacing w:line="360" w:lineRule="auto"/>
              <w:jc w:val="center"/>
              <w:rPr>
                <w:rFonts w:hint="eastAsia" w:ascii="Times New Roman" w:hAnsi="Times New Roman" w:eastAsia="仿宋_GB2312" w:cs="Times New Roman"/>
                <w:sz w:val="28"/>
                <w:szCs w:val="28"/>
              </w:rPr>
            </w:pPr>
          </w:p>
        </w:tc>
        <w:tc>
          <w:tcPr>
            <w:tcW w:w="1123" w:type="dxa"/>
            <w:vAlign w:val="center"/>
          </w:tcPr>
          <w:p>
            <w:pPr>
              <w:spacing w:line="360" w:lineRule="auto"/>
              <w:jc w:val="center"/>
              <w:rPr>
                <w:rFonts w:hint="eastAsia" w:ascii="Times New Roman" w:hAnsi="Times New Roman" w:eastAsia="仿宋_GB2312" w:cs="Times New Roman"/>
                <w:sz w:val="28"/>
                <w:szCs w:val="28"/>
              </w:rPr>
            </w:pPr>
          </w:p>
        </w:tc>
        <w:tc>
          <w:tcPr>
            <w:tcW w:w="1088" w:type="dxa"/>
            <w:vAlign w:val="center"/>
          </w:tcPr>
          <w:p>
            <w:pPr>
              <w:spacing w:line="360" w:lineRule="auto"/>
              <w:jc w:val="center"/>
              <w:rPr>
                <w:rFonts w:hint="default" w:ascii="Times New Roman" w:hAnsi="Times New Roman" w:eastAsia="仿宋_GB2312" w:cs="Times New Roman"/>
                <w:sz w:val="28"/>
                <w:szCs w:val="28"/>
              </w:rPr>
            </w:pPr>
          </w:p>
        </w:tc>
        <w:tc>
          <w:tcPr>
            <w:tcW w:w="1236" w:type="dxa"/>
            <w:vMerge w:val="restart"/>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苏财农〔2025〕36号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146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动物疫控中心</w:t>
            </w:r>
          </w:p>
        </w:tc>
        <w:tc>
          <w:tcPr>
            <w:tcW w:w="120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222.4</w:t>
            </w:r>
          </w:p>
        </w:tc>
        <w:tc>
          <w:tcPr>
            <w:tcW w:w="862" w:type="dxa"/>
            <w:vAlign w:val="center"/>
          </w:tcPr>
          <w:p>
            <w:pPr>
              <w:spacing w:line="360" w:lineRule="auto"/>
              <w:jc w:val="center"/>
              <w:rPr>
                <w:rFonts w:hint="eastAsia" w:ascii="Times New Roman" w:hAnsi="Times New Roman" w:eastAsia="仿宋_GB2312" w:cs="Times New Roman"/>
                <w:sz w:val="28"/>
                <w:szCs w:val="28"/>
              </w:rPr>
            </w:pPr>
          </w:p>
        </w:tc>
        <w:tc>
          <w:tcPr>
            <w:tcW w:w="573" w:type="dxa"/>
            <w:vAlign w:val="center"/>
          </w:tcPr>
          <w:p>
            <w:pPr>
              <w:spacing w:line="360" w:lineRule="auto"/>
              <w:jc w:val="center"/>
              <w:rPr>
                <w:rFonts w:hint="eastAsia" w:ascii="Times New Roman" w:hAnsi="Times New Roman" w:eastAsia="仿宋_GB2312" w:cs="Times New Roman"/>
                <w:sz w:val="28"/>
                <w:szCs w:val="28"/>
              </w:rPr>
            </w:pPr>
          </w:p>
        </w:tc>
        <w:tc>
          <w:tcPr>
            <w:tcW w:w="94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222.4</w:t>
            </w: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1124" w:type="dxa"/>
            <w:vAlign w:val="center"/>
          </w:tcPr>
          <w:p>
            <w:pPr>
              <w:spacing w:line="360" w:lineRule="auto"/>
              <w:jc w:val="center"/>
              <w:rPr>
                <w:rFonts w:hint="eastAsia" w:ascii="Times New Roman" w:hAnsi="Times New Roman" w:eastAsia="仿宋_GB2312" w:cs="Times New Roman"/>
                <w:sz w:val="28"/>
                <w:szCs w:val="28"/>
              </w:rPr>
            </w:pPr>
          </w:p>
        </w:tc>
        <w:tc>
          <w:tcPr>
            <w:tcW w:w="1123" w:type="dxa"/>
            <w:vAlign w:val="center"/>
          </w:tcPr>
          <w:p>
            <w:pPr>
              <w:spacing w:line="360" w:lineRule="auto"/>
              <w:jc w:val="center"/>
              <w:rPr>
                <w:rFonts w:hint="eastAsia" w:ascii="Times New Roman" w:hAnsi="Times New Roman" w:eastAsia="仿宋_GB2312" w:cs="Times New Roman"/>
                <w:sz w:val="28"/>
                <w:szCs w:val="28"/>
              </w:rPr>
            </w:pPr>
          </w:p>
        </w:tc>
        <w:tc>
          <w:tcPr>
            <w:tcW w:w="1088" w:type="dxa"/>
            <w:vAlign w:val="center"/>
          </w:tcPr>
          <w:p>
            <w:pPr>
              <w:spacing w:line="360" w:lineRule="auto"/>
              <w:jc w:val="center"/>
              <w:rPr>
                <w:rFonts w:hint="default" w:ascii="Times New Roman" w:hAnsi="Times New Roman" w:eastAsia="仿宋_GB2312" w:cs="Times New Roman"/>
                <w:sz w:val="28"/>
                <w:szCs w:val="28"/>
              </w:rPr>
            </w:pPr>
          </w:p>
        </w:tc>
        <w:tc>
          <w:tcPr>
            <w:tcW w:w="1236" w:type="dxa"/>
            <w:vMerge w:val="continue"/>
            <w:vAlign w:val="center"/>
          </w:tcPr>
          <w:p>
            <w:pPr>
              <w:spacing w:line="360" w:lineRule="auto"/>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p>
        </w:tc>
        <w:tc>
          <w:tcPr>
            <w:tcW w:w="1460"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渔技站</w:t>
            </w:r>
          </w:p>
        </w:tc>
        <w:tc>
          <w:tcPr>
            <w:tcW w:w="120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862" w:type="dxa"/>
            <w:vAlign w:val="center"/>
          </w:tcPr>
          <w:p>
            <w:pPr>
              <w:spacing w:line="360" w:lineRule="auto"/>
              <w:jc w:val="center"/>
              <w:rPr>
                <w:rFonts w:hint="eastAsia" w:ascii="Times New Roman" w:hAnsi="Times New Roman" w:eastAsia="仿宋_GB2312" w:cs="Times New Roman"/>
                <w:sz w:val="28"/>
                <w:szCs w:val="28"/>
              </w:rPr>
            </w:pPr>
          </w:p>
        </w:tc>
        <w:tc>
          <w:tcPr>
            <w:tcW w:w="573" w:type="dxa"/>
            <w:vAlign w:val="center"/>
          </w:tcPr>
          <w:p>
            <w:pPr>
              <w:spacing w:line="360" w:lineRule="auto"/>
              <w:jc w:val="center"/>
              <w:rPr>
                <w:rFonts w:hint="eastAsia" w:ascii="Times New Roman" w:hAnsi="Times New Roman" w:eastAsia="仿宋_GB2312" w:cs="Times New Roman"/>
                <w:sz w:val="28"/>
                <w:szCs w:val="28"/>
              </w:rPr>
            </w:pPr>
          </w:p>
        </w:tc>
        <w:tc>
          <w:tcPr>
            <w:tcW w:w="94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10</w:t>
            </w: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1124" w:type="dxa"/>
            <w:vAlign w:val="center"/>
          </w:tcPr>
          <w:p>
            <w:pPr>
              <w:spacing w:line="360" w:lineRule="auto"/>
              <w:jc w:val="center"/>
              <w:rPr>
                <w:rFonts w:hint="eastAsia" w:ascii="Times New Roman" w:hAnsi="Times New Roman" w:eastAsia="仿宋_GB2312" w:cs="Times New Roman"/>
                <w:sz w:val="28"/>
                <w:szCs w:val="28"/>
              </w:rPr>
            </w:pPr>
          </w:p>
        </w:tc>
        <w:tc>
          <w:tcPr>
            <w:tcW w:w="1123" w:type="dxa"/>
            <w:vAlign w:val="center"/>
          </w:tcPr>
          <w:p>
            <w:pPr>
              <w:spacing w:line="360" w:lineRule="auto"/>
              <w:jc w:val="center"/>
              <w:rPr>
                <w:rFonts w:hint="eastAsia" w:ascii="Times New Roman" w:hAnsi="Times New Roman" w:eastAsia="仿宋_GB2312" w:cs="Times New Roman"/>
                <w:sz w:val="28"/>
                <w:szCs w:val="28"/>
              </w:rPr>
            </w:pPr>
          </w:p>
        </w:tc>
        <w:tc>
          <w:tcPr>
            <w:tcW w:w="1088" w:type="dxa"/>
            <w:vAlign w:val="center"/>
          </w:tcPr>
          <w:p>
            <w:pPr>
              <w:spacing w:line="360" w:lineRule="auto"/>
              <w:jc w:val="center"/>
              <w:rPr>
                <w:rFonts w:hint="default" w:ascii="Times New Roman" w:hAnsi="Times New Roman" w:eastAsia="仿宋_GB2312" w:cs="Times New Roman"/>
                <w:sz w:val="28"/>
                <w:szCs w:val="28"/>
              </w:rPr>
            </w:pPr>
          </w:p>
        </w:tc>
        <w:tc>
          <w:tcPr>
            <w:tcW w:w="1236" w:type="dxa"/>
            <w:vMerge w:val="continue"/>
            <w:vAlign w:val="center"/>
          </w:tcPr>
          <w:p>
            <w:pPr>
              <w:spacing w:line="360" w:lineRule="auto"/>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w:t>
            </w:r>
          </w:p>
        </w:tc>
        <w:tc>
          <w:tcPr>
            <w:tcW w:w="1460"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农产品质量科</w:t>
            </w:r>
          </w:p>
        </w:tc>
        <w:tc>
          <w:tcPr>
            <w:tcW w:w="1200"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98</w:t>
            </w:r>
          </w:p>
        </w:tc>
        <w:tc>
          <w:tcPr>
            <w:tcW w:w="862" w:type="dxa"/>
            <w:vAlign w:val="center"/>
          </w:tcPr>
          <w:p>
            <w:pPr>
              <w:spacing w:line="360" w:lineRule="auto"/>
              <w:jc w:val="center"/>
              <w:rPr>
                <w:rFonts w:hint="eastAsia" w:ascii="Times New Roman" w:hAnsi="Times New Roman" w:eastAsia="仿宋_GB2312" w:cs="Times New Roman"/>
                <w:sz w:val="28"/>
                <w:szCs w:val="28"/>
              </w:rPr>
            </w:pPr>
          </w:p>
        </w:tc>
        <w:tc>
          <w:tcPr>
            <w:tcW w:w="573" w:type="dxa"/>
            <w:vAlign w:val="center"/>
          </w:tcPr>
          <w:p>
            <w:pPr>
              <w:spacing w:line="360" w:lineRule="auto"/>
              <w:jc w:val="center"/>
              <w:rPr>
                <w:rFonts w:hint="eastAsia" w:ascii="Times New Roman" w:hAnsi="Times New Roman" w:eastAsia="仿宋_GB2312" w:cs="Times New Roman"/>
                <w:sz w:val="28"/>
                <w:szCs w:val="28"/>
              </w:rPr>
            </w:pPr>
          </w:p>
        </w:tc>
        <w:tc>
          <w:tcPr>
            <w:tcW w:w="943"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98</w:t>
            </w: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895" w:type="dxa"/>
            <w:vAlign w:val="center"/>
          </w:tcPr>
          <w:p>
            <w:pPr>
              <w:spacing w:line="360" w:lineRule="auto"/>
              <w:jc w:val="center"/>
              <w:rPr>
                <w:rFonts w:hint="eastAsia" w:ascii="Times New Roman" w:hAnsi="Times New Roman" w:eastAsia="仿宋_GB2312" w:cs="Times New Roman"/>
                <w:sz w:val="28"/>
                <w:szCs w:val="28"/>
              </w:rPr>
            </w:pPr>
          </w:p>
        </w:tc>
        <w:tc>
          <w:tcPr>
            <w:tcW w:w="1124" w:type="dxa"/>
            <w:vAlign w:val="center"/>
          </w:tcPr>
          <w:p>
            <w:pPr>
              <w:spacing w:line="360" w:lineRule="auto"/>
              <w:jc w:val="center"/>
              <w:rPr>
                <w:rFonts w:hint="eastAsia" w:ascii="Times New Roman" w:hAnsi="Times New Roman" w:eastAsia="仿宋_GB2312" w:cs="Times New Roman"/>
                <w:sz w:val="28"/>
                <w:szCs w:val="28"/>
              </w:rPr>
            </w:pPr>
          </w:p>
        </w:tc>
        <w:tc>
          <w:tcPr>
            <w:tcW w:w="1123" w:type="dxa"/>
            <w:vAlign w:val="center"/>
          </w:tcPr>
          <w:p>
            <w:pPr>
              <w:spacing w:line="360" w:lineRule="auto"/>
              <w:jc w:val="center"/>
              <w:rPr>
                <w:rFonts w:hint="eastAsia" w:ascii="Times New Roman" w:hAnsi="Times New Roman" w:eastAsia="仿宋_GB2312" w:cs="Times New Roman"/>
                <w:sz w:val="28"/>
                <w:szCs w:val="28"/>
              </w:rPr>
            </w:pPr>
          </w:p>
        </w:tc>
        <w:tc>
          <w:tcPr>
            <w:tcW w:w="1088" w:type="dxa"/>
            <w:vAlign w:val="center"/>
          </w:tcPr>
          <w:p>
            <w:pPr>
              <w:spacing w:line="360" w:lineRule="auto"/>
              <w:jc w:val="center"/>
              <w:rPr>
                <w:rFonts w:hint="default" w:ascii="Times New Roman" w:hAnsi="Times New Roman" w:eastAsia="仿宋_GB2312" w:cs="Times New Roman"/>
                <w:sz w:val="28"/>
                <w:szCs w:val="28"/>
              </w:rPr>
            </w:pPr>
          </w:p>
        </w:tc>
        <w:tc>
          <w:tcPr>
            <w:tcW w:w="1236" w:type="dxa"/>
            <w:vMerge w:val="continue"/>
            <w:vAlign w:val="center"/>
          </w:tcPr>
          <w:p>
            <w:pPr>
              <w:spacing w:line="360" w:lineRule="auto"/>
              <w:jc w:val="center"/>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146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200"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862"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畜禽粪污处理设施更新</w:t>
            </w:r>
          </w:p>
        </w:tc>
        <w:tc>
          <w:tcPr>
            <w:tcW w:w="57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智慧农业发展</w:t>
            </w:r>
          </w:p>
        </w:tc>
        <w:tc>
          <w:tcPr>
            <w:tcW w:w="94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动物及水生物疫病防控</w:t>
            </w:r>
          </w:p>
        </w:tc>
        <w:tc>
          <w:tcPr>
            <w:tcW w:w="8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农产品质量安全监管</w:t>
            </w:r>
          </w:p>
        </w:tc>
        <w:tc>
          <w:tcPr>
            <w:tcW w:w="8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执法及安全生产监管</w:t>
            </w:r>
          </w:p>
        </w:tc>
        <w:tc>
          <w:tcPr>
            <w:tcW w:w="89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升级改造渔业岸台基站</w:t>
            </w:r>
          </w:p>
        </w:tc>
        <w:tc>
          <w:tcPr>
            <w:tcW w:w="1124"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对承担省调执法任务市县执法船补贴</w:t>
            </w:r>
          </w:p>
        </w:tc>
        <w:tc>
          <w:tcPr>
            <w:tcW w:w="112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农药化肥双减与农业废弃物处置</w:t>
            </w:r>
          </w:p>
        </w:tc>
        <w:tc>
          <w:tcPr>
            <w:tcW w:w="1088"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海洋渔业资源养护补贴</w:t>
            </w:r>
          </w:p>
        </w:tc>
        <w:tc>
          <w:tcPr>
            <w:tcW w:w="1236"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5</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农业执法大队</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1959.5</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25</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90</w:t>
            </w:r>
          </w:p>
        </w:tc>
        <w:tc>
          <w:tcPr>
            <w:tcW w:w="112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125</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0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1719.5</w:t>
            </w:r>
          </w:p>
        </w:tc>
        <w:tc>
          <w:tcPr>
            <w:tcW w:w="1236" w:type="dxa"/>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苏财农〔2025〕36号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6</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渔政监督科</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25</w:t>
            </w:r>
          </w:p>
        </w:tc>
        <w:tc>
          <w:tcPr>
            <w:tcW w:w="86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57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94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25</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12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0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7</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bookmarkStart w:id="10" w:name="OLE_LINK29"/>
            <w:bookmarkStart w:id="11" w:name="OLE_LINK30"/>
            <w:r>
              <w:rPr>
                <w:rFonts w:hint="eastAsia" w:ascii="Times New Roman" w:hAnsi="Times New Roman" w:eastAsia="仿宋_GB2312" w:cs="Times New Roman"/>
                <w:sz w:val="28"/>
                <w:szCs w:val="28"/>
              </w:rPr>
              <w:t>农业技术推广中心土肥站</w:t>
            </w:r>
            <w:bookmarkEnd w:id="10"/>
            <w:bookmarkEnd w:id="11"/>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30</w:t>
            </w:r>
          </w:p>
        </w:tc>
        <w:tc>
          <w:tcPr>
            <w:tcW w:w="86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57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94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12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30</w:t>
            </w:r>
          </w:p>
        </w:tc>
        <w:tc>
          <w:tcPr>
            <w:tcW w:w="10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8</w:t>
            </w: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农业技术推广中心蔬菜站</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45</w:t>
            </w:r>
          </w:p>
        </w:tc>
        <w:tc>
          <w:tcPr>
            <w:tcW w:w="862"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57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943"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124"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45</w:t>
            </w:r>
          </w:p>
        </w:tc>
        <w:tc>
          <w:tcPr>
            <w:tcW w:w="1088"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c>
          <w:tcPr>
            <w:tcW w:w="1236" w:type="dxa"/>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jc w:val="center"/>
        </w:trPr>
        <w:tc>
          <w:tcPr>
            <w:tcW w:w="67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p>
        </w:tc>
        <w:tc>
          <w:tcPr>
            <w:tcW w:w="146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合计</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2470.9</w:t>
            </w:r>
          </w:p>
        </w:tc>
        <w:tc>
          <w:tcPr>
            <w:tcW w:w="862"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15</w:t>
            </w:r>
          </w:p>
        </w:tc>
        <w:tc>
          <w:tcPr>
            <w:tcW w:w="57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36</w:t>
            </w:r>
          </w:p>
        </w:tc>
        <w:tc>
          <w:tcPr>
            <w:tcW w:w="94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262.4</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98</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50</w:t>
            </w:r>
          </w:p>
        </w:tc>
        <w:tc>
          <w:tcPr>
            <w:tcW w:w="89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90</w:t>
            </w:r>
          </w:p>
        </w:tc>
        <w:tc>
          <w:tcPr>
            <w:tcW w:w="1124"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125</w:t>
            </w:r>
          </w:p>
        </w:tc>
        <w:tc>
          <w:tcPr>
            <w:tcW w:w="1123"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75</w:t>
            </w:r>
          </w:p>
        </w:tc>
        <w:tc>
          <w:tcPr>
            <w:tcW w:w="1088"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1719.5</w:t>
            </w:r>
          </w:p>
        </w:tc>
        <w:tc>
          <w:tcPr>
            <w:tcW w:w="1236"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28"/>
                <w:szCs w:val="28"/>
              </w:rPr>
            </w:pPr>
          </w:p>
        </w:tc>
      </w:tr>
    </w:tbl>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1-6</w:t>
      </w:r>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2025年第二批村级公益事业一事一议财政奖补资金分配表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8"/>
        <w:tblW w:w="1282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3"/>
        <w:gridCol w:w="2693"/>
        <w:gridCol w:w="967"/>
        <w:gridCol w:w="3441"/>
        <w:gridCol w:w="46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4" w:hRule="atLeast"/>
          <w:jc w:val="center"/>
        </w:trPr>
        <w:tc>
          <w:tcPr>
            <w:tcW w:w="112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69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967"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344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一事一议财政奖补</w:t>
            </w:r>
          </w:p>
        </w:tc>
        <w:tc>
          <w:tcPr>
            <w:tcW w:w="4601"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1123"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693" w:type="dxa"/>
            <w:vMerge w:val="restart"/>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乡村建设促进科</w:t>
            </w:r>
          </w:p>
        </w:tc>
        <w:tc>
          <w:tcPr>
            <w:tcW w:w="967"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439</w:t>
            </w:r>
          </w:p>
        </w:tc>
        <w:tc>
          <w:tcPr>
            <w:tcW w:w="3441"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439</w:t>
            </w:r>
          </w:p>
        </w:tc>
        <w:tc>
          <w:tcPr>
            <w:tcW w:w="4601" w:type="dxa"/>
            <w:vAlign w:val="center"/>
          </w:tcPr>
          <w:p>
            <w:pPr>
              <w:spacing w:line="360" w:lineRule="auto"/>
              <w:jc w:val="center"/>
              <w:rPr>
                <w:rFonts w:hint="default" w:ascii="Times New Roman" w:hAnsi="Times New Roman" w:eastAsia="仿宋_GB2312" w:cs="Times New Roman"/>
                <w:sz w:val="28"/>
                <w:szCs w:val="28"/>
              </w:rPr>
            </w:pPr>
            <w:bookmarkStart w:id="12" w:name="OLE_LINK2"/>
            <w:bookmarkStart w:id="13" w:name="OLE_LINK1"/>
            <w:r>
              <w:rPr>
                <w:rFonts w:hint="default" w:ascii="Times New Roman" w:hAnsi="Times New Roman" w:eastAsia="仿宋_GB2312" w:cs="Times New Roman"/>
                <w:sz w:val="28"/>
                <w:szCs w:val="28"/>
              </w:rPr>
              <w:t>苏财农</w:t>
            </w:r>
            <w:r>
              <w:rPr>
                <w:rFonts w:hint="eastAsia" w:ascii="Times New Roman" w:hAnsi="Times New Roman" w:eastAsia="仿宋_GB2312" w:cs="Times New Roman"/>
                <w:sz w:val="28"/>
                <w:szCs w:val="28"/>
              </w:rPr>
              <w:t>改</w:t>
            </w:r>
            <w:bookmarkStart w:id="14" w:name="OLE_LINK4"/>
            <w:bookmarkStart w:id="15" w:name="OLE_LINK5"/>
            <w:r>
              <w:rPr>
                <w:rFonts w:hint="eastAsia" w:ascii="Times New Roman" w:hAnsi="Times New Roman" w:eastAsia="仿宋_GB2312" w:cs="Times New Roman"/>
                <w:sz w:val="28"/>
                <w:szCs w:val="28"/>
              </w:rPr>
              <w:t>〔2025〕</w:t>
            </w:r>
            <w:bookmarkEnd w:id="14"/>
            <w:bookmarkEnd w:id="15"/>
            <w:r>
              <w:rPr>
                <w:rFonts w:hint="eastAsia" w:ascii="Times New Roman" w:hAnsi="Times New Roman" w:eastAsia="仿宋_GB2312" w:cs="Times New Roman"/>
                <w:sz w:val="28"/>
                <w:szCs w:val="28"/>
              </w:rPr>
              <w:t>11号</w:t>
            </w:r>
            <w:bookmarkEnd w:id="12"/>
            <w:bookmarkEnd w:id="1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112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p>
        </w:tc>
        <w:tc>
          <w:tcPr>
            <w:tcW w:w="2693" w:type="dxa"/>
            <w:vMerge w:val="continue"/>
            <w:vAlign w:val="center"/>
          </w:tcPr>
          <w:p>
            <w:pPr>
              <w:spacing w:line="360" w:lineRule="auto"/>
              <w:jc w:val="center"/>
              <w:rPr>
                <w:rFonts w:hint="eastAsia" w:ascii="Times New Roman" w:hAnsi="Times New Roman" w:eastAsia="仿宋_GB2312" w:cs="Times New Roman"/>
                <w:sz w:val="28"/>
                <w:szCs w:val="28"/>
              </w:rPr>
            </w:pPr>
          </w:p>
        </w:tc>
        <w:tc>
          <w:tcPr>
            <w:tcW w:w="967"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254</w:t>
            </w:r>
          </w:p>
        </w:tc>
        <w:tc>
          <w:tcPr>
            <w:tcW w:w="3441"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254</w:t>
            </w:r>
          </w:p>
        </w:tc>
        <w:tc>
          <w:tcPr>
            <w:tcW w:w="4601"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苏财农改〔2025〕22号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7" w:hRule="atLeast"/>
          <w:jc w:val="center"/>
        </w:trPr>
        <w:tc>
          <w:tcPr>
            <w:tcW w:w="1123" w:type="dxa"/>
            <w:vAlign w:val="center"/>
          </w:tcPr>
          <w:p>
            <w:pPr>
              <w:spacing w:line="360" w:lineRule="auto"/>
              <w:jc w:val="center"/>
              <w:rPr>
                <w:rFonts w:hint="default" w:ascii="Times New Roman" w:hAnsi="Times New Roman" w:eastAsia="仿宋_GB2312" w:cs="Times New Roman"/>
                <w:sz w:val="28"/>
                <w:szCs w:val="28"/>
              </w:rPr>
            </w:pPr>
          </w:p>
        </w:tc>
        <w:tc>
          <w:tcPr>
            <w:tcW w:w="2693" w:type="dxa"/>
            <w:vAlign w:val="center"/>
          </w:tcPr>
          <w:p>
            <w:pP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967"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693</w:t>
            </w:r>
          </w:p>
        </w:tc>
        <w:tc>
          <w:tcPr>
            <w:tcW w:w="3441" w:type="dxa"/>
            <w:vAlign w:val="center"/>
          </w:tcPr>
          <w:p>
            <w:pPr>
              <w:spacing w:line="360" w:lineRule="auto"/>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rPr>
              <w:t>693</w:t>
            </w:r>
          </w:p>
        </w:tc>
        <w:tc>
          <w:tcPr>
            <w:tcW w:w="4601" w:type="dxa"/>
            <w:vAlign w:val="center"/>
          </w:tcPr>
          <w:p>
            <w:pPr>
              <w:spacing w:line="360" w:lineRule="auto"/>
              <w:jc w:val="center"/>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注：关于下达2025年度中央和省级对市县农业相关专项转移支付预算资金的通知（启农发</w:t>
      </w:r>
      <w:r>
        <w:rPr>
          <w:rFonts w:hint="default" w:ascii="Times New Roman" w:hAnsi="Times New Roman" w:eastAsia="仿宋_GB2312" w:cs="Times New Roman"/>
          <w:sz w:val="28"/>
          <w:szCs w:val="28"/>
        </w:rPr>
        <w:t>〔2025〕39号</w:t>
      </w:r>
      <w:r>
        <w:rPr>
          <w:rFonts w:hint="default" w:ascii="Times New Roman" w:hAnsi="Times New Roman" w:eastAsia="仿宋_GB2312" w:cs="Times New Roman"/>
          <w:sz w:val="32"/>
          <w:szCs w:val="32"/>
        </w:rPr>
        <w:t>）中附件1-7的一事一议财政奖补资金880万元和发展新型农村集体经济资金90万元，根据局科室职能调整分别变更下达资金给乡村建设促进科和帮促指导。</w:t>
      </w:r>
    </w:p>
    <w:p>
      <w:pPr>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rPr>
        <w:t>1-7</w:t>
      </w:r>
    </w:p>
    <w:p>
      <w:pPr>
        <w:spacing w:line="520" w:lineRule="exact"/>
        <w:jc w:val="center"/>
        <w:rPr>
          <w:rFonts w:hint="eastAsia" w:ascii="方正大标宋_GBK" w:hAnsi="方正大标宋_GBK" w:eastAsia="方正大标宋_GBK" w:cs="方正大标宋_GBK"/>
          <w:bCs/>
          <w:spacing w:val="-6"/>
          <w:sz w:val="44"/>
          <w:szCs w:val="44"/>
        </w:rPr>
      </w:pPr>
      <w:r>
        <w:rPr>
          <w:rFonts w:hint="eastAsia" w:ascii="方正大标宋_GBK" w:hAnsi="方正大标宋_GBK" w:eastAsia="方正大标宋_GBK" w:cs="方正大标宋_GBK"/>
          <w:bCs/>
          <w:spacing w:val="-6"/>
          <w:sz w:val="44"/>
          <w:szCs w:val="44"/>
        </w:rPr>
        <w:t>2025年农村人居环境整治综合提升奖补资金分配表</w:t>
      </w:r>
    </w:p>
    <w:p>
      <w:pPr>
        <w:ind w:right="56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单位：万元</w:t>
      </w:r>
    </w:p>
    <w:tbl>
      <w:tblPr>
        <w:tblStyle w:val="8"/>
        <w:tblW w:w="128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23"/>
        <w:gridCol w:w="2999"/>
        <w:gridCol w:w="1143"/>
        <w:gridCol w:w="3713"/>
        <w:gridCol w:w="39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9" w:hRule="atLeast"/>
          <w:jc w:val="center"/>
        </w:trPr>
        <w:tc>
          <w:tcPr>
            <w:tcW w:w="112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序号</w:t>
            </w:r>
          </w:p>
        </w:tc>
        <w:tc>
          <w:tcPr>
            <w:tcW w:w="2999"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部门</w:t>
            </w:r>
          </w:p>
        </w:tc>
        <w:tc>
          <w:tcPr>
            <w:tcW w:w="114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资金</w:t>
            </w:r>
          </w:p>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合计</w:t>
            </w:r>
          </w:p>
        </w:tc>
        <w:tc>
          <w:tcPr>
            <w:tcW w:w="3713"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农村人居环境整治</w:t>
            </w:r>
          </w:p>
          <w:p>
            <w:pPr>
              <w:spacing w:line="400" w:lineRule="exact"/>
              <w:jc w:val="center"/>
              <w:rPr>
                <w:rFonts w:hint="eastAsia" w:ascii="黑体" w:hAnsi="黑体" w:eastAsia="黑体" w:cs="黑体"/>
                <w:b w:val="0"/>
                <w:bCs/>
                <w:sz w:val="28"/>
                <w:szCs w:val="28"/>
              </w:rPr>
            </w:pPr>
            <w:bookmarkStart w:id="16" w:name="_GoBack"/>
            <w:bookmarkEnd w:id="16"/>
            <w:r>
              <w:rPr>
                <w:rFonts w:hint="eastAsia" w:ascii="黑体" w:hAnsi="黑体" w:eastAsia="黑体" w:cs="黑体"/>
                <w:b w:val="0"/>
                <w:bCs/>
                <w:sz w:val="28"/>
                <w:szCs w:val="28"/>
              </w:rPr>
              <w:t>综合提升奖补资金</w:t>
            </w:r>
          </w:p>
        </w:tc>
        <w:tc>
          <w:tcPr>
            <w:tcW w:w="3915" w:type="dxa"/>
            <w:vAlign w:val="center"/>
          </w:tcPr>
          <w:p>
            <w:pPr>
              <w:spacing w:line="40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6" w:hRule="atLeast"/>
          <w:jc w:val="center"/>
        </w:trPr>
        <w:tc>
          <w:tcPr>
            <w:tcW w:w="112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999"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乡村建设促进科</w:t>
            </w:r>
          </w:p>
        </w:tc>
        <w:tc>
          <w:tcPr>
            <w:tcW w:w="114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3800</w:t>
            </w:r>
          </w:p>
        </w:tc>
        <w:tc>
          <w:tcPr>
            <w:tcW w:w="3713"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3800</w:t>
            </w:r>
          </w:p>
        </w:tc>
        <w:tc>
          <w:tcPr>
            <w:tcW w:w="3915" w:type="dxa"/>
            <w:vAlign w:val="center"/>
          </w:tcPr>
          <w:p>
            <w:pPr>
              <w:spacing w:line="360" w:lineRule="auto"/>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苏财农改〔2025〕24号</w:t>
            </w:r>
          </w:p>
        </w:tc>
      </w:tr>
    </w:tbl>
    <w:p>
      <w:pPr>
        <w:rPr>
          <w:rFonts w:hint="eastAsia" w:ascii="仿宋" w:hAnsi="仿宋" w:eastAsia="仿宋"/>
          <w:sz w:val="32"/>
          <w:szCs w:val="32"/>
        </w:rPr>
      </w:pPr>
    </w:p>
    <w:p>
      <w:pPr>
        <w:rPr>
          <w:rFonts w:hint="eastAsia" w:ascii="仿宋" w:hAnsi="仿宋" w:eastAsia="仿宋"/>
          <w:sz w:val="32"/>
          <w:szCs w:val="32"/>
        </w:rPr>
      </w:pPr>
    </w:p>
    <w:p>
      <w:pPr>
        <w:rPr>
          <w:rFonts w:ascii="仿宋" w:hAnsi="仿宋" w:eastAsia="仿宋"/>
          <w:sz w:val="32"/>
          <w:szCs w:val="32"/>
        </w:rPr>
      </w:pPr>
    </w:p>
    <w:sectPr>
      <w:pgSz w:w="16838" w:h="11906" w:orient="landscape"/>
      <w:pgMar w:top="1587" w:right="2098" w:bottom="1474" w:left="198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iZTdkN2JjMGI0ZWEwZjQwYzNlNWZhYmQ0NzM0MjIifQ=="/>
  </w:docVars>
  <w:rsids>
    <w:rsidRoot w:val="00844277"/>
    <w:rsid w:val="00035805"/>
    <w:rsid w:val="00040C75"/>
    <w:rsid w:val="00041CFD"/>
    <w:rsid w:val="00053F6A"/>
    <w:rsid w:val="000751F6"/>
    <w:rsid w:val="00081ADF"/>
    <w:rsid w:val="000F314F"/>
    <w:rsid w:val="000F6595"/>
    <w:rsid w:val="000F6E56"/>
    <w:rsid w:val="0011665D"/>
    <w:rsid w:val="001224D5"/>
    <w:rsid w:val="00130839"/>
    <w:rsid w:val="00142CA6"/>
    <w:rsid w:val="00151A87"/>
    <w:rsid w:val="001B7428"/>
    <w:rsid w:val="001E5F8F"/>
    <w:rsid w:val="00205585"/>
    <w:rsid w:val="00212F57"/>
    <w:rsid w:val="0022056C"/>
    <w:rsid w:val="0025027F"/>
    <w:rsid w:val="002541DC"/>
    <w:rsid w:val="0026251F"/>
    <w:rsid w:val="00275358"/>
    <w:rsid w:val="002818BE"/>
    <w:rsid w:val="00297DCA"/>
    <w:rsid w:val="002A19E7"/>
    <w:rsid w:val="002C44D8"/>
    <w:rsid w:val="002D7F99"/>
    <w:rsid w:val="00304A7D"/>
    <w:rsid w:val="00325C1F"/>
    <w:rsid w:val="00335FE4"/>
    <w:rsid w:val="0035472F"/>
    <w:rsid w:val="003A41AD"/>
    <w:rsid w:val="003D1DCB"/>
    <w:rsid w:val="003D2ECA"/>
    <w:rsid w:val="003E3DA3"/>
    <w:rsid w:val="00443313"/>
    <w:rsid w:val="0046556C"/>
    <w:rsid w:val="00471FE2"/>
    <w:rsid w:val="00480112"/>
    <w:rsid w:val="004E2E01"/>
    <w:rsid w:val="00514727"/>
    <w:rsid w:val="00537952"/>
    <w:rsid w:val="0055301C"/>
    <w:rsid w:val="00555675"/>
    <w:rsid w:val="005A6D92"/>
    <w:rsid w:val="005D5F30"/>
    <w:rsid w:val="006060AB"/>
    <w:rsid w:val="00610551"/>
    <w:rsid w:val="006411AF"/>
    <w:rsid w:val="006530BB"/>
    <w:rsid w:val="006A3399"/>
    <w:rsid w:val="006B2A92"/>
    <w:rsid w:val="006C6F65"/>
    <w:rsid w:val="006D4F48"/>
    <w:rsid w:val="006E696E"/>
    <w:rsid w:val="007236EA"/>
    <w:rsid w:val="00756F1D"/>
    <w:rsid w:val="007641E1"/>
    <w:rsid w:val="00764909"/>
    <w:rsid w:val="00773185"/>
    <w:rsid w:val="00773628"/>
    <w:rsid w:val="007950D1"/>
    <w:rsid w:val="007B7AB7"/>
    <w:rsid w:val="007D7485"/>
    <w:rsid w:val="007F63C4"/>
    <w:rsid w:val="008048DE"/>
    <w:rsid w:val="00806866"/>
    <w:rsid w:val="008157B2"/>
    <w:rsid w:val="0082267B"/>
    <w:rsid w:val="00822F14"/>
    <w:rsid w:val="00844277"/>
    <w:rsid w:val="00867B11"/>
    <w:rsid w:val="00870E90"/>
    <w:rsid w:val="008712AB"/>
    <w:rsid w:val="00892856"/>
    <w:rsid w:val="008957B0"/>
    <w:rsid w:val="008B6088"/>
    <w:rsid w:val="008C759A"/>
    <w:rsid w:val="008C7CBC"/>
    <w:rsid w:val="00901AA2"/>
    <w:rsid w:val="00931BF0"/>
    <w:rsid w:val="00973271"/>
    <w:rsid w:val="009743BC"/>
    <w:rsid w:val="0098779C"/>
    <w:rsid w:val="009B2277"/>
    <w:rsid w:val="009D4E0E"/>
    <w:rsid w:val="009E1719"/>
    <w:rsid w:val="00A62363"/>
    <w:rsid w:val="00A90AE8"/>
    <w:rsid w:val="00AA1D01"/>
    <w:rsid w:val="00AA5C2B"/>
    <w:rsid w:val="00AB1D2C"/>
    <w:rsid w:val="00AB479C"/>
    <w:rsid w:val="00AD4DF8"/>
    <w:rsid w:val="00B54D7E"/>
    <w:rsid w:val="00BA7D82"/>
    <w:rsid w:val="00BB1FA1"/>
    <w:rsid w:val="00BD5C6E"/>
    <w:rsid w:val="00BF1A05"/>
    <w:rsid w:val="00C2324B"/>
    <w:rsid w:val="00C40FC7"/>
    <w:rsid w:val="00C96022"/>
    <w:rsid w:val="00CB4BE7"/>
    <w:rsid w:val="00D534B9"/>
    <w:rsid w:val="00D70701"/>
    <w:rsid w:val="00D82A7D"/>
    <w:rsid w:val="00D90CA9"/>
    <w:rsid w:val="00D93B52"/>
    <w:rsid w:val="00DA798F"/>
    <w:rsid w:val="00DE6717"/>
    <w:rsid w:val="00E058AA"/>
    <w:rsid w:val="00E17204"/>
    <w:rsid w:val="00E33FD4"/>
    <w:rsid w:val="00E54264"/>
    <w:rsid w:val="00E7237A"/>
    <w:rsid w:val="00E75C69"/>
    <w:rsid w:val="00E761BF"/>
    <w:rsid w:val="00EA1FF6"/>
    <w:rsid w:val="00EA3002"/>
    <w:rsid w:val="00EC21DE"/>
    <w:rsid w:val="00ED0936"/>
    <w:rsid w:val="00ED61CA"/>
    <w:rsid w:val="00EE12D0"/>
    <w:rsid w:val="00F0665A"/>
    <w:rsid w:val="00F15B54"/>
    <w:rsid w:val="00F50092"/>
    <w:rsid w:val="00F80668"/>
    <w:rsid w:val="00FF4F4F"/>
    <w:rsid w:val="13F111F5"/>
    <w:rsid w:val="2338088B"/>
    <w:rsid w:val="319A7E13"/>
    <w:rsid w:val="3C04552F"/>
    <w:rsid w:val="468903CF"/>
    <w:rsid w:val="5A3B1A3A"/>
    <w:rsid w:val="60345021"/>
    <w:rsid w:val="64902EB9"/>
    <w:rsid w:val="663848B9"/>
    <w:rsid w:val="66A86F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after="120"/>
      <w:ind w:left="420" w:leftChars="200"/>
    </w:pPr>
    <w:rPr>
      <w:rFonts w:eastAsia="宋体"/>
    </w:rPr>
  </w:style>
  <w:style w:type="paragraph" w:styleId="4">
    <w:name w:val="Date"/>
    <w:basedOn w:val="1"/>
    <w:next w:val="1"/>
    <w:link w:val="10"/>
    <w:semiHidden/>
    <w:unhideWhenUsed/>
    <w:uiPriority w:val="99"/>
    <w:pPr>
      <w:ind w:left="100" w:leftChars="2500"/>
    </w:p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tabs>
        <w:tab w:val="center" w:pos="4153"/>
        <w:tab w:val="right" w:pos="8306"/>
      </w:tabs>
      <w:snapToGrid w:val="0"/>
      <w:jc w:val="center"/>
    </w:pPr>
    <w:rPr>
      <w:sz w:val="18"/>
      <w:szCs w:val="18"/>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日期 Char"/>
    <w:basedOn w:val="9"/>
    <w:link w:val="4"/>
    <w:semiHidden/>
    <w:uiPriority w:val="99"/>
  </w:style>
  <w:style w:type="character" w:customStyle="1" w:styleId="11">
    <w:name w:val="页眉 Char"/>
    <w:basedOn w:val="9"/>
    <w:link w:val="6"/>
    <w:uiPriority w:val="99"/>
    <w:rPr>
      <w:sz w:val="18"/>
      <w:szCs w:val="18"/>
    </w:rPr>
  </w:style>
  <w:style w:type="character" w:customStyle="1" w:styleId="12">
    <w:name w:val="页脚 Char"/>
    <w:basedOn w:val="9"/>
    <w:link w:val="5"/>
    <w:uiPriority w:val="99"/>
    <w:rPr>
      <w:sz w:val="18"/>
      <w:szCs w:val="18"/>
    </w:rPr>
  </w:style>
  <w:style w:type="paragraph" w:customStyle="1" w:styleId="1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1576</Words>
  <Characters>1831</Characters>
  <Lines>17</Lines>
  <Paragraphs>4</Paragraphs>
  <TotalTime>1</TotalTime>
  <ScaleCrop>false</ScaleCrop>
  <LinksUpToDate>false</LinksUpToDate>
  <CharactersWithSpaces>2080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2024-05-28T03:03:00Z</dcterms:created>
  <dc:creator>MM</dc:creator>
  <cp:lastModifiedBy>lenovo</cp:lastModifiedBy>
  <cp:lastPrinted>2025-05-27T06:30:00Z</cp:lastPrinted>
  <dcterms:modified xsi:type="dcterms:W3CDTF">2025-08-05T02:54:46Z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5D042AC89D0E47B0BC626D11F11E8805_12</vt:lpwstr>
  </property>
</Properties>
</file>