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F3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启东市吕四港镇2026-2027年城市照明及亮化维护项目</w:t>
      </w:r>
    </w:p>
    <w:p w14:paraId="7B93E2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textAlignment w:val="auto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市场询价公告</w:t>
      </w:r>
    </w:p>
    <w:p w14:paraId="1E435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启东市吕四港镇2026-2027年城市照明及亮化维护项目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即将实施，现就本项目服务采购进行市场询价调研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，欢迎符合资格要求的单位参与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报价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。</w:t>
      </w:r>
    </w:p>
    <w:p w14:paraId="7FCF2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kern w:val="0"/>
          <w:sz w:val="24"/>
          <w:szCs w:val="24"/>
        </w:rPr>
        <w:t>一、采购内容：</w:t>
      </w:r>
    </w:p>
    <w:p w14:paraId="45355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（一）维护范围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Style w:val="20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镇区及外围路灯（包括如意大道、通港大道、石堤大道等），合计路灯7572盏，路灯控制箱145只，具体</w:t>
      </w:r>
      <w:r>
        <w:rPr>
          <w:rStyle w:val="20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明细详见</w:t>
      </w:r>
      <w:r>
        <w:rPr>
          <w:rStyle w:val="20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《</w:t>
      </w:r>
      <w:r>
        <w:rPr>
          <w:rStyle w:val="20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附件：路灯养护清单（2026-2027年）</w:t>
      </w:r>
      <w:r>
        <w:rPr>
          <w:rStyle w:val="20"/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》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0D660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路灯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设施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涵盖路灯控制箱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、路灯、电力电缆、电缆终端头、配管、手孔井、基础、接线盒、接地极、接地母线等。设施维护包括设施的日常巡视、保养维护、定期检测、检修、更换等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全流程服务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6F5AD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《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养护设施清单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》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详见询价表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6A427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（二）养护内容：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按现行的行业技术规范，开展以下工作，保障路灯及部分景观亮化灯具安全正常运行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22CA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（1）巡查线路、手孔井、配电箱等，及时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排查安全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隐患；</w:t>
      </w:r>
    </w:p>
    <w:p w14:paraId="4CABB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（2）勘察统计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路灯及亮化设施数量，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及时跟踪纠正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偏差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</w:t>
      </w:r>
    </w:p>
    <w:p w14:paraId="2EA2A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）实行24小时值班制度，保障响应及时；</w:t>
      </w:r>
    </w:p>
    <w:p w14:paraId="6E642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随季节变化调整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路灯及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亮化灯具亮灯、熄灯时间；</w:t>
      </w:r>
    </w:p>
    <w:p w14:paraId="2A29B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（5）加强供电设施管理，严防偷盗电能现象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发生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74002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（三）亮化养护质量：</w:t>
      </w:r>
    </w:p>
    <w:p w14:paraId="3A1F0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1、亮灯率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养护区域内路灯亮灯率(正常运行路灯数量/全部路灯数量)不低于95%；每月抽检不少于2次，抽检不合格的，每次扣减</w:t>
      </w:r>
      <w:r>
        <w:rPr>
          <w:rStyle w:val="20"/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当月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养护费的</w:t>
      </w:r>
      <w:r>
        <w:rPr>
          <w:rStyle w:val="20"/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%。</w:t>
      </w:r>
    </w:p>
    <w:p w14:paraId="589BA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2、设施外观及完好情况</w:t>
      </w:r>
    </w:p>
    <w:p w14:paraId="387DE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（1）计量箱、配电箱(柜)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门窗清洁无破损，箱体完整不渗水、无积灰锈蚀，挂锁齐全。箱内电器安装整齐、线路排列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有序、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元件绝缘良好、运行正常，仪表指示准确，各回路电流无异常。</w:t>
      </w:r>
    </w:p>
    <w:p w14:paraId="76542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（2）线路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跟踪沿线地表变动，定期检测线路，确保末端电压不低于额定电压的 90%；及时更换缺陷电缆，手孔井内整洁无积水、线路整齐。</w:t>
      </w:r>
    </w:p>
    <w:p w14:paraId="2B9D2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（3）灯杆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杆身倾斜不超过杆长1%，无裂缝破损、锈蚀及油漆剥落，基础牢固，接线门板固定可靠。</w:t>
      </w:r>
    </w:p>
    <w:p w14:paraId="5FF73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）高杆灯：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传动机构钢丝绳无损伤、接头牢固，挂脱钩机构灵活；电动机及变速箱支架可靠、无漏油缺油，限位开关及控制电器触头完好。</w:t>
      </w:r>
    </w:p>
    <w:p w14:paraId="6EF93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照明器具：灯具灯架清洁完好，无积污、断裂等问题；引线绝缘良好无接头，灯罩无破损裂纹；更换元件与设计规格一致，品牌不低于原有标准，不得擅自更改光源、电器及灯具类型。</w:t>
      </w:r>
    </w:p>
    <w:p w14:paraId="55ADE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3、及时性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要求</w:t>
      </w:r>
    </w:p>
    <w:p w14:paraId="581A5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（1）24小时待命抢修，一般故障24小时内解决，突发性紧急情况30分钟内到场；同一地点不得连续7天不亮（特殊原因除外）。</w:t>
      </w:r>
    </w:p>
    <w:p w14:paraId="390C5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（2）大面积灭灯立即抢修，小故障当场修复，较大故障24小时内修复（工程量特别大的除外），无法及时修复的需采取应急措施并上报镇</w:t>
      </w:r>
      <w:bookmarkStart w:id="0" w:name="_GoBack"/>
      <w:bookmarkEnd w:id="0"/>
      <w:r>
        <w:rPr>
          <w:rStyle w:val="20"/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镇建设工作办公室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59245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（3）故障处理结束后24小时内，向镇</w:t>
      </w:r>
      <w:r>
        <w:rPr>
          <w:rStyle w:val="20"/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镇建设工作办公室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报送处理情况。</w:t>
      </w:r>
    </w:p>
    <w:p w14:paraId="519C9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4、设施整洁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要求</w:t>
      </w:r>
    </w:p>
    <w:p w14:paraId="15550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（1）保持亮化设施外观整洁，及时维修遮挡、掉落、缺色等故障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灯具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67FE4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严禁在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公共照明设施上无未经批准设置户外广告或悬挂物品，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发现后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及时上报。</w:t>
      </w:r>
    </w:p>
    <w:p w14:paraId="59521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（3）组织清除设施上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的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乱粘贴、乱涂写。</w:t>
      </w:r>
    </w:p>
    <w:p w14:paraId="444E5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（四）养护要求：</w:t>
      </w:r>
    </w:p>
    <w:p w14:paraId="5AA1C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（1）成立以养护单位主要领导为第一责任人的组织机构，分工明确，职责落实。</w:t>
      </w:r>
    </w:p>
    <w:p w14:paraId="5338B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结合路灯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设施现状，制定巡查、检查、维修保养工作计划，报镇</w:t>
      </w:r>
      <w:r>
        <w:rPr>
          <w:rStyle w:val="20"/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镇建设工作办公室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后按计划实施。</w:t>
      </w:r>
    </w:p>
    <w:p w14:paraId="05A42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（3）按巡逻计划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开展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工作，发现问题及时处置，重大情况迅速上报。</w:t>
      </w:r>
    </w:p>
    <w:p w14:paraId="3E3BB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（4）24小时受理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报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修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投诉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，交通道口或主干道成片熄灯24小时内恢复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，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一般地段零星熄灯3日内修复，紧急抢修1小时内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到场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。</w:t>
      </w:r>
    </w:p>
    <w:p w14:paraId="59C15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按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季节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及重大节目、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社会活动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要求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，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及时调整亮灯、熄灯时间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。</w:t>
      </w:r>
    </w:p>
    <w:p w14:paraId="0C258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）严禁擅自允许非路灯灯具接入路灯用电系统，发现违章接入及时处置并上报。</w:t>
      </w:r>
    </w:p>
    <w:p w14:paraId="6CD90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）养护作业避开交通高峰期，紧急抢修影响交通的需提前联系公安交通部门。</w:t>
      </w:r>
    </w:p>
    <w:p w14:paraId="2B7F1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8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）养护作业设置标准警示标志及灯具，文明施工、工完料清，严守安全生产规范。</w:t>
      </w:r>
    </w:p>
    <w:p w14:paraId="7722D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）更换材料、元器件需符合国家及出厂标准，因使用不当造成损坏的，由养护单位承担损失。</w:t>
      </w:r>
    </w:p>
    <w:p w14:paraId="09497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10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）发现擅自占用、损坏路灯设施的行为，需阻止、留证并立即上报，负责向肇事方索赔及设施恢复。</w:t>
      </w:r>
    </w:p>
    <w:p w14:paraId="238C1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（1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1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）配合重大活动及突发事件处置，全力保障灯具正常运行。</w:t>
      </w:r>
    </w:p>
    <w:p w14:paraId="15200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（1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）建立完整养护台账，详细记录巡逻、报修、修理等情况，尤其是媒体批评、市民投诉等事件，需明确办理结果、责任人及反馈意见，由养护负责人签字确认；每月 5日前提交上月电子台账，每季度提交纸质版台账，附巡检影像资料（含定位信息）。</w:t>
      </w:r>
    </w:p>
    <w:p w14:paraId="67C62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（五）养护单位内部管理要求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3E419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（1）配备路灯升降车、抢修车、维修车辆及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专业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电工工具等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施工机械设备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。</w:t>
      </w:r>
    </w:p>
    <w:p w14:paraId="3B242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（2）制定严格值班制度及台账，值班电话24小时畅通，及时上报照明问题。</w:t>
      </w:r>
    </w:p>
    <w:p w14:paraId="59E7B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（3）建立日常巡修制度，每周巡视各路段1次，留存影像资料，汇总维修内容及材料清单并书面上报镇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镇建设工作办公室。</w:t>
      </w:r>
    </w:p>
    <w:p w14:paraId="1026C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）建立人员岗位管理及技术培训制度，工作人员统一着装、持证上岗，熟悉设备操作及维护方法，作业时穿戴齐全安全防护用品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。</w:t>
      </w:r>
    </w:p>
    <w:p w14:paraId="0AED1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）项目负责人或现场代表不配合工作或不能胜任的，需在发包人要求更换之日起5日内更换，否则发包人有权停工或解除合同，相关损失由养护单位承担。</w:t>
      </w:r>
    </w:p>
    <w:p w14:paraId="1499D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）制定书面应急预案，建立高效应急响应机制，确保故障发生后30分钟内到达现场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eastAsia="zh-CN"/>
        </w:rPr>
        <w:t>。</w:t>
      </w:r>
    </w:p>
    <w:p w14:paraId="45DD4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）建立设备材料管理制度，储备充足的灯杆、灯具、电缆等维修材料，满足日常及应急需求。</w:t>
      </w:r>
    </w:p>
    <w:p w14:paraId="6DCA7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8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）建立安全生产管理体系，明确总经理为安全第一责任人，配备专职安全员，完善安全生产责任制、检查制度等相关制度。</w:t>
      </w:r>
    </w:p>
    <w:p w14:paraId="77A36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）建立文明施工及环境保护制度，落实相关负责人；开挖绿地或城市道路需办理审批手续并采取安全措施，擅自作业造成损坏的承担相应责任。</w:t>
      </w:r>
    </w:p>
    <w:p w14:paraId="33C3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（1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0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）建立完整养护档案，包含设施技术文件、数量统计、巡检记录、报修抢修记录、亮灯率检查台账等。</w:t>
      </w:r>
    </w:p>
    <w:p w14:paraId="5D90F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（11）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自行承担所有作业人员意外伤害险、施工场地内财产险、第三方责任险等一切相关保险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。</w:t>
      </w:r>
    </w:p>
    <w:p w14:paraId="17C3A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cs="仿宋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kern w:val="0"/>
          <w:sz w:val="24"/>
          <w:szCs w:val="24"/>
        </w:rPr>
        <w:t>二、约定事项：</w:t>
      </w:r>
    </w:p>
    <w:p w14:paraId="5EAC4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1.</w:t>
      </w:r>
      <w:r>
        <w:rPr>
          <w:rStyle w:val="20"/>
          <w:rFonts w:hint="eastAsia" w:cs="仿宋" w:asciiTheme="minorEastAsia" w:hAnsiTheme="minorEastAsia" w:eastAsiaTheme="minorEastAsia"/>
          <w:b w:val="0"/>
          <w:bCs w:val="0"/>
          <w:color w:val="auto"/>
          <w:kern w:val="0"/>
          <w:sz w:val="24"/>
          <w:szCs w:val="24"/>
          <w:highlight w:val="none"/>
        </w:rPr>
        <w:t>维护时间：</w:t>
      </w:r>
      <w:r>
        <w:rPr>
          <w:rStyle w:val="20"/>
          <w:rFonts w:hint="eastAsia" w:cs="仿宋" w:asciiTheme="minorEastAsia" w:hAnsiTheme="minorEastAsia" w:eastAsia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Style w:val="20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</w:rPr>
        <w:t>年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。</w:t>
      </w:r>
    </w:p>
    <w:p w14:paraId="74602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2.市场询价表及相关材料于202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年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月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日17:00前，送或寄（以邮戳为准）启东市吕四港镇为民大楼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9楼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，联系人：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陆天博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，联系电话：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19851357033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。</w:t>
      </w:r>
    </w:p>
    <w:p w14:paraId="20F0A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3.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  <w:lang w:val="en-US" w:eastAsia="zh-CN"/>
        </w:rPr>
        <w:t>养护费报价及结算规则：</w:t>
      </w:r>
    </w:p>
    <w:p w14:paraId="6C74C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（1）计价形式：养护费采用年度包干总价模式，报价已包含完成本合同约定养护范围内全部工作所需的人工成本、管理费用、工具设备使用费、耗材等所有相关费用，发包人无需额外支付其他费用。</w:t>
      </w:r>
    </w:p>
    <w:p w14:paraId="7CBB1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（2）总价调整约定：在合同履行期间，无论养护范围内设施设备的数量、规格发展增减变化，已确定的年度包干总价均不作调整，承包人应按合同要求完成全部养护工作。</w:t>
      </w:r>
    </w:p>
    <w:p w14:paraId="256D8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4.维修费报价及结算规则：</w:t>
      </w:r>
    </w:p>
    <w:p w14:paraId="4E9E5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(1)结算原则</w:t>
      </w:r>
    </w:p>
    <w:p w14:paraId="3441D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①维修费采用固定单价合同形式，工程量清单中列明的全费用综合单价为最终结算单价，包含人工、高空作业费、保险费、材料、协调费、机械、管理、利润、税费等所有相关成本。</w:t>
      </w:r>
    </w:p>
    <w:p w14:paraId="7E207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②最终结算总价计算公式为:最终结算总价=∑(经发包人现场代表书面确认的实际完成工程量×工程量清单对应全费用综合单价)</w:t>
      </w:r>
    </w:p>
    <w:p w14:paraId="79D0C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③合同履行期间，上述全费用综合单价保持固定不变，不受市场价格波动、政策调整等因素影响。</w:t>
      </w:r>
    </w:p>
    <w:p w14:paraId="1810E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(2)暂定总价与超量预警机制</w:t>
      </w:r>
    </w:p>
    <w:p w14:paraId="29798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①本合同约定维修费暂定总价为人民币800,000元(大写:捌拾万元整)，最终结算以实际完成并经确认的工程量为准。</w:t>
      </w:r>
    </w:p>
    <w:p w14:paraId="483D4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②预警通知义务:当累计发生的维修费(按本合同约定结算原则计算)达到暂定总价的95%时，承包人应在3个工作日内向发包人发出书面《维修费超量预警通知》，详细说明当前维修工作进展、费用发生情况及后续预计需求。</w:t>
      </w:r>
    </w:p>
    <w:p w14:paraId="1A198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Style w:val="20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  <w:lang w:val="en-US" w:eastAsia="zh-CN"/>
        </w:rPr>
        <w:t>③超暂定总价处理:若根据实际维修进展及后续需求，预计最终结算总价将超出暂定总价时，发包人有权选择重新组织招标采购。若启动重新招标程序，本合同项下的养护费按原合同约定的年度包干总价，根据实际履行天数折算后支付给承包人。</w:t>
      </w:r>
    </w:p>
    <w:p w14:paraId="639EC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9" w:firstLineChars="236"/>
        <w:jc w:val="left"/>
        <w:textAlignment w:val="auto"/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.报价单位须提供营业执照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养护期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市场询价表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维修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费（单价）</w:t>
      </w:r>
      <w:r>
        <w:rPr>
          <w:rStyle w:val="20"/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市场询价表</w:t>
      </w:r>
      <w:r>
        <w:rPr>
          <w:rStyle w:val="2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。</w:t>
      </w:r>
    </w:p>
    <w:p w14:paraId="74860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0" w:rightChars="0" w:firstLine="566" w:firstLineChars="236"/>
        <w:jc w:val="left"/>
        <w:textAlignment w:val="auto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20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.其他：（１）请报价单位认真核算、如实报价，如发现</w:t>
      </w:r>
      <w:r>
        <w:rPr>
          <w:rStyle w:val="20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虚假</w:t>
      </w: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报价的，该单位今后将不被列入采购单位黑名单；（２）本次报价仅作为市场调研用，因此价格仅供参考；（３）本次调研询价不接收质疑函，只接收对本项目的建议。</w:t>
      </w:r>
    </w:p>
    <w:p w14:paraId="5908034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0" w:rightChars="0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</w:p>
    <w:p w14:paraId="766EDCB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0" w:rightChars="0"/>
      </w:pPr>
    </w:p>
    <w:p w14:paraId="253A40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rPr>
          <w:rFonts w:ascii="宋体" w:hAnsi="宋体" w:cs="Courier New"/>
          <w:sz w:val="24"/>
        </w:rPr>
      </w:pPr>
    </w:p>
    <w:p w14:paraId="00D3AE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right="0" w:rightChars="0"/>
        <w:jc w:val="right"/>
        <w:textAlignment w:val="auto"/>
        <w:rPr>
          <w:rStyle w:val="20"/>
          <w:rFonts w:cs="仿宋" w:asciiTheme="minorEastAsia" w:hAnsiTheme="minorEastAsia" w:eastAsiaTheme="minorEastAsia"/>
          <w:kern w:val="0"/>
          <w:sz w:val="24"/>
          <w:szCs w:val="24"/>
        </w:rPr>
      </w:pPr>
      <w:r>
        <w:rPr>
          <w:rStyle w:val="20"/>
          <w:rFonts w:hint="eastAsia" w:cs="仿宋" w:asciiTheme="minorEastAsia" w:hAnsiTheme="minorEastAsia" w:eastAsiaTheme="minorEastAsia"/>
          <w:kern w:val="0"/>
          <w:sz w:val="24"/>
          <w:szCs w:val="24"/>
        </w:rPr>
        <w:t>启东市吕四港镇人民政府</w:t>
      </w:r>
    </w:p>
    <w:p w14:paraId="074B5D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right="0" w:rightChars="0"/>
        <w:jc w:val="right"/>
        <w:textAlignment w:val="auto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202</w:t>
      </w:r>
      <w:r>
        <w:rPr>
          <w:rFonts w:hint="eastAsia" w:ascii="宋体" w:hAnsi="宋体" w:cs="Courier New"/>
          <w:sz w:val="24"/>
          <w:lang w:val="en-US" w:eastAsia="zh-CN"/>
        </w:rPr>
        <w:t>5</w:t>
      </w:r>
      <w:r>
        <w:rPr>
          <w:rFonts w:hint="eastAsia" w:ascii="宋体" w:hAnsi="宋体" w:cs="Courier New"/>
          <w:sz w:val="24"/>
        </w:rPr>
        <w:t>年</w:t>
      </w:r>
      <w:r>
        <w:rPr>
          <w:rFonts w:hint="eastAsia" w:ascii="宋体" w:hAnsi="宋体" w:cs="Courier New"/>
          <w:sz w:val="24"/>
          <w:lang w:val="en-US" w:eastAsia="zh-CN"/>
        </w:rPr>
        <w:t>12</w:t>
      </w:r>
      <w:r>
        <w:rPr>
          <w:rFonts w:hint="eastAsia" w:ascii="宋体" w:hAnsi="宋体" w:cs="Courier New"/>
          <w:sz w:val="24"/>
        </w:rPr>
        <w:t>月</w:t>
      </w:r>
      <w:r>
        <w:rPr>
          <w:rFonts w:hint="eastAsia" w:ascii="宋体" w:hAnsi="宋体" w:cs="Courier New"/>
          <w:sz w:val="24"/>
          <w:lang w:val="en-US" w:eastAsia="zh-CN"/>
        </w:rPr>
        <w:t>9</w:t>
      </w:r>
      <w:r>
        <w:rPr>
          <w:rFonts w:hint="eastAsia" w:ascii="宋体" w:hAnsi="宋体" w:cs="Courier New"/>
          <w:sz w:val="24"/>
        </w:rPr>
        <w:t>日</w:t>
      </w:r>
    </w:p>
    <w:p w14:paraId="5BB94E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br w:type="page"/>
      </w:r>
    </w:p>
    <w:p w14:paraId="1685AC0F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附件1:</w:t>
      </w:r>
    </w:p>
    <w:p w14:paraId="56DCAA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26276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启东市吕四港镇2026-2027年城市照明及亮化维护项目</w:t>
      </w:r>
    </w:p>
    <w:p w14:paraId="3BFE59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养护费</w:t>
      </w:r>
      <w:r>
        <w:rPr>
          <w:rFonts w:hint="eastAsia" w:ascii="宋体" w:hAnsi="宋体"/>
          <w:b/>
          <w:bCs/>
          <w:sz w:val="32"/>
          <w:szCs w:val="32"/>
        </w:rPr>
        <w:t>市场询价表</w:t>
      </w:r>
    </w:p>
    <w:p w14:paraId="24CED43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 w:firstLine="400"/>
      </w:pPr>
    </w:p>
    <w:p w14:paraId="6A44F464">
      <w:pPr>
        <w:keepNext w:val="0"/>
        <w:keepLines w:val="0"/>
        <w:pageBreakBefore w:val="0"/>
        <w:tabs>
          <w:tab w:val="left" w:pos="5325"/>
        </w:tabs>
        <w:kinsoku/>
        <w:wordWrap/>
        <w:overflowPunct/>
        <w:topLinePunct w:val="0"/>
        <w:bidi w:val="0"/>
        <w:snapToGrid w:val="0"/>
        <w:spacing w:line="440" w:lineRule="exact"/>
        <w:ind w:right="0" w:rightChars="0"/>
        <w:contextualSpacing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报价单位（盖章）： 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联系人：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联系电话：</w:t>
      </w:r>
    </w:p>
    <w:tbl>
      <w:tblPr>
        <w:tblStyle w:val="12"/>
        <w:tblW w:w="9570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68"/>
        <w:gridCol w:w="3120"/>
        <w:gridCol w:w="3960"/>
      </w:tblGrid>
      <w:tr w14:paraId="348E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22" w:type="dxa"/>
            <w:noWrap w:val="0"/>
            <w:vAlign w:val="center"/>
          </w:tcPr>
          <w:p w14:paraId="14A3C9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b/>
                <w:bCs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sz w:val="24"/>
                <w:highlight w:val="none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184DC1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b/>
                <w:bCs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sz w:val="24"/>
                <w:highlight w:val="none"/>
              </w:rPr>
              <w:t>项目名称</w:t>
            </w:r>
          </w:p>
        </w:tc>
        <w:tc>
          <w:tcPr>
            <w:tcW w:w="3120" w:type="dxa"/>
            <w:noWrap w:val="0"/>
            <w:vAlign w:val="center"/>
          </w:tcPr>
          <w:p w14:paraId="078A00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b/>
                <w:bCs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sz w:val="24"/>
                <w:highlight w:val="none"/>
              </w:rPr>
              <w:t>报价（元）</w:t>
            </w:r>
          </w:p>
        </w:tc>
        <w:tc>
          <w:tcPr>
            <w:tcW w:w="3960" w:type="dxa"/>
            <w:noWrap w:val="0"/>
            <w:vAlign w:val="center"/>
          </w:tcPr>
          <w:p w14:paraId="0A95B78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b/>
                <w:bCs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sz w:val="24"/>
                <w:highlight w:val="none"/>
              </w:rPr>
              <w:t>备注</w:t>
            </w:r>
          </w:p>
        </w:tc>
      </w:tr>
      <w:tr w14:paraId="6D9D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22" w:type="dxa"/>
            <w:noWrap w:val="0"/>
            <w:vAlign w:val="center"/>
          </w:tcPr>
          <w:p w14:paraId="5C7844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0"/>
                <w:sz w:val="24"/>
                <w:highlight w:val="none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288332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center"/>
              <w:rPr>
                <w:color w:val="auto"/>
                <w:spacing w:val="0"/>
                <w:sz w:val="24"/>
                <w:highlight w:val="none"/>
              </w:rPr>
            </w:pPr>
            <w:r>
              <w:rPr>
                <w:rStyle w:val="20"/>
                <w:rFonts w:hint="eastAsia" w:cs="仿宋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养护费</w:t>
            </w:r>
          </w:p>
        </w:tc>
        <w:tc>
          <w:tcPr>
            <w:tcW w:w="3120" w:type="dxa"/>
            <w:noWrap w:val="0"/>
            <w:vAlign w:val="center"/>
          </w:tcPr>
          <w:p w14:paraId="2F416E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left"/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</w:rPr>
              <w:t>￥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</w:rPr>
              <w:t>元，</w:t>
            </w:r>
          </w:p>
          <w:p w14:paraId="0F93FA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left"/>
              <w:rPr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pacing w:val="0"/>
                <w:sz w:val="24"/>
                <w:highlight w:val="none"/>
              </w:rPr>
              <w:t>元。</w:t>
            </w:r>
          </w:p>
        </w:tc>
        <w:tc>
          <w:tcPr>
            <w:tcW w:w="3960" w:type="dxa"/>
            <w:noWrap w:val="0"/>
            <w:vAlign w:val="center"/>
          </w:tcPr>
          <w:p w14:paraId="127ED2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40" w:lineRule="exact"/>
              <w:ind w:right="0" w:rightChars="0"/>
              <w:jc w:val="left"/>
              <w:rPr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0"/>
                <w:sz w:val="24"/>
                <w:highlight w:val="none"/>
                <w:lang w:val="en-US" w:eastAsia="zh-CN"/>
              </w:rPr>
              <w:t>维护时间：一年。</w:t>
            </w:r>
          </w:p>
        </w:tc>
      </w:tr>
    </w:tbl>
    <w:p w14:paraId="5B9BC5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</w:pPr>
    </w:p>
    <w:p w14:paraId="08A501F6">
      <w:pPr>
        <w:pStyle w:val="2"/>
      </w:pPr>
    </w:p>
    <w:p w14:paraId="4D3E829A"/>
    <w:p w14:paraId="3A47B072"/>
    <w:p w14:paraId="6E7F2E5F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rPr>
          <w:rFonts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附件</w:t>
      </w:r>
      <w:r>
        <w:rPr>
          <w:rFonts w:hint="eastAsia" w:ascii="宋体" w:hAnsi="宋体" w:eastAsia="宋体" w:cs="宋体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hd w:val="clear" w:color="auto" w:fill="FFFFFF"/>
        </w:rPr>
        <w:t>:</w:t>
      </w:r>
    </w:p>
    <w:p w14:paraId="37B68BC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 w14:paraId="19E4CC6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启东市吕四港镇2026-2027年城市照明及亮化维护项目</w:t>
      </w:r>
    </w:p>
    <w:p w14:paraId="404556B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0" w:right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维修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费（单价）市场询价表</w:t>
      </w:r>
    </w:p>
    <w:p w14:paraId="7DCA0591">
      <w:pPr>
        <w:keepNext w:val="0"/>
        <w:keepLines w:val="0"/>
        <w:pageBreakBefore w:val="0"/>
        <w:tabs>
          <w:tab w:val="left" w:pos="5325"/>
        </w:tabs>
        <w:kinsoku/>
        <w:wordWrap/>
        <w:overflowPunct/>
        <w:topLinePunct w:val="0"/>
        <w:bidi w:val="0"/>
        <w:snapToGrid w:val="0"/>
        <w:spacing w:line="440" w:lineRule="exact"/>
        <w:ind w:right="0" w:rightChars="0"/>
        <w:contextualSpacing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报价单位（盖章）： 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联系人：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联系电话：</w:t>
      </w:r>
    </w:p>
    <w:p w14:paraId="61E9AB98">
      <w:pPr>
        <w:pStyle w:val="2"/>
      </w:pPr>
    </w:p>
    <w:tbl>
      <w:tblPr>
        <w:tblStyle w:val="12"/>
        <w:tblW w:w="9588" w:type="dxa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00"/>
        <w:gridCol w:w="4992"/>
        <w:gridCol w:w="590"/>
        <w:gridCol w:w="768"/>
        <w:gridCol w:w="1036"/>
      </w:tblGrid>
      <w:tr w14:paraId="644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E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A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0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特征描述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C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5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工程量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3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单价</w:t>
            </w:r>
          </w:p>
        </w:tc>
      </w:tr>
      <w:tr w14:paraId="7B5C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不锈钢配电箱箱体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不锈钢箱体，含安装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6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0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不锈钢配电箱箱门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材质不锈钢，含安装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C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配电箱箱门锁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B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配电箱整体移位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包含基础制作、旧箱拆除、新箱安装、接线调试等全部工作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C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规格：32A，含安装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E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3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4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规格：50A，含安装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9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规格：63A，含安装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9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F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规格：80A，含安装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9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规格：95A，含安装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7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规格：100A，含安装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2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A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规格：160A，含安装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B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规格：250A，含安装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7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三相接触器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2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规格：63A，含安装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4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规格：80A，含安装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7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规格：100A，含安装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0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3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规格：160A，含安装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规格：180A，含安装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C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规格：200A，含安装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B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三相塑壳断路器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规格：250A，含安装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4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C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三相小型断路器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C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6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三相小型断路器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规格：25A，含安装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8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三相小型断路器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规格：32A，含安装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0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三相小型断路器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规格：40A，含安装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0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含安装调试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3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优质钢材，整体热镀锌，杆高8m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4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优质钢材，整体热镀锌，杆高10m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E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8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优质钢材，整体热镀锌，杆高12m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优质钢材，整体热镀锌，杆高8m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7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优质钢材，整体热镀锌，杆高10m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3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D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优质钢材，整体热镀锌，杆高12m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2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D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优质钢材，整体热镀锌，主杆高8m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D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E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优质钢材，整体热镀锌，主杆高10m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C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高低臂路灯灯杆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优质钢材，整体热镀锌，主杆高12m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E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灯杆挑臂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优质钢材，整体热镀锌，出臂规格尺寸与原有路灯一致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C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D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优质钢材，整体热镀锌，杆高12m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5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E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优质钢材，整体热镀锌，杆高13m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6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优质钢材，整体热镀锌，杆高15m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6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优质钢材，整体热镀锌，杆高20m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优质钢材，整体热镀锌，杆高25m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B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高杆灯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优质钢材，整体热镀锌，杆高35m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8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2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中/高杆灯灯盘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半圆盘，含安装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中/高杆灯灯盘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整圆盘，含安装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1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灯杆校正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含螺母、垫铁等辅材及人工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B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217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功率：45W，AC220V，色温同现状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E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功率：60W，AC220V，色温同现状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C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功率：80W，AC220V，色温同现状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功率：90W，AC220V，色温同现状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D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E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4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B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功率：120W，AC220V，色温同现状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D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6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功率：160W，AC220V，色温同现状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4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E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功率：180W，AC220V，色温同现状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4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功率：210W，AC220V，色温同现状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2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A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LED路灯灯具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功率：400W，AC220V，色温同现状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3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高压钠灯灯泡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9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1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高压钠灯灯泡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5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8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高压钠灯灯泡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5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9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高压钠灯镇流器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D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高压钠灯镇流器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8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高压钠灯镇流器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0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高压钠灯触发器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1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高压钠灯触发器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E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高压钠灯触发器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A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8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A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5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功率：45W，AC220V，色温同现状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F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功率：60W，AC220V，色温同现状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E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7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功率：80W，AC220V，色温同现状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A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功率：90W，AC220V，色温同现状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D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1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功率：120W，AC220V，色温同现状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3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5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7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功率：160W，AC220V，色温同现状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0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功率：180W，AC220V，色温同现状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D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功率：210W，AC220V，色温同现状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4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4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功率：400W，AC220V，色温同现状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0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9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B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功率：45W，配套对应光源使用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D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功率：60W，配套对应光源使用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A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功率：80W，配套对应光源使用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2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功率：90W，配套对应光源使用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A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功率：100W，配套对应光源使用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B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功率：120W，配套对应光源使用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6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1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功率：160W，配套对应光源使用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C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功率：180W，配套对应光源使用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6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功率：210W，配套对应光源使用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功率：250W，配套对应光源使用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D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路灯驱动电源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功率：400W，配套对应光源使用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D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C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路灯检修门板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尺寸按灯杆检修口实际尺寸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F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单套路灯使用，含安装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E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9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熔断芯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单套路灯使用，含安装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6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高杆灯升降机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含安装调试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2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不锈钢钢丝绳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B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4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不锈钢钢丝绳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D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单臂路灯移位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包含现有路灯拆除、重新吊装，杆高综合考虑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4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双臂路灯移位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包含现有路灯拆除、重新吊装，杆高综合考虑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5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高低臂路灯移位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包含现有路灯拆除、重新吊装，杆高综合考虑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6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包含现有路灯拆除、重新吊装，杆高综合考虑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E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4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高杆灯移位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包含现有路灯拆除、重新吊装，杆高35m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D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2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路灯基础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700*700*1500mm，含基础预埋件、混凝土、接地极等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路灯基础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1200*1200*2000mm，含基础预埋件、混凝土、接地极等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6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基础包封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A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手孔井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水泥窨井盖，尺寸综合考虑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6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手孔井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铸铁承重井盖，尺寸综合考虑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C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6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手孔井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树脂窨井盖，尺寸综合考虑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F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手孔井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700*700*1000mm，不含井盖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C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F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杆内敷设软电缆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规格：RVV-3×1.5mm²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7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D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杆内敷设软电缆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规格：RVV-3×2.5mm²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7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9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3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规格：ZR-JYV-10mm²，含敷设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7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规格：ZR-JYV-16mm²，含敷设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B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规格：ZR-JYV-10mm²，含敷设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2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规格：ZR-JYV-16mm²，含敷设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C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规格：ZR-JYV-25mm²，含敷设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4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2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规格：YJV-5×4mm²，含敷设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5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5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规格：YJV-5×10mm²，含敷设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3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规格：YJV-5×16mm²，含敷设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C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F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规格：YJV-5×25mm²，含敷设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A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8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规格：YJV-5×35mm²，含敷设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F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B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8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多股软芯电缆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E3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规格：YJRV5×35mm²，含敷设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F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B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规格：YJHLV-5×10mm²，含敷设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B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规格：YJHLV-5×16mm²，含敷设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规格：YJHLV-5×25mm²，含敷设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B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8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9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铝合金电力电缆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规格：YJHLV-5×35mm²，含敷设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6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C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规格：对应YJV-5×10mm²电缆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7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8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规格：对应YJV-5×16mm²电缆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0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4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规格：对应YJV-5×25mm²电缆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B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9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1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规格：对应YJV-5×35mm²电缆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2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C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规格：对应YJV-5×10mm²电缆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规格：对应YJV-5×16mm²电缆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F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规格：对应YJV-5×25mm²电缆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4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4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5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规格：对应YJV-5×35mm²电缆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6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0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6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规格：YJHLV-5×10mm²电缆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D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5DD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规格：YJHLV-5×16mm²电缆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E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476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规格：YJHLV-5×25mm²电缆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28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铝合金电缆接线端子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规格：YJHLV-5×35mm²电缆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7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4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2E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规格：YJHLV-5×10mm²电缆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D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规格：YJHLV-5×16mm²电缆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6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D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规格：YJHLV-5×25mm²电缆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6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铝合金电缆连接管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规格：YJHLV-5×35mm²电缆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B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F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2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2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HDPE塑料管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规格：Φ32，含敷设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0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1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2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HDPE塑料管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规格：Φ50，含敷设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2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3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A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HDPE塑料管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规格：Φ63，含敷设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B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8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HDPE塑料管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规格：Φ80，含敷设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D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HDPE塑料管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53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规格：Φ100，含敷设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C9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082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D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SC焊接钢管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规格：DN32，含敷设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C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29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6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SC焊接钢管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规格：DN50，含敷设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BA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A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2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SC焊接钢管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规格：DN80，含敷设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D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7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A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SC焊接钢管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9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规格：DN100，含敷设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0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6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D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管材：PE63，含敷设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1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C6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A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管材：PE100，含敷设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F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F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3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混凝土过路破除开挖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含割缝、破碎、开挖、清理，及相关措施等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D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357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混凝土浇筑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含夯实、C30混凝土，浇筑厚度按原路面结构（不小于20CM）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EB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透水沥过路破除青开挖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含割缝、破碎、开挖、清理，及相关措施等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D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5F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透水沥青路面修复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含夯实、C30混凝土，浇筑厚度按原路面结构（不小于20CM），沥青厚度不小于原道路。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BE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47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10T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C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D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3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0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D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4E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A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35T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40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9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F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吊车台班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C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4D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7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挖土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人工挖电杆坑，坑深≥1.0m，综合考虑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7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BE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F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1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沟槽挖填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98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电缆沟挖填一般土沟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F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2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E1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B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8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2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93FF">
            <w:pPr>
              <w:tabs>
                <w:tab w:val="left" w:pos="1074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备注：全费用综合单价包含人工、辅材、机械、管理费、利润、税金等。</w:t>
            </w:r>
          </w:p>
        </w:tc>
      </w:tr>
    </w:tbl>
    <w:p w14:paraId="10A2BAA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0" w:rightChars="0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3MmM5MWJiZjdkNTc1YmVlNzM4NDhiMzJlNjBmOGEifQ=="/>
  </w:docVars>
  <w:rsids>
    <w:rsidRoot w:val="00A27ECB"/>
    <w:rsid w:val="000F0B61"/>
    <w:rsid w:val="00284EF9"/>
    <w:rsid w:val="0043487E"/>
    <w:rsid w:val="006D6D1D"/>
    <w:rsid w:val="008723FC"/>
    <w:rsid w:val="00A27ECB"/>
    <w:rsid w:val="0708176C"/>
    <w:rsid w:val="076444C8"/>
    <w:rsid w:val="07A86785"/>
    <w:rsid w:val="0A085690"/>
    <w:rsid w:val="0A5A0C17"/>
    <w:rsid w:val="0A7955CC"/>
    <w:rsid w:val="0AE156E0"/>
    <w:rsid w:val="0B237FC3"/>
    <w:rsid w:val="0C036AC4"/>
    <w:rsid w:val="0CCB413E"/>
    <w:rsid w:val="0D28102F"/>
    <w:rsid w:val="0E345BCE"/>
    <w:rsid w:val="0EA6730A"/>
    <w:rsid w:val="109A3FBA"/>
    <w:rsid w:val="15951A00"/>
    <w:rsid w:val="1774573A"/>
    <w:rsid w:val="17EF207D"/>
    <w:rsid w:val="189B49B1"/>
    <w:rsid w:val="19046827"/>
    <w:rsid w:val="1A3635D7"/>
    <w:rsid w:val="1AA475E6"/>
    <w:rsid w:val="1BCB5FDA"/>
    <w:rsid w:val="201F3AF4"/>
    <w:rsid w:val="25B85CB3"/>
    <w:rsid w:val="25CB6EEF"/>
    <w:rsid w:val="275B4084"/>
    <w:rsid w:val="2A7C06DC"/>
    <w:rsid w:val="2AA72387"/>
    <w:rsid w:val="2C827C90"/>
    <w:rsid w:val="2CDA369D"/>
    <w:rsid w:val="2E3F02DC"/>
    <w:rsid w:val="2E8F66C2"/>
    <w:rsid w:val="2E910948"/>
    <w:rsid w:val="311B65C9"/>
    <w:rsid w:val="33454BB4"/>
    <w:rsid w:val="342B6231"/>
    <w:rsid w:val="36810783"/>
    <w:rsid w:val="3C6016DB"/>
    <w:rsid w:val="3DFA1F91"/>
    <w:rsid w:val="402F3FE8"/>
    <w:rsid w:val="41483AFE"/>
    <w:rsid w:val="42B37AAC"/>
    <w:rsid w:val="43A93F3B"/>
    <w:rsid w:val="44A06C0B"/>
    <w:rsid w:val="44F93D1E"/>
    <w:rsid w:val="4E1E1048"/>
    <w:rsid w:val="4E453CD9"/>
    <w:rsid w:val="50C62575"/>
    <w:rsid w:val="52662CD9"/>
    <w:rsid w:val="53302BC4"/>
    <w:rsid w:val="54B157E5"/>
    <w:rsid w:val="54EE3DAD"/>
    <w:rsid w:val="564E08AE"/>
    <w:rsid w:val="56957978"/>
    <w:rsid w:val="58EC75BC"/>
    <w:rsid w:val="5BD87EF6"/>
    <w:rsid w:val="5C351F4B"/>
    <w:rsid w:val="5CA60982"/>
    <w:rsid w:val="5F4721B4"/>
    <w:rsid w:val="61B4360C"/>
    <w:rsid w:val="61E84C4F"/>
    <w:rsid w:val="63353BF8"/>
    <w:rsid w:val="634C7460"/>
    <w:rsid w:val="676A061C"/>
    <w:rsid w:val="6B516802"/>
    <w:rsid w:val="6D7D0BC2"/>
    <w:rsid w:val="6E1C0014"/>
    <w:rsid w:val="70A6131C"/>
    <w:rsid w:val="714F71E6"/>
    <w:rsid w:val="72431297"/>
    <w:rsid w:val="75A924F0"/>
    <w:rsid w:val="784E2990"/>
    <w:rsid w:val="78611435"/>
    <w:rsid w:val="79C1085A"/>
    <w:rsid w:val="7A37596A"/>
    <w:rsid w:val="7BB427E8"/>
    <w:rsid w:val="7CC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ind w:firstLine="540"/>
    </w:pPr>
    <w:rPr>
      <w:rFonts w:ascii="Times New Roman" w:hAnsi="Times New Roman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99"/>
    <w:pPr>
      <w:spacing w:after="120"/>
      <w:ind w:left="200" w:leftChars="200" w:firstLine="200" w:firstLineChars="200"/>
      <w:textAlignment w:val="auto"/>
    </w:pPr>
    <w:rPr>
      <w:rFonts w:ascii="Calibri" w:hAnsi="Calibri" w:cs="Calibri"/>
      <w:sz w:val="21"/>
      <w:szCs w:val="21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character" w:customStyle="1" w:styleId="18">
    <w:name w:val="页眉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NormalCharacter"/>
    <w:qFormat/>
    <w:uiPriority w:val="99"/>
  </w:style>
  <w:style w:type="character" w:customStyle="1" w:styleId="21">
    <w:name w:val="font0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3">
    <w:name w:val="List Paragraph"/>
    <w:basedOn w:val="1"/>
    <w:qFormat/>
    <w:uiPriority w:val="99"/>
    <w:pPr>
      <w:ind w:firstLine="420" w:firstLineChars="200"/>
    </w:pPr>
    <w:rPr>
      <w:kern w:val="0"/>
      <w:sz w:val="20"/>
      <w:szCs w:val="20"/>
    </w:rPr>
  </w:style>
  <w:style w:type="character" w:customStyle="1" w:styleId="24">
    <w:name w:val="NormalCharacter1"/>
    <w:link w:val="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正文文本11"/>
    <w:basedOn w:val="1"/>
    <w:next w:val="1"/>
    <w:qFormat/>
    <w:uiPriority w:val="0"/>
    <w:rPr>
      <w:rFonts w:ascii="仿宋_GB2312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5894</Words>
  <Characters>6838</Characters>
  <Lines>33</Lines>
  <Paragraphs>9</Paragraphs>
  <TotalTime>13</TotalTime>
  <ScaleCrop>false</ScaleCrop>
  <LinksUpToDate>false</LinksUpToDate>
  <CharactersWithSpaces>6905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2022-08-22T07:59:00Z</dcterms:created>
  <dc:creator>⟌φ⣌φ</dc:creator>
  <cp:lastModifiedBy>徐海燕</cp:lastModifiedBy>
  <dcterms:modified xsi:type="dcterms:W3CDTF">2025-12-09T02:15:49Z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FCCB09B647BB4511B4A914BB00495850</vt:lpwstr>
  </property>
  <property fmtid="{D5CDD505-2E9C-101B-9397-08002B2CF9AE}" pid="4" name="KSOTemplateDocerSaveRecord">
    <vt:lpwstr>eyJoZGlkIjoiOTM3MmM5MWJiZjdkNTc1YmVlNzM4NDhiMzJlNjBmOGEiLCJ1c2VySWQiOiIzNDU4MTA4NzYifQ==</vt:lpwstr>
  </property>
</Properties>
</file>