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z w:val="30"/>
          <w:szCs w:val="30"/>
          <w:shd w:val="clear" w:color="auto" w:fill="FFFFFF"/>
        </w:rPr>
      </w:pPr>
      <w:bookmarkStart w:id="0" w:name="_GoBack"/>
      <w:bookmarkEnd w:id="0"/>
      <w:r>
        <w:rPr>
          <w:rFonts w:hint="eastAsia" w:ascii="方正小标宋_GBK" w:hAnsi="方正小标宋_GBK" w:eastAsia="方正小标宋_GBK" w:cs="方正小标宋_GBK"/>
          <w:b w:val="0"/>
          <w:bCs w:val="0"/>
          <w:sz w:val="30"/>
          <w:szCs w:val="30"/>
          <w:shd w:val="clear" w:color="auto" w:fill="FFFFFF"/>
        </w:rPr>
        <w:t>启东市</w:t>
      </w:r>
      <w:r>
        <w:rPr>
          <w:rFonts w:hint="eastAsia" w:ascii="方正小标宋_GBK" w:hAnsi="方正小标宋_GBK" w:eastAsia="方正小标宋_GBK" w:cs="方正小标宋_GBK"/>
          <w:b w:val="0"/>
          <w:bCs w:val="0"/>
          <w:sz w:val="30"/>
          <w:szCs w:val="30"/>
          <w:shd w:val="clear" w:color="auto" w:fill="FFFFFF"/>
          <w:lang w:eastAsia="zh-CN"/>
        </w:rPr>
        <w:t>行政审批局市域远程异地评标专用软硬件设备</w:t>
      </w:r>
      <w:r>
        <w:rPr>
          <w:rFonts w:hint="eastAsia" w:ascii="方正小标宋_GBK" w:hAnsi="方正小标宋_GBK" w:eastAsia="方正小标宋_GBK" w:cs="方正小标宋_GBK"/>
          <w:b w:val="0"/>
          <w:bCs w:val="0"/>
          <w:sz w:val="30"/>
          <w:szCs w:val="30"/>
          <w:shd w:val="clear" w:color="auto" w:fill="FFFFFF"/>
        </w:rPr>
        <w:t>采购项目</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z w:val="30"/>
          <w:szCs w:val="30"/>
          <w:shd w:val="clear" w:color="auto" w:fill="FFFFFF"/>
          <w:lang w:eastAsia="zh-CN"/>
        </w:rPr>
      </w:pPr>
      <w:r>
        <w:rPr>
          <w:rFonts w:hint="eastAsia" w:ascii="方正小标宋_GBK" w:hAnsi="方正小标宋_GBK" w:eastAsia="方正小标宋_GBK" w:cs="方正小标宋_GBK"/>
          <w:b w:val="0"/>
          <w:bCs w:val="0"/>
          <w:sz w:val="30"/>
          <w:szCs w:val="30"/>
          <w:shd w:val="clear" w:color="auto" w:fill="FFFFFF"/>
          <w:lang w:eastAsia="zh-CN"/>
        </w:rPr>
        <w:t>采购前市场询价报价表</w:t>
      </w:r>
    </w:p>
    <w:p>
      <w:pPr>
        <w:rPr>
          <w:rFonts w:hint="eastAsia"/>
          <w:lang w:eastAsia="zh-CN"/>
        </w:rPr>
      </w:pPr>
    </w:p>
    <w:tbl>
      <w:tblPr>
        <w:tblStyle w:val="14"/>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91"/>
        <w:gridCol w:w="1689"/>
        <w:gridCol w:w="3599"/>
        <w:gridCol w:w="510"/>
        <w:gridCol w:w="495"/>
        <w:gridCol w:w="112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7" w:type="dxa"/>
            <w:vAlign w:val="center"/>
          </w:tcPr>
          <w:p>
            <w:pPr>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891" w:type="dxa"/>
            <w:vAlign w:val="center"/>
          </w:tcPr>
          <w:p>
            <w:pPr>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名称</w:t>
            </w:r>
          </w:p>
        </w:tc>
        <w:tc>
          <w:tcPr>
            <w:tcW w:w="1689" w:type="dxa"/>
            <w:vAlign w:val="center"/>
          </w:tcPr>
          <w:p>
            <w:pPr>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报价品牌</w:t>
            </w:r>
            <w:r>
              <w:rPr>
                <w:rFonts w:hint="default" w:ascii="Times New Roman" w:hAnsi="Times New Roman" w:eastAsia="黑体" w:cs="Times New Roman"/>
                <w:b w:val="0"/>
                <w:bCs w:val="0"/>
                <w:kern w:val="0"/>
                <w:sz w:val="21"/>
                <w:szCs w:val="21"/>
                <w:lang w:eastAsia="zh-CN"/>
              </w:rPr>
              <w:t>、</w:t>
            </w:r>
            <w:r>
              <w:rPr>
                <w:rFonts w:hint="default" w:ascii="Times New Roman" w:hAnsi="Times New Roman" w:eastAsia="黑体" w:cs="Times New Roman"/>
                <w:b w:val="0"/>
                <w:bCs w:val="0"/>
                <w:kern w:val="0"/>
                <w:sz w:val="21"/>
                <w:szCs w:val="21"/>
              </w:rPr>
              <w:t>型号</w:t>
            </w:r>
          </w:p>
        </w:tc>
        <w:tc>
          <w:tcPr>
            <w:tcW w:w="3599" w:type="dxa"/>
            <w:vAlign w:val="center"/>
          </w:tcPr>
          <w:p>
            <w:pPr>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配置参数</w:t>
            </w:r>
          </w:p>
        </w:tc>
        <w:tc>
          <w:tcPr>
            <w:tcW w:w="510" w:type="dxa"/>
            <w:vAlign w:val="center"/>
          </w:tcPr>
          <w:p>
            <w:pPr>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单位</w:t>
            </w:r>
          </w:p>
        </w:tc>
        <w:tc>
          <w:tcPr>
            <w:tcW w:w="495" w:type="dxa"/>
            <w:vAlign w:val="center"/>
          </w:tcPr>
          <w:p>
            <w:pPr>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数量</w:t>
            </w:r>
          </w:p>
        </w:tc>
        <w:tc>
          <w:tcPr>
            <w:tcW w:w="1125" w:type="dxa"/>
            <w:vAlign w:val="center"/>
          </w:tcPr>
          <w:p>
            <w:pPr>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单价(元)</w:t>
            </w:r>
          </w:p>
        </w:tc>
        <w:tc>
          <w:tcPr>
            <w:tcW w:w="1110" w:type="dxa"/>
            <w:vAlign w:val="center"/>
          </w:tcPr>
          <w:p>
            <w:pPr>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lang w:eastAsia="zh-CN"/>
              </w:rPr>
              <w:t>小计</w:t>
            </w:r>
            <w:r>
              <w:rPr>
                <w:rFonts w:hint="default" w:ascii="Times New Roman" w:hAnsi="Times New Roman" w:eastAsia="黑体" w:cs="Times New Roman"/>
                <w:b w:val="0"/>
                <w:bCs w:val="0"/>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6" w:type="dxa"/>
            <w:gridSpan w:val="8"/>
            <w:vAlign w:val="center"/>
          </w:tcPr>
          <w:p>
            <w:pPr>
              <w:jc w:val="left"/>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一、远程异地评标系统主要设备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1</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远程评标视频终端</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 xml:space="preserve">总体要求：可与评标系统整合（单点登录），支持用户通过网页的形式直接登入线上评标室。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监管人员功能：监管人员可以对远程评标项目进行全面综合的在线监督监控，包含对各地评标现场整体环境监控、评标专家个人视音频监控、评标专家计算机桌面操作监控等等。</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监督人员根据需要，可以监管各地（包含各省级、市级、县级）远程评标项目，监管用户用过评标系统打开监管客户端，对具体的远程评标项目进行在线监督，监管人员具有隐身登录（会议室中不出现监管人员身份）功能。</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综合录制功能：对于远程评标过程中评委个人交流视音频文件及评委计算机桌面全程操作进行服务端录制并存储，快捷简便，后期支持集中存档，方便刻录。</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系统构架：支持服务器级联，满足大容量的远程评标场景下使用；管理端页面基于WEB方式应用，界面友好直观；支持多级结构；服务器自动容错。</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灵活性：提供控制登陆会议室后客户端是最小化到系统托盘或正常最大化显示在桌面的接口；评委视频客户端能够根据评标的项目是否结束，自动关闭视频会议客户端，无需手动操作。</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信令通道：提供远程异地评标项目下线上评标沟通的信令SDK，支持实时通信线上场景构建，支持用户管理，兼容市面上主流音视频厂商的SDK，实现监控的查看功能等。</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屏幕共享：提供特有的SVG技术，支持共享更流畅，支持远程异地评标环节评委共享桌面给其他评委查看。</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界面友好：要求系统界面规划整齐，易于学习掌握和操作使用。</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文字交流：提供文字交流和文件传输功能。所有参与人员都可以利用公共文字交流平台进行文字交流。</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视频质量：要求视频清晰、流畅、帧率最高可达30帧/秒。</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视频完整性：适应复杂网络环境，抵抗超高网络丢包，保证视频清晰、流畅。</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视频布局：提供多种分屏布局方式（4分屏、9分屏、16分屏），支持单路视频图像全屏显示，支持双流显示。</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分辨率：支持1920*1080、720*567、704*567、640*480、352*288、320*240、176*144、160*120</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双工情况：全双工音频（同时双向的音频）。</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回声消除：支持软件自动进行回声消除。</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降噪处理：支持软件自动进行降噪处理。</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动态码率：可变动码率，能够适应更复杂网络环境。</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多级管理权限：须提供多级管理用户和部门的功能，根据客户的实际需要进行多级用户管理。</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设置功能：支持手动调节麦克风、话筒等功能。</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通讯协议：采用标准的IETF XMPP协议，完全模块化、分布式架构，模块之间通过XML进行协议和信令传递，以便于扩展的灵活性。</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网络协议：支持TCP/IP(互联网和专网所采用的传输协议)、RTP/RTCP（流媒体传输所采用的标准传输协议）、HTTP Tunneling（传输隧道技术，有效的防火墙和网络穿透技术）；</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音视频传输协议：支持UDP、HTTP传输协议，支持DIFESERVER/LBR等QOS技术，运用网络修包技术和防抖动算法，以及码流控制算法，结合前向纠错抗丢包技术，流畅度高。</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网络要求：支持Ethernet（以太网）、FrameRelay（帧中继）、ATM Cable、802.11b、等任何基于IP的网络。</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断线重连：支持客户端断线重连，客户端和服务器断开后服务器具有容错及自动恢复功能。</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适用系统版本：适用于PAAS平台模式下的四合一管理系统。</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个</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15</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2</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桌面式摄像头</w:t>
            </w:r>
          </w:p>
        </w:tc>
        <w:tc>
          <w:tcPr>
            <w:tcW w:w="1689" w:type="dxa"/>
            <w:vAlign w:val="center"/>
          </w:tcPr>
          <w:p>
            <w:pPr>
              <w:autoSpaceDE w:val="0"/>
              <w:autoSpaceDN w:val="0"/>
              <w:adjustRightInd w:val="0"/>
              <w:spacing w:line="400" w:lineRule="exact"/>
              <w:ind w:firstLine="480"/>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传感器：CMOS</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分辨率：1920*1080</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最大帧数：30帧/秒</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接口：USB 2.0</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驱动：免驱</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个</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15</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3</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耳麦（单孔）</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是否有麦克风 有</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佩戴方式 头戴式</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耳机插头 3.5mm插头</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是否无线 有线</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耳机类别 耳麦</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频响范围 20-20000Hz</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耳机插头类型 直插型</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阻抗 32</w:t>
            </w:r>
            <w:r>
              <w:rPr>
                <w:rStyle w:val="20"/>
                <w:rFonts w:hint="default" w:ascii="Times New Roman" w:hAnsi="Times New Roman" w:eastAsia="仿宋" w:cs="Times New Roman"/>
                <w:sz w:val="21"/>
                <w:szCs w:val="21"/>
                <w:lang w:bidi="ar"/>
              </w:rPr>
              <w:t>Ω</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个</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15</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4</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评标电脑</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widowControl/>
              <w:jc w:val="left"/>
              <w:textAlignment w:val="center"/>
              <w:rPr>
                <w:rFonts w:hint="default" w:ascii="Times New Roman" w:hAnsi="Times New Roman" w:eastAsia="仿宋" w:cs="Times New Roman"/>
                <w:b/>
                <w:bCs/>
                <w:sz w:val="21"/>
                <w:szCs w:val="21"/>
              </w:rPr>
            </w:pPr>
            <w:r>
              <w:rPr>
                <w:rFonts w:hint="default" w:ascii="Times New Roman" w:hAnsi="Times New Roman" w:eastAsia="仿宋" w:cs="Times New Roman"/>
                <w:sz w:val="21"/>
                <w:szCs w:val="21"/>
              </w:rPr>
              <w:t>CPU：I7或以上，内存≥8G，硬盘≥SSD 512GB，千兆网口，usb键盘鼠标，微型主机（</w:t>
            </w:r>
            <w:r>
              <w:rPr>
                <w:rFonts w:hint="default" w:ascii="Times New Roman" w:hAnsi="Times New Roman" w:eastAsia="仿宋" w:cs="Times New Roman"/>
                <w:b w:val="0"/>
                <w:bCs w:val="0"/>
                <w:sz w:val="21"/>
                <w:szCs w:val="21"/>
              </w:rPr>
              <w:t>宽度*深度*高</w:t>
            </w:r>
            <w:r>
              <w:rPr>
                <w:rFonts w:hint="eastAsia" w:ascii="Times New Roman" w:hAnsi="Times New Roman" w:eastAsia="仿宋" w:cs="Times New Roman"/>
                <w:b w:val="0"/>
                <w:bCs w:val="0"/>
                <w:sz w:val="21"/>
                <w:szCs w:val="21"/>
                <w:lang w:eastAsia="zh-CN"/>
              </w:rPr>
              <w:t>度</w:t>
            </w:r>
            <w:r>
              <w:rPr>
                <w:rFonts w:hint="default" w:ascii="Times New Roman" w:hAnsi="Times New Roman" w:eastAsia="仿宋" w:cs="Times New Roman"/>
                <w:b w:val="0"/>
                <w:bCs w:val="0"/>
                <w:sz w:val="21"/>
                <w:szCs w:val="21"/>
              </w:rPr>
              <w:t>≤40mm*200mm*200mm</w:t>
            </w:r>
            <w:r>
              <w:rPr>
                <w:rFonts w:hint="default" w:ascii="Times New Roman" w:hAnsi="Times New Roman" w:eastAsia="仿宋" w:cs="Times New Roman"/>
                <w:sz w:val="21"/>
                <w:szCs w:val="21"/>
              </w:rPr>
              <w:t>），Windows 11 家庭版操作系统，显示屏≥21.5液晶，配套微型主机安装支架（实现微型主机背挂安装于显示器背面）</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台</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9</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5</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评标电脑</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sz w:val="21"/>
                <w:szCs w:val="21"/>
              </w:rPr>
              <w:t>CPU：I7或以上，内存≥8G，硬盘≥SSD 512GB，千兆网口，无线网卡，蓝牙，无线键盘鼠标，微型主机（</w:t>
            </w:r>
            <w:r>
              <w:rPr>
                <w:rFonts w:hint="default" w:ascii="Times New Roman" w:hAnsi="Times New Roman" w:eastAsia="仿宋" w:cs="Times New Roman"/>
                <w:b w:val="0"/>
                <w:bCs w:val="0"/>
                <w:sz w:val="21"/>
                <w:szCs w:val="21"/>
              </w:rPr>
              <w:t>宽度*深度*高</w:t>
            </w:r>
            <w:r>
              <w:rPr>
                <w:rFonts w:hint="eastAsia" w:ascii="Times New Roman" w:hAnsi="Times New Roman" w:eastAsia="仿宋" w:cs="Times New Roman"/>
                <w:b w:val="0"/>
                <w:bCs w:val="0"/>
                <w:sz w:val="21"/>
                <w:szCs w:val="21"/>
                <w:lang w:eastAsia="zh-CN"/>
              </w:rPr>
              <w:t>度</w:t>
            </w:r>
            <w:r>
              <w:rPr>
                <w:rFonts w:hint="default" w:ascii="Times New Roman" w:hAnsi="Times New Roman" w:eastAsia="仿宋" w:cs="Times New Roman"/>
                <w:b w:val="0"/>
                <w:bCs w:val="0"/>
                <w:sz w:val="21"/>
                <w:szCs w:val="21"/>
              </w:rPr>
              <w:t>≤40mm*200mm*200mm</w:t>
            </w:r>
            <w:r>
              <w:rPr>
                <w:rFonts w:hint="default" w:ascii="Times New Roman" w:hAnsi="Times New Roman" w:eastAsia="仿宋" w:cs="Times New Roman"/>
                <w:sz w:val="21"/>
                <w:szCs w:val="21"/>
              </w:rPr>
              <w:t>），Windows 11 家庭版操作系统，显示屏≥21.5液晶，配套微型主机安装支架（实现微型主机背挂安装于显示器背面）</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台</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6</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6" w:type="dxa"/>
            <w:gridSpan w:val="8"/>
            <w:vAlign w:val="center"/>
          </w:tcPr>
          <w:p>
            <w:pPr>
              <w:jc w:val="left"/>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二、远程异地评标配套环境监控设备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1</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高清网络半球摄像机</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不小于200万像素，分辨率：1920*1080，宽动态：120dB，镜头3.5-12mm，支持H.265视频编码标准，支持PoE供电，红外照射距离≥30米，防护等级：IP66；</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通讯接口：1个RJ45以太网口；1个RS-485；</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音频接口：1输入，1输出；</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报警接口；1输入，1输出；</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台</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4</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2</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半球云台式球机</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不小于200万像素，分辨率：1920*1080，宽动态：120dB，镜头2.8-12mm，4倍光学变倍，支持H.265视频编码标准，DC12V/POE供电；</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通讯接口：1个RJ45以太网口；</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音频接口：1输入，1输出；</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台</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2</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3</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高灵敏度拾音器</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 xml:space="preserve">音频传输距离 ≥3000米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频率响应 20Hz ～ 20kHz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灵敏度 -35dB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信噪比 75dB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指向特性 全方向性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动态范围 104dB （1KHz at Max dB SPL）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最大承受音压 120dB SPL （1KHz,THD 1%）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输出阻抗 600欧姆非平衡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输出信号幅度 2.5Vpp/-25db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麦克风 两只互补型高灵敏度全指向电容咪头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信号处理电路 ClearSpeech数字DSP降噪, AGC声音自动增益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保护电路 雷击保护、电源极性反转保护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传输线缆 3芯0.5mm2 RVVP屏蔽电缆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电源电压 直流稳压DC 12V</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 xml:space="preserve">电源电流 30 mA </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工作环境温度 -25℃ ～ 70℃</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台</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6</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4</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单路电源适配器</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拾音器接口：1个三芯(电源正极V,音频A,公共地G)</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音频输出端子：二个线性输出(1个3.5插口,1个两芯端子）</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音量调节：-10dB ～ +10dB</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频率响应：20Hz ～ 20kHz</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输出电压：12VDC±5%</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输出电流：≤200mA  纹波：≤20mvrms</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个</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6</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5</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网络硬盘录像机</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32路H.264、H.265混合接入</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输入带宽：320Mbps</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2个HDMI，2个VGA,HDMI+VGA组内同源</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8盘位，可满配8T硬盘</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2个千兆网口</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2个USB2.0接口、1个USB3.0接口</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1个eSATA接口</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报警IO：16进4出</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最大支持16×1080P解码</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支持H.265、H.264解码</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台</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1</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6</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监控硬盘</w:t>
            </w:r>
          </w:p>
        </w:tc>
        <w:tc>
          <w:tcPr>
            <w:tcW w:w="1689" w:type="dxa"/>
            <w:vAlign w:val="center"/>
          </w:tcPr>
          <w:p>
            <w:pPr>
              <w:autoSpaceDE w:val="0"/>
              <w:autoSpaceDN w:val="0"/>
              <w:adjustRightInd w:val="0"/>
              <w:spacing w:line="400" w:lineRule="exact"/>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6T监控级硬盘，转速≥5400RPM，3.5英寸，SATA接口</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块</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8</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7</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可信流媒体管理机</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总体要求：自动读取公共资源系统提供的标准数据接口，将中心主流的网络摄像机转换成RTMP、FLV、HLS中一种视频流格式，并提供IP限制、视频防盗功能。</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功能要求：</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转发查看功能：支持在接到应用层用户的视频查看请求时，从视频源平台或监控服务器上面拉取对应的RTSP流，实时转码成支持大多数播放器播放的RTMP流，转发到指定的应用层界面进行查看。</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防盗链技术：支持附加一层防盗链技术，保证安全。</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客户端IP限制：支持客户端IP限制，限定用户查看转发的视频流地址。</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支持与主流监控系统对接，保证开标、评标监控的安全、稳定。</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技术参数：</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CPU≥Intel(R) Xeon(R) CPU E-2244G；</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内存≥8GB, DDR4；</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硬盘≥1TB SATA；</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台</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1</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8</w:t>
            </w:r>
          </w:p>
        </w:tc>
        <w:tc>
          <w:tcPr>
            <w:tcW w:w="891"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24口POE交换机</w:t>
            </w:r>
          </w:p>
        </w:tc>
        <w:tc>
          <w:tcPr>
            <w:tcW w:w="1689" w:type="dxa"/>
            <w:vAlign w:val="center"/>
          </w:tcPr>
          <w:p>
            <w:pPr>
              <w:jc w:val="center"/>
              <w:rPr>
                <w:rFonts w:hint="default" w:ascii="Times New Roman" w:hAnsi="Times New Roman" w:eastAsia="仿宋" w:cs="Times New Roman"/>
                <w:color w:val="000000"/>
                <w:kern w:val="0"/>
                <w:sz w:val="21"/>
                <w:szCs w:val="21"/>
                <w:lang w:bidi="ar"/>
              </w:rPr>
            </w:pPr>
          </w:p>
        </w:tc>
        <w:tc>
          <w:tcPr>
            <w:tcW w:w="3599" w:type="dxa"/>
            <w:vAlign w:val="center"/>
          </w:tcPr>
          <w:p>
            <w:pPr>
              <w:jc w:val="lef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包转发率:51/126Mpps</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交换容量:336Gbps/3.36Tbps</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24个10/100/1000Base-T以太网端口，</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4个千兆SFP</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交流供电</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POE+</w:t>
            </w:r>
          </w:p>
        </w:tc>
        <w:tc>
          <w:tcPr>
            <w:tcW w:w="510"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台</w:t>
            </w:r>
          </w:p>
        </w:tc>
        <w:tc>
          <w:tcPr>
            <w:tcW w:w="495" w:type="dxa"/>
            <w:vAlign w:val="center"/>
          </w:tcPr>
          <w:p>
            <w:pPr>
              <w:jc w:val="center"/>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lang w:bidi="ar"/>
              </w:rPr>
              <w:t>1</w:t>
            </w:r>
          </w:p>
        </w:tc>
        <w:tc>
          <w:tcPr>
            <w:tcW w:w="1125" w:type="dxa"/>
            <w:vAlign w:val="center"/>
          </w:tcPr>
          <w:p>
            <w:pPr>
              <w:jc w:val="center"/>
              <w:rPr>
                <w:rFonts w:hint="default" w:ascii="Times New Roman" w:hAnsi="Times New Roman" w:eastAsia="仿宋" w:cs="Times New Roman"/>
                <w:b/>
                <w:bCs/>
                <w:sz w:val="21"/>
                <w:szCs w:val="21"/>
              </w:rPr>
            </w:pPr>
          </w:p>
        </w:tc>
        <w:tc>
          <w:tcPr>
            <w:tcW w:w="1110" w:type="dxa"/>
          </w:tcPr>
          <w:p>
            <w:pPr>
              <w:jc w:val="center"/>
              <w:rPr>
                <w:rFonts w:hint="default" w:ascii="Times New Roman" w:hAnsi="Times New Roman" w:eastAsia="仿宋"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846" w:type="dxa"/>
            <w:gridSpan w:val="8"/>
            <w:vAlign w:val="center"/>
          </w:tcPr>
          <w:p>
            <w:pPr>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合计人民币大写：                                          （</w:t>
            </w:r>
            <w:r>
              <w:rPr>
                <w:rFonts w:hint="eastAsia" w:ascii="Times New Roman" w:hAnsi="Times New Roman" w:eastAsia="仿宋" w:cs="Times New Roman"/>
                <w:color w:val="000000"/>
                <w:kern w:val="0"/>
                <w:sz w:val="21"/>
                <w:szCs w:val="21"/>
                <w:lang w:eastAsia="zh-CN" w:bidi="ar"/>
              </w:rPr>
              <w:t>小写</w:t>
            </w:r>
            <w:r>
              <w:rPr>
                <w:rFonts w:hint="default" w:ascii="Times New Roman" w:hAnsi="Times New Roman" w:eastAsia="仿宋" w:cs="Times New Roman"/>
                <w:color w:val="000000"/>
                <w:kern w:val="0"/>
                <w:sz w:val="21"/>
                <w:szCs w:val="21"/>
                <w:lang w:bidi="ar"/>
              </w:rPr>
              <w:t>¥           ）</w:t>
            </w:r>
          </w:p>
        </w:tc>
      </w:tr>
    </w:tbl>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法定代表人或委托代理人（签名）：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名称（公章）：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联系电话：</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时间：</w:t>
      </w: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Y2FkMDgyNGYyNjU5M2RlYzNiZDEzOTEzNjNmNWIifQ=="/>
  </w:docVars>
  <w:rsids>
    <w:rsidRoot w:val="00CE500D"/>
    <w:rsid w:val="00017D04"/>
    <w:rsid w:val="0023679F"/>
    <w:rsid w:val="002E29DB"/>
    <w:rsid w:val="002E440A"/>
    <w:rsid w:val="0034394B"/>
    <w:rsid w:val="00401700"/>
    <w:rsid w:val="005615DA"/>
    <w:rsid w:val="0060142B"/>
    <w:rsid w:val="00620764"/>
    <w:rsid w:val="00683607"/>
    <w:rsid w:val="00692166"/>
    <w:rsid w:val="007D419D"/>
    <w:rsid w:val="008E5996"/>
    <w:rsid w:val="00A43533"/>
    <w:rsid w:val="00B86DAD"/>
    <w:rsid w:val="00BD4640"/>
    <w:rsid w:val="00C541DA"/>
    <w:rsid w:val="00CE500D"/>
    <w:rsid w:val="00D50A04"/>
    <w:rsid w:val="00DB1D2F"/>
    <w:rsid w:val="00E36B5B"/>
    <w:rsid w:val="00E8117F"/>
    <w:rsid w:val="00EF536F"/>
    <w:rsid w:val="00EF5C0A"/>
    <w:rsid w:val="0898296F"/>
    <w:rsid w:val="0D582BAF"/>
    <w:rsid w:val="0DB528E8"/>
    <w:rsid w:val="0EDD34DE"/>
    <w:rsid w:val="10293E54"/>
    <w:rsid w:val="114E27DF"/>
    <w:rsid w:val="11F954BB"/>
    <w:rsid w:val="130E0083"/>
    <w:rsid w:val="13561AB1"/>
    <w:rsid w:val="15F46AA8"/>
    <w:rsid w:val="16486296"/>
    <w:rsid w:val="16DA791E"/>
    <w:rsid w:val="16F07406"/>
    <w:rsid w:val="19A932CB"/>
    <w:rsid w:val="1A872120"/>
    <w:rsid w:val="1B4474E1"/>
    <w:rsid w:val="1BEC0C05"/>
    <w:rsid w:val="1C9D439A"/>
    <w:rsid w:val="1CA218C3"/>
    <w:rsid w:val="2082367E"/>
    <w:rsid w:val="222334A6"/>
    <w:rsid w:val="242664D7"/>
    <w:rsid w:val="256E4A38"/>
    <w:rsid w:val="2B746B21"/>
    <w:rsid w:val="2CD5539D"/>
    <w:rsid w:val="2D4A7B39"/>
    <w:rsid w:val="30C277B3"/>
    <w:rsid w:val="311345EC"/>
    <w:rsid w:val="326351F9"/>
    <w:rsid w:val="326C67A3"/>
    <w:rsid w:val="338C409E"/>
    <w:rsid w:val="33D6447B"/>
    <w:rsid w:val="34AB35F2"/>
    <w:rsid w:val="34AE3A24"/>
    <w:rsid w:val="358D4674"/>
    <w:rsid w:val="35C31660"/>
    <w:rsid w:val="398443D3"/>
    <w:rsid w:val="39C05C8E"/>
    <w:rsid w:val="3A965E6F"/>
    <w:rsid w:val="3B0E7411"/>
    <w:rsid w:val="4021297B"/>
    <w:rsid w:val="40356CCC"/>
    <w:rsid w:val="404D77D1"/>
    <w:rsid w:val="405D772B"/>
    <w:rsid w:val="408B151C"/>
    <w:rsid w:val="40F216B2"/>
    <w:rsid w:val="41DA6050"/>
    <w:rsid w:val="43076734"/>
    <w:rsid w:val="434C1AB7"/>
    <w:rsid w:val="4632038F"/>
    <w:rsid w:val="467D0B27"/>
    <w:rsid w:val="4B5A0621"/>
    <w:rsid w:val="57B36157"/>
    <w:rsid w:val="58CA3876"/>
    <w:rsid w:val="59143DC5"/>
    <w:rsid w:val="59170968"/>
    <w:rsid w:val="5946024A"/>
    <w:rsid w:val="59C61ED8"/>
    <w:rsid w:val="5AD00965"/>
    <w:rsid w:val="5B124A58"/>
    <w:rsid w:val="5C9546B7"/>
    <w:rsid w:val="5CAE513F"/>
    <w:rsid w:val="5CFA4BA6"/>
    <w:rsid w:val="5DA046A0"/>
    <w:rsid w:val="5E4D46E4"/>
    <w:rsid w:val="5F0C439F"/>
    <w:rsid w:val="5FE506D1"/>
    <w:rsid w:val="60CC7610"/>
    <w:rsid w:val="65651219"/>
    <w:rsid w:val="66C95291"/>
    <w:rsid w:val="687D052C"/>
    <w:rsid w:val="688D02FE"/>
    <w:rsid w:val="6B202747"/>
    <w:rsid w:val="6C27128A"/>
    <w:rsid w:val="6EFE7E33"/>
    <w:rsid w:val="6F5B6D78"/>
    <w:rsid w:val="703A4106"/>
    <w:rsid w:val="7078466A"/>
    <w:rsid w:val="71387C39"/>
    <w:rsid w:val="71673967"/>
    <w:rsid w:val="727E5E54"/>
    <w:rsid w:val="72AC1CC9"/>
    <w:rsid w:val="73555F60"/>
    <w:rsid w:val="74C276BA"/>
    <w:rsid w:val="750A2372"/>
    <w:rsid w:val="77130569"/>
    <w:rsid w:val="774C7F67"/>
    <w:rsid w:val="7A2C1752"/>
    <w:rsid w:val="7A4F1871"/>
    <w:rsid w:val="7A9E45ED"/>
    <w:rsid w:val="7AE735BA"/>
    <w:rsid w:val="7B6A44CF"/>
    <w:rsid w:val="7BCF78A0"/>
    <w:rsid w:val="7CC25A47"/>
    <w:rsid w:val="7D802572"/>
    <w:rsid w:val="7F0D7F93"/>
    <w:rsid w:val="7FE41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Indent"/>
    <w:basedOn w:val="1"/>
    <w:qFormat/>
    <w:uiPriority w:val="0"/>
    <w:pPr>
      <w:adjustRightInd w:val="0"/>
      <w:spacing w:line="360" w:lineRule="atLeast"/>
      <w:ind w:firstLine="482"/>
      <w:textAlignment w:val="baseline"/>
    </w:pPr>
    <w:rPr>
      <w:kern w:val="0"/>
      <w:sz w:val="24"/>
    </w:rPr>
  </w:style>
  <w:style w:type="paragraph" w:styleId="4">
    <w:name w:val="index 5"/>
    <w:basedOn w:val="1"/>
    <w:next w:val="1"/>
    <w:unhideWhenUsed/>
    <w:qFormat/>
    <w:uiPriority w:val="99"/>
    <w:pPr>
      <w:ind w:left="1050" w:hanging="210" w:firstLineChars="200"/>
      <w:jc w:val="left"/>
    </w:pPr>
    <w:rPr>
      <w:sz w:val="18"/>
      <w:szCs w:val="18"/>
      <w:lang w:eastAsia="zh-TW"/>
    </w:rPr>
  </w:style>
  <w:style w:type="paragraph" w:styleId="5">
    <w:name w:val="annotation text"/>
    <w:basedOn w:val="1"/>
    <w:qFormat/>
    <w:uiPriority w:val="0"/>
    <w:pPr>
      <w:jc w:val="left"/>
    </w:pPr>
  </w:style>
  <w:style w:type="paragraph" w:styleId="6">
    <w:name w:val="Body Text"/>
    <w:basedOn w:val="1"/>
    <w:next w:val="1"/>
    <w:qFormat/>
    <w:uiPriority w:val="99"/>
    <w:pPr>
      <w:spacing w:after="120"/>
    </w:pPr>
    <w:rPr>
      <w:rFonts w:ascii="Times New Roman" w:hAnsi="Times New Roman" w:eastAsia="宋体" w:cs="Times New Roman"/>
      <w:kern w:val="0"/>
      <w:sz w:val="24"/>
    </w:rPr>
  </w:style>
  <w:style w:type="paragraph" w:styleId="7">
    <w:name w:val="index 4"/>
    <w:basedOn w:val="1"/>
    <w:next w:val="1"/>
    <w:unhideWhenUsed/>
    <w:qFormat/>
    <w:uiPriority w:val="99"/>
    <w:pPr>
      <w:ind w:left="600" w:leftChars="600"/>
    </w:pPr>
    <w:rPr>
      <w:rFonts w:ascii="Times New Roman" w:hAnsi="Times New Roman" w:eastAsia="宋体" w:cs="Times New Roman"/>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4"/>
    <w:qFormat/>
    <w:uiPriority w:val="0"/>
    <w:pPr>
      <w:adjustRightInd w:val="0"/>
      <w:spacing w:line="312" w:lineRule="atLeast"/>
      <w:jc w:val="left"/>
      <w:textAlignment w:val="baseline"/>
    </w:pPr>
    <w:rPr>
      <w:kern w:val="0"/>
      <w:sz w:val="18"/>
      <w:szCs w:val="20"/>
    </w:rPr>
  </w:style>
  <w:style w:type="paragraph" w:styleId="1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2">
    <w:name w:val="Normal (Web)"/>
    <w:basedOn w:val="1"/>
    <w:qFormat/>
    <w:uiPriority w:val="0"/>
    <w:pPr>
      <w:jc w:val="left"/>
    </w:pPr>
    <w:rPr>
      <w:rFonts w:cs="Times New Roman"/>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9"/>
    <w:qFormat/>
    <w:uiPriority w:val="99"/>
    <w:rPr>
      <w:sz w:val="18"/>
      <w:szCs w:val="18"/>
    </w:rPr>
  </w:style>
  <w:style w:type="character" w:customStyle="1" w:styleId="17">
    <w:name w:val="页脚 Char"/>
    <w:basedOn w:val="15"/>
    <w:link w:val="8"/>
    <w:qFormat/>
    <w:uiPriority w:val="99"/>
    <w:rPr>
      <w:sz w:val="18"/>
      <w:szCs w:val="18"/>
    </w:rPr>
  </w:style>
  <w:style w:type="character" w:customStyle="1" w:styleId="18">
    <w:name w:val="font71"/>
    <w:basedOn w:val="15"/>
    <w:qFormat/>
    <w:uiPriority w:val="0"/>
    <w:rPr>
      <w:rFonts w:hint="eastAsia" w:ascii="宋体" w:hAnsi="宋体" w:eastAsia="宋体" w:cs="宋体"/>
      <w:color w:val="000000"/>
      <w:sz w:val="18"/>
      <w:szCs w:val="18"/>
      <w:u w:val="none"/>
    </w:rPr>
  </w:style>
  <w:style w:type="character" w:customStyle="1" w:styleId="19">
    <w:name w:val="font11"/>
    <w:basedOn w:val="15"/>
    <w:qFormat/>
    <w:uiPriority w:val="0"/>
    <w:rPr>
      <w:rFonts w:hint="eastAsia" w:ascii="宋体" w:hAnsi="宋体" w:eastAsia="宋体" w:cs="宋体"/>
      <w:color w:val="FF0000"/>
      <w:sz w:val="18"/>
      <w:szCs w:val="18"/>
      <w:u w:val="none"/>
    </w:rPr>
  </w:style>
  <w:style w:type="character" w:customStyle="1" w:styleId="20">
    <w:name w:val="font51"/>
    <w:basedOn w:val="15"/>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5593</Words>
  <Characters>7031</Characters>
  <Lines>21</Lines>
  <Paragraphs>5</Paragraphs>
  <TotalTime>6</TotalTime>
  <ScaleCrop>false</ScaleCrop>
  <LinksUpToDate>false</LinksUpToDate>
  <CharactersWithSpaces>7284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2023-02-02T07:49:00Z</dcterms:created>
  <dc:creator>wang</dc:creator>
  <cp:lastModifiedBy>BPJKYDX</cp:lastModifiedBy>
  <cp:lastPrinted>2022-11-08T06:11:00Z</cp:lastPrinted>
  <dcterms:modified xsi:type="dcterms:W3CDTF">2023-03-08T00:56:52Z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61B0834B25D84A988D9843BA32517E8D</vt:lpwstr>
  </property>
</Properties>
</file>