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sz w:val="52"/>
          <w:szCs w:val="52"/>
        </w:rPr>
      </w:pPr>
      <w:bookmarkStart w:id="0" w:name="_Toc457910368"/>
      <w:bookmarkStart w:id="1" w:name="_Toc113314385"/>
      <w:bookmarkStart w:id="2" w:name="_Toc185058569"/>
      <w:bookmarkStart w:id="3" w:name="_Toc225591603"/>
      <w:bookmarkStart w:id="4" w:name="_Toc235082326"/>
      <w:bookmarkStart w:id="5" w:name="_Toc241660756"/>
    </w:p>
    <w:p>
      <w:pPr>
        <w:spacing w:line="500" w:lineRule="exact"/>
        <w:jc w:val="center"/>
        <w:rPr>
          <w:sz w:val="52"/>
          <w:szCs w:val="52"/>
        </w:rPr>
      </w:pPr>
    </w:p>
    <w:p>
      <w:pPr>
        <w:spacing w:line="500" w:lineRule="exact"/>
        <w:jc w:val="center"/>
        <w:rPr>
          <w:sz w:val="52"/>
          <w:szCs w:val="52"/>
        </w:rPr>
      </w:pPr>
    </w:p>
    <w:p>
      <w:pPr>
        <w:spacing w:line="500" w:lineRule="exact"/>
        <w:jc w:val="center"/>
        <w:rPr>
          <w:sz w:val="52"/>
          <w:szCs w:val="52"/>
        </w:rPr>
      </w:pPr>
    </w:p>
    <w:p>
      <w:pPr>
        <w:spacing w:line="500" w:lineRule="exact"/>
      </w:pPr>
    </w:p>
    <w:p>
      <w:pPr>
        <w:spacing w:line="500" w:lineRule="exact"/>
        <w:jc w:val="center"/>
        <w:rPr>
          <w:rFonts w:eastAsia="楷体_GB2312"/>
          <w:b/>
          <w:spacing w:val="-20"/>
          <w:sz w:val="48"/>
          <w:szCs w:val="48"/>
        </w:rPr>
      </w:pPr>
      <w:r>
        <w:rPr>
          <w:rFonts w:hint="eastAsia" w:eastAsia="楷体_GB2312"/>
          <w:b/>
          <w:spacing w:val="-20"/>
          <w:sz w:val="48"/>
          <w:szCs w:val="48"/>
        </w:rPr>
        <w:t>启东市</w:t>
      </w:r>
      <w:r>
        <w:rPr>
          <w:rFonts w:hint="eastAsia" w:eastAsia="楷体_GB2312"/>
          <w:b/>
          <w:spacing w:val="-20"/>
          <w:sz w:val="48"/>
          <w:szCs w:val="48"/>
          <w:lang w:val="en-US" w:eastAsia="zh-CN"/>
        </w:rPr>
        <w:t>寅阳</w:t>
      </w:r>
      <w:r>
        <w:rPr>
          <w:rFonts w:hint="eastAsia" w:eastAsia="楷体_GB2312"/>
          <w:b/>
          <w:spacing w:val="-20"/>
          <w:sz w:val="48"/>
          <w:szCs w:val="48"/>
        </w:rPr>
        <w:t>镇工业集中区规划环境影响</w:t>
      </w:r>
    </w:p>
    <w:p>
      <w:pPr>
        <w:spacing w:line="500" w:lineRule="exact"/>
        <w:jc w:val="center"/>
        <w:rPr>
          <w:rFonts w:eastAsia="楷体_GB2312"/>
          <w:b/>
          <w:spacing w:val="-20"/>
          <w:sz w:val="48"/>
          <w:szCs w:val="48"/>
        </w:rPr>
      </w:pPr>
      <w:r>
        <w:rPr>
          <w:rFonts w:hint="eastAsia" w:eastAsia="楷体_GB2312"/>
          <w:b/>
          <w:spacing w:val="-20"/>
          <w:sz w:val="48"/>
          <w:szCs w:val="48"/>
        </w:rPr>
        <w:t>报告书</w:t>
      </w:r>
      <w:bookmarkEnd w:id="0"/>
      <w:r>
        <w:rPr>
          <w:rFonts w:eastAsia="楷体_GB2312"/>
          <w:b/>
          <w:spacing w:val="-20"/>
          <w:sz w:val="48"/>
          <w:szCs w:val="48"/>
        </w:rPr>
        <w:t>（征求意见稿）</w:t>
      </w:r>
    </w:p>
    <w:p>
      <w:pPr>
        <w:spacing w:line="500" w:lineRule="exact"/>
        <w:jc w:val="center"/>
        <w:rPr>
          <w:sz w:val="52"/>
          <w:szCs w:val="52"/>
        </w:rPr>
      </w:pPr>
    </w:p>
    <w:p>
      <w:pPr>
        <w:spacing w:line="500" w:lineRule="exact"/>
        <w:jc w:val="center"/>
        <w:rPr>
          <w:sz w:val="52"/>
          <w:szCs w:val="52"/>
        </w:rPr>
      </w:pPr>
    </w:p>
    <w:p>
      <w:pPr>
        <w:spacing w:line="500" w:lineRule="exact"/>
        <w:jc w:val="center"/>
        <w:rPr>
          <w:sz w:val="52"/>
          <w:szCs w:val="52"/>
        </w:rPr>
      </w:pPr>
    </w:p>
    <w:p>
      <w:pPr>
        <w:spacing w:line="500" w:lineRule="exact"/>
        <w:jc w:val="center"/>
        <w:rPr>
          <w:sz w:val="52"/>
          <w:szCs w:val="52"/>
        </w:rPr>
      </w:pPr>
    </w:p>
    <w:p>
      <w:pPr>
        <w:spacing w:line="500" w:lineRule="exact"/>
        <w:jc w:val="center"/>
        <w:rPr>
          <w:sz w:val="52"/>
          <w:szCs w:val="52"/>
        </w:rPr>
      </w:pPr>
    </w:p>
    <w:p>
      <w:pPr>
        <w:spacing w:line="500" w:lineRule="exact"/>
        <w:jc w:val="center"/>
        <w:rPr>
          <w:sz w:val="52"/>
          <w:szCs w:val="52"/>
        </w:rPr>
      </w:pPr>
    </w:p>
    <w:p>
      <w:pPr>
        <w:spacing w:line="500" w:lineRule="exact"/>
      </w:pPr>
    </w:p>
    <w:p>
      <w:pPr>
        <w:spacing w:line="500" w:lineRule="exact"/>
        <w:jc w:val="center"/>
        <w:rPr>
          <w:sz w:val="52"/>
          <w:szCs w:val="52"/>
        </w:rPr>
      </w:pPr>
    </w:p>
    <w:p>
      <w:pPr>
        <w:spacing w:line="500" w:lineRule="exact"/>
        <w:rPr>
          <w:sz w:val="52"/>
          <w:szCs w:val="52"/>
        </w:rPr>
      </w:pPr>
    </w:p>
    <w:p>
      <w:pPr>
        <w:spacing w:line="500" w:lineRule="exact"/>
        <w:jc w:val="center"/>
        <w:rPr>
          <w:rFonts w:eastAsia="仿宋_GB2312"/>
          <w:b/>
          <w:sz w:val="32"/>
        </w:rPr>
      </w:pPr>
      <w:r>
        <w:rPr>
          <w:rFonts w:eastAsia="仿宋_GB2312"/>
          <w:b/>
          <w:sz w:val="32"/>
        </w:rPr>
        <w:t>规划实施单位：</w:t>
      </w:r>
      <w:r>
        <w:rPr>
          <w:rFonts w:hint="eastAsia" w:eastAsia="仿宋_GB2312"/>
          <w:b/>
          <w:sz w:val="32"/>
        </w:rPr>
        <w:t>南通市启东市</w:t>
      </w:r>
      <w:r>
        <w:rPr>
          <w:rFonts w:hint="eastAsia" w:eastAsia="仿宋_GB2312"/>
          <w:b/>
          <w:sz w:val="32"/>
          <w:lang w:val="en-US" w:eastAsia="zh-CN"/>
        </w:rPr>
        <w:t>寅阳</w:t>
      </w:r>
      <w:r>
        <w:rPr>
          <w:rFonts w:hint="eastAsia" w:eastAsia="仿宋_GB2312"/>
          <w:b/>
          <w:sz w:val="32"/>
        </w:rPr>
        <w:t>镇人民政府</w:t>
      </w:r>
    </w:p>
    <w:p>
      <w:pPr>
        <w:spacing w:line="500" w:lineRule="exact"/>
        <w:jc w:val="center"/>
        <w:rPr>
          <w:rFonts w:eastAsia="仿宋_GB2312"/>
          <w:b/>
          <w:sz w:val="32"/>
        </w:rPr>
      </w:pPr>
      <w:r>
        <w:rPr>
          <w:rFonts w:eastAsia="仿宋_GB2312"/>
          <w:b/>
          <w:sz w:val="32"/>
        </w:rPr>
        <w:t>编制单位：</w:t>
      </w:r>
      <w:r>
        <w:rPr>
          <w:rFonts w:hint="eastAsia" w:eastAsia="仿宋_GB2312"/>
          <w:b/>
          <w:sz w:val="32"/>
        </w:rPr>
        <w:t>南通国信环境科技有限公司</w:t>
      </w:r>
    </w:p>
    <w:p>
      <w:pPr>
        <w:spacing w:line="500" w:lineRule="exact"/>
        <w:jc w:val="center"/>
        <w:rPr>
          <w:rFonts w:eastAsia="仿宋_GB2312"/>
          <w:b/>
          <w:sz w:val="32"/>
        </w:rPr>
      </w:pPr>
      <w:r>
        <w:rPr>
          <w:rFonts w:eastAsia="仿宋_GB2312"/>
          <w:b/>
          <w:sz w:val="32"/>
        </w:rPr>
        <w:t>2021年1</w:t>
      </w:r>
      <w:r>
        <w:rPr>
          <w:rFonts w:hint="eastAsia" w:eastAsia="仿宋_GB2312"/>
          <w:b/>
          <w:sz w:val="32"/>
          <w:lang w:val="en-US" w:eastAsia="zh-CN"/>
        </w:rPr>
        <w:t>1</w:t>
      </w:r>
      <w:r>
        <w:rPr>
          <w:rFonts w:eastAsia="仿宋_GB2312"/>
          <w:b/>
          <w:sz w:val="32"/>
        </w:rPr>
        <w:t>月</w:t>
      </w:r>
      <w:r>
        <w:rPr>
          <w:rFonts w:eastAsia="仿宋_GB2312"/>
          <w:b/>
          <w:sz w:val="32"/>
        </w:rPr>
        <w:br w:type="page"/>
      </w:r>
    </w:p>
    <w:p>
      <w:pPr>
        <w:spacing w:line="500" w:lineRule="exact"/>
        <w:ind w:firstLine="640" w:firstLineChars="200"/>
        <w:rPr>
          <w:rFonts w:eastAsia="仿宋_GB2312"/>
          <w:sz w:val="32"/>
          <w:szCs w:val="32"/>
        </w:rPr>
      </w:pPr>
      <w:r>
        <w:rPr>
          <w:rFonts w:hint="eastAsia" w:eastAsia="仿宋_GB2312"/>
          <w:sz w:val="32"/>
          <w:szCs w:val="32"/>
        </w:rPr>
        <w:t>南通国信环境科技有限公司</w:t>
      </w:r>
      <w:r>
        <w:rPr>
          <w:rFonts w:eastAsia="仿宋_GB2312"/>
          <w:sz w:val="32"/>
          <w:szCs w:val="32"/>
        </w:rPr>
        <w:t>受</w:t>
      </w:r>
      <w:r>
        <w:rPr>
          <w:rFonts w:hint="eastAsia" w:eastAsia="仿宋_GB2312"/>
          <w:sz w:val="32"/>
          <w:szCs w:val="32"/>
        </w:rPr>
        <w:t>南通市启东市</w:t>
      </w:r>
      <w:r>
        <w:rPr>
          <w:rFonts w:hint="eastAsia" w:eastAsia="仿宋_GB2312"/>
          <w:sz w:val="32"/>
          <w:szCs w:val="32"/>
          <w:lang w:val="en-US" w:eastAsia="zh-CN"/>
        </w:rPr>
        <w:t>寅阳</w:t>
      </w:r>
      <w:r>
        <w:rPr>
          <w:rFonts w:hint="eastAsia" w:eastAsia="仿宋_GB2312"/>
          <w:sz w:val="32"/>
          <w:szCs w:val="32"/>
        </w:rPr>
        <w:t>镇人民政府</w:t>
      </w:r>
      <w:r>
        <w:rPr>
          <w:rFonts w:eastAsia="仿宋_GB2312"/>
          <w:sz w:val="32"/>
          <w:szCs w:val="32"/>
        </w:rPr>
        <w:t>委托编制</w:t>
      </w:r>
      <w:r>
        <w:rPr>
          <w:rFonts w:hint="eastAsia" w:eastAsia="仿宋_GB2312"/>
          <w:sz w:val="32"/>
          <w:szCs w:val="32"/>
        </w:rPr>
        <w:t>启东市</w:t>
      </w:r>
      <w:r>
        <w:rPr>
          <w:rFonts w:hint="eastAsia" w:eastAsia="仿宋_GB2312"/>
          <w:sz w:val="32"/>
          <w:szCs w:val="32"/>
          <w:lang w:val="en-US" w:eastAsia="zh-CN"/>
        </w:rPr>
        <w:t>寅阳</w:t>
      </w:r>
      <w:r>
        <w:rPr>
          <w:rFonts w:hint="eastAsia" w:eastAsia="仿宋_GB2312"/>
          <w:sz w:val="32"/>
          <w:szCs w:val="32"/>
        </w:rPr>
        <w:t>镇工业集中区规划</w:t>
      </w:r>
      <w:r>
        <w:rPr>
          <w:rFonts w:eastAsia="仿宋_GB2312"/>
          <w:sz w:val="32"/>
          <w:szCs w:val="32"/>
        </w:rPr>
        <w:t>环境影响报告书，并经</w:t>
      </w:r>
      <w:r>
        <w:rPr>
          <w:rFonts w:hint="eastAsia" w:eastAsia="仿宋_GB2312"/>
          <w:sz w:val="32"/>
          <w:szCs w:val="32"/>
          <w:lang w:val="en-US" w:eastAsia="zh-CN"/>
        </w:rPr>
        <w:t>寅阳</w:t>
      </w:r>
      <w:r>
        <w:rPr>
          <w:rFonts w:hint="eastAsia" w:eastAsia="仿宋_GB2312"/>
          <w:sz w:val="32"/>
          <w:szCs w:val="32"/>
        </w:rPr>
        <w:t>镇人民政府</w:t>
      </w:r>
      <w:r>
        <w:rPr>
          <w:rFonts w:eastAsia="仿宋_GB2312"/>
          <w:sz w:val="32"/>
          <w:szCs w:val="32"/>
        </w:rPr>
        <w:t>同意向公众进行第二次信息发布，公开环评内容。</w:t>
      </w:r>
    </w:p>
    <w:p>
      <w:pPr>
        <w:spacing w:line="500" w:lineRule="exact"/>
        <w:ind w:firstLine="640" w:firstLineChars="200"/>
        <w:rPr>
          <w:rFonts w:eastAsia="仿宋_GB2312"/>
          <w:sz w:val="32"/>
          <w:szCs w:val="32"/>
        </w:rPr>
      </w:pPr>
      <w:r>
        <w:rPr>
          <w:rFonts w:eastAsia="仿宋_GB2312"/>
          <w:sz w:val="32"/>
          <w:szCs w:val="32"/>
        </w:rPr>
        <w:t>本文内容为现阶段环评成果。下一阶段，将在听取公众、专家等各方面意见的基础上，进一步修改完善。</w:t>
      </w:r>
    </w:p>
    <w:p>
      <w:pPr>
        <w:spacing w:line="500" w:lineRule="exact"/>
        <w:ind w:firstLine="640" w:firstLineChars="200"/>
        <w:rPr>
          <w:rFonts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00" w:lineRule="exact"/>
        <w:jc w:val="center"/>
        <w:rPr>
          <w:rFonts w:eastAsia="仿宋_GB2312"/>
          <w:b/>
          <w:sz w:val="32"/>
          <w:szCs w:val="32"/>
        </w:rPr>
      </w:pPr>
      <w:r>
        <w:rPr>
          <w:rFonts w:eastAsia="仿宋_GB2312"/>
          <w:b/>
          <w:sz w:val="32"/>
          <w:szCs w:val="32"/>
        </w:rPr>
        <w:t>目录</w:t>
      </w:r>
    </w:p>
    <w:p>
      <w:pPr>
        <w:spacing w:line="500" w:lineRule="exact"/>
        <w:ind w:firstLine="643" w:firstLineChars="200"/>
        <w:jc w:val="center"/>
        <w:rPr>
          <w:rFonts w:eastAsia="仿宋_GB2312"/>
          <w:b/>
          <w:sz w:val="32"/>
          <w:szCs w:val="32"/>
        </w:rPr>
      </w:pPr>
    </w:p>
    <w:p>
      <w:pPr>
        <w:pStyle w:val="13"/>
        <w:spacing w:line="500" w:lineRule="exact"/>
        <w:rPr>
          <w:rFonts w:eastAsia="仿宋_GB2312"/>
          <w:b w:val="0"/>
          <w:sz w:val="21"/>
          <w:szCs w:val="22"/>
        </w:rPr>
      </w:pPr>
      <w:r>
        <w:rPr>
          <w:rFonts w:eastAsia="仿宋_GB2312"/>
        </w:rPr>
        <w:fldChar w:fldCharType="begin"/>
      </w:r>
      <w:r>
        <w:rPr>
          <w:rFonts w:eastAsia="仿宋_GB2312"/>
        </w:rPr>
        <w:instrText xml:space="preserve"> TOC \o "1-2" \h \z \u </w:instrText>
      </w:r>
      <w:r>
        <w:rPr>
          <w:rFonts w:eastAsia="仿宋_GB2312"/>
        </w:rPr>
        <w:fldChar w:fldCharType="separate"/>
      </w:r>
      <w:r>
        <w:fldChar w:fldCharType="begin"/>
      </w:r>
      <w:r>
        <w:instrText xml:space="preserve"> HYPERLINK \l "_Toc74055722" </w:instrText>
      </w:r>
      <w:r>
        <w:fldChar w:fldCharType="separate"/>
      </w:r>
      <w:r>
        <w:rPr>
          <w:rStyle w:val="20"/>
          <w:rFonts w:eastAsia="仿宋_GB2312"/>
          <w:color w:val="auto"/>
        </w:rPr>
        <w:t>1 任务背景及规划概述</w:t>
      </w:r>
      <w:r>
        <w:rPr>
          <w:rFonts w:eastAsia="仿宋_GB2312"/>
        </w:rPr>
        <w:tab/>
      </w:r>
      <w:r>
        <w:rPr>
          <w:rFonts w:eastAsia="仿宋_GB2312"/>
        </w:rPr>
        <w:fldChar w:fldCharType="begin"/>
      </w:r>
      <w:r>
        <w:rPr>
          <w:rFonts w:eastAsia="仿宋_GB2312"/>
        </w:rPr>
        <w:instrText xml:space="preserve"> PAGEREF _Toc74055722 \h </w:instrText>
      </w:r>
      <w:r>
        <w:rPr>
          <w:rFonts w:eastAsia="仿宋_GB2312"/>
        </w:rPr>
        <w:fldChar w:fldCharType="separate"/>
      </w:r>
      <w:r>
        <w:rPr>
          <w:rFonts w:eastAsia="仿宋_GB2312"/>
        </w:rPr>
        <w:t>1</w:t>
      </w:r>
      <w:r>
        <w:rPr>
          <w:rFonts w:eastAsia="仿宋_GB2312"/>
        </w:rPr>
        <w:fldChar w:fldCharType="end"/>
      </w:r>
      <w:r>
        <w:rPr>
          <w:rFonts w:eastAsia="仿宋_GB2312"/>
        </w:rPr>
        <w:fldChar w:fldCharType="end"/>
      </w:r>
    </w:p>
    <w:p>
      <w:pPr>
        <w:pStyle w:val="14"/>
        <w:tabs>
          <w:tab w:val="right" w:leader="dot" w:pos="8296"/>
        </w:tabs>
        <w:spacing w:line="500" w:lineRule="exact"/>
        <w:rPr>
          <w:rFonts w:eastAsia="仿宋_GB2312"/>
          <w:szCs w:val="22"/>
        </w:rPr>
      </w:pPr>
      <w:r>
        <w:fldChar w:fldCharType="begin"/>
      </w:r>
      <w:r>
        <w:instrText xml:space="preserve"> HYPERLINK \l "_Toc74055723" </w:instrText>
      </w:r>
      <w:r>
        <w:fldChar w:fldCharType="separate"/>
      </w:r>
      <w:r>
        <w:rPr>
          <w:rStyle w:val="20"/>
          <w:rFonts w:eastAsia="仿宋_GB2312"/>
          <w:color w:val="auto"/>
        </w:rPr>
        <w:t>1.1 任务背景</w:t>
      </w:r>
      <w:r>
        <w:rPr>
          <w:rFonts w:eastAsia="仿宋_GB2312"/>
        </w:rPr>
        <w:tab/>
      </w:r>
      <w:r>
        <w:rPr>
          <w:rFonts w:eastAsia="仿宋_GB2312"/>
        </w:rPr>
        <w:fldChar w:fldCharType="begin"/>
      </w:r>
      <w:r>
        <w:rPr>
          <w:rFonts w:eastAsia="仿宋_GB2312"/>
        </w:rPr>
        <w:instrText xml:space="preserve"> PAGEREF _Toc74055723 \h </w:instrText>
      </w:r>
      <w:r>
        <w:rPr>
          <w:rFonts w:eastAsia="仿宋_GB2312"/>
        </w:rPr>
        <w:fldChar w:fldCharType="separate"/>
      </w:r>
      <w:r>
        <w:rPr>
          <w:rFonts w:eastAsia="仿宋_GB2312"/>
        </w:rPr>
        <w:t>1</w:t>
      </w:r>
      <w:r>
        <w:rPr>
          <w:rFonts w:eastAsia="仿宋_GB2312"/>
        </w:rPr>
        <w:fldChar w:fldCharType="end"/>
      </w:r>
      <w:r>
        <w:rPr>
          <w:rFonts w:eastAsia="仿宋_GB2312"/>
        </w:rPr>
        <w:fldChar w:fldCharType="end"/>
      </w:r>
    </w:p>
    <w:p>
      <w:pPr>
        <w:pStyle w:val="14"/>
        <w:tabs>
          <w:tab w:val="right" w:leader="dot" w:pos="8296"/>
        </w:tabs>
        <w:spacing w:line="500" w:lineRule="exact"/>
        <w:rPr>
          <w:rFonts w:eastAsia="仿宋_GB2312"/>
          <w:szCs w:val="22"/>
        </w:rPr>
      </w:pPr>
      <w:r>
        <w:fldChar w:fldCharType="begin"/>
      </w:r>
      <w:r>
        <w:instrText xml:space="preserve"> HYPERLINK \l "_Toc74055724" </w:instrText>
      </w:r>
      <w:r>
        <w:fldChar w:fldCharType="separate"/>
      </w:r>
      <w:r>
        <w:rPr>
          <w:rStyle w:val="20"/>
          <w:rFonts w:eastAsia="仿宋_GB2312"/>
          <w:color w:val="auto"/>
        </w:rPr>
        <w:t>1.2 规划范围和期限</w:t>
      </w:r>
      <w:r>
        <w:rPr>
          <w:rFonts w:eastAsia="仿宋_GB2312"/>
        </w:rPr>
        <w:tab/>
      </w:r>
      <w:r>
        <w:rPr>
          <w:rFonts w:eastAsia="仿宋_GB2312"/>
        </w:rPr>
        <w:fldChar w:fldCharType="begin"/>
      </w:r>
      <w:r>
        <w:rPr>
          <w:rFonts w:eastAsia="仿宋_GB2312"/>
        </w:rPr>
        <w:instrText xml:space="preserve"> PAGEREF _Toc74055724 \h </w:instrText>
      </w:r>
      <w:r>
        <w:rPr>
          <w:rFonts w:eastAsia="仿宋_GB2312"/>
        </w:rPr>
        <w:fldChar w:fldCharType="separate"/>
      </w:r>
      <w:r>
        <w:rPr>
          <w:rFonts w:eastAsia="仿宋_GB2312"/>
        </w:rPr>
        <w:t>2</w:t>
      </w:r>
      <w:r>
        <w:rPr>
          <w:rFonts w:eastAsia="仿宋_GB2312"/>
        </w:rPr>
        <w:fldChar w:fldCharType="end"/>
      </w:r>
      <w:r>
        <w:rPr>
          <w:rFonts w:eastAsia="仿宋_GB2312"/>
        </w:rPr>
        <w:fldChar w:fldCharType="end"/>
      </w:r>
    </w:p>
    <w:p>
      <w:pPr>
        <w:pStyle w:val="14"/>
        <w:tabs>
          <w:tab w:val="right" w:leader="dot" w:pos="8296"/>
        </w:tabs>
        <w:spacing w:line="500" w:lineRule="exact"/>
        <w:rPr>
          <w:rFonts w:eastAsia="仿宋_GB2312"/>
          <w:szCs w:val="22"/>
        </w:rPr>
      </w:pPr>
      <w:r>
        <w:fldChar w:fldCharType="begin"/>
      </w:r>
      <w:r>
        <w:instrText xml:space="preserve"> HYPERLINK \l "_Toc74055725" </w:instrText>
      </w:r>
      <w:r>
        <w:fldChar w:fldCharType="separate"/>
      </w:r>
      <w:r>
        <w:rPr>
          <w:rStyle w:val="20"/>
          <w:rFonts w:eastAsia="仿宋_GB2312"/>
          <w:color w:val="auto"/>
        </w:rPr>
        <w:t>1.3 规划目标</w:t>
      </w:r>
      <w:r>
        <w:rPr>
          <w:rFonts w:eastAsia="仿宋_GB2312"/>
        </w:rPr>
        <w:tab/>
      </w:r>
      <w:r>
        <w:rPr>
          <w:rFonts w:eastAsia="仿宋_GB2312"/>
        </w:rPr>
        <w:fldChar w:fldCharType="begin"/>
      </w:r>
      <w:r>
        <w:rPr>
          <w:rFonts w:eastAsia="仿宋_GB2312"/>
        </w:rPr>
        <w:instrText xml:space="preserve"> PAGEREF _Toc74055725 \h </w:instrText>
      </w:r>
      <w:r>
        <w:rPr>
          <w:rFonts w:eastAsia="仿宋_GB2312"/>
        </w:rPr>
        <w:fldChar w:fldCharType="separate"/>
      </w:r>
      <w:r>
        <w:rPr>
          <w:rFonts w:eastAsia="仿宋_GB2312"/>
        </w:rPr>
        <w:t>2</w:t>
      </w:r>
      <w:r>
        <w:rPr>
          <w:rFonts w:eastAsia="仿宋_GB2312"/>
        </w:rPr>
        <w:fldChar w:fldCharType="end"/>
      </w:r>
      <w:r>
        <w:rPr>
          <w:rFonts w:eastAsia="仿宋_GB2312"/>
        </w:rPr>
        <w:fldChar w:fldCharType="end"/>
      </w:r>
    </w:p>
    <w:p>
      <w:pPr>
        <w:pStyle w:val="14"/>
        <w:tabs>
          <w:tab w:val="right" w:leader="dot" w:pos="8296"/>
        </w:tabs>
        <w:spacing w:line="500" w:lineRule="exact"/>
        <w:rPr>
          <w:rFonts w:eastAsia="仿宋_GB2312"/>
          <w:szCs w:val="22"/>
        </w:rPr>
      </w:pPr>
      <w:r>
        <w:fldChar w:fldCharType="begin"/>
      </w:r>
      <w:r>
        <w:instrText xml:space="preserve"> HYPERLINK \l "_Toc74055726" </w:instrText>
      </w:r>
      <w:r>
        <w:fldChar w:fldCharType="separate"/>
      </w:r>
      <w:r>
        <w:rPr>
          <w:rStyle w:val="20"/>
          <w:rFonts w:eastAsia="仿宋_GB2312"/>
          <w:color w:val="auto"/>
        </w:rPr>
        <w:t>1.4 产业定位</w:t>
      </w:r>
      <w:r>
        <w:rPr>
          <w:rFonts w:eastAsia="仿宋_GB2312"/>
        </w:rPr>
        <w:tab/>
      </w:r>
      <w:r>
        <w:rPr>
          <w:rFonts w:eastAsia="仿宋_GB2312"/>
        </w:rPr>
        <w:fldChar w:fldCharType="begin"/>
      </w:r>
      <w:r>
        <w:rPr>
          <w:rFonts w:eastAsia="仿宋_GB2312"/>
        </w:rPr>
        <w:instrText xml:space="preserve"> PAGEREF _Toc74055726 \h </w:instrText>
      </w:r>
      <w:r>
        <w:rPr>
          <w:rFonts w:eastAsia="仿宋_GB2312"/>
        </w:rPr>
        <w:fldChar w:fldCharType="separate"/>
      </w:r>
      <w:r>
        <w:rPr>
          <w:rFonts w:eastAsia="仿宋_GB2312"/>
        </w:rPr>
        <w:t>2</w:t>
      </w:r>
      <w:r>
        <w:rPr>
          <w:rFonts w:eastAsia="仿宋_GB2312"/>
        </w:rPr>
        <w:fldChar w:fldCharType="end"/>
      </w:r>
      <w:r>
        <w:rPr>
          <w:rFonts w:eastAsia="仿宋_GB2312"/>
        </w:rPr>
        <w:fldChar w:fldCharType="end"/>
      </w:r>
    </w:p>
    <w:p>
      <w:pPr>
        <w:pStyle w:val="14"/>
        <w:tabs>
          <w:tab w:val="right" w:leader="dot" w:pos="8296"/>
        </w:tabs>
        <w:spacing w:line="500" w:lineRule="exact"/>
        <w:rPr>
          <w:rFonts w:eastAsia="仿宋_GB2312"/>
          <w:szCs w:val="22"/>
        </w:rPr>
      </w:pPr>
      <w:r>
        <w:fldChar w:fldCharType="begin"/>
      </w:r>
      <w:r>
        <w:instrText xml:space="preserve"> HYPERLINK \l "_Toc74055727" </w:instrText>
      </w:r>
      <w:r>
        <w:fldChar w:fldCharType="separate"/>
      </w:r>
      <w:r>
        <w:rPr>
          <w:rStyle w:val="20"/>
          <w:rFonts w:eastAsia="仿宋_GB2312"/>
          <w:color w:val="auto"/>
        </w:rPr>
        <w:t>1.5 基础设施规划</w:t>
      </w:r>
      <w:r>
        <w:rPr>
          <w:rFonts w:eastAsia="仿宋_GB2312"/>
        </w:rPr>
        <w:tab/>
      </w:r>
      <w:r>
        <w:rPr>
          <w:rFonts w:eastAsia="仿宋_GB2312"/>
        </w:rPr>
        <w:fldChar w:fldCharType="begin"/>
      </w:r>
      <w:r>
        <w:rPr>
          <w:rFonts w:eastAsia="仿宋_GB2312"/>
        </w:rPr>
        <w:instrText xml:space="preserve"> PAGEREF _Toc74055727 \h </w:instrText>
      </w:r>
      <w:r>
        <w:rPr>
          <w:rFonts w:eastAsia="仿宋_GB2312"/>
        </w:rPr>
        <w:fldChar w:fldCharType="separate"/>
      </w:r>
      <w:r>
        <w:rPr>
          <w:rFonts w:eastAsia="仿宋_GB2312"/>
        </w:rPr>
        <w:t>3</w:t>
      </w:r>
      <w:r>
        <w:rPr>
          <w:rFonts w:eastAsia="仿宋_GB2312"/>
        </w:rPr>
        <w:fldChar w:fldCharType="end"/>
      </w:r>
      <w:r>
        <w:rPr>
          <w:rFonts w:eastAsia="仿宋_GB2312"/>
        </w:rPr>
        <w:fldChar w:fldCharType="end"/>
      </w:r>
    </w:p>
    <w:p>
      <w:pPr>
        <w:pStyle w:val="13"/>
        <w:spacing w:line="500" w:lineRule="exact"/>
        <w:rPr>
          <w:rFonts w:eastAsia="仿宋_GB2312"/>
          <w:b w:val="0"/>
          <w:sz w:val="21"/>
          <w:szCs w:val="22"/>
        </w:rPr>
      </w:pPr>
      <w:r>
        <w:fldChar w:fldCharType="begin"/>
      </w:r>
      <w:r>
        <w:instrText xml:space="preserve"> HYPERLINK \l "_Toc74055728" </w:instrText>
      </w:r>
      <w:r>
        <w:fldChar w:fldCharType="separate"/>
      </w:r>
      <w:r>
        <w:rPr>
          <w:rStyle w:val="20"/>
          <w:rFonts w:eastAsia="仿宋_GB2312"/>
          <w:color w:val="auto"/>
        </w:rPr>
        <w:t>2 规划协调性分析</w:t>
      </w:r>
      <w:r>
        <w:rPr>
          <w:rFonts w:eastAsia="仿宋_GB2312"/>
        </w:rPr>
        <w:tab/>
      </w:r>
      <w:r>
        <w:rPr>
          <w:rFonts w:eastAsia="仿宋_GB2312"/>
        </w:rPr>
        <w:fldChar w:fldCharType="begin"/>
      </w:r>
      <w:r>
        <w:rPr>
          <w:rFonts w:eastAsia="仿宋_GB2312"/>
        </w:rPr>
        <w:instrText xml:space="preserve"> PAGEREF _Toc74055728 \h </w:instrText>
      </w:r>
      <w:r>
        <w:rPr>
          <w:rFonts w:eastAsia="仿宋_GB2312"/>
        </w:rPr>
        <w:fldChar w:fldCharType="separate"/>
      </w:r>
      <w:r>
        <w:rPr>
          <w:rFonts w:eastAsia="仿宋_GB2312"/>
        </w:rPr>
        <w:t>7</w:t>
      </w:r>
      <w:r>
        <w:rPr>
          <w:rFonts w:eastAsia="仿宋_GB2312"/>
        </w:rPr>
        <w:fldChar w:fldCharType="end"/>
      </w:r>
      <w:r>
        <w:rPr>
          <w:rFonts w:eastAsia="仿宋_GB2312"/>
        </w:rPr>
        <w:fldChar w:fldCharType="end"/>
      </w:r>
    </w:p>
    <w:p>
      <w:pPr>
        <w:pStyle w:val="14"/>
        <w:tabs>
          <w:tab w:val="right" w:leader="dot" w:pos="8296"/>
        </w:tabs>
        <w:spacing w:line="500" w:lineRule="exact"/>
        <w:rPr>
          <w:rFonts w:eastAsia="仿宋_GB2312"/>
          <w:szCs w:val="22"/>
        </w:rPr>
      </w:pPr>
      <w:r>
        <w:fldChar w:fldCharType="begin"/>
      </w:r>
      <w:r>
        <w:instrText xml:space="preserve"> HYPERLINK \l "_Toc74055729" </w:instrText>
      </w:r>
      <w:r>
        <w:fldChar w:fldCharType="separate"/>
      </w:r>
      <w:r>
        <w:rPr>
          <w:rStyle w:val="20"/>
          <w:rFonts w:eastAsia="仿宋_GB2312"/>
          <w:color w:val="auto"/>
        </w:rPr>
        <w:t>2.1 与区域发展规划相符性分析</w:t>
      </w:r>
      <w:r>
        <w:rPr>
          <w:rFonts w:eastAsia="仿宋_GB2312"/>
        </w:rPr>
        <w:tab/>
      </w:r>
      <w:r>
        <w:rPr>
          <w:rFonts w:eastAsia="仿宋_GB2312"/>
        </w:rPr>
        <w:fldChar w:fldCharType="begin"/>
      </w:r>
      <w:r>
        <w:rPr>
          <w:rFonts w:eastAsia="仿宋_GB2312"/>
        </w:rPr>
        <w:instrText xml:space="preserve"> PAGEREF _Toc74055729 \h </w:instrText>
      </w:r>
      <w:r>
        <w:rPr>
          <w:rFonts w:eastAsia="仿宋_GB2312"/>
        </w:rPr>
        <w:fldChar w:fldCharType="separate"/>
      </w:r>
      <w:r>
        <w:rPr>
          <w:rFonts w:eastAsia="仿宋_GB2312"/>
        </w:rPr>
        <w:t>7</w:t>
      </w:r>
      <w:r>
        <w:rPr>
          <w:rFonts w:eastAsia="仿宋_GB2312"/>
        </w:rPr>
        <w:fldChar w:fldCharType="end"/>
      </w:r>
      <w:r>
        <w:rPr>
          <w:rFonts w:eastAsia="仿宋_GB2312"/>
        </w:rPr>
        <w:fldChar w:fldCharType="end"/>
      </w:r>
    </w:p>
    <w:p>
      <w:pPr>
        <w:pStyle w:val="14"/>
        <w:tabs>
          <w:tab w:val="right" w:leader="dot" w:pos="8296"/>
        </w:tabs>
        <w:spacing w:line="500" w:lineRule="exact"/>
        <w:rPr>
          <w:rFonts w:eastAsia="仿宋_GB2312"/>
          <w:szCs w:val="22"/>
        </w:rPr>
      </w:pPr>
      <w:r>
        <w:fldChar w:fldCharType="begin"/>
      </w:r>
      <w:r>
        <w:instrText xml:space="preserve"> HYPERLINK \l "_Toc74055730" </w:instrText>
      </w:r>
      <w:r>
        <w:fldChar w:fldCharType="separate"/>
      </w:r>
      <w:r>
        <w:rPr>
          <w:rStyle w:val="20"/>
          <w:rFonts w:eastAsia="仿宋_GB2312"/>
          <w:color w:val="auto"/>
        </w:rPr>
        <w:t>2.2 与用地相关规划相符性分析</w:t>
      </w:r>
      <w:r>
        <w:rPr>
          <w:rFonts w:eastAsia="仿宋_GB2312"/>
        </w:rPr>
        <w:tab/>
      </w:r>
      <w:r>
        <w:rPr>
          <w:rFonts w:eastAsia="仿宋_GB2312"/>
        </w:rPr>
        <w:fldChar w:fldCharType="begin"/>
      </w:r>
      <w:r>
        <w:rPr>
          <w:rFonts w:eastAsia="仿宋_GB2312"/>
        </w:rPr>
        <w:instrText xml:space="preserve"> PAGEREF _Toc74055730 \h </w:instrText>
      </w:r>
      <w:r>
        <w:rPr>
          <w:rFonts w:eastAsia="仿宋_GB2312"/>
        </w:rPr>
        <w:fldChar w:fldCharType="separate"/>
      </w:r>
      <w:r>
        <w:rPr>
          <w:rFonts w:eastAsia="仿宋_GB2312"/>
        </w:rPr>
        <w:t>7</w:t>
      </w:r>
      <w:r>
        <w:rPr>
          <w:rFonts w:eastAsia="仿宋_GB2312"/>
        </w:rPr>
        <w:fldChar w:fldCharType="end"/>
      </w:r>
      <w:r>
        <w:rPr>
          <w:rFonts w:eastAsia="仿宋_GB2312"/>
        </w:rPr>
        <w:fldChar w:fldCharType="end"/>
      </w:r>
    </w:p>
    <w:p>
      <w:pPr>
        <w:pStyle w:val="14"/>
        <w:tabs>
          <w:tab w:val="right" w:leader="dot" w:pos="8296"/>
        </w:tabs>
        <w:spacing w:line="500" w:lineRule="exact"/>
        <w:rPr>
          <w:rFonts w:eastAsia="仿宋_GB2312"/>
          <w:szCs w:val="22"/>
        </w:rPr>
      </w:pPr>
      <w:r>
        <w:fldChar w:fldCharType="begin"/>
      </w:r>
      <w:r>
        <w:instrText xml:space="preserve"> HYPERLINK \l "_Toc74055731" </w:instrText>
      </w:r>
      <w:r>
        <w:fldChar w:fldCharType="separate"/>
      </w:r>
      <w:r>
        <w:rPr>
          <w:rStyle w:val="20"/>
          <w:rFonts w:eastAsia="仿宋_GB2312"/>
          <w:color w:val="auto"/>
        </w:rPr>
        <w:t>2.3 与产业政策及规划相符性分析</w:t>
      </w:r>
      <w:r>
        <w:rPr>
          <w:rFonts w:eastAsia="仿宋_GB2312"/>
        </w:rPr>
        <w:tab/>
      </w:r>
      <w:r>
        <w:rPr>
          <w:rFonts w:eastAsia="仿宋_GB2312"/>
        </w:rPr>
        <w:fldChar w:fldCharType="begin"/>
      </w:r>
      <w:r>
        <w:rPr>
          <w:rFonts w:eastAsia="仿宋_GB2312"/>
        </w:rPr>
        <w:instrText xml:space="preserve"> PAGEREF _Toc74055731 \h </w:instrText>
      </w:r>
      <w:r>
        <w:rPr>
          <w:rFonts w:eastAsia="仿宋_GB2312"/>
        </w:rPr>
        <w:fldChar w:fldCharType="separate"/>
      </w:r>
      <w:r>
        <w:rPr>
          <w:rFonts w:eastAsia="仿宋_GB2312"/>
        </w:rPr>
        <w:t>7</w:t>
      </w:r>
      <w:r>
        <w:rPr>
          <w:rFonts w:eastAsia="仿宋_GB2312"/>
        </w:rPr>
        <w:fldChar w:fldCharType="end"/>
      </w:r>
      <w:r>
        <w:rPr>
          <w:rFonts w:eastAsia="仿宋_GB2312"/>
        </w:rPr>
        <w:fldChar w:fldCharType="end"/>
      </w:r>
    </w:p>
    <w:p>
      <w:pPr>
        <w:pStyle w:val="14"/>
        <w:tabs>
          <w:tab w:val="right" w:leader="dot" w:pos="8296"/>
        </w:tabs>
        <w:spacing w:line="500" w:lineRule="exact"/>
        <w:rPr>
          <w:rFonts w:eastAsia="仿宋_GB2312"/>
          <w:szCs w:val="22"/>
        </w:rPr>
      </w:pPr>
      <w:r>
        <w:fldChar w:fldCharType="begin"/>
      </w:r>
      <w:r>
        <w:instrText xml:space="preserve"> HYPERLINK \l "_Toc74055732" </w:instrText>
      </w:r>
      <w:r>
        <w:fldChar w:fldCharType="separate"/>
      </w:r>
      <w:r>
        <w:rPr>
          <w:rStyle w:val="20"/>
          <w:rFonts w:eastAsia="仿宋_GB2312"/>
          <w:color w:val="auto"/>
        </w:rPr>
        <w:t>2.4 与生态环境保护法规及规划相符性分析</w:t>
      </w:r>
      <w:r>
        <w:rPr>
          <w:rFonts w:eastAsia="仿宋_GB2312"/>
        </w:rPr>
        <w:tab/>
      </w:r>
      <w:r>
        <w:rPr>
          <w:rFonts w:eastAsia="仿宋_GB2312"/>
        </w:rPr>
        <w:fldChar w:fldCharType="begin"/>
      </w:r>
      <w:r>
        <w:rPr>
          <w:rFonts w:eastAsia="仿宋_GB2312"/>
        </w:rPr>
        <w:instrText xml:space="preserve"> PAGEREF _Toc74055732 \h </w:instrText>
      </w:r>
      <w:r>
        <w:rPr>
          <w:rFonts w:eastAsia="仿宋_GB2312"/>
        </w:rPr>
        <w:fldChar w:fldCharType="separate"/>
      </w:r>
      <w:r>
        <w:rPr>
          <w:rFonts w:eastAsia="仿宋_GB2312"/>
        </w:rPr>
        <w:t>7</w:t>
      </w:r>
      <w:r>
        <w:rPr>
          <w:rFonts w:eastAsia="仿宋_GB2312"/>
        </w:rPr>
        <w:fldChar w:fldCharType="end"/>
      </w:r>
      <w:r>
        <w:rPr>
          <w:rFonts w:eastAsia="仿宋_GB2312"/>
        </w:rPr>
        <w:fldChar w:fldCharType="end"/>
      </w:r>
    </w:p>
    <w:p>
      <w:pPr>
        <w:pStyle w:val="13"/>
        <w:spacing w:line="500" w:lineRule="exact"/>
        <w:rPr>
          <w:rFonts w:eastAsia="仿宋_GB2312"/>
          <w:b w:val="0"/>
          <w:sz w:val="21"/>
          <w:szCs w:val="22"/>
        </w:rPr>
      </w:pPr>
      <w:r>
        <w:fldChar w:fldCharType="begin"/>
      </w:r>
      <w:r>
        <w:instrText xml:space="preserve"> HYPERLINK \l "_Toc74055733" </w:instrText>
      </w:r>
      <w:r>
        <w:fldChar w:fldCharType="separate"/>
      </w:r>
      <w:r>
        <w:rPr>
          <w:rStyle w:val="20"/>
          <w:rFonts w:eastAsia="仿宋_GB2312"/>
          <w:color w:val="auto"/>
        </w:rPr>
        <w:t>3环境质量现状</w:t>
      </w:r>
      <w:r>
        <w:rPr>
          <w:rFonts w:eastAsia="仿宋_GB2312"/>
        </w:rPr>
        <w:tab/>
      </w:r>
      <w:r>
        <w:rPr>
          <w:rFonts w:eastAsia="仿宋_GB2312"/>
        </w:rPr>
        <w:fldChar w:fldCharType="begin"/>
      </w:r>
      <w:r>
        <w:rPr>
          <w:rFonts w:eastAsia="仿宋_GB2312"/>
        </w:rPr>
        <w:instrText xml:space="preserve"> PAGEREF _Toc74055733 \h </w:instrText>
      </w:r>
      <w:r>
        <w:rPr>
          <w:rFonts w:eastAsia="仿宋_GB2312"/>
        </w:rPr>
        <w:fldChar w:fldCharType="separate"/>
      </w:r>
      <w:r>
        <w:rPr>
          <w:rFonts w:eastAsia="仿宋_GB2312"/>
        </w:rPr>
        <w:t>9</w:t>
      </w:r>
      <w:r>
        <w:rPr>
          <w:rFonts w:eastAsia="仿宋_GB2312"/>
        </w:rPr>
        <w:fldChar w:fldCharType="end"/>
      </w:r>
      <w:r>
        <w:rPr>
          <w:rFonts w:eastAsia="仿宋_GB2312"/>
        </w:rPr>
        <w:fldChar w:fldCharType="end"/>
      </w:r>
    </w:p>
    <w:p>
      <w:pPr>
        <w:pStyle w:val="13"/>
        <w:spacing w:line="500" w:lineRule="exact"/>
        <w:rPr>
          <w:rFonts w:eastAsia="仿宋_GB2312"/>
          <w:b w:val="0"/>
          <w:sz w:val="21"/>
          <w:szCs w:val="22"/>
        </w:rPr>
      </w:pPr>
      <w:r>
        <w:fldChar w:fldCharType="begin"/>
      </w:r>
      <w:r>
        <w:instrText xml:space="preserve"> HYPERLINK \l "_Toc74055734" </w:instrText>
      </w:r>
      <w:r>
        <w:fldChar w:fldCharType="separate"/>
      </w:r>
      <w:r>
        <w:rPr>
          <w:rStyle w:val="20"/>
          <w:rFonts w:eastAsia="仿宋_GB2312"/>
          <w:color w:val="auto"/>
        </w:rPr>
        <w:t>4环境影响预测结论</w:t>
      </w:r>
      <w:r>
        <w:rPr>
          <w:rFonts w:eastAsia="仿宋_GB2312"/>
        </w:rPr>
        <w:tab/>
      </w:r>
      <w:r>
        <w:rPr>
          <w:rFonts w:eastAsia="仿宋_GB2312"/>
        </w:rPr>
        <w:fldChar w:fldCharType="begin"/>
      </w:r>
      <w:r>
        <w:rPr>
          <w:rFonts w:eastAsia="仿宋_GB2312"/>
        </w:rPr>
        <w:instrText xml:space="preserve"> PAGEREF _Toc74055734 \h </w:instrText>
      </w:r>
      <w:r>
        <w:rPr>
          <w:rFonts w:eastAsia="仿宋_GB2312"/>
        </w:rPr>
        <w:fldChar w:fldCharType="separate"/>
      </w:r>
      <w:r>
        <w:rPr>
          <w:rFonts w:eastAsia="仿宋_GB2312"/>
        </w:rPr>
        <w:t>10</w:t>
      </w:r>
      <w:r>
        <w:rPr>
          <w:rFonts w:eastAsia="仿宋_GB2312"/>
        </w:rPr>
        <w:fldChar w:fldCharType="end"/>
      </w:r>
      <w:r>
        <w:rPr>
          <w:rFonts w:eastAsia="仿宋_GB2312"/>
        </w:rPr>
        <w:fldChar w:fldCharType="end"/>
      </w:r>
    </w:p>
    <w:p>
      <w:pPr>
        <w:pStyle w:val="13"/>
        <w:spacing w:line="500" w:lineRule="exact"/>
        <w:rPr>
          <w:rFonts w:eastAsia="仿宋_GB2312"/>
          <w:b w:val="0"/>
          <w:sz w:val="21"/>
          <w:szCs w:val="22"/>
        </w:rPr>
      </w:pPr>
      <w:r>
        <w:fldChar w:fldCharType="begin"/>
      </w:r>
      <w:r>
        <w:instrText xml:space="preserve"> HYPERLINK \l "_Toc74055735" </w:instrText>
      </w:r>
      <w:r>
        <w:fldChar w:fldCharType="separate"/>
      </w:r>
      <w:r>
        <w:rPr>
          <w:rStyle w:val="20"/>
          <w:rFonts w:eastAsia="仿宋_GB2312"/>
          <w:color w:val="auto"/>
        </w:rPr>
        <w:t>5 规划方案综合论证</w:t>
      </w:r>
      <w:r>
        <w:rPr>
          <w:rFonts w:eastAsia="仿宋_GB2312"/>
        </w:rPr>
        <w:tab/>
      </w:r>
      <w:r>
        <w:rPr>
          <w:rFonts w:eastAsia="仿宋_GB2312"/>
        </w:rPr>
        <w:fldChar w:fldCharType="begin"/>
      </w:r>
      <w:r>
        <w:rPr>
          <w:rFonts w:eastAsia="仿宋_GB2312"/>
        </w:rPr>
        <w:instrText xml:space="preserve"> PAGEREF _Toc74055735 \h </w:instrText>
      </w:r>
      <w:r>
        <w:rPr>
          <w:rFonts w:eastAsia="仿宋_GB2312"/>
        </w:rPr>
        <w:fldChar w:fldCharType="separate"/>
      </w:r>
      <w:r>
        <w:rPr>
          <w:rFonts w:eastAsia="仿宋_GB2312"/>
        </w:rPr>
        <w:t>11</w:t>
      </w:r>
      <w:r>
        <w:rPr>
          <w:rFonts w:eastAsia="仿宋_GB2312"/>
        </w:rPr>
        <w:fldChar w:fldCharType="end"/>
      </w:r>
      <w:r>
        <w:rPr>
          <w:rFonts w:eastAsia="仿宋_GB2312"/>
        </w:rPr>
        <w:fldChar w:fldCharType="end"/>
      </w:r>
    </w:p>
    <w:p>
      <w:pPr>
        <w:pStyle w:val="13"/>
        <w:spacing w:line="500" w:lineRule="exact"/>
        <w:rPr>
          <w:rFonts w:eastAsia="仿宋_GB2312"/>
          <w:b w:val="0"/>
          <w:sz w:val="21"/>
          <w:szCs w:val="22"/>
        </w:rPr>
      </w:pPr>
      <w:r>
        <w:fldChar w:fldCharType="begin"/>
      </w:r>
      <w:r>
        <w:instrText xml:space="preserve"> HYPERLINK \l "_Toc74055736" </w:instrText>
      </w:r>
      <w:r>
        <w:fldChar w:fldCharType="separate"/>
      </w:r>
      <w:r>
        <w:rPr>
          <w:rStyle w:val="20"/>
          <w:rFonts w:eastAsia="仿宋_GB2312"/>
          <w:color w:val="auto"/>
        </w:rPr>
        <w:t>6环境影响减缓措施</w:t>
      </w:r>
      <w:r>
        <w:rPr>
          <w:rFonts w:eastAsia="仿宋_GB2312"/>
        </w:rPr>
        <w:tab/>
      </w:r>
      <w:r>
        <w:rPr>
          <w:rFonts w:eastAsia="仿宋_GB2312"/>
        </w:rPr>
        <w:fldChar w:fldCharType="begin"/>
      </w:r>
      <w:r>
        <w:rPr>
          <w:rFonts w:eastAsia="仿宋_GB2312"/>
        </w:rPr>
        <w:instrText xml:space="preserve"> PAGEREF _Toc74055736 \h </w:instrText>
      </w:r>
      <w:r>
        <w:rPr>
          <w:rFonts w:eastAsia="仿宋_GB2312"/>
        </w:rPr>
        <w:fldChar w:fldCharType="separate"/>
      </w:r>
      <w:r>
        <w:rPr>
          <w:rFonts w:eastAsia="仿宋_GB2312"/>
        </w:rPr>
        <w:t>12</w:t>
      </w:r>
      <w:r>
        <w:rPr>
          <w:rFonts w:eastAsia="仿宋_GB2312"/>
        </w:rPr>
        <w:fldChar w:fldCharType="end"/>
      </w:r>
      <w:r>
        <w:rPr>
          <w:rFonts w:eastAsia="仿宋_GB2312"/>
        </w:rPr>
        <w:fldChar w:fldCharType="end"/>
      </w:r>
    </w:p>
    <w:p>
      <w:pPr>
        <w:pStyle w:val="13"/>
        <w:spacing w:line="500" w:lineRule="exact"/>
        <w:rPr>
          <w:rFonts w:eastAsia="仿宋_GB2312"/>
          <w:b w:val="0"/>
          <w:sz w:val="21"/>
          <w:szCs w:val="22"/>
        </w:rPr>
      </w:pPr>
      <w:r>
        <w:fldChar w:fldCharType="begin"/>
      </w:r>
      <w:r>
        <w:instrText xml:space="preserve"> HYPERLINK \l "_Toc74055737" </w:instrText>
      </w:r>
      <w:r>
        <w:fldChar w:fldCharType="separate"/>
      </w:r>
      <w:r>
        <w:rPr>
          <w:rStyle w:val="20"/>
          <w:rFonts w:eastAsia="仿宋_GB2312"/>
          <w:color w:val="auto"/>
        </w:rPr>
        <w:t>7 公众参与方案</w:t>
      </w:r>
      <w:r>
        <w:rPr>
          <w:rFonts w:eastAsia="仿宋_GB2312"/>
        </w:rPr>
        <w:tab/>
      </w:r>
      <w:r>
        <w:rPr>
          <w:rFonts w:eastAsia="仿宋_GB2312"/>
        </w:rPr>
        <w:fldChar w:fldCharType="begin"/>
      </w:r>
      <w:r>
        <w:rPr>
          <w:rFonts w:eastAsia="仿宋_GB2312"/>
        </w:rPr>
        <w:instrText xml:space="preserve"> PAGEREF _Toc74055737 \h </w:instrText>
      </w:r>
      <w:r>
        <w:rPr>
          <w:rFonts w:eastAsia="仿宋_GB2312"/>
        </w:rPr>
        <w:fldChar w:fldCharType="separate"/>
      </w:r>
      <w:r>
        <w:rPr>
          <w:rFonts w:eastAsia="仿宋_GB2312"/>
        </w:rPr>
        <w:t>13</w:t>
      </w:r>
      <w:r>
        <w:rPr>
          <w:rFonts w:eastAsia="仿宋_GB2312"/>
        </w:rPr>
        <w:fldChar w:fldCharType="end"/>
      </w:r>
      <w:r>
        <w:rPr>
          <w:rFonts w:eastAsia="仿宋_GB2312"/>
        </w:rPr>
        <w:fldChar w:fldCharType="end"/>
      </w:r>
    </w:p>
    <w:p>
      <w:pPr>
        <w:pStyle w:val="13"/>
        <w:spacing w:line="500" w:lineRule="exact"/>
        <w:rPr>
          <w:rFonts w:eastAsia="仿宋_GB2312"/>
          <w:b w:val="0"/>
          <w:sz w:val="21"/>
          <w:szCs w:val="22"/>
        </w:rPr>
      </w:pPr>
      <w:r>
        <w:fldChar w:fldCharType="begin"/>
      </w:r>
      <w:r>
        <w:instrText xml:space="preserve"> HYPERLINK \l "_Toc74055738" </w:instrText>
      </w:r>
      <w:r>
        <w:fldChar w:fldCharType="separate"/>
      </w:r>
      <w:r>
        <w:rPr>
          <w:rStyle w:val="20"/>
          <w:rFonts w:eastAsia="仿宋_GB2312"/>
          <w:color w:val="auto"/>
        </w:rPr>
        <w:t>8 环境影响评价总结论</w:t>
      </w:r>
      <w:r>
        <w:rPr>
          <w:rFonts w:eastAsia="仿宋_GB2312"/>
        </w:rPr>
        <w:tab/>
      </w:r>
      <w:r>
        <w:rPr>
          <w:rFonts w:eastAsia="仿宋_GB2312"/>
        </w:rPr>
        <w:fldChar w:fldCharType="begin"/>
      </w:r>
      <w:r>
        <w:rPr>
          <w:rFonts w:eastAsia="仿宋_GB2312"/>
        </w:rPr>
        <w:instrText xml:space="preserve"> PAGEREF _Toc74055738 \h </w:instrText>
      </w:r>
      <w:r>
        <w:rPr>
          <w:rFonts w:eastAsia="仿宋_GB2312"/>
        </w:rPr>
        <w:fldChar w:fldCharType="separate"/>
      </w:r>
      <w:r>
        <w:rPr>
          <w:rFonts w:eastAsia="仿宋_GB2312"/>
        </w:rPr>
        <w:t>14</w:t>
      </w:r>
      <w:r>
        <w:rPr>
          <w:rFonts w:eastAsia="仿宋_GB2312"/>
        </w:rPr>
        <w:fldChar w:fldCharType="end"/>
      </w:r>
      <w:r>
        <w:rPr>
          <w:rFonts w:eastAsia="仿宋_GB2312"/>
        </w:rPr>
        <w:fldChar w:fldCharType="end"/>
      </w:r>
    </w:p>
    <w:p>
      <w:pPr>
        <w:pStyle w:val="13"/>
        <w:spacing w:line="500" w:lineRule="exact"/>
        <w:rPr>
          <w:rFonts w:eastAsia="仿宋_GB2312"/>
          <w:b w:val="0"/>
          <w:sz w:val="21"/>
          <w:szCs w:val="22"/>
        </w:rPr>
      </w:pPr>
      <w:r>
        <w:fldChar w:fldCharType="begin"/>
      </w:r>
      <w:r>
        <w:instrText xml:space="preserve"> HYPERLINK \l "_Toc74055739" </w:instrText>
      </w:r>
      <w:r>
        <w:fldChar w:fldCharType="separate"/>
      </w:r>
      <w:r>
        <w:rPr>
          <w:rStyle w:val="20"/>
          <w:rFonts w:eastAsia="仿宋_GB2312"/>
          <w:color w:val="auto"/>
        </w:rPr>
        <w:t>9 联系方式</w:t>
      </w:r>
      <w:r>
        <w:rPr>
          <w:rFonts w:eastAsia="仿宋_GB2312"/>
        </w:rPr>
        <w:tab/>
      </w:r>
      <w:r>
        <w:rPr>
          <w:rFonts w:eastAsia="仿宋_GB2312"/>
        </w:rPr>
        <w:fldChar w:fldCharType="begin"/>
      </w:r>
      <w:r>
        <w:rPr>
          <w:rFonts w:eastAsia="仿宋_GB2312"/>
        </w:rPr>
        <w:instrText xml:space="preserve"> PAGEREF _Toc74055739 \h </w:instrText>
      </w:r>
      <w:r>
        <w:rPr>
          <w:rFonts w:eastAsia="仿宋_GB2312"/>
        </w:rPr>
        <w:fldChar w:fldCharType="separate"/>
      </w:r>
      <w:r>
        <w:rPr>
          <w:rFonts w:eastAsia="仿宋_GB2312"/>
        </w:rPr>
        <w:t>15</w:t>
      </w:r>
      <w:r>
        <w:rPr>
          <w:rFonts w:eastAsia="仿宋_GB2312"/>
        </w:rPr>
        <w:fldChar w:fldCharType="end"/>
      </w:r>
      <w:r>
        <w:rPr>
          <w:rFonts w:eastAsia="仿宋_GB2312"/>
        </w:rPr>
        <w:fldChar w:fldCharType="end"/>
      </w:r>
    </w:p>
    <w:p>
      <w:pPr>
        <w:spacing w:line="500" w:lineRule="exact"/>
        <w:rPr>
          <w:rFonts w:eastAsia="仿宋_GB2312"/>
          <w:sz w:val="24"/>
        </w:rPr>
      </w:pPr>
      <w:r>
        <w:rPr>
          <w:rFonts w:eastAsia="仿宋_GB2312"/>
          <w:sz w:val="24"/>
        </w:rPr>
        <w:fldChar w:fldCharType="end"/>
      </w:r>
    </w:p>
    <w:p>
      <w:pPr>
        <w:spacing w:line="500" w:lineRule="exact"/>
        <w:ind w:firstLine="640" w:firstLineChars="200"/>
        <w:rPr>
          <w:sz w:val="32"/>
          <w:szCs w:val="32"/>
        </w:rPr>
        <w:sectPr>
          <w:footerReference r:id="rId4" w:type="default"/>
          <w:pgSz w:w="11906" w:h="16838"/>
          <w:pgMar w:top="1440" w:right="1800" w:bottom="1440" w:left="1800" w:header="851" w:footer="992" w:gutter="0"/>
          <w:pgNumType w:fmt="upperRoman" w:start="1"/>
          <w:cols w:space="425" w:num="1"/>
          <w:docGrid w:type="lines" w:linePitch="312" w:charSpace="0"/>
        </w:sectPr>
      </w:pPr>
    </w:p>
    <w:bookmarkEnd w:id="1"/>
    <w:p>
      <w:pPr>
        <w:pStyle w:val="2"/>
        <w:spacing w:line="500" w:lineRule="exact"/>
      </w:pPr>
      <w:bookmarkStart w:id="6" w:name="_Toc74055722"/>
      <w:r>
        <w:t>1 任务背景及规划</w:t>
      </w:r>
      <w:bookmarkEnd w:id="2"/>
      <w:bookmarkEnd w:id="3"/>
      <w:bookmarkEnd w:id="4"/>
      <w:bookmarkEnd w:id="5"/>
      <w:r>
        <w:t>概述</w:t>
      </w:r>
      <w:bookmarkEnd w:id="6"/>
    </w:p>
    <w:p>
      <w:pPr>
        <w:pStyle w:val="3"/>
        <w:spacing w:line="500" w:lineRule="exact"/>
      </w:pPr>
      <w:bookmarkStart w:id="7" w:name="_Toc74055723"/>
      <w:r>
        <w:t>1.1 任务背景</w:t>
      </w:r>
      <w:bookmarkEnd w:id="7"/>
    </w:p>
    <w:p>
      <w:pPr>
        <w:adjustRightInd w:val="0"/>
        <w:snapToGrid w:val="0"/>
        <w:spacing w:line="500" w:lineRule="exact"/>
        <w:ind w:firstLine="560" w:firstLineChars="200"/>
        <w:rPr>
          <w:rFonts w:hint="eastAsia" w:eastAsia="仿宋_GB2312"/>
          <w:bCs/>
          <w:sz w:val="28"/>
          <w:szCs w:val="28"/>
        </w:rPr>
      </w:pPr>
      <w:r>
        <w:rPr>
          <w:rFonts w:hint="eastAsia" w:eastAsia="仿宋_GB2312"/>
          <w:bCs/>
          <w:sz w:val="28"/>
          <w:szCs w:val="28"/>
        </w:rPr>
        <w:t>启东市寅阳镇作为长江入海第一镇，是一个具有百年悠久历史的名镇，地处著名的长江三角洲，东依黄海，南枕长江，西邻沪崇苏大通道，与国际大都市上海隔江相望，是通江达海的重要门户。全镇面积100.58平方公里，长江岸线12公里，全镇总人口约7.87万，这里平原绿野，气候宜人，物产丰富，风光秀丽，被誉为“江海明珠”。</w:t>
      </w:r>
    </w:p>
    <w:p>
      <w:pPr>
        <w:adjustRightInd w:val="0"/>
        <w:snapToGrid w:val="0"/>
        <w:spacing w:line="500" w:lineRule="exact"/>
        <w:ind w:firstLine="560" w:firstLineChars="200"/>
        <w:rPr>
          <w:rFonts w:hint="eastAsia" w:eastAsia="仿宋_GB2312"/>
          <w:bCs/>
          <w:sz w:val="28"/>
          <w:szCs w:val="28"/>
        </w:rPr>
      </w:pPr>
      <w:r>
        <w:rPr>
          <w:rFonts w:hint="eastAsia" w:eastAsia="仿宋_GB2312"/>
          <w:bCs/>
          <w:sz w:val="28"/>
          <w:szCs w:val="28"/>
        </w:rPr>
        <w:t>寅阳镇有着雄厚的工业基础，镇上箱包、针织、服装等产品畅销国内外。近年来随着寅阳镇沿江船舶工业园的兴起，寅阳镇船舶工业园内已有入驻企业十二家，总投资额超过200亿元，形成了以中远海工、联合重工、道达重工为龙头，一批万吨级造船企业为支撑，机电钢构企业为配套协作的产业集群格局，现正在建造大型海工平台、液化气储罐、大型钢构、自航起重船等具有国际竞争力的船舶和重型技术装备，极大地带动了寅阳镇工业经济的多元化发展。其中启东市船舶工业园区已开展规划环境影响评价工作，南通市启东生态环境局(启环发[2018]109号)批复同意《启东海工船舶工业园规划环境影响报告书》。故此次评价工作不包括海工船舶园。</w:t>
      </w:r>
    </w:p>
    <w:p>
      <w:pPr>
        <w:adjustRightInd w:val="0"/>
        <w:snapToGrid w:val="0"/>
        <w:spacing w:line="500" w:lineRule="exact"/>
        <w:ind w:firstLine="560" w:firstLineChars="200"/>
        <w:rPr>
          <w:rFonts w:hint="eastAsia" w:eastAsia="仿宋_GB2312"/>
          <w:bCs/>
          <w:sz w:val="28"/>
          <w:szCs w:val="28"/>
        </w:rPr>
      </w:pPr>
      <w:r>
        <w:rPr>
          <w:rFonts w:hint="eastAsia" w:eastAsia="仿宋_GB2312"/>
          <w:bCs/>
          <w:sz w:val="28"/>
          <w:szCs w:val="28"/>
        </w:rPr>
        <w:t>寅阳镇工业集中区一共分为四个片区，分别为和合工业集中区、希士工业集中区、江夏工业集中区、寅阳工业集中区，区总面积约为982.36公顷。寅阳工业集中区四至边界为：东至寅阳路，南至寅南路、寅和路，西至寅西村十四组，北至G345，规划用地面积约为128.65公顷；江夏工业集中区四至边界为：东至寅西路，南至江夏村七组，西至戤效路，北至G345，规划用地面积约为23.33公顷；和合工业集中区四至边界为：东至和合镇村八组，南至沿江公路，西至五仓港路、六效河，北至G345，规划用地面积约为693.65公顷；希士工业集中区四至边界为：东至洪飞村八组，南至G345，西至晁汀村九组、晁汀北路，北至中央河、晁汀三路，规划用地面积约为136.73公顷</w:t>
      </w:r>
      <w:r>
        <w:rPr>
          <w:rFonts w:hint="eastAsia" w:eastAsia="仿宋_GB2312"/>
          <w:bCs/>
          <w:sz w:val="28"/>
          <w:szCs w:val="28"/>
          <w:lang w:eastAsia="zh-CN"/>
        </w:rPr>
        <w:t>。</w:t>
      </w:r>
      <w:r>
        <w:rPr>
          <w:rFonts w:hint="eastAsia" w:eastAsia="仿宋_GB2312"/>
          <w:bCs/>
          <w:sz w:val="28"/>
          <w:szCs w:val="28"/>
        </w:rPr>
        <w:t>四个片区产业定位均为轻工业、电子产业、机械加工产业、纺织服装等轻污染行业。</w:t>
      </w:r>
    </w:p>
    <w:p>
      <w:pPr>
        <w:adjustRightInd w:val="0"/>
        <w:snapToGrid w:val="0"/>
        <w:spacing w:line="500" w:lineRule="exact"/>
        <w:ind w:firstLine="560" w:firstLineChars="200"/>
        <w:rPr>
          <w:rFonts w:hint="eastAsia" w:eastAsia="仿宋_GB2312"/>
          <w:bCs/>
          <w:sz w:val="28"/>
          <w:szCs w:val="28"/>
        </w:rPr>
      </w:pPr>
      <w:r>
        <w:rPr>
          <w:rFonts w:hint="eastAsia" w:eastAsia="仿宋_GB2312"/>
          <w:bCs/>
          <w:sz w:val="28"/>
          <w:szCs w:val="28"/>
        </w:rPr>
        <w:t>根据《中华人民共和国环境影响评价法》（中华人民共和国主席令第二十四号）、《规划环境影响评价条例》（国务院令第559号）、原环保部发布《关于以改善环境质量为核心加强环境影响评价管理的通知》（环环评[2016]150号）关于“三线一单”加强规划和项目环评管理要求等相关法律法规，江苏省生态环境厅《关于切实加强产业园区规划环境影响评价工作的通知》（苏环办〔2017〕140号）和南通市生态办《关于在全市各级工业园区（集中区）实施规划环境影响评价的通知》（生态办发〔2019〕7号），南通市启东生态环境局《关于进一步加强产业园区规划环评和环境影响评价区域评估工作的通知》精神，要求县（市）级及以下各级园区（集中区）完成规划环评全覆盖工作，结合寅阳镇总体规划实际情况，开展《启东市寅阳镇工业集中区规划环境影响评价报告书》的编制工作。</w:t>
      </w:r>
    </w:p>
    <w:p>
      <w:pPr>
        <w:adjustRightInd w:val="0"/>
        <w:snapToGrid w:val="0"/>
        <w:spacing w:line="500" w:lineRule="exact"/>
        <w:ind w:firstLine="560" w:firstLineChars="200"/>
        <w:rPr>
          <w:rFonts w:eastAsia="仿宋_GB2312"/>
          <w:bCs/>
          <w:sz w:val="28"/>
          <w:szCs w:val="28"/>
        </w:rPr>
      </w:pPr>
      <w:r>
        <w:rPr>
          <w:rFonts w:hint="eastAsia" w:eastAsia="仿宋_GB2312"/>
          <w:bCs/>
          <w:sz w:val="28"/>
          <w:szCs w:val="28"/>
        </w:rPr>
        <w:t>环评单位在接受编制委托后，对项目所在地进行实地踏勘、调研，并在寅阳镇人民政府的大力协助下，充分收集资料、现场踏勘、环境现状调查。本次评价拟通过对集中区范围内现状及存在问题分析，从区域环境管理的要求出发，提出合理、实用的环境保护措施及对策建议，为工业集中区的可持续发展提供科学的依据，从而促进区域产业经济、人口、资源和环境的协调发展。</w:t>
      </w:r>
    </w:p>
    <w:p>
      <w:pPr>
        <w:pStyle w:val="3"/>
        <w:spacing w:line="500" w:lineRule="exact"/>
      </w:pPr>
      <w:bookmarkStart w:id="8" w:name="_Toc74055724"/>
      <w:r>
        <w:t>1.2 规划范围和期限</w:t>
      </w:r>
      <w:bookmarkEnd w:id="8"/>
    </w:p>
    <w:p>
      <w:pPr>
        <w:adjustRightInd w:val="0"/>
        <w:snapToGrid w:val="0"/>
        <w:spacing w:line="500" w:lineRule="exact"/>
        <w:ind w:firstLine="560" w:firstLineChars="200"/>
        <w:rPr>
          <w:rFonts w:hint="eastAsia" w:eastAsia="仿宋_GB2312"/>
          <w:bCs/>
          <w:sz w:val="28"/>
          <w:szCs w:val="28"/>
        </w:rPr>
      </w:pPr>
      <w:bookmarkStart w:id="9" w:name="_Toc74055725"/>
      <w:r>
        <w:rPr>
          <w:rFonts w:hint="eastAsia" w:eastAsia="仿宋_GB2312"/>
          <w:bCs/>
          <w:sz w:val="28"/>
          <w:szCs w:val="28"/>
        </w:rPr>
        <w:t>规划范围：寅阳镇工业集中区一共分为四个片区，分别为和合工业集中区、希士工业集中区、江夏工业集中区、寅阳工业集中区，区总面积约为982.36公顷。寅阳工业集中区四至边界为：东至寅阳路，南至寅南路、寅和路，西至寅西村十四组，北至G345，规划用地面积约为128.65公顷；江夏工业集中区四至边界为：东至寅西路，南至江夏村七组，西至戤效路，北至G345，规划用地面积约为23.33公顷；和合工业集中区四至边界为：东至和合镇村八组，南至沿江公路，西至五仓港路、六效河，北至G345，规划用地面积约为693.65公顷；希士工业集中区四至边界为：东至洪飞村八组，南至G345，西至晁汀村九组、晁汀北路，北至中央河、晁汀三路，规划用地面积约为136.73公顷</w:t>
      </w:r>
      <w:r>
        <w:rPr>
          <w:rFonts w:hint="eastAsia" w:eastAsia="仿宋_GB2312"/>
          <w:bCs/>
          <w:sz w:val="28"/>
          <w:szCs w:val="28"/>
          <w:lang w:eastAsia="zh-CN"/>
        </w:rPr>
        <w:t>。</w:t>
      </w:r>
    </w:p>
    <w:p>
      <w:pPr>
        <w:adjustRightInd w:val="0"/>
        <w:snapToGrid w:val="0"/>
        <w:spacing w:line="500" w:lineRule="exact"/>
        <w:ind w:firstLine="560" w:firstLineChars="200"/>
        <w:rPr>
          <w:rFonts w:eastAsia="仿宋_GB2312"/>
          <w:bCs/>
          <w:sz w:val="28"/>
          <w:szCs w:val="28"/>
        </w:rPr>
      </w:pPr>
      <w:r>
        <w:rPr>
          <w:rFonts w:hint="eastAsia" w:eastAsia="仿宋_GB2312"/>
          <w:bCs/>
          <w:sz w:val="28"/>
          <w:szCs w:val="28"/>
        </w:rPr>
        <w:t>规划期限：2021-2030年，规划基准年为2020年。</w:t>
      </w:r>
    </w:p>
    <w:p>
      <w:pPr>
        <w:pStyle w:val="3"/>
        <w:spacing w:line="500" w:lineRule="exact"/>
      </w:pPr>
      <w:r>
        <w:t>1.3 规划目标</w:t>
      </w:r>
      <w:bookmarkEnd w:id="9"/>
    </w:p>
    <w:p>
      <w:pPr>
        <w:adjustRightInd w:val="0"/>
        <w:snapToGrid w:val="0"/>
        <w:spacing w:line="500" w:lineRule="exact"/>
        <w:ind w:firstLine="560" w:firstLineChars="200"/>
        <w:rPr>
          <w:rFonts w:eastAsia="仿宋_GB2312"/>
          <w:bCs/>
          <w:sz w:val="28"/>
          <w:szCs w:val="28"/>
        </w:rPr>
      </w:pPr>
      <w:bookmarkStart w:id="10" w:name="_Toc74055726"/>
      <w:r>
        <w:rPr>
          <w:rFonts w:hint="eastAsia" w:eastAsia="仿宋_GB2312"/>
          <w:bCs/>
          <w:sz w:val="28"/>
          <w:szCs w:val="28"/>
        </w:rPr>
        <w:t>充分利用现状产业发展基础，不扩大工业用地量，推进产业的升级，严格控制规模，解决中心镇区现有企业与居民交混的困局，同时做好镇区工业经济转型升级。</w:t>
      </w:r>
    </w:p>
    <w:p>
      <w:pPr>
        <w:pStyle w:val="3"/>
        <w:spacing w:line="500" w:lineRule="exact"/>
      </w:pPr>
      <w:r>
        <w:t>1.4 产业定位</w:t>
      </w:r>
      <w:bookmarkEnd w:id="10"/>
    </w:p>
    <w:p>
      <w:pPr>
        <w:spacing w:line="500" w:lineRule="exact"/>
        <w:ind w:firstLine="560" w:firstLineChars="200"/>
        <w:rPr>
          <w:rFonts w:hint="eastAsia" w:eastAsia="仿宋_GB2312"/>
          <w:bCs/>
          <w:sz w:val="28"/>
          <w:szCs w:val="28"/>
          <w:lang w:eastAsia="zh-CN"/>
        </w:rPr>
      </w:pPr>
      <w:bookmarkStart w:id="11" w:name="_Toc74055727"/>
      <w:r>
        <w:rPr>
          <w:rFonts w:hint="eastAsia" w:eastAsia="仿宋_GB2312"/>
          <w:bCs/>
          <w:sz w:val="28"/>
          <w:szCs w:val="28"/>
        </w:rPr>
        <w:t>各个园区定位均为轻工业、电子产业、机械加工产业、纺织服装，其中和合工业园区旧东和线沿线和G345以南，和合镇村以北区域作为重点发展区域，另外园区西南角作为科研重点发展区域</w:t>
      </w:r>
      <w:r>
        <w:rPr>
          <w:rFonts w:hint="eastAsia" w:eastAsia="仿宋_GB2312"/>
          <w:bCs/>
          <w:sz w:val="28"/>
          <w:szCs w:val="28"/>
          <w:lang w:eastAsia="zh-CN"/>
        </w:rPr>
        <w:t>。</w:t>
      </w:r>
    </w:p>
    <w:p>
      <w:pPr>
        <w:pStyle w:val="3"/>
        <w:spacing w:line="500" w:lineRule="exact"/>
      </w:pPr>
      <w:r>
        <w:t>1.5 基础设施规划</w:t>
      </w:r>
      <w:bookmarkEnd w:id="11"/>
    </w:p>
    <w:p>
      <w:pPr>
        <w:pStyle w:val="5"/>
        <w:spacing w:line="500" w:lineRule="exact"/>
      </w:pPr>
      <w:r>
        <w:t>1.5.1 给水工程</w:t>
      </w:r>
    </w:p>
    <w:p>
      <w:pPr>
        <w:spacing w:line="500" w:lineRule="exact"/>
        <w:ind w:firstLine="560" w:firstLineChars="200"/>
        <w:rPr>
          <w:rFonts w:eastAsia="仿宋_GB2312"/>
          <w:bCs/>
          <w:sz w:val="28"/>
          <w:szCs w:val="28"/>
        </w:rPr>
      </w:pPr>
      <w:r>
        <w:rPr>
          <w:rFonts w:hint="eastAsia" w:eastAsia="仿宋_GB2312"/>
          <w:bCs/>
          <w:sz w:val="28"/>
          <w:szCs w:val="28"/>
        </w:rPr>
        <w:t>采用区域供水（南通洪港水厂），长江为主水源，头兴港河为应急水源。规划在规划区内各主、次干道道路上沿路敷设，形成环状供水管网，确保供水可靠性。</w:t>
      </w:r>
    </w:p>
    <w:p>
      <w:pPr>
        <w:pStyle w:val="5"/>
        <w:spacing w:line="500" w:lineRule="exact"/>
      </w:pPr>
      <w:r>
        <w:t>1.5.2 排水工程</w:t>
      </w:r>
    </w:p>
    <w:p>
      <w:pPr>
        <w:adjustRightInd w:val="0"/>
        <w:snapToGrid w:val="0"/>
        <w:spacing w:line="500" w:lineRule="exact"/>
        <w:ind w:firstLine="560" w:firstLineChars="200"/>
        <w:rPr>
          <w:rFonts w:eastAsia="仿宋_GB2312"/>
          <w:bCs/>
          <w:sz w:val="28"/>
          <w:szCs w:val="28"/>
        </w:rPr>
      </w:pPr>
      <w:r>
        <w:rPr>
          <w:rFonts w:eastAsia="仿宋_GB2312"/>
          <w:bCs/>
          <w:sz w:val="28"/>
          <w:szCs w:val="28"/>
        </w:rPr>
        <w:t>规划采用雨污分流制排水系统。</w:t>
      </w:r>
    </w:p>
    <w:p>
      <w:pPr>
        <w:spacing w:line="500" w:lineRule="exact"/>
        <w:ind w:firstLine="480"/>
        <w:rPr>
          <w:rFonts w:eastAsia="仿宋_GB2312"/>
          <w:bCs/>
          <w:sz w:val="28"/>
          <w:szCs w:val="28"/>
        </w:rPr>
      </w:pPr>
      <w:r>
        <w:rPr>
          <w:rFonts w:hint="eastAsia" w:eastAsia="仿宋_GB2312"/>
          <w:bCs/>
          <w:sz w:val="28"/>
          <w:szCs w:val="28"/>
        </w:rPr>
        <w:t>（1）污水</w:t>
      </w:r>
    </w:p>
    <w:p>
      <w:pPr>
        <w:spacing w:line="500" w:lineRule="exact"/>
        <w:ind w:firstLine="560" w:firstLineChars="200"/>
        <w:rPr>
          <w:rFonts w:hint="eastAsia" w:eastAsia="仿宋_GB2312"/>
          <w:bCs/>
          <w:sz w:val="28"/>
          <w:szCs w:val="28"/>
        </w:rPr>
      </w:pPr>
      <w:r>
        <w:rPr>
          <w:rFonts w:hint="eastAsia" w:eastAsia="仿宋_GB2312"/>
          <w:bCs/>
          <w:sz w:val="28"/>
          <w:szCs w:val="28"/>
        </w:rPr>
        <w:t>和合工业集中区污水处理依托启东市江海污水处理有限公司处置，启东市江海污水处理有限公司污水处理设计规模为2万t/d，现已建成一期工程处理规模为1万t/d，服务范围为寅阳镇区、老和合镇区、惠萍镇区。采用改良型厌氧-缺氧--好氧生物脱氮除磷工艺(即改良型A2/O工艺)，污水处理厂的尾水达《城镇污水处理厂污染物排放标准》（GB18918-2002）中的一级A标准后排入戤效河。主干管管径以d500-d800毫米为主。其他道路下根据需要敷设d400-d500毫米污水管。主要依靠东和线泵站。</w:t>
      </w:r>
    </w:p>
    <w:p>
      <w:pPr>
        <w:spacing w:line="500" w:lineRule="exact"/>
        <w:ind w:firstLine="560" w:firstLineChars="200"/>
        <w:rPr>
          <w:rFonts w:hint="eastAsia" w:eastAsia="仿宋_GB2312"/>
          <w:bCs/>
          <w:sz w:val="28"/>
          <w:szCs w:val="28"/>
        </w:rPr>
      </w:pPr>
      <w:r>
        <w:rPr>
          <w:rFonts w:hint="eastAsia" w:eastAsia="仿宋_GB2312"/>
          <w:bCs/>
          <w:sz w:val="28"/>
          <w:szCs w:val="28"/>
        </w:rPr>
        <w:t>寅阳工业集中区、江夏工业集中区和希士工业集中区现状未铺设污水管道，规划各个集中区污水全部接管至启东市江海污水处理有限公司处置，原和合镇区污水主干管主要敷设在新兴路下，人民路以南、振兴路以东设置1#泵站，规模0.5万立方米/日，用地360平方米，沿江一级公路以南、东和线路以东设置2#泵站，规模0.5万立方米/日，用地360平方米；老寅阳镇区污水主干管主要敷设在振阳路下，管径以d500-d800毫米为主，寅海路以南、振阳路以东设置3#泵站，规模0.3万立方米/日，用地300平方米。其他道路下根据需要敷设d400-d500毫米污水管，保证园区内所有污水均接管处置。</w:t>
      </w:r>
    </w:p>
    <w:p>
      <w:pPr>
        <w:spacing w:line="500" w:lineRule="exact"/>
        <w:ind w:firstLine="560" w:firstLineChars="200"/>
        <w:rPr>
          <w:rFonts w:hint="eastAsia" w:eastAsia="仿宋_GB2312"/>
          <w:bCs/>
          <w:sz w:val="28"/>
          <w:szCs w:val="28"/>
        </w:rPr>
      </w:pPr>
      <w:r>
        <w:rPr>
          <w:rFonts w:hint="eastAsia" w:eastAsia="仿宋_GB2312"/>
          <w:bCs/>
          <w:sz w:val="28"/>
          <w:szCs w:val="28"/>
        </w:rPr>
        <w:t>管网布置充分考虑近远期结合，尽量符合地形趋势，顺坡排水，取短捷途径，减少污水提升量。低洼和平坦地带，为减少管网埋深，坡度采用最小或接近最小坡度，并以最小流速复核。管渠埋深超过8米时，原则上设置污水提升泵站。管渠控制点路面高程，除根据规划或现状道路的竖向高程确定外，应留有适当余地，以满足未预见因素出现时，各点污水能够顺利排出。</w:t>
      </w:r>
    </w:p>
    <w:p>
      <w:pPr>
        <w:spacing w:line="500" w:lineRule="exact"/>
        <w:ind w:firstLine="560" w:firstLineChars="200"/>
        <w:rPr>
          <w:rFonts w:eastAsia="仿宋_GB2312"/>
          <w:bCs/>
          <w:sz w:val="28"/>
          <w:szCs w:val="28"/>
        </w:rPr>
      </w:pPr>
      <w:r>
        <w:rPr>
          <w:rFonts w:hint="eastAsia" w:eastAsia="仿宋_GB2312"/>
          <w:bCs/>
          <w:sz w:val="28"/>
          <w:szCs w:val="28"/>
        </w:rPr>
        <w:t>（</w:t>
      </w:r>
      <w:r>
        <w:rPr>
          <w:rFonts w:eastAsia="仿宋_GB2312"/>
          <w:bCs/>
          <w:sz w:val="28"/>
          <w:szCs w:val="28"/>
        </w:rPr>
        <w:t>2</w:t>
      </w:r>
      <w:r>
        <w:rPr>
          <w:rFonts w:hint="eastAsia" w:eastAsia="仿宋_GB2312"/>
          <w:bCs/>
          <w:sz w:val="28"/>
          <w:szCs w:val="28"/>
        </w:rPr>
        <w:t>）雨水</w:t>
      </w:r>
    </w:p>
    <w:p>
      <w:pPr>
        <w:spacing w:line="500" w:lineRule="exact"/>
        <w:ind w:firstLine="560" w:firstLineChars="200"/>
        <w:rPr>
          <w:rFonts w:hint="eastAsia" w:eastAsia="仿宋_GB2312"/>
          <w:bCs/>
          <w:sz w:val="28"/>
          <w:szCs w:val="28"/>
        </w:rPr>
      </w:pPr>
      <w:r>
        <w:rPr>
          <w:rFonts w:hint="eastAsia" w:eastAsia="仿宋_GB2312"/>
          <w:bCs/>
          <w:sz w:val="28"/>
          <w:szCs w:val="28"/>
        </w:rPr>
        <w:t>雨水管是根据规划区土地利用和道路、竖向规划以及实际建设情况进行规划布置的，综合考虑地形、水系、施工条件、投资等多方面因素。本次雨水规划应该结合自然地形，分区规划，就近排入水体；并充分利用道路的纵坡，以减少管道长度、减小管径，合理节省工程投资；雨水管的高程要有利于两侧地块的雨水接入。雨水干管的起点埋深按管顶覆土至少按1.2米控制，并以两侧支管接入所需标高校核调整；雨水管宜沿城市规划道路敷设，并与道路中心线平行，结合道路路幅分配布置雨水管，一般铺设在车行道下；充分利用道路边槽排水，以减少管道长度；纵坡较大时，在每一集水流域起端100米左右可不设雨水管；雨水管汇水面积按周边道路用等分角线划分，当有适宜的坡度时，则按雨水汇入低侧原则划分；雨水管道出水口的位置和形式应取得当地卫生监督机关、水体管理养护部门的同意；当道路红线宽度为30米以上时，原则上铺设双管。</w:t>
      </w:r>
    </w:p>
    <w:p>
      <w:pPr>
        <w:pStyle w:val="5"/>
        <w:spacing w:line="500" w:lineRule="exact"/>
      </w:pPr>
      <w:r>
        <w:t>1.5.3 供热工程</w:t>
      </w:r>
    </w:p>
    <w:p>
      <w:pPr>
        <w:pStyle w:val="8"/>
        <w:spacing w:line="500" w:lineRule="exact"/>
        <w:ind w:firstLine="560"/>
        <w:jc w:val="both"/>
        <w:rPr>
          <w:rFonts w:ascii="Times New Roman" w:hAnsi="Times New Roman" w:eastAsia="仿宋_GB2312" w:cs="Times New Roman"/>
          <w:bCs/>
          <w:kern w:val="2"/>
          <w:sz w:val="28"/>
          <w:szCs w:val="28"/>
          <w:lang w:val="en-US" w:bidi="ar-SA"/>
        </w:rPr>
      </w:pPr>
      <w:r>
        <w:rPr>
          <w:rFonts w:hint="eastAsia" w:ascii="Times New Roman" w:hAnsi="Times New Roman" w:eastAsia="仿宋_GB2312" w:cs="Times New Roman"/>
          <w:bCs/>
          <w:kern w:val="2"/>
          <w:sz w:val="28"/>
          <w:szCs w:val="28"/>
          <w:lang w:val="en-US" w:bidi="ar-SA"/>
        </w:rPr>
        <w:t>由于规划区域主要发展二类工业，用热量不大，所以本区不规划集中供热，区内企业自行设置锅炉。</w:t>
      </w:r>
    </w:p>
    <w:p>
      <w:pPr>
        <w:spacing w:line="500" w:lineRule="exact"/>
        <w:ind w:firstLine="560" w:firstLineChars="200"/>
        <w:rPr>
          <w:rFonts w:eastAsia="仿宋_GB2312"/>
          <w:bCs/>
          <w:sz w:val="28"/>
          <w:szCs w:val="28"/>
        </w:rPr>
      </w:pPr>
      <w:r>
        <w:rPr>
          <w:rFonts w:hint="eastAsia" w:eastAsia="仿宋_GB2312"/>
          <w:bCs/>
          <w:sz w:val="28"/>
          <w:szCs w:val="28"/>
        </w:rPr>
        <w:t>企业需严格执行《市场监管总局国家发展改革委生态环境部关于加强锅炉节能环保工作的通知》（国市监特设[2018]227号）中要求：</w:t>
      </w:r>
    </w:p>
    <w:p>
      <w:pPr>
        <w:spacing w:line="500" w:lineRule="exact"/>
        <w:ind w:firstLine="560" w:firstLineChars="200"/>
        <w:rPr>
          <w:rFonts w:eastAsia="仿宋_GB2312"/>
          <w:bCs/>
          <w:sz w:val="28"/>
          <w:szCs w:val="28"/>
        </w:rPr>
      </w:pPr>
      <w:r>
        <w:rPr>
          <w:rFonts w:hint="eastAsia" w:eastAsia="仿宋_GB2312"/>
          <w:bCs/>
          <w:sz w:val="28"/>
          <w:szCs w:val="28"/>
        </w:rPr>
        <w:t>1、重点区域（本项目位于长三角地区，属于重点区域）全域和其他地区县级及以上城市建成区原则上不再新建每小时35蒸吨以下的燃煤锅炉。</w:t>
      </w:r>
    </w:p>
    <w:p>
      <w:pPr>
        <w:spacing w:line="500" w:lineRule="exact"/>
        <w:ind w:firstLine="560" w:firstLineChars="200"/>
        <w:rPr>
          <w:rFonts w:eastAsia="仿宋_GB2312"/>
          <w:bCs/>
          <w:sz w:val="28"/>
          <w:szCs w:val="28"/>
        </w:rPr>
      </w:pPr>
      <w:r>
        <w:rPr>
          <w:rFonts w:hint="eastAsia" w:eastAsia="仿宋_GB2312"/>
          <w:bCs/>
          <w:sz w:val="28"/>
          <w:szCs w:val="28"/>
        </w:rPr>
        <w:t>2、重点区域新建燃煤锅炉大气污染物排放浓度满足超低排放（在基准含氧量6%条件下，烟尘、二氧化硫、氮氧化物排放浓度分别不高于10、35、50mg/m</w:t>
      </w:r>
      <w:r>
        <w:rPr>
          <w:rFonts w:hint="eastAsia" w:eastAsia="仿宋_GB2312"/>
          <w:bCs/>
          <w:sz w:val="28"/>
          <w:szCs w:val="28"/>
          <w:vertAlign w:val="superscript"/>
        </w:rPr>
        <w:t>3</w:t>
      </w:r>
      <w:r>
        <w:rPr>
          <w:rFonts w:hint="eastAsia" w:eastAsia="仿宋_GB2312"/>
          <w:bCs/>
          <w:sz w:val="28"/>
          <w:szCs w:val="28"/>
        </w:rPr>
        <w:t>）要求。</w:t>
      </w:r>
    </w:p>
    <w:p>
      <w:pPr>
        <w:spacing w:line="500" w:lineRule="exact"/>
        <w:ind w:firstLine="560" w:firstLineChars="200"/>
        <w:rPr>
          <w:rFonts w:eastAsia="仿宋_GB2312"/>
          <w:bCs/>
          <w:sz w:val="28"/>
          <w:szCs w:val="28"/>
        </w:rPr>
      </w:pPr>
      <w:r>
        <w:rPr>
          <w:rFonts w:hint="eastAsia" w:eastAsia="仿宋_GB2312"/>
          <w:bCs/>
          <w:sz w:val="28"/>
          <w:szCs w:val="28"/>
        </w:rPr>
        <w:t>3、重点区域保留的锅炉执行大气污染物特别排放限值或更严格的地方排放标准，每小时蒸吨65蒸吨及以上燃煤锅炉全部实施节能和超低排放改造，燃气锅炉基本完成低氮改造，城市建成区生物质锅炉实施超低排放改造。</w:t>
      </w:r>
    </w:p>
    <w:p>
      <w:pPr>
        <w:spacing w:line="500" w:lineRule="exact"/>
        <w:ind w:firstLine="560" w:firstLineChars="200"/>
        <w:rPr>
          <w:rFonts w:eastAsia="仿宋_GB2312"/>
          <w:bCs/>
          <w:sz w:val="28"/>
          <w:szCs w:val="28"/>
        </w:rPr>
      </w:pPr>
      <w:r>
        <w:rPr>
          <w:rFonts w:hint="eastAsia" w:eastAsia="仿宋_GB2312"/>
          <w:bCs/>
          <w:sz w:val="28"/>
          <w:szCs w:val="28"/>
        </w:rPr>
        <w:t>本规划区域属于大气达标区，为降低对区域空气环境质量的影响，进区项目如有需要其他特殊的加热或焚烧，其燃料品种需选用清洁能源，如天然气、轻质柴油及电等，禁止新上燃煤锅炉。</w:t>
      </w:r>
    </w:p>
    <w:p>
      <w:pPr>
        <w:pStyle w:val="5"/>
        <w:spacing w:line="500" w:lineRule="exact"/>
      </w:pPr>
      <w:r>
        <w:t>1.5.4 供电工程</w:t>
      </w:r>
    </w:p>
    <w:p>
      <w:pPr>
        <w:spacing w:line="500" w:lineRule="exact"/>
        <w:ind w:firstLine="560" w:firstLineChars="200"/>
        <w:rPr>
          <w:rFonts w:eastAsia="仿宋_GB2312"/>
          <w:bCs/>
          <w:sz w:val="28"/>
          <w:szCs w:val="28"/>
        </w:rPr>
      </w:pPr>
      <w:r>
        <w:rPr>
          <w:rFonts w:hint="eastAsia" w:eastAsia="仿宋_GB2312"/>
          <w:bCs/>
          <w:sz w:val="28"/>
          <w:szCs w:val="28"/>
        </w:rPr>
        <w:t>根据启东市电力专项规划将在寅阳镇域外，即336省道和沿江公路交叉口的西北侧新建220千伏1#变，终期主变容量3×240MVA，电压等级采用220/110/千伏，用地按2公顷控制，作为寅阳镇远期主供电源。现状220kV新安变仍作为近期寅阳镇主供电源。寅阳镇220kV变电所的建设安排及容量配置能满足区域内电力平衡要求。新建110千伏五仓港变位于五仓港路西侧、建设路北侧，最终主变容量3*80兆伏安，占地0.5公顷，建成后作为寅阳镇区主供电源。寅阳镇不在新建35千伏变电站，现状35千伏寅阳变和现状35千伏希土变远期逐步退出运行。</w:t>
      </w:r>
    </w:p>
    <w:p>
      <w:pPr>
        <w:pStyle w:val="5"/>
        <w:spacing w:line="500" w:lineRule="exact"/>
      </w:pPr>
      <w:r>
        <w:t>1.5.5 燃气工程</w:t>
      </w:r>
    </w:p>
    <w:p>
      <w:pPr>
        <w:spacing w:line="500" w:lineRule="exact"/>
        <w:ind w:firstLine="560" w:firstLineChars="200"/>
        <w:rPr>
          <w:rFonts w:hint="eastAsia" w:eastAsia="仿宋_GB2312"/>
          <w:bCs/>
          <w:sz w:val="28"/>
          <w:szCs w:val="28"/>
        </w:rPr>
      </w:pPr>
      <w:r>
        <w:rPr>
          <w:rFonts w:hint="eastAsia" w:eastAsia="仿宋_GB2312"/>
          <w:bCs/>
          <w:sz w:val="28"/>
          <w:szCs w:val="28"/>
        </w:rPr>
        <w:t>根据启东市燃气专项规划，启东市天然气气源主要从“西气东输”南通分输站通过高压管网引入。</w:t>
      </w:r>
    </w:p>
    <w:p>
      <w:pPr>
        <w:spacing w:line="500" w:lineRule="exact"/>
        <w:ind w:firstLine="560" w:firstLineChars="200"/>
        <w:rPr>
          <w:rFonts w:hint="eastAsia" w:eastAsia="仿宋_GB2312"/>
          <w:bCs/>
          <w:sz w:val="28"/>
          <w:szCs w:val="28"/>
        </w:rPr>
      </w:pPr>
      <w:r>
        <w:rPr>
          <w:rFonts w:hint="eastAsia" w:eastAsia="仿宋_GB2312"/>
          <w:bCs/>
          <w:sz w:val="28"/>
          <w:szCs w:val="28"/>
        </w:rPr>
        <w:t>寅阳镇近期以压缩天然气（CNG）作为寅阳镇的过渡期气源，着手推进管道天然气的接入工作；远期以接入管道天然气作为寅阳镇的主气源，并建设覆盖镇区的天然气高中压管网，CNG作为应急气源和调峰气源。液化石油气作为管道天然气的辅助备用气源。</w:t>
      </w:r>
    </w:p>
    <w:p>
      <w:pPr>
        <w:spacing w:line="500" w:lineRule="exact"/>
        <w:ind w:firstLine="560" w:firstLineChars="200"/>
        <w:rPr>
          <w:rFonts w:hint="eastAsia" w:eastAsia="仿宋_GB2312"/>
          <w:bCs/>
          <w:sz w:val="28"/>
          <w:szCs w:val="28"/>
        </w:rPr>
      </w:pPr>
      <w:r>
        <w:rPr>
          <w:rFonts w:hint="eastAsia" w:eastAsia="仿宋_GB2312"/>
          <w:bCs/>
          <w:sz w:val="28"/>
          <w:szCs w:val="28"/>
        </w:rPr>
        <w:t>燃气输配系统的压力级制采用次高压-中压-低压三级制，启东市域天然气高压管网在寅阳镇域沿着沿江高等级公路敷设，在沿江公路北侧新建一处高中压调压站，规划采用高中压调压站降压后至寅阳镇中压管网供气。中压主干管网通过高中压调压计量站接驳，通过主干管道输送至中压分配支管网络；中压管网主要采用中压A级（压力不大于0.4MPa），低压管网（压力不大于0.01MPa）直接和低压用户设备连接。</w:t>
      </w:r>
    </w:p>
    <w:p>
      <w:pPr>
        <w:spacing w:line="500" w:lineRule="exact"/>
        <w:ind w:firstLine="560" w:firstLineChars="200"/>
        <w:rPr>
          <w:rFonts w:hint="eastAsia" w:eastAsia="仿宋_GB2312"/>
          <w:bCs/>
          <w:sz w:val="28"/>
          <w:szCs w:val="28"/>
        </w:rPr>
      </w:pPr>
      <w:r>
        <w:rPr>
          <w:rFonts w:hint="eastAsia" w:eastAsia="仿宋_GB2312"/>
          <w:bCs/>
          <w:sz w:val="28"/>
          <w:szCs w:val="28"/>
        </w:rPr>
        <w:t>燃气由中压管网至各用户计量调压站，经调压后供应工业和公共建筑用户使用。居民用户采用中低压楼栋调压箱或小区调压站调压后的低压天然气供气。</w:t>
      </w:r>
    </w:p>
    <w:p>
      <w:pPr>
        <w:spacing w:line="500" w:lineRule="exact"/>
        <w:ind w:firstLine="560" w:firstLineChars="200"/>
        <w:rPr>
          <w:rFonts w:eastAsia="仿宋_GB2312"/>
          <w:bCs/>
          <w:sz w:val="28"/>
          <w:szCs w:val="28"/>
        </w:rPr>
      </w:pPr>
      <w:r>
        <w:rPr>
          <w:rFonts w:hint="eastAsia" w:eastAsia="仿宋_GB2312"/>
          <w:bCs/>
          <w:sz w:val="28"/>
          <w:szCs w:val="28"/>
        </w:rPr>
        <w:t>寅阳镇区中压燃气干管由位于沿江公路北侧的高中压调压站引入，区内中压燃气主干管布置在沿江路、新兴线、五仓港路等道路上。主要燃气管道连成环网，保证供气安全。中压燃气管通常布置在道路西（北）侧人行道或绿化带中；覆土深度为0.9米左右，如与其他管道交叉时可作适当调整。</w:t>
      </w:r>
    </w:p>
    <w:p>
      <w:pPr>
        <w:pStyle w:val="5"/>
        <w:spacing w:line="500" w:lineRule="exact"/>
      </w:pPr>
      <w:r>
        <w:rPr>
          <w:rFonts w:hint="eastAsia"/>
        </w:rPr>
        <w:t>1.</w:t>
      </w:r>
      <w:r>
        <w:t>5</w:t>
      </w:r>
      <w:r>
        <w:rPr>
          <w:rFonts w:hint="eastAsia"/>
        </w:rPr>
        <w:t>.</w:t>
      </w:r>
      <w:r>
        <w:t>6 固废处置工程</w:t>
      </w:r>
    </w:p>
    <w:p>
      <w:pPr>
        <w:spacing w:line="500" w:lineRule="exact"/>
        <w:ind w:firstLine="560" w:firstLineChars="200"/>
        <w:rPr>
          <w:rFonts w:hint="eastAsia" w:eastAsia="仿宋_GB2312"/>
          <w:bCs/>
          <w:sz w:val="28"/>
          <w:szCs w:val="28"/>
          <w:lang w:eastAsia="zh-CN"/>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eastAsia="仿宋_GB2312"/>
          <w:bCs/>
          <w:sz w:val="28"/>
          <w:szCs w:val="28"/>
        </w:rPr>
        <w:t>规划工业集中区内生活垃圾由当地的环卫部门清理后送启东市垃圾焚烧发电厂进行集中处理；危险固废处置由企业自行委托有资质单位处理</w:t>
      </w:r>
      <w:r>
        <w:rPr>
          <w:rFonts w:hint="eastAsia" w:eastAsia="仿宋_GB2312"/>
          <w:bCs/>
          <w:sz w:val="28"/>
          <w:szCs w:val="28"/>
          <w:lang w:eastAsia="zh-CN"/>
        </w:rPr>
        <w:t>。</w:t>
      </w:r>
    </w:p>
    <w:p>
      <w:pPr>
        <w:pStyle w:val="2"/>
        <w:spacing w:line="500" w:lineRule="exact"/>
      </w:pPr>
      <w:bookmarkStart w:id="12" w:name="_Toc74055728"/>
      <w:r>
        <w:t>2 规划协调性分析</w:t>
      </w:r>
      <w:bookmarkEnd w:id="12"/>
    </w:p>
    <w:p>
      <w:pPr>
        <w:pStyle w:val="3"/>
        <w:spacing w:line="500" w:lineRule="exact"/>
      </w:pPr>
      <w:bookmarkStart w:id="13" w:name="_Toc74055729"/>
      <w:r>
        <w:t>2.1 与区域发展规划相符性分析</w:t>
      </w:r>
      <w:bookmarkEnd w:id="13"/>
    </w:p>
    <w:p>
      <w:pPr>
        <w:spacing w:line="500" w:lineRule="exact"/>
        <w:ind w:firstLine="560" w:firstLineChars="200"/>
        <w:rPr>
          <w:rFonts w:eastAsia="仿宋_GB2312"/>
          <w:sz w:val="28"/>
          <w:szCs w:val="28"/>
        </w:rPr>
      </w:pPr>
      <w:r>
        <w:rPr>
          <w:rFonts w:hint="eastAsia" w:eastAsia="仿宋_GB2312"/>
          <w:sz w:val="28"/>
          <w:szCs w:val="28"/>
          <w:lang w:val="en-US" w:eastAsia="zh-CN"/>
        </w:rPr>
        <w:t>寅阳</w:t>
      </w:r>
      <w:r>
        <w:rPr>
          <w:rFonts w:hint="eastAsia" w:eastAsia="仿宋_GB2312"/>
          <w:sz w:val="28"/>
          <w:szCs w:val="28"/>
        </w:rPr>
        <w:t>镇工业集中区</w:t>
      </w:r>
      <w:r>
        <w:rPr>
          <w:rFonts w:eastAsia="仿宋_GB2312"/>
          <w:sz w:val="28"/>
          <w:szCs w:val="28"/>
        </w:rPr>
        <w:t>产业定位、规划目标与</w:t>
      </w:r>
      <w:r>
        <w:rPr>
          <w:rFonts w:hint="eastAsia" w:eastAsia="仿宋_GB2312"/>
          <w:sz w:val="28"/>
          <w:szCs w:val="28"/>
        </w:rPr>
        <w:t>《江苏省主体功能区规划（2011-2020）》、《启东市城市总体规划（2012-2030）》、《启东市寅阳镇总体规划（2013-2030）</w:t>
      </w:r>
      <w:bookmarkStart w:id="25" w:name="_GoBack"/>
      <w:bookmarkEnd w:id="25"/>
      <w:r>
        <w:rPr>
          <w:rFonts w:hint="eastAsia" w:eastAsia="仿宋_GB2312"/>
          <w:sz w:val="28"/>
          <w:szCs w:val="28"/>
        </w:rPr>
        <w:t>》、《启东市国民经济和社会发展第十四个五年规划和二〇三五年远景目标纲要》</w:t>
      </w:r>
      <w:r>
        <w:rPr>
          <w:rFonts w:eastAsia="仿宋_GB2312"/>
          <w:sz w:val="28"/>
          <w:szCs w:val="28"/>
        </w:rPr>
        <w:t>等规划相符。</w:t>
      </w:r>
    </w:p>
    <w:p>
      <w:pPr>
        <w:pStyle w:val="3"/>
        <w:spacing w:line="500" w:lineRule="exact"/>
      </w:pPr>
      <w:bookmarkStart w:id="14" w:name="_Toc74055730"/>
      <w:r>
        <w:t>2.2 与用地相关规划相符性分析</w:t>
      </w:r>
      <w:bookmarkEnd w:id="14"/>
    </w:p>
    <w:p>
      <w:pPr>
        <w:spacing w:line="500" w:lineRule="exact"/>
        <w:ind w:firstLine="560" w:firstLineChars="200"/>
        <w:rPr>
          <w:rFonts w:eastAsia="仿宋_GB2312"/>
          <w:sz w:val="28"/>
          <w:szCs w:val="28"/>
        </w:rPr>
      </w:pPr>
      <w:r>
        <w:rPr>
          <w:rFonts w:hint="eastAsia" w:eastAsia="仿宋_GB2312"/>
          <w:sz w:val="28"/>
          <w:szCs w:val="28"/>
          <w:lang w:val="en-US" w:eastAsia="zh-CN"/>
        </w:rPr>
        <w:t>寅阳</w:t>
      </w:r>
      <w:r>
        <w:rPr>
          <w:rFonts w:hint="eastAsia" w:eastAsia="仿宋_GB2312"/>
          <w:sz w:val="28"/>
          <w:szCs w:val="28"/>
        </w:rPr>
        <w:t>镇工业集中区</w:t>
      </w:r>
      <w:r>
        <w:rPr>
          <w:rFonts w:eastAsia="仿宋_GB2312"/>
          <w:sz w:val="28"/>
          <w:szCs w:val="28"/>
        </w:rPr>
        <w:t>本轮土地利用规划与</w:t>
      </w:r>
      <w:r>
        <w:rPr>
          <w:rFonts w:hint="eastAsia" w:eastAsia="仿宋_GB2312"/>
          <w:sz w:val="28"/>
          <w:szCs w:val="28"/>
        </w:rPr>
        <w:t>《启东市城市总体规划（2012-2030）》、《启东市土地利用总体规划（2006-2020）》</w:t>
      </w:r>
      <w:r>
        <w:rPr>
          <w:rFonts w:eastAsia="仿宋_GB2312"/>
          <w:sz w:val="28"/>
          <w:szCs w:val="28"/>
        </w:rPr>
        <w:t>存在部分地块不相符情况。</w:t>
      </w:r>
      <w:r>
        <w:rPr>
          <w:rFonts w:hint="eastAsia" w:eastAsia="仿宋_GB2312"/>
          <w:sz w:val="28"/>
          <w:szCs w:val="28"/>
        </w:rPr>
        <w:t>启东市正编制新的总体规划，</w:t>
      </w:r>
      <w:r>
        <w:rPr>
          <w:rFonts w:hint="eastAsia" w:eastAsia="仿宋_GB2312"/>
          <w:sz w:val="28"/>
          <w:szCs w:val="28"/>
          <w:lang w:val="en-US" w:eastAsia="zh-CN"/>
        </w:rPr>
        <w:t>寅阳</w:t>
      </w:r>
      <w:r>
        <w:rPr>
          <w:rFonts w:hint="eastAsia" w:eastAsia="仿宋_GB2312"/>
          <w:sz w:val="28"/>
          <w:szCs w:val="28"/>
        </w:rPr>
        <w:t>镇人民政府应加强与启东市自然资源与规划部门的沟通衔接，确保启东市国土空间总体规划编制过程中统筹考虑</w:t>
      </w:r>
      <w:r>
        <w:rPr>
          <w:rFonts w:hint="eastAsia" w:eastAsia="仿宋_GB2312"/>
          <w:sz w:val="28"/>
          <w:szCs w:val="28"/>
          <w:lang w:val="en-US" w:eastAsia="zh-CN"/>
        </w:rPr>
        <w:t>寅阳</w:t>
      </w:r>
      <w:r>
        <w:rPr>
          <w:rFonts w:hint="eastAsia" w:eastAsia="仿宋_GB2312"/>
          <w:sz w:val="28"/>
          <w:szCs w:val="28"/>
        </w:rPr>
        <w:t>镇工业集中区的发展需求，集中区在后续开发中应与国土空间总体规划保持一致。</w:t>
      </w:r>
    </w:p>
    <w:p>
      <w:pPr>
        <w:spacing w:line="500" w:lineRule="exact"/>
        <w:ind w:firstLine="560" w:firstLineChars="200"/>
        <w:rPr>
          <w:rFonts w:eastAsia="仿宋_GB2312"/>
          <w:sz w:val="28"/>
          <w:szCs w:val="28"/>
        </w:rPr>
      </w:pPr>
      <w:r>
        <w:rPr>
          <w:rFonts w:hint="eastAsia" w:eastAsia="仿宋_GB2312"/>
          <w:sz w:val="28"/>
          <w:szCs w:val="28"/>
        </w:rPr>
        <w:t>对照《启东市土地利用总体规划（2006-2020）》，规划寅阳、江夏、希士、合和工业片区范围</w:t>
      </w:r>
      <w:r>
        <w:rPr>
          <w:rFonts w:hint="eastAsia" w:eastAsia="仿宋_GB2312"/>
          <w:sz w:val="28"/>
          <w:szCs w:val="28"/>
          <w:lang w:val="en-US" w:eastAsia="zh-CN"/>
        </w:rPr>
        <w:t>占</w:t>
      </w:r>
      <w:r>
        <w:rPr>
          <w:rFonts w:hint="eastAsia" w:eastAsia="仿宋_GB2312"/>
          <w:sz w:val="28"/>
          <w:szCs w:val="28"/>
        </w:rPr>
        <w:t>用基本农田保护区及耕地</w:t>
      </w:r>
      <w:r>
        <w:rPr>
          <w:rFonts w:hint="eastAsia" w:eastAsia="仿宋_GB2312"/>
          <w:sz w:val="28"/>
          <w:szCs w:val="28"/>
          <w:lang w:eastAsia="zh-CN"/>
        </w:rPr>
        <w:t>，</w:t>
      </w:r>
      <w:r>
        <w:rPr>
          <w:rFonts w:hint="eastAsia" w:eastAsia="仿宋_GB2312"/>
          <w:sz w:val="28"/>
          <w:szCs w:val="28"/>
          <w:lang w:val="en-US" w:eastAsia="zh-CN"/>
        </w:rPr>
        <w:t>寅阳</w:t>
      </w:r>
      <w:r>
        <w:rPr>
          <w:rFonts w:hint="eastAsia" w:eastAsia="仿宋_GB2312"/>
          <w:sz w:val="28"/>
          <w:szCs w:val="28"/>
        </w:rPr>
        <w:t>镇工业集中区在开发区建设过程中，涉及耕地及基本农田的，须根据《中华人民共和国土地管理法》、《基本农田保护条例》等进行占补平衡。</w:t>
      </w:r>
    </w:p>
    <w:p>
      <w:pPr>
        <w:pStyle w:val="3"/>
        <w:spacing w:line="500" w:lineRule="exact"/>
      </w:pPr>
      <w:bookmarkStart w:id="15" w:name="_Toc74055731"/>
      <w:r>
        <w:t>2.3 与产业政策及规划相符性分析</w:t>
      </w:r>
      <w:bookmarkEnd w:id="15"/>
    </w:p>
    <w:p>
      <w:pPr>
        <w:spacing w:line="500" w:lineRule="exact"/>
        <w:ind w:firstLine="560" w:firstLineChars="200"/>
        <w:rPr>
          <w:rFonts w:eastAsia="仿宋_GB2312"/>
          <w:sz w:val="28"/>
          <w:szCs w:val="28"/>
        </w:rPr>
      </w:pPr>
      <w:bookmarkStart w:id="16" w:name="_Hlk72920268"/>
      <w:bookmarkStart w:id="17" w:name="_Toc74055732"/>
      <w:r>
        <w:rPr>
          <w:rFonts w:hint="eastAsia" w:eastAsia="仿宋_GB2312"/>
          <w:sz w:val="28"/>
          <w:szCs w:val="28"/>
          <w:lang w:val="en-US" w:eastAsia="zh-CN"/>
        </w:rPr>
        <w:t>寅阳</w:t>
      </w:r>
      <w:r>
        <w:rPr>
          <w:rFonts w:hint="eastAsia" w:eastAsia="仿宋_GB2312"/>
          <w:sz w:val="28"/>
          <w:szCs w:val="28"/>
        </w:rPr>
        <w:t>镇工业集中区重点发展轻工业、电子产业、机械加工产业、纺织服装等低污染的产业，对照国家《产业结构调整指导目录（</w:t>
      </w:r>
      <w:r>
        <w:rPr>
          <w:rFonts w:eastAsia="仿宋_GB2312"/>
          <w:sz w:val="28"/>
          <w:szCs w:val="28"/>
        </w:rPr>
        <w:t>2019</w:t>
      </w:r>
      <w:r>
        <w:rPr>
          <w:rFonts w:hint="eastAsia" w:eastAsia="仿宋_GB2312"/>
          <w:sz w:val="28"/>
          <w:szCs w:val="28"/>
        </w:rPr>
        <w:t>年本）》、《鼓励外商投资产业指导目录》（</w:t>
      </w:r>
      <w:r>
        <w:rPr>
          <w:rFonts w:eastAsia="仿宋_GB2312"/>
          <w:sz w:val="28"/>
          <w:szCs w:val="28"/>
        </w:rPr>
        <w:t>2020</w:t>
      </w:r>
      <w:r>
        <w:rPr>
          <w:rFonts w:hint="eastAsia" w:eastAsia="仿宋_GB2312"/>
          <w:sz w:val="28"/>
          <w:szCs w:val="28"/>
        </w:rPr>
        <w:t>年版）、《产业发展与转移指导目录（</w:t>
      </w:r>
      <w:r>
        <w:rPr>
          <w:rFonts w:eastAsia="仿宋_GB2312"/>
          <w:sz w:val="28"/>
          <w:szCs w:val="28"/>
        </w:rPr>
        <w:t>2018</w:t>
      </w:r>
      <w:r>
        <w:rPr>
          <w:rFonts w:hint="eastAsia" w:eastAsia="仿宋_GB2312"/>
          <w:sz w:val="28"/>
          <w:szCs w:val="28"/>
        </w:rPr>
        <w:t>年本）》、《江苏省工业和信息产业结构调整限制、淘汰目录和能耗限额》（苏政办发〔</w:t>
      </w:r>
      <w:r>
        <w:rPr>
          <w:rFonts w:eastAsia="仿宋_GB2312"/>
          <w:sz w:val="28"/>
          <w:szCs w:val="28"/>
        </w:rPr>
        <w:t>2015</w:t>
      </w:r>
      <w:r>
        <w:rPr>
          <w:rFonts w:hint="eastAsia" w:eastAsia="仿宋_GB2312"/>
          <w:sz w:val="28"/>
          <w:szCs w:val="28"/>
        </w:rPr>
        <w:t>〕</w:t>
      </w:r>
      <w:r>
        <w:rPr>
          <w:rFonts w:eastAsia="仿宋_GB2312"/>
          <w:sz w:val="28"/>
          <w:szCs w:val="28"/>
        </w:rPr>
        <w:t>118</w:t>
      </w:r>
      <w:r>
        <w:rPr>
          <w:rFonts w:hint="eastAsia" w:eastAsia="仿宋_GB2312"/>
          <w:sz w:val="28"/>
          <w:szCs w:val="28"/>
        </w:rPr>
        <w:t>号）、《</w:t>
      </w:r>
      <w:r>
        <w:rPr>
          <w:rFonts w:eastAsia="仿宋_GB2312"/>
          <w:sz w:val="28"/>
          <w:szCs w:val="28"/>
        </w:rPr>
        <w:t>&lt;</w:t>
      </w:r>
      <w:r>
        <w:rPr>
          <w:rFonts w:hint="eastAsia" w:eastAsia="仿宋_GB2312"/>
          <w:sz w:val="28"/>
          <w:szCs w:val="28"/>
        </w:rPr>
        <w:t>长江经济带发展负面清单指南</w:t>
      </w:r>
      <w:r>
        <w:rPr>
          <w:rFonts w:eastAsia="仿宋_GB2312"/>
          <w:sz w:val="28"/>
          <w:szCs w:val="28"/>
        </w:rPr>
        <w:t>&gt;</w:t>
      </w:r>
      <w:r>
        <w:rPr>
          <w:rFonts w:hint="eastAsia" w:eastAsia="仿宋_GB2312"/>
          <w:sz w:val="28"/>
          <w:szCs w:val="28"/>
        </w:rPr>
        <w:t>江苏省实施细则（试行）》（苏长江办发〔</w:t>
      </w:r>
      <w:r>
        <w:rPr>
          <w:rFonts w:eastAsia="仿宋_GB2312"/>
          <w:sz w:val="28"/>
          <w:szCs w:val="28"/>
        </w:rPr>
        <w:t>2019</w:t>
      </w:r>
      <w:r>
        <w:rPr>
          <w:rFonts w:hint="eastAsia" w:eastAsia="仿宋_GB2312"/>
          <w:sz w:val="28"/>
          <w:szCs w:val="28"/>
        </w:rPr>
        <w:t>〕</w:t>
      </w:r>
      <w:r>
        <w:rPr>
          <w:rFonts w:eastAsia="仿宋_GB2312"/>
          <w:sz w:val="28"/>
          <w:szCs w:val="28"/>
        </w:rPr>
        <w:t>136</w:t>
      </w:r>
      <w:r>
        <w:rPr>
          <w:rFonts w:hint="eastAsia" w:eastAsia="仿宋_GB2312"/>
          <w:sz w:val="28"/>
          <w:szCs w:val="28"/>
        </w:rPr>
        <w:t>号），</w:t>
      </w:r>
      <w:r>
        <w:rPr>
          <w:rFonts w:hint="eastAsia" w:eastAsia="仿宋_GB2312"/>
          <w:sz w:val="28"/>
          <w:szCs w:val="28"/>
          <w:lang w:val="en-US" w:eastAsia="zh-CN"/>
        </w:rPr>
        <w:t>寅阳</w:t>
      </w:r>
      <w:r>
        <w:rPr>
          <w:rFonts w:hint="eastAsia" w:eastAsia="仿宋_GB2312"/>
          <w:sz w:val="28"/>
          <w:szCs w:val="28"/>
        </w:rPr>
        <w:t>镇工业集中区规划产业中重点发展的项目不含以上文件中的禁止、淘汰和限制类项目</w:t>
      </w:r>
      <w:bookmarkEnd w:id="16"/>
      <w:r>
        <w:rPr>
          <w:rFonts w:hint="eastAsia" w:eastAsia="仿宋_GB2312"/>
          <w:sz w:val="28"/>
          <w:szCs w:val="28"/>
        </w:rPr>
        <w:t>，工业集中区的产业定位符合国家和地方相关的产业政策，既立足于</w:t>
      </w:r>
      <w:r>
        <w:rPr>
          <w:rFonts w:hint="eastAsia" w:eastAsia="仿宋_GB2312"/>
          <w:sz w:val="28"/>
          <w:szCs w:val="28"/>
          <w:lang w:val="en-US" w:eastAsia="zh-CN"/>
        </w:rPr>
        <w:t>寅阳</w:t>
      </w:r>
      <w:r>
        <w:rPr>
          <w:rFonts w:hint="eastAsia" w:eastAsia="仿宋_GB2312"/>
          <w:sz w:val="28"/>
          <w:szCs w:val="28"/>
        </w:rPr>
        <w:t>镇现有经济发展基础，又利于地区经济的可持续性发展，同时上述产业定位避免了重污染企业的引进，合理利用区域劳动力，其总体产业定位合理。</w:t>
      </w:r>
    </w:p>
    <w:p>
      <w:pPr>
        <w:pStyle w:val="3"/>
        <w:spacing w:line="500" w:lineRule="exact"/>
      </w:pPr>
      <w:r>
        <w:t>2.4 与生态环境保护法规及规划相符性分析</w:t>
      </w:r>
      <w:bookmarkEnd w:id="17"/>
    </w:p>
    <w:p>
      <w:pPr>
        <w:spacing w:line="500" w:lineRule="exact"/>
        <w:ind w:firstLine="560" w:firstLineChars="200"/>
        <w:rPr>
          <w:rFonts w:eastAsia="仿宋_GB2312"/>
          <w:sz w:val="28"/>
          <w:szCs w:val="28"/>
        </w:rPr>
      </w:pPr>
      <w:r>
        <w:rPr>
          <w:rFonts w:hint="eastAsia" w:eastAsia="仿宋_GB2312"/>
          <w:sz w:val="28"/>
          <w:szCs w:val="28"/>
        </w:rPr>
        <w:t>寅阳镇工业集中区本轮规划范围不占用生态红线空间管控区，距离最近的国家级生态红线区启东长江口（北支）湿地省级自然保护区约3.6km。本轮规划与《中共江苏省委江苏省人民政府关于全面加强生态环境保护坚决打好污染防治攻坚战的实施意见》（苏发〔</w:t>
      </w:r>
      <w:r>
        <w:rPr>
          <w:rFonts w:eastAsia="仿宋_GB2312"/>
          <w:sz w:val="28"/>
          <w:szCs w:val="28"/>
        </w:rPr>
        <w:t>2018</w:t>
      </w:r>
      <w:r>
        <w:rPr>
          <w:rFonts w:hint="eastAsia" w:eastAsia="仿宋_GB2312"/>
          <w:sz w:val="28"/>
          <w:szCs w:val="28"/>
        </w:rPr>
        <w:t>〕</w:t>
      </w:r>
      <w:r>
        <w:rPr>
          <w:rFonts w:eastAsia="仿宋_GB2312"/>
          <w:sz w:val="28"/>
          <w:szCs w:val="28"/>
        </w:rPr>
        <w:t>24</w:t>
      </w:r>
      <w:r>
        <w:rPr>
          <w:rFonts w:hint="eastAsia" w:eastAsia="仿宋_GB2312"/>
          <w:sz w:val="28"/>
          <w:szCs w:val="28"/>
        </w:rPr>
        <w:t>号）、《省政府关于印发江苏省打赢蓝天保卫战三年行动计划实施方案的通知》（苏政发〔</w:t>
      </w:r>
      <w:r>
        <w:rPr>
          <w:rFonts w:eastAsia="仿宋_GB2312"/>
          <w:sz w:val="28"/>
          <w:szCs w:val="28"/>
        </w:rPr>
        <w:t>2018</w:t>
      </w:r>
      <w:r>
        <w:rPr>
          <w:rFonts w:hint="eastAsia" w:eastAsia="仿宋_GB2312"/>
          <w:sz w:val="28"/>
          <w:szCs w:val="28"/>
        </w:rPr>
        <w:t>〕</w:t>
      </w:r>
      <w:r>
        <w:rPr>
          <w:rFonts w:eastAsia="仿宋_GB2312"/>
          <w:sz w:val="28"/>
          <w:szCs w:val="28"/>
        </w:rPr>
        <w:t>122</w:t>
      </w:r>
      <w:r>
        <w:rPr>
          <w:rFonts w:hint="eastAsia" w:eastAsia="仿宋_GB2312"/>
          <w:sz w:val="28"/>
          <w:szCs w:val="28"/>
        </w:rPr>
        <w:t>号）、《南通市打赢蓝天保卫战三年行动计划实施方案（</w:t>
      </w:r>
      <w:r>
        <w:rPr>
          <w:rFonts w:eastAsia="仿宋_GB2312"/>
          <w:sz w:val="28"/>
          <w:szCs w:val="28"/>
        </w:rPr>
        <w:t>2018-2020</w:t>
      </w:r>
      <w:r>
        <w:rPr>
          <w:rFonts w:hint="eastAsia" w:eastAsia="仿宋_GB2312"/>
          <w:sz w:val="28"/>
          <w:szCs w:val="28"/>
        </w:rPr>
        <w:t>）》（通政发〔</w:t>
      </w:r>
      <w:r>
        <w:rPr>
          <w:rFonts w:eastAsia="仿宋_GB2312"/>
          <w:sz w:val="28"/>
          <w:szCs w:val="28"/>
        </w:rPr>
        <w:t>2018</w:t>
      </w:r>
      <w:r>
        <w:rPr>
          <w:rFonts w:hint="eastAsia" w:eastAsia="仿宋_GB2312"/>
          <w:sz w:val="28"/>
          <w:szCs w:val="28"/>
        </w:rPr>
        <w:t>〕</w:t>
      </w:r>
      <w:r>
        <w:rPr>
          <w:rFonts w:eastAsia="仿宋_GB2312"/>
          <w:sz w:val="28"/>
          <w:szCs w:val="28"/>
        </w:rPr>
        <w:t>63</w:t>
      </w:r>
      <w:r>
        <w:rPr>
          <w:rFonts w:hint="eastAsia" w:eastAsia="仿宋_GB2312"/>
          <w:sz w:val="28"/>
          <w:szCs w:val="28"/>
        </w:rPr>
        <w:t>号）、《南通市挥发性有机物清洁原料替代实施方案》（通大气办〔</w:t>
      </w:r>
      <w:r>
        <w:rPr>
          <w:rFonts w:eastAsia="仿宋_GB2312"/>
          <w:sz w:val="28"/>
          <w:szCs w:val="28"/>
        </w:rPr>
        <w:t>2021</w:t>
      </w:r>
      <w:r>
        <w:rPr>
          <w:rFonts w:hint="eastAsia" w:eastAsia="仿宋_GB2312"/>
          <w:sz w:val="28"/>
          <w:szCs w:val="28"/>
        </w:rPr>
        <w:t>〕</w:t>
      </w:r>
      <w:r>
        <w:rPr>
          <w:rFonts w:eastAsia="仿宋_GB2312"/>
          <w:sz w:val="28"/>
          <w:szCs w:val="28"/>
        </w:rPr>
        <w:t>6</w:t>
      </w:r>
      <w:r>
        <w:rPr>
          <w:rFonts w:hint="eastAsia" w:eastAsia="仿宋_GB2312"/>
          <w:sz w:val="28"/>
          <w:szCs w:val="28"/>
        </w:rPr>
        <w:t>号）、《南通市关于加大污染减排力度推进重点行业绿色发展的指导意见》（通办〔</w:t>
      </w:r>
      <w:r>
        <w:rPr>
          <w:rFonts w:eastAsia="仿宋_GB2312"/>
          <w:sz w:val="28"/>
          <w:szCs w:val="28"/>
        </w:rPr>
        <w:t>2021</w:t>
      </w:r>
      <w:r>
        <w:rPr>
          <w:rFonts w:hint="eastAsia" w:eastAsia="仿宋_GB2312"/>
          <w:sz w:val="28"/>
          <w:szCs w:val="28"/>
        </w:rPr>
        <w:t>〕</w:t>
      </w:r>
      <w:r>
        <w:rPr>
          <w:rFonts w:eastAsia="仿宋_GB2312"/>
          <w:sz w:val="28"/>
          <w:szCs w:val="28"/>
        </w:rPr>
        <w:t>59</w:t>
      </w:r>
      <w:r>
        <w:rPr>
          <w:rFonts w:hint="eastAsia" w:eastAsia="仿宋_GB2312"/>
          <w:sz w:val="28"/>
          <w:szCs w:val="28"/>
        </w:rPr>
        <w:t>号）、《南通市</w:t>
      </w:r>
      <w:r>
        <w:rPr>
          <w:rFonts w:eastAsia="仿宋_GB2312"/>
          <w:sz w:val="28"/>
          <w:szCs w:val="28"/>
        </w:rPr>
        <w:t>2021</w:t>
      </w:r>
      <w:r>
        <w:rPr>
          <w:rFonts w:hint="eastAsia" w:eastAsia="仿宋_GB2312"/>
          <w:sz w:val="28"/>
          <w:szCs w:val="28"/>
        </w:rPr>
        <w:t>年深入打好污染防治攻坚战工作计划》（通政办发〔</w:t>
      </w:r>
      <w:r>
        <w:rPr>
          <w:rFonts w:eastAsia="仿宋_GB2312"/>
          <w:sz w:val="28"/>
          <w:szCs w:val="28"/>
        </w:rPr>
        <w:t>2021</w:t>
      </w:r>
      <w:r>
        <w:rPr>
          <w:rFonts w:hint="eastAsia" w:eastAsia="仿宋_GB2312"/>
          <w:sz w:val="28"/>
          <w:szCs w:val="28"/>
        </w:rPr>
        <w:t>〕</w:t>
      </w:r>
      <w:r>
        <w:rPr>
          <w:rFonts w:eastAsia="仿宋_GB2312"/>
          <w:sz w:val="28"/>
          <w:szCs w:val="28"/>
        </w:rPr>
        <w:t>16</w:t>
      </w:r>
      <w:r>
        <w:rPr>
          <w:rFonts w:hint="eastAsia" w:eastAsia="仿宋_GB2312"/>
          <w:sz w:val="28"/>
          <w:szCs w:val="28"/>
        </w:rPr>
        <w:t>号）、《南通市土壤污染防治工作方案》（通政发〔</w:t>
      </w:r>
      <w:r>
        <w:rPr>
          <w:rFonts w:eastAsia="仿宋_GB2312"/>
          <w:sz w:val="28"/>
          <w:szCs w:val="28"/>
        </w:rPr>
        <w:t>2017</w:t>
      </w:r>
      <w:r>
        <w:rPr>
          <w:rFonts w:hint="eastAsia" w:eastAsia="仿宋_GB2312"/>
          <w:sz w:val="28"/>
          <w:szCs w:val="28"/>
        </w:rPr>
        <w:t>〕</w:t>
      </w:r>
      <w:r>
        <w:rPr>
          <w:rFonts w:eastAsia="仿宋_GB2312"/>
          <w:sz w:val="28"/>
          <w:szCs w:val="28"/>
        </w:rPr>
        <w:t>20</w:t>
      </w:r>
      <w:r>
        <w:rPr>
          <w:rFonts w:hint="eastAsia" w:eastAsia="仿宋_GB2312"/>
          <w:sz w:val="28"/>
          <w:szCs w:val="28"/>
        </w:rPr>
        <w:t>号）、《南通市水污染防治工作方案》（通政发〔</w:t>
      </w:r>
      <w:r>
        <w:rPr>
          <w:rFonts w:eastAsia="仿宋_GB2312"/>
          <w:sz w:val="28"/>
          <w:szCs w:val="28"/>
        </w:rPr>
        <w:t>2016</w:t>
      </w:r>
      <w:r>
        <w:rPr>
          <w:rFonts w:hint="eastAsia" w:eastAsia="仿宋_GB2312"/>
          <w:sz w:val="28"/>
          <w:szCs w:val="28"/>
        </w:rPr>
        <w:t>〕</w:t>
      </w:r>
      <w:r>
        <w:rPr>
          <w:rFonts w:eastAsia="仿宋_GB2312"/>
          <w:sz w:val="28"/>
          <w:szCs w:val="28"/>
        </w:rPr>
        <w:t>35</w:t>
      </w:r>
      <w:r>
        <w:rPr>
          <w:rFonts w:hint="eastAsia" w:eastAsia="仿宋_GB2312"/>
          <w:sz w:val="28"/>
          <w:szCs w:val="28"/>
        </w:rPr>
        <w:t>号）、《省政府关于印发江苏省</w:t>
      </w:r>
      <w:r>
        <w:rPr>
          <w:rFonts w:eastAsia="仿宋_GB2312"/>
          <w:sz w:val="28"/>
          <w:szCs w:val="28"/>
        </w:rPr>
        <w:t>“</w:t>
      </w:r>
      <w:r>
        <w:rPr>
          <w:rFonts w:hint="eastAsia" w:eastAsia="仿宋_GB2312"/>
          <w:sz w:val="28"/>
          <w:szCs w:val="28"/>
        </w:rPr>
        <w:t>三线一单</w:t>
      </w:r>
      <w:r>
        <w:rPr>
          <w:rFonts w:eastAsia="仿宋_GB2312"/>
          <w:sz w:val="28"/>
          <w:szCs w:val="28"/>
        </w:rPr>
        <w:t>”</w:t>
      </w:r>
      <w:r>
        <w:rPr>
          <w:rFonts w:hint="eastAsia" w:eastAsia="仿宋_GB2312"/>
          <w:sz w:val="28"/>
          <w:szCs w:val="28"/>
        </w:rPr>
        <w:t>生态环境分区管控方案的通知》（苏政发〔</w:t>
      </w:r>
      <w:r>
        <w:rPr>
          <w:rFonts w:eastAsia="仿宋_GB2312"/>
          <w:sz w:val="28"/>
          <w:szCs w:val="28"/>
        </w:rPr>
        <w:t>2020</w:t>
      </w:r>
      <w:r>
        <w:rPr>
          <w:rFonts w:hint="eastAsia" w:eastAsia="仿宋_GB2312"/>
          <w:sz w:val="28"/>
          <w:szCs w:val="28"/>
        </w:rPr>
        <w:t>〕</w:t>
      </w:r>
      <w:r>
        <w:rPr>
          <w:rFonts w:eastAsia="仿宋_GB2312"/>
          <w:sz w:val="28"/>
          <w:szCs w:val="28"/>
        </w:rPr>
        <w:t>49</w:t>
      </w:r>
      <w:r>
        <w:rPr>
          <w:rFonts w:hint="eastAsia" w:eastAsia="仿宋_GB2312"/>
          <w:sz w:val="28"/>
          <w:szCs w:val="28"/>
        </w:rPr>
        <w:t>号）、《南通市“三线一单”生态环境分区管控方案》（通政办规〔</w:t>
      </w:r>
      <w:r>
        <w:rPr>
          <w:rFonts w:eastAsia="仿宋_GB2312"/>
          <w:sz w:val="28"/>
          <w:szCs w:val="28"/>
        </w:rPr>
        <w:t>2021</w:t>
      </w:r>
      <w:r>
        <w:rPr>
          <w:rFonts w:hint="eastAsia" w:eastAsia="仿宋_GB2312"/>
          <w:sz w:val="28"/>
          <w:szCs w:val="28"/>
        </w:rPr>
        <w:t>〕</w:t>
      </w:r>
      <w:r>
        <w:rPr>
          <w:rFonts w:eastAsia="仿宋_GB2312"/>
          <w:sz w:val="28"/>
          <w:szCs w:val="28"/>
        </w:rPr>
        <w:t>4</w:t>
      </w:r>
      <w:r>
        <w:rPr>
          <w:rFonts w:hint="eastAsia" w:eastAsia="仿宋_GB2312"/>
          <w:sz w:val="28"/>
          <w:szCs w:val="28"/>
        </w:rPr>
        <w:t>号）等生态环境保护相关法规、规划和政策的要求相符。</w:t>
      </w:r>
    </w:p>
    <w:p>
      <w:pPr>
        <w:pStyle w:val="2"/>
        <w:spacing w:line="500" w:lineRule="exact"/>
        <w:sectPr>
          <w:pgSz w:w="11906" w:h="16838"/>
          <w:pgMar w:top="1440" w:right="1800" w:bottom="1440" w:left="1800" w:header="851" w:footer="992" w:gutter="0"/>
          <w:cols w:space="425" w:num="1"/>
          <w:docGrid w:type="lines" w:linePitch="312" w:charSpace="0"/>
        </w:sectPr>
      </w:pPr>
    </w:p>
    <w:p>
      <w:pPr>
        <w:pStyle w:val="2"/>
        <w:spacing w:line="500" w:lineRule="exact"/>
      </w:pPr>
      <w:bookmarkStart w:id="18" w:name="_Toc74055733"/>
      <w:r>
        <w:t>3环境质量现状</w:t>
      </w:r>
      <w:bookmarkEnd w:id="18"/>
    </w:p>
    <w:p>
      <w:pPr>
        <w:spacing w:line="500" w:lineRule="exact"/>
        <w:ind w:firstLine="560" w:firstLineChars="200"/>
        <w:rPr>
          <w:rFonts w:eastAsia="仿宋_GB2312"/>
          <w:sz w:val="28"/>
          <w:szCs w:val="28"/>
        </w:rPr>
      </w:pPr>
      <w:r>
        <w:rPr>
          <w:rFonts w:eastAsia="仿宋_GB2312"/>
          <w:sz w:val="28"/>
          <w:szCs w:val="28"/>
        </w:rPr>
        <w:t>（1）环境空气</w:t>
      </w:r>
    </w:p>
    <w:p>
      <w:pPr>
        <w:spacing w:line="500" w:lineRule="exact"/>
        <w:ind w:firstLine="560" w:firstLineChars="200"/>
        <w:rPr>
          <w:rFonts w:eastAsia="仿宋_GB2312"/>
          <w:sz w:val="28"/>
          <w:szCs w:val="28"/>
        </w:rPr>
      </w:pPr>
      <w:r>
        <w:rPr>
          <w:rFonts w:hint="eastAsia" w:eastAsia="仿宋_GB2312"/>
          <w:sz w:val="28"/>
          <w:szCs w:val="28"/>
          <w:lang w:val="en-US" w:eastAsia="zh-CN"/>
        </w:rPr>
        <w:t>寅阳</w:t>
      </w:r>
      <w:r>
        <w:rPr>
          <w:rFonts w:hint="eastAsia" w:eastAsia="仿宋_GB2312"/>
          <w:sz w:val="28"/>
          <w:szCs w:val="28"/>
        </w:rPr>
        <w:t>镇工业集中区所在区域环境空气质量现状监测结果表明，监测期间各监测点位所测各项指标均符合相应的环境空气质量标准要求。</w:t>
      </w:r>
    </w:p>
    <w:p>
      <w:pPr>
        <w:spacing w:line="500" w:lineRule="exact"/>
        <w:ind w:firstLine="560" w:firstLineChars="200"/>
        <w:rPr>
          <w:rFonts w:eastAsia="仿宋_GB2312"/>
          <w:sz w:val="28"/>
          <w:szCs w:val="28"/>
        </w:rPr>
      </w:pPr>
      <w:r>
        <w:rPr>
          <w:rFonts w:eastAsia="仿宋_GB2312"/>
          <w:sz w:val="28"/>
          <w:szCs w:val="28"/>
        </w:rPr>
        <w:t>（2）地表水环境</w:t>
      </w:r>
    </w:p>
    <w:p>
      <w:pPr>
        <w:spacing w:line="500" w:lineRule="exact"/>
        <w:ind w:firstLine="560" w:firstLineChars="200"/>
        <w:rPr>
          <w:rFonts w:eastAsia="仿宋_GB2312"/>
          <w:sz w:val="28"/>
          <w:szCs w:val="28"/>
        </w:rPr>
      </w:pPr>
      <w:r>
        <w:rPr>
          <w:rFonts w:hint="eastAsia" w:eastAsia="仿宋_GB2312"/>
          <w:sz w:val="28"/>
          <w:szCs w:val="28"/>
          <w:lang w:val="en-US" w:eastAsia="zh-CN"/>
        </w:rPr>
        <w:t>寅阳</w:t>
      </w:r>
      <w:r>
        <w:rPr>
          <w:rFonts w:hint="eastAsia" w:eastAsia="仿宋_GB2312"/>
          <w:sz w:val="28"/>
          <w:szCs w:val="28"/>
        </w:rPr>
        <w:t>镇工业集中区所在区域及周边水体各水质断面的各污染因子的监测结果均符合相应的标准要求。</w:t>
      </w:r>
    </w:p>
    <w:p>
      <w:pPr>
        <w:spacing w:line="500" w:lineRule="exact"/>
        <w:ind w:firstLine="560" w:firstLineChars="200"/>
        <w:rPr>
          <w:rFonts w:eastAsia="仿宋_GB2312"/>
          <w:sz w:val="28"/>
          <w:szCs w:val="28"/>
        </w:rPr>
      </w:pPr>
      <w:r>
        <w:rPr>
          <w:rFonts w:eastAsia="仿宋_GB2312"/>
          <w:sz w:val="28"/>
          <w:szCs w:val="28"/>
        </w:rPr>
        <w:t>（3）地下水环境</w:t>
      </w:r>
    </w:p>
    <w:p>
      <w:pPr>
        <w:spacing w:line="500" w:lineRule="exact"/>
        <w:ind w:firstLine="560" w:firstLineChars="200"/>
        <w:rPr>
          <w:rFonts w:eastAsia="仿宋_GB2312"/>
          <w:sz w:val="28"/>
          <w:szCs w:val="28"/>
        </w:rPr>
      </w:pPr>
      <w:r>
        <w:rPr>
          <w:rFonts w:hint="eastAsia" w:eastAsia="仿宋_GB2312"/>
          <w:sz w:val="28"/>
          <w:szCs w:val="28"/>
        </w:rPr>
        <w:t>监测期间评价区域各监测点位的地下水环境质量各项指标除部分点位的</w:t>
      </w:r>
      <w:r>
        <w:rPr>
          <w:rFonts w:hint="eastAsia" w:eastAsia="仿宋_GB2312"/>
          <w:sz w:val="28"/>
          <w:szCs w:val="28"/>
          <w:lang w:val="en-US" w:eastAsia="zh-CN"/>
        </w:rPr>
        <w:t>氨氮、锰、钠、氯离子</w:t>
      </w:r>
      <w:r>
        <w:rPr>
          <w:rFonts w:hint="eastAsia" w:eastAsia="仿宋_GB2312"/>
          <w:sz w:val="28"/>
          <w:szCs w:val="28"/>
        </w:rPr>
        <w:t>为《地下水环境质量标准》（GB/T14848-2017）</w:t>
      </w:r>
      <w:r>
        <w:rPr>
          <w:rFonts w:eastAsia="仿宋_GB2312"/>
          <w:sz w:val="28"/>
          <w:szCs w:val="28"/>
        </w:rPr>
        <w:fldChar w:fldCharType="begin"/>
      </w:r>
      <w:r>
        <w:rPr>
          <w:rFonts w:eastAsia="仿宋_GB2312"/>
          <w:sz w:val="28"/>
          <w:szCs w:val="28"/>
        </w:rPr>
        <w:instrText xml:space="preserve"> </w:instrText>
      </w:r>
      <w:r>
        <w:rPr>
          <w:rFonts w:hint="eastAsia" w:eastAsia="仿宋_GB2312"/>
          <w:sz w:val="28"/>
          <w:szCs w:val="28"/>
        </w:rPr>
        <w:instrText xml:space="preserve">= 4 \* ROMAN</w:instrText>
      </w:r>
      <w:r>
        <w:rPr>
          <w:rFonts w:eastAsia="仿宋_GB2312"/>
          <w:sz w:val="28"/>
          <w:szCs w:val="28"/>
        </w:rPr>
        <w:instrText xml:space="preserve"> </w:instrText>
      </w:r>
      <w:r>
        <w:rPr>
          <w:rFonts w:eastAsia="仿宋_GB2312"/>
          <w:sz w:val="28"/>
          <w:szCs w:val="28"/>
        </w:rPr>
        <w:fldChar w:fldCharType="separate"/>
      </w:r>
      <w:r>
        <w:rPr>
          <w:rFonts w:eastAsia="仿宋_GB2312"/>
          <w:sz w:val="28"/>
          <w:szCs w:val="28"/>
        </w:rPr>
        <w:t>IV</w:t>
      </w:r>
      <w:r>
        <w:rPr>
          <w:rFonts w:eastAsia="仿宋_GB2312"/>
          <w:sz w:val="28"/>
          <w:szCs w:val="28"/>
        </w:rPr>
        <w:fldChar w:fldCharType="end"/>
      </w:r>
      <w:r>
        <w:rPr>
          <w:rFonts w:hint="eastAsia" w:eastAsia="仿宋_GB2312"/>
          <w:sz w:val="28"/>
          <w:szCs w:val="28"/>
        </w:rPr>
        <w:t>类标准，</w:t>
      </w:r>
      <w:r>
        <w:rPr>
          <w:rFonts w:hint="eastAsia" w:eastAsia="仿宋_GB2312"/>
          <w:sz w:val="28"/>
          <w:szCs w:val="28"/>
          <w:lang w:val="en-US" w:eastAsia="zh-CN"/>
        </w:rPr>
        <w:t>硝酸根离子</w:t>
      </w:r>
      <w:r>
        <w:rPr>
          <w:rFonts w:hint="eastAsia" w:eastAsia="仿宋_GB2312"/>
          <w:sz w:val="28"/>
          <w:szCs w:val="28"/>
        </w:rPr>
        <w:t>为《地下水环境质量标准》（GB/T14848-2017）</w:t>
      </w:r>
      <w:r>
        <w:rPr>
          <w:rFonts w:eastAsia="仿宋_GB2312"/>
          <w:sz w:val="28"/>
          <w:szCs w:val="28"/>
        </w:rPr>
        <w:fldChar w:fldCharType="begin"/>
      </w:r>
      <w:r>
        <w:rPr>
          <w:rFonts w:eastAsia="仿宋_GB2312"/>
          <w:sz w:val="28"/>
          <w:szCs w:val="28"/>
        </w:rPr>
        <w:instrText xml:space="preserve"> </w:instrText>
      </w:r>
      <w:r>
        <w:rPr>
          <w:rFonts w:hint="eastAsia" w:eastAsia="仿宋_GB2312"/>
          <w:sz w:val="28"/>
          <w:szCs w:val="28"/>
        </w:rPr>
        <w:instrText xml:space="preserve">= 4 \* ROMAN</w:instrText>
      </w:r>
      <w:r>
        <w:rPr>
          <w:rFonts w:eastAsia="仿宋_GB2312"/>
          <w:sz w:val="28"/>
          <w:szCs w:val="28"/>
        </w:rPr>
        <w:instrText xml:space="preserve"> </w:instrText>
      </w:r>
      <w:r>
        <w:rPr>
          <w:rFonts w:eastAsia="仿宋_GB2312"/>
          <w:sz w:val="28"/>
          <w:szCs w:val="28"/>
        </w:rPr>
        <w:fldChar w:fldCharType="separate"/>
      </w:r>
      <w:r>
        <w:rPr>
          <w:rFonts w:eastAsia="仿宋_GB2312"/>
          <w:sz w:val="28"/>
          <w:szCs w:val="28"/>
        </w:rPr>
        <w:t>V</w:t>
      </w:r>
      <w:r>
        <w:rPr>
          <w:rFonts w:eastAsia="仿宋_GB2312"/>
          <w:sz w:val="28"/>
          <w:szCs w:val="28"/>
        </w:rPr>
        <w:fldChar w:fldCharType="end"/>
      </w:r>
      <w:r>
        <w:rPr>
          <w:rFonts w:hint="eastAsia" w:eastAsia="仿宋_GB2312"/>
          <w:sz w:val="28"/>
          <w:szCs w:val="28"/>
        </w:rPr>
        <w:t>类标准外，其他因子均满足《地下水环境质量标准》（GB/T14848-2017）中的</w:t>
      </w:r>
      <w:r>
        <w:rPr>
          <w:rFonts w:eastAsia="仿宋_GB2312"/>
          <w:sz w:val="28"/>
          <w:szCs w:val="28"/>
        </w:rPr>
        <w:fldChar w:fldCharType="begin"/>
      </w:r>
      <w:r>
        <w:rPr>
          <w:rFonts w:eastAsia="仿宋_GB2312"/>
          <w:sz w:val="28"/>
          <w:szCs w:val="28"/>
        </w:rPr>
        <w:instrText xml:space="preserve"> </w:instrText>
      </w:r>
      <w:r>
        <w:rPr>
          <w:rFonts w:hint="eastAsia" w:eastAsia="仿宋_GB2312"/>
          <w:sz w:val="28"/>
          <w:szCs w:val="28"/>
        </w:rPr>
        <w:instrText xml:space="preserve">= 3 \* ROMAN</w:instrText>
      </w:r>
      <w:r>
        <w:rPr>
          <w:rFonts w:eastAsia="仿宋_GB2312"/>
          <w:sz w:val="28"/>
          <w:szCs w:val="28"/>
        </w:rPr>
        <w:instrText xml:space="preserve"> </w:instrText>
      </w:r>
      <w:r>
        <w:rPr>
          <w:rFonts w:eastAsia="仿宋_GB2312"/>
          <w:sz w:val="28"/>
          <w:szCs w:val="28"/>
        </w:rPr>
        <w:fldChar w:fldCharType="separate"/>
      </w:r>
      <w:r>
        <w:rPr>
          <w:rFonts w:eastAsia="仿宋_GB2312"/>
          <w:sz w:val="28"/>
          <w:szCs w:val="28"/>
        </w:rPr>
        <w:t>III</w:t>
      </w:r>
      <w:r>
        <w:rPr>
          <w:rFonts w:eastAsia="仿宋_GB2312"/>
          <w:sz w:val="28"/>
          <w:szCs w:val="28"/>
        </w:rPr>
        <w:fldChar w:fldCharType="end"/>
      </w:r>
      <w:r>
        <w:rPr>
          <w:rFonts w:hint="eastAsia" w:eastAsia="仿宋_GB2312"/>
          <w:sz w:val="28"/>
          <w:szCs w:val="28"/>
        </w:rPr>
        <w:t>类及以上标准要求。</w:t>
      </w:r>
    </w:p>
    <w:p>
      <w:pPr>
        <w:spacing w:line="500" w:lineRule="exact"/>
        <w:ind w:firstLine="560" w:firstLineChars="200"/>
        <w:rPr>
          <w:rFonts w:eastAsia="仿宋_GB2312"/>
          <w:sz w:val="28"/>
          <w:szCs w:val="28"/>
        </w:rPr>
      </w:pPr>
      <w:r>
        <w:rPr>
          <w:rFonts w:eastAsia="仿宋_GB2312"/>
          <w:sz w:val="28"/>
          <w:szCs w:val="28"/>
        </w:rPr>
        <w:t>（4）声环境</w:t>
      </w:r>
    </w:p>
    <w:p>
      <w:pPr>
        <w:spacing w:line="500" w:lineRule="exact"/>
        <w:ind w:firstLine="560" w:firstLineChars="200"/>
        <w:rPr>
          <w:rFonts w:eastAsia="仿宋_GB2312"/>
          <w:sz w:val="28"/>
          <w:szCs w:val="28"/>
        </w:rPr>
      </w:pPr>
      <w:r>
        <w:rPr>
          <w:rFonts w:hint="eastAsia" w:eastAsia="仿宋_GB2312"/>
          <w:sz w:val="28"/>
          <w:szCs w:val="28"/>
        </w:rPr>
        <w:t>监测期间各监测点昼、夜间噪声值均满足《声环境质量标准》（GB 3096-2008）相应功能区标准要求。</w:t>
      </w:r>
    </w:p>
    <w:p>
      <w:pPr>
        <w:spacing w:line="500" w:lineRule="exact"/>
        <w:ind w:firstLine="560" w:firstLineChars="200"/>
        <w:rPr>
          <w:rFonts w:eastAsia="仿宋_GB2312"/>
          <w:sz w:val="28"/>
          <w:szCs w:val="28"/>
        </w:rPr>
      </w:pPr>
      <w:r>
        <w:rPr>
          <w:rFonts w:eastAsia="仿宋_GB2312"/>
          <w:sz w:val="28"/>
          <w:szCs w:val="28"/>
        </w:rPr>
        <w:t>（5）土壤环境</w:t>
      </w:r>
    </w:p>
    <w:p>
      <w:pPr>
        <w:spacing w:line="500" w:lineRule="exact"/>
        <w:ind w:firstLine="560" w:firstLineChars="200"/>
        <w:rPr>
          <w:rFonts w:eastAsia="仿宋_GB2312"/>
          <w:sz w:val="28"/>
          <w:szCs w:val="28"/>
        </w:rPr>
      </w:pPr>
      <w:r>
        <w:rPr>
          <w:rFonts w:hint="eastAsia" w:eastAsia="仿宋_GB2312"/>
          <w:sz w:val="28"/>
          <w:szCs w:val="28"/>
        </w:rPr>
        <w:t>土壤环境质量现状监测结果表明，所测各项指标均低于《土壤环境质量 建设用地土壤污染风险管控标准（试行）》（GB 36600-2018）中的相应的用地筛选值标准要求及《土壤环境质量 农用地土壤污染风险管控标准（试行）》（GB15618-2018）农用地土壤污染风险筛选值标准要求。</w:t>
      </w:r>
    </w:p>
    <w:p>
      <w:pPr>
        <w:spacing w:line="500" w:lineRule="exact"/>
        <w:ind w:firstLine="560" w:firstLineChars="200"/>
        <w:rPr>
          <w:rFonts w:eastAsia="仿宋_GB2312"/>
          <w:sz w:val="28"/>
          <w:szCs w:val="28"/>
        </w:rPr>
      </w:pPr>
      <w:r>
        <w:rPr>
          <w:rFonts w:eastAsia="仿宋_GB2312"/>
          <w:sz w:val="28"/>
          <w:szCs w:val="28"/>
        </w:rPr>
        <w:t>（6）底泥环境</w:t>
      </w:r>
    </w:p>
    <w:p>
      <w:pPr>
        <w:spacing w:line="500" w:lineRule="exact"/>
        <w:ind w:firstLine="560" w:firstLineChars="200"/>
        <w:rPr>
          <w:rFonts w:eastAsia="仿宋_GB2312"/>
          <w:sz w:val="28"/>
          <w:szCs w:val="28"/>
        </w:rPr>
      </w:pPr>
      <w:r>
        <w:rPr>
          <w:rFonts w:hint="eastAsia" w:eastAsia="仿宋_GB2312"/>
          <w:sz w:val="28"/>
          <w:szCs w:val="28"/>
        </w:rPr>
        <w:t>底泥环境质量现状监测结果表明，监测期间各监测点指标均低于《土壤环境质量 农用地土壤污染风险管控标准（试行）》（GB15618-2018）农用地土壤污染风险筛选值</w:t>
      </w:r>
      <w:r>
        <w:rPr>
          <w:rFonts w:eastAsia="仿宋_GB2312"/>
          <w:sz w:val="28"/>
          <w:szCs w:val="28"/>
        </w:rPr>
        <w:t>。</w:t>
      </w:r>
    </w:p>
    <w:p>
      <w:pPr>
        <w:pStyle w:val="2"/>
        <w:spacing w:line="500" w:lineRule="exact"/>
        <w:sectPr>
          <w:pgSz w:w="11906" w:h="16838"/>
          <w:pgMar w:top="1440" w:right="1800" w:bottom="1440" w:left="1800" w:header="851" w:footer="992" w:gutter="0"/>
          <w:cols w:space="425" w:num="1"/>
          <w:docGrid w:type="lines" w:linePitch="312" w:charSpace="0"/>
        </w:sectPr>
      </w:pPr>
    </w:p>
    <w:p>
      <w:pPr>
        <w:pStyle w:val="2"/>
        <w:spacing w:line="500" w:lineRule="exact"/>
      </w:pPr>
      <w:bookmarkStart w:id="19" w:name="_Toc74055734"/>
      <w:r>
        <w:t>4环境影响预测结论</w:t>
      </w:r>
      <w:bookmarkEnd w:id="19"/>
    </w:p>
    <w:p>
      <w:pPr>
        <w:adjustRightInd w:val="0"/>
        <w:snapToGrid w:val="0"/>
        <w:spacing w:line="500" w:lineRule="exact"/>
        <w:ind w:firstLine="560" w:firstLineChars="200"/>
        <w:rPr>
          <w:rFonts w:eastAsia="仿宋_GB2312"/>
          <w:sz w:val="28"/>
          <w:szCs w:val="28"/>
        </w:rPr>
      </w:pPr>
      <w:r>
        <w:rPr>
          <w:rFonts w:eastAsia="仿宋_GB2312"/>
          <w:sz w:val="28"/>
          <w:szCs w:val="28"/>
        </w:rPr>
        <w:t>（1）大气环境</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根据大气环境影响预测结果，</w:t>
      </w:r>
      <w:r>
        <w:rPr>
          <w:rFonts w:hint="eastAsia" w:eastAsia="仿宋_GB2312"/>
          <w:sz w:val="28"/>
          <w:szCs w:val="28"/>
          <w:lang w:val="en-US" w:eastAsia="zh-CN"/>
        </w:rPr>
        <w:t>寅阳</w:t>
      </w:r>
      <w:r>
        <w:rPr>
          <w:rFonts w:hint="eastAsia" w:eastAsia="仿宋_GB2312"/>
          <w:sz w:val="28"/>
          <w:szCs w:val="28"/>
        </w:rPr>
        <w:t>镇工业集中区本次规划实施后，主要污染物的保证率日平均质量浓度和年平均质量浓度均符合二类区环境质量标准；特征污染物叠加后的短期浓度均符合相关环境质量标准。</w:t>
      </w:r>
    </w:p>
    <w:p>
      <w:pPr>
        <w:adjustRightInd w:val="0"/>
        <w:snapToGrid w:val="0"/>
        <w:spacing w:line="500" w:lineRule="exact"/>
        <w:ind w:firstLine="560" w:firstLineChars="200"/>
        <w:rPr>
          <w:rFonts w:eastAsia="仿宋_GB2312"/>
          <w:sz w:val="28"/>
          <w:szCs w:val="28"/>
        </w:rPr>
      </w:pPr>
      <w:r>
        <w:rPr>
          <w:rFonts w:eastAsia="仿宋_GB2312"/>
          <w:sz w:val="28"/>
          <w:szCs w:val="28"/>
        </w:rPr>
        <w:t>（2）地表水环境</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根据地表水环境影响预测结果，启东市江海污水处理有限公司尾水排放对区域地表水环境的影响较小。</w:t>
      </w:r>
    </w:p>
    <w:p>
      <w:pPr>
        <w:adjustRightInd w:val="0"/>
        <w:snapToGrid w:val="0"/>
        <w:spacing w:line="500" w:lineRule="exact"/>
        <w:ind w:firstLine="560" w:firstLineChars="200"/>
        <w:rPr>
          <w:rFonts w:eastAsia="仿宋_GB2312"/>
          <w:sz w:val="28"/>
          <w:szCs w:val="28"/>
        </w:rPr>
      </w:pPr>
      <w:r>
        <w:rPr>
          <w:rFonts w:eastAsia="仿宋_GB2312"/>
          <w:sz w:val="28"/>
          <w:szCs w:val="28"/>
        </w:rPr>
        <w:t>（3）声环境</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根据声环境影响预测结果，</w:t>
      </w:r>
      <w:r>
        <w:rPr>
          <w:rFonts w:hint="eastAsia" w:eastAsia="仿宋_GB2312"/>
          <w:sz w:val="28"/>
          <w:szCs w:val="28"/>
          <w:lang w:val="en-US" w:eastAsia="zh-CN"/>
        </w:rPr>
        <w:t>寅阳</w:t>
      </w:r>
      <w:r>
        <w:rPr>
          <w:rFonts w:hint="eastAsia" w:eastAsia="仿宋_GB2312"/>
          <w:sz w:val="28"/>
          <w:szCs w:val="28"/>
        </w:rPr>
        <w:t>镇工业集中区施工和交通噪声对区域声环境的影响较小。</w:t>
      </w:r>
    </w:p>
    <w:p>
      <w:pPr>
        <w:adjustRightInd w:val="0"/>
        <w:snapToGrid w:val="0"/>
        <w:spacing w:line="500" w:lineRule="exact"/>
        <w:ind w:firstLine="560" w:firstLineChars="200"/>
        <w:rPr>
          <w:rFonts w:eastAsia="仿宋_GB2312"/>
          <w:sz w:val="28"/>
          <w:szCs w:val="28"/>
        </w:rPr>
      </w:pPr>
      <w:r>
        <w:rPr>
          <w:rFonts w:eastAsia="仿宋_GB2312"/>
          <w:sz w:val="28"/>
          <w:szCs w:val="28"/>
        </w:rPr>
        <w:t>（4）地下水环境</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从</w:t>
      </w:r>
      <w:r>
        <w:rPr>
          <w:rFonts w:hint="eastAsia" w:eastAsia="仿宋_GB2312"/>
          <w:sz w:val="28"/>
          <w:szCs w:val="28"/>
          <w:lang w:val="en-US" w:eastAsia="zh-CN"/>
        </w:rPr>
        <w:t>寅阳</w:t>
      </w:r>
      <w:r>
        <w:rPr>
          <w:rFonts w:hint="eastAsia" w:eastAsia="仿宋_GB2312"/>
          <w:sz w:val="28"/>
          <w:szCs w:val="28"/>
        </w:rPr>
        <w:t>镇工业集中区地下水水质现状、排水规划及污染防治措施方面综合分析认为，</w:t>
      </w:r>
      <w:r>
        <w:rPr>
          <w:rFonts w:hint="eastAsia" w:eastAsia="仿宋_GB2312"/>
          <w:sz w:val="28"/>
          <w:szCs w:val="28"/>
          <w:lang w:val="en-US" w:eastAsia="zh-CN"/>
        </w:rPr>
        <w:t>寅阳</w:t>
      </w:r>
      <w:r>
        <w:rPr>
          <w:rFonts w:hint="eastAsia" w:eastAsia="仿宋_GB2312"/>
          <w:sz w:val="28"/>
          <w:szCs w:val="28"/>
        </w:rPr>
        <w:t>镇工业集中区的建设不会明显影响区域地下水量、水质、水位及流场等。</w:t>
      </w:r>
    </w:p>
    <w:p>
      <w:pPr>
        <w:adjustRightInd w:val="0"/>
        <w:snapToGrid w:val="0"/>
        <w:spacing w:line="500" w:lineRule="exact"/>
        <w:ind w:firstLine="560" w:firstLineChars="200"/>
        <w:rPr>
          <w:rFonts w:eastAsia="仿宋_GB2312"/>
          <w:sz w:val="28"/>
          <w:szCs w:val="28"/>
        </w:rPr>
      </w:pPr>
      <w:r>
        <w:rPr>
          <w:rFonts w:eastAsia="仿宋_GB2312"/>
          <w:sz w:val="28"/>
          <w:szCs w:val="28"/>
        </w:rPr>
        <w:t>（5）土壤环境</w:t>
      </w:r>
    </w:p>
    <w:p>
      <w:pPr>
        <w:adjustRightInd w:val="0"/>
        <w:snapToGrid w:val="0"/>
        <w:spacing w:line="500" w:lineRule="exact"/>
        <w:ind w:firstLine="560" w:firstLineChars="200"/>
        <w:rPr>
          <w:rFonts w:eastAsia="仿宋_GB2312"/>
          <w:sz w:val="28"/>
          <w:szCs w:val="28"/>
        </w:rPr>
      </w:pPr>
      <w:r>
        <w:rPr>
          <w:rFonts w:hint="eastAsia" w:eastAsia="仿宋_GB2312"/>
          <w:sz w:val="28"/>
          <w:szCs w:val="28"/>
        </w:rPr>
        <w:t>在</w:t>
      </w:r>
      <w:r>
        <w:rPr>
          <w:rFonts w:hint="eastAsia" w:eastAsia="仿宋_GB2312"/>
          <w:sz w:val="28"/>
          <w:szCs w:val="28"/>
          <w:lang w:val="en-US" w:eastAsia="zh-CN"/>
        </w:rPr>
        <w:t>寅阳</w:t>
      </w:r>
      <w:r>
        <w:rPr>
          <w:rFonts w:hint="eastAsia" w:eastAsia="仿宋_GB2312"/>
          <w:sz w:val="28"/>
          <w:szCs w:val="28"/>
        </w:rPr>
        <w:t>镇工业集中区对原辅材料、固体废物临时堆放场所和运输途径严格管理，并做好集中区总体绿化工作等前提下，集中区建设对土壤环境影响较小。</w:t>
      </w:r>
    </w:p>
    <w:p>
      <w:pPr>
        <w:adjustRightInd w:val="0"/>
        <w:snapToGrid w:val="0"/>
        <w:spacing w:line="500" w:lineRule="exact"/>
        <w:ind w:firstLine="560" w:firstLineChars="200"/>
        <w:rPr>
          <w:rFonts w:eastAsia="仿宋_GB2312"/>
          <w:sz w:val="28"/>
          <w:szCs w:val="28"/>
        </w:rPr>
      </w:pPr>
      <w:r>
        <w:rPr>
          <w:rFonts w:eastAsia="仿宋_GB2312"/>
          <w:sz w:val="28"/>
          <w:szCs w:val="28"/>
        </w:rPr>
        <w:t>（6）生态环境</w:t>
      </w:r>
    </w:p>
    <w:p>
      <w:pPr>
        <w:adjustRightInd w:val="0"/>
        <w:snapToGrid w:val="0"/>
        <w:spacing w:line="500" w:lineRule="exact"/>
        <w:ind w:firstLine="560" w:firstLineChars="200"/>
        <w:rPr>
          <w:rFonts w:eastAsia="仿宋_GB2312"/>
          <w:sz w:val="28"/>
          <w:szCs w:val="28"/>
        </w:rPr>
      </w:pPr>
      <w:r>
        <w:rPr>
          <w:rFonts w:hint="eastAsia" w:eastAsia="仿宋_GB2312"/>
          <w:sz w:val="28"/>
          <w:szCs w:val="28"/>
          <w:lang w:val="en-US" w:eastAsia="zh-CN"/>
        </w:rPr>
        <w:t>寅阳</w:t>
      </w:r>
      <w:r>
        <w:rPr>
          <w:rFonts w:hint="eastAsia" w:eastAsia="仿宋_GB2312"/>
          <w:sz w:val="28"/>
          <w:szCs w:val="28"/>
        </w:rPr>
        <w:t>镇工业集中区后续发展过程中通过合理地规划与建设能在很大程度上减轻生态环境的不利影响，基本维持生态环境质量。</w:t>
      </w:r>
    </w:p>
    <w:p>
      <w:pPr>
        <w:adjustRightInd w:val="0"/>
        <w:snapToGrid w:val="0"/>
        <w:spacing w:line="500" w:lineRule="exact"/>
        <w:ind w:firstLine="560" w:firstLineChars="200"/>
        <w:rPr>
          <w:rFonts w:eastAsia="仿宋_GB2312"/>
          <w:sz w:val="28"/>
          <w:szCs w:val="28"/>
        </w:rPr>
      </w:pPr>
      <w:r>
        <w:rPr>
          <w:rFonts w:eastAsia="仿宋_GB2312"/>
          <w:sz w:val="28"/>
          <w:szCs w:val="28"/>
        </w:rPr>
        <w:t>（7）环境风险评价</w:t>
      </w:r>
    </w:p>
    <w:p>
      <w:pPr>
        <w:adjustRightInd w:val="0"/>
        <w:snapToGrid w:val="0"/>
        <w:spacing w:line="500" w:lineRule="exact"/>
        <w:ind w:firstLine="560" w:firstLineChars="200"/>
        <w:rPr>
          <w:rFonts w:eastAsia="仿宋_GB2312"/>
          <w:sz w:val="28"/>
          <w:szCs w:val="28"/>
        </w:rPr>
      </w:pPr>
      <w:r>
        <w:rPr>
          <w:rFonts w:hint="eastAsia" w:eastAsia="仿宋_GB2312"/>
          <w:sz w:val="28"/>
          <w:szCs w:val="28"/>
          <w:lang w:val="en-US" w:eastAsia="zh-CN"/>
        </w:rPr>
        <w:t>寅阳</w:t>
      </w:r>
      <w:r>
        <w:rPr>
          <w:rFonts w:hint="eastAsia" w:eastAsia="仿宋_GB2312"/>
          <w:sz w:val="28"/>
          <w:szCs w:val="28"/>
        </w:rPr>
        <w:t>镇工业集中区各企业主要风险事故的类型是危险物质泄漏、火灾引发次生环境污染等，集中区在落实各项风险防范措施的情况下，环境风险可以接受。</w:t>
      </w:r>
    </w:p>
    <w:p>
      <w:pPr>
        <w:pStyle w:val="2"/>
        <w:spacing w:line="500" w:lineRule="exact"/>
      </w:pPr>
      <w:bookmarkStart w:id="20" w:name="_Toc74055735"/>
      <w:r>
        <w:t>5 规划方案综合论证</w:t>
      </w:r>
      <w:bookmarkEnd w:id="20"/>
    </w:p>
    <w:p>
      <w:pPr>
        <w:adjustRightInd w:val="0"/>
        <w:snapToGrid w:val="0"/>
        <w:spacing w:line="500" w:lineRule="exact"/>
        <w:ind w:firstLine="560" w:firstLineChars="200"/>
        <w:rPr>
          <w:rFonts w:eastAsia="仿宋_GB2312"/>
          <w:sz w:val="28"/>
          <w:szCs w:val="28"/>
        </w:rPr>
      </w:pPr>
      <w:r>
        <w:rPr>
          <w:rFonts w:hint="eastAsia" w:eastAsia="仿宋_GB2312"/>
          <w:sz w:val="28"/>
          <w:szCs w:val="28"/>
          <w:lang w:val="en-US" w:eastAsia="zh-CN"/>
        </w:rPr>
        <w:t>寅阳</w:t>
      </w:r>
      <w:r>
        <w:rPr>
          <w:rFonts w:hint="eastAsia" w:eastAsia="仿宋_GB2312"/>
          <w:sz w:val="28"/>
          <w:szCs w:val="28"/>
        </w:rPr>
        <w:t>镇工业集中区本轮规划的发展目标和功能定位与《江苏省主体功能区规划（</w:t>
      </w:r>
      <w:r>
        <w:rPr>
          <w:rFonts w:eastAsia="仿宋_GB2312"/>
          <w:sz w:val="28"/>
          <w:szCs w:val="28"/>
        </w:rPr>
        <w:t>2011-2020</w:t>
      </w:r>
      <w:r>
        <w:rPr>
          <w:rFonts w:hint="eastAsia" w:eastAsia="仿宋_GB2312"/>
          <w:sz w:val="28"/>
          <w:szCs w:val="28"/>
        </w:rPr>
        <w:t>）》、《启东市城市总体规划（</w:t>
      </w:r>
      <w:r>
        <w:rPr>
          <w:rFonts w:eastAsia="仿宋_GB2312"/>
          <w:sz w:val="28"/>
          <w:szCs w:val="28"/>
        </w:rPr>
        <w:t>201</w:t>
      </w:r>
      <w:r>
        <w:rPr>
          <w:rFonts w:hint="eastAsia" w:eastAsia="仿宋_GB2312"/>
          <w:sz w:val="28"/>
          <w:szCs w:val="28"/>
        </w:rPr>
        <w:t>2</w:t>
      </w:r>
      <w:r>
        <w:rPr>
          <w:rFonts w:eastAsia="仿宋_GB2312"/>
          <w:sz w:val="28"/>
          <w:szCs w:val="28"/>
        </w:rPr>
        <w:t>-20</w:t>
      </w:r>
      <w:r>
        <w:rPr>
          <w:rFonts w:hint="eastAsia" w:eastAsia="仿宋_GB2312"/>
          <w:sz w:val="28"/>
          <w:szCs w:val="28"/>
        </w:rPr>
        <w:t>3</w:t>
      </w:r>
      <w:r>
        <w:rPr>
          <w:rFonts w:eastAsia="仿宋_GB2312"/>
          <w:sz w:val="28"/>
          <w:szCs w:val="28"/>
        </w:rPr>
        <w:t>0</w:t>
      </w:r>
      <w:r>
        <w:rPr>
          <w:rFonts w:hint="eastAsia" w:eastAsia="仿宋_GB2312"/>
          <w:sz w:val="28"/>
          <w:szCs w:val="28"/>
        </w:rPr>
        <w:t>）》、《启东市国民经济和社会发展第十四个五年规划和二〇三五年远景目标纲要》等区域发展规划的要求基本相符。</w:t>
      </w:r>
    </w:p>
    <w:p>
      <w:pPr>
        <w:adjustRightInd w:val="0"/>
        <w:snapToGrid w:val="0"/>
        <w:spacing w:line="500" w:lineRule="exact"/>
        <w:ind w:firstLine="560" w:firstLineChars="200"/>
        <w:rPr>
          <w:rFonts w:eastAsia="仿宋_GB2312"/>
          <w:sz w:val="28"/>
          <w:szCs w:val="28"/>
        </w:rPr>
      </w:pPr>
      <w:r>
        <w:rPr>
          <w:rFonts w:eastAsia="仿宋_GB2312"/>
          <w:sz w:val="28"/>
          <w:szCs w:val="28"/>
        </w:rPr>
        <w:t>规划发展产业</w:t>
      </w:r>
      <w:r>
        <w:rPr>
          <w:rFonts w:hint="eastAsia" w:eastAsia="仿宋_GB2312"/>
          <w:sz w:val="28"/>
          <w:szCs w:val="28"/>
        </w:rPr>
        <w:t>符合《产业结构调整指导目录（</w:t>
      </w:r>
      <w:r>
        <w:rPr>
          <w:rFonts w:eastAsia="仿宋_GB2312"/>
          <w:sz w:val="28"/>
          <w:szCs w:val="28"/>
        </w:rPr>
        <w:t>2019</w:t>
      </w:r>
      <w:r>
        <w:rPr>
          <w:rFonts w:hint="eastAsia" w:eastAsia="仿宋_GB2312"/>
          <w:sz w:val="28"/>
          <w:szCs w:val="28"/>
        </w:rPr>
        <w:t>年本）》、《鼓励外商投资产业指导目录》（</w:t>
      </w:r>
      <w:r>
        <w:rPr>
          <w:rFonts w:eastAsia="仿宋_GB2312"/>
          <w:sz w:val="28"/>
          <w:szCs w:val="28"/>
        </w:rPr>
        <w:t>2020</w:t>
      </w:r>
      <w:r>
        <w:rPr>
          <w:rFonts w:hint="eastAsia" w:eastAsia="仿宋_GB2312"/>
          <w:sz w:val="28"/>
          <w:szCs w:val="28"/>
        </w:rPr>
        <w:t>年版）、《产业发展与转移指导目录（</w:t>
      </w:r>
      <w:r>
        <w:rPr>
          <w:rFonts w:eastAsia="仿宋_GB2312"/>
          <w:sz w:val="28"/>
          <w:szCs w:val="28"/>
        </w:rPr>
        <w:t>2018</w:t>
      </w:r>
      <w:r>
        <w:rPr>
          <w:rFonts w:hint="eastAsia" w:eastAsia="仿宋_GB2312"/>
          <w:sz w:val="28"/>
          <w:szCs w:val="28"/>
        </w:rPr>
        <w:t>年本）》、《江苏省工业和信息产业结构调整限制、淘汰目录和能耗限额》（苏政办发〔</w:t>
      </w:r>
      <w:r>
        <w:rPr>
          <w:rFonts w:eastAsia="仿宋_GB2312"/>
          <w:sz w:val="28"/>
          <w:szCs w:val="28"/>
        </w:rPr>
        <w:t>2015</w:t>
      </w:r>
      <w:r>
        <w:rPr>
          <w:rFonts w:hint="eastAsia" w:eastAsia="仿宋_GB2312"/>
          <w:sz w:val="28"/>
          <w:szCs w:val="28"/>
        </w:rPr>
        <w:t>〕</w:t>
      </w:r>
      <w:r>
        <w:rPr>
          <w:rFonts w:eastAsia="仿宋_GB2312"/>
          <w:sz w:val="28"/>
          <w:szCs w:val="28"/>
        </w:rPr>
        <w:t>118</w:t>
      </w:r>
      <w:r>
        <w:rPr>
          <w:rFonts w:hint="eastAsia" w:eastAsia="仿宋_GB2312"/>
          <w:sz w:val="28"/>
          <w:szCs w:val="28"/>
        </w:rPr>
        <w:t>号）、《</w:t>
      </w:r>
      <w:r>
        <w:rPr>
          <w:rFonts w:eastAsia="仿宋_GB2312"/>
          <w:sz w:val="28"/>
          <w:szCs w:val="28"/>
        </w:rPr>
        <w:t>&lt;</w:t>
      </w:r>
      <w:r>
        <w:rPr>
          <w:rFonts w:hint="eastAsia" w:eastAsia="仿宋_GB2312"/>
          <w:sz w:val="28"/>
          <w:szCs w:val="28"/>
        </w:rPr>
        <w:t>长江经济带发展负面清单指南</w:t>
      </w:r>
      <w:r>
        <w:rPr>
          <w:rFonts w:eastAsia="仿宋_GB2312"/>
          <w:sz w:val="28"/>
          <w:szCs w:val="28"/>
        </w:rPr>
        <w:t>&gt;</w:t>
      </w:r>
      <w:r>
        <w:rPr>
          <w:rFonts w:hint="eastAsia" w:eastAsia="仿宋_GB2312"/>
          <w:sz w:val="28"/>
          <w:szCs w:val="28"/>
        </w:rPr>
        <w:t>江苏省实施细则（试行）》（苏长江办发〔</w:t>
      </w:r>
      <w:r>
        <w:rPr>
          <w:rFonts w:eastAsia="仿宋_GB2312"/>
          <w:sz w:val="28"/>
          <w:szCs w:val="28"/>
        </w:rPr>
        <w:t>2019</w:t>
      </w:r>
      <w:r>
        <w:rPr>
          <w:rFonts w:hint="eastAsia" w:eastAsia="仿宋_GB2312"/>
          <w:sz w:val="28"/>
          <w:szCs w:val="28"/>
        </w:rPr>
        <w:t>〕</w:t>
      </w:r>
      <w:r>
        <w:rPr>
          <w:rFonts w:eastAsia="仿宋_GB2312"/>
          <w:sz w:val="28"/>
          <w:szCs w:val="28"/>
        </w:rPr>
        <w:t>136</w:t>
      </w:r>
      <w:r>
        <w:rPr>
          <w:rFonts w:hint="eastAsia" w:eastAsia="仿宋_GB2312"/>
          <w:sz w:val="28"/>
          <w:szCs w:val="28"/>
        </w:rPr>
        <w:t>号）等产业政策的要求。</w:t>
      </w:r>
    </w:p>
    <w:p>
      <w:pPr>
        <w:adjustRightInd w:val="0"/>
        <w:snapToGrid w:val="0"/>
        <w:spacing w:line="500" w:lineRule="exact"/>
        <w:ind w:firstLine="560" w:firstLineChars="200"/>
        <w:rPr>
          <w:rFonts w:eastAsia="仿宋_GB2312"/>
          <w:sz w:val="28"/>
          <w:szCs w:val="28"/>
        </w:rPr>
      </w:pPr>
      <w:r>
        <w:rPr>
          <w:rFonts w:eastAsia="仿宋_GB2312"/>
          <w:sz w:val="28"/>
          <w:szCs w:val="28"/>
        </w:rPr>
        <w:t>在生态环境保护方面</w:t>
      </w:r>
      <w:r>
        <w:rPr>
          <w:rFonts w:hint="eastAsia" w:eastAsia="仿宋_GB2312"/>
          <w:sz w:val="28"/>
          <w:szCs w:val="28"/>
        </w:rPr>
        <w:t>与《中共江苏省委江苏省人民政府关于全面加强生态环境保护坚决打好污染防治攻坚战的实施意见》（苏发〔</w:t>
      </w:r>
      <w:r>
        <w:rPr>
          <w:rFonts w:eastAsia="仿宋_GB2312"/>
          <w:sz w:val="28"/>
          <w:szCs w:val="28"/>
        </w:rPr>
        <w:t>2018</w:t>
      </w:r>
      <w:r>
        <w:rPr>
          <w:rFonts w:hint="eastAsia" w:eastAsia="仿宋_GB2312"/>
          <w:sz w:val="28"/>
          <w:szCs w:val="28"/>
        </w:rPr>
        <w:t>〕</w:t>
      </w:r>
      <w:r>
        <w:rPr>
          <w:rFonts w:eastAsia="仿宋_GB2312"/>
          <w:sz w:val="28"/>
          <w:szCs w:val="28"/>
        </w:rPr>
        <w:t>24</w:t>
      </w:r>
      <w:r>
        <w:rPr>
          <w:rFonts w:hint="eastAsia" w:eastAsia="仿宋_GB2312"/>
          <w:sz w:val="28"/>
          <w:szCs w:val="28"/>
        </w:rPr>
        <w:t>号）、《省政府关于印发江苏省打赢蓝天保卫战三年行动计划实施方案的通知》（苏政发〔</w:t>
      </w:r>
      <w:r>
        <w:rPr>
          <w:rFonts w:eastAsia="仿宋_GB2312"/>
          <w:sz w:val="28"/>
          <w:szCs w:val="28"/>
        </w:rPr>
        <w:t>2018</w:t>
      </w:r>
      <w:r>
        <w:rPr>
          <w:rFonts w:hint="eastAsia" w:eastAsia="仿宋_GB2312"/>
          <w:sz w:val="28"/>
          <w:szCs w:val="28"/>
        </w:rPr>
        <w:t>〕</w:t>
      </w:r>
      <w:r>
        <w:rPr>
          <w:rFonts w:eastAsia="仿宋_GB2312"/>
          <w:sz w:val="28"/>
          <w:szCs w:val="28"/>
        </w:rPr>
        <w:t>122</w:t>
      </w:r>
      <w:r>
        <w:rPr>
          <w:rFonts w:hint="eastAsia" w:eastAsia="仿宋_GB2312"/>
          <w:sz w:val="28"/>
          <w:szCs w:val="28"/>
        </w:rPr>
        <w:t>号）、《南通市打赢蓝天保卫战三年行动计划实施方案（</w:t>
      </w:r>
      <w:r>
        <w:rPr>
          <w:rFonts w:eastAsia="仿宋_GB2312"/>
          <w:sz w:val="28"/>
          <w:szCs w:val="28"/>
        </w:rPr>
        <w:t>2018-2020</w:t>
      </w:r>
      <w:r>
        <w:rPr>
          <w:rFonts w:hint="eastAsia" w:eastAsia="仿宋_GB2312"/>
          <w:sz w:val="28"/>
          <w:szCs w:val="28"/>
        </w:rPr>
        <w:t>）》（通政发〔</w:t>
      </w:r>
      <w:r>
        <w:rPr>
          <w:rFonts w:eastAsia="仿宋_GB2312"/>
          <w:sz w:val="28"/>
          <w:szCs w:val="28"/>
        </w:rPr>
        <w:t>2018</w:t>
      </w:r>
      <w:r>
        <w:rPr>
          <w:rFonts w:hint="eastAsia" w:eastAsia="仿宋_GB2312"/>
          <w:sz w:val="28"/>
          <w:szCs w:val="28"/>
        </w:rPr>
        <w:t>〕</w:t>
      </w:r>
      <w:r>
        <w:rPr>
          <w:rFonts w:eastAsia="仿宋_GB2312"/>
          <w:sz w:val="28"/>
          <w:szCs w:val="28"/>
        </w:rPr>
        <w:t>63</w:t>
      </w:r>
      <w:r>
        <w:rPr>
          <w:rFonts w:hint="eastAsia" w:eastAsia="仿宋_GB2312"/>
          <w:sz w:val="28"/>
          <w:szCs w:val="28"/>
        </w:rPr>
        <w:t>号）、《南通市挥发性有机物清洁原料替代实施方案》（通大气办〔</w:t>
      </w:r>
      <w:r>
        <w:rPr>
          <w:rFonts w:eastAsia="仿宋_GB2312"/>
          <w:sz w:val="28"/>
          <w:szCs w:val="28"/>
        </w:rPr>
        <w:t>2021</w:t>
      </w:r>
      <w:r>
        <w:rPr>
          <w:rFonts w:hint="eastAsia" w:eastAsia="仿宋_GB2312"/>
          <w:sz w:val="28"/>
          <w:szCs w:val="28"/>
        </w:rPr>
        <w:t>〕</w:t>
      </w:r>
      <w:r>
        <w:rPr>
          <w:rFonts w:eastAsia="仿宋_GB2312"/>
          <w:sz w:val="28"/>
          <w:szCs w:val="28"/>
        </w:rPr>
        <w:t>6</w:t>
      </w:r>
      <w:r>
        <w:rPr>
          <w:rFonts w:hint="eastAsia" w:eastAsia="仿宋_GB2312"/>
          <w:sz w:val="28"/>
          <w:szCs w:val="28"/>
        </w:rPr>
        <w:t>号）、《南通市关于加大污染减排力度推进重点行业绿色发展的指导意见》（通办〔</w:t>
      </w:r>
      <w:r>
        <w:rPr>
          <w:rFonts w:eastAsia="仿宋_GB2312"/>
          <w:sz w:val="28"/>
          <w:szCs w:val="28"/>
        </w:rPr>
        <w:t>2021</w:t>
      </w:r>
      <w:r>
        <w:rPr>
          <w:rFonts w:hint="eastAsia" w:eastAsia="仿宋_GB2312"/>
          <w:sz w:val="28"/>
          <w:szCs w:val="28"/>
        </w:rPr>
        <w:t>〕</w:t>
      </w:r>
      <w:r>
        <w:rPr>
          <w:rFonts w:eastAsia="仿宋_GB2312"/>
          <w:sz w:val="28"/>
          <w:szCs w:val="28"/>
        </w:rPr>
        <w:t>59</w:t>
      </w:r>
      <w:r>
        <w:rPr>
          <w:rFonts w:hint="eastAsia" w:eastAsia="仿宋_GB2312"/>
          <w:sz w:val="28"/>
          <w:szCs w:val="28"/>
        </w:rPr>
        <w:t>号）、《南通市</w:t>
      </w:r>
      <w:r>
        <w:rPr>
          <w:rFonts w:eastAsia="仿宋_GB2312"/>
          <w:sz w:val="28"/>
          <w:szCs w:val="28"/>
        </w:rPr>
        <w:t>2021</w:t>
      </w:r>
      <w:r>
        <w:rPr>
          <w:rFonts w:hint="eastAsia" w:eastAsia="仿宋_GB2312"/>
          <w:sz w:val="28"/>
          <w:szCs w:val="28"/>
        </w:rPr>
        <w:t>年深入打好污染防治攻坚战工作计划》（通政办发〔</w:t>
      </w:r>
      <w:r>
        <w:rPr>
          <w:rFonts w:eastAsia="仿宋_GB2312"/>
          <w:sz w:val="28"/>
          <w:szCs w:val="28"/>
        </w:rPr>
        <w:t>2021</w:t>
      </w:r>
      <w:r>
        <w:rPr>
          <w:rFonts w:hint="eastAsia" w:eastAsia="仿宋_GB2312"/>
          <w:sz w:val="28"/>
          <w:szCs w:val="28"/>
        </w:rPr>
        <w:t>〕</w:t>
      </w:r>
      <w:r>
        <w:rPr>
          <w:rFonts w:eastAsia="仿宋_GB2312"/>
          <w:sz w:val="28"/>
          <w:szCs w:val="28"/>
        </w:rPr>
        <w:t>16</w:t>
      </w:r>
      <w:r>
        <w:rPr>
          <w:rFonts w:hint="eastAsia" w:eastAsia="仿宋_GB2312"/>
          <w:sz w:val="28"/>
          <w:szCs w:val="28"/>
        </w:rPr>
        <w:t>号）、《南通市土壤污染防治工作方案》（通政发〔</w:t>
      </w:r>
      <w:r>
        <w:rPr>
          <w:rFonts w:eastAsia="仿宋_GB2312"/>
          <w:sz w:val="28"/>
          <w:szCs w:val="28"/>
        </w:rPr>
        <w:t>2017</w:t>
      </w:r>
      <w:r>
        <w:rPr>
          <w:rFonts w:hint="eastAsia" w:eastAsia="仿宋_GB2312"/>
          <w:sz w:val="28"/>
          <w:szCs w:val="28"/>
        </w:rPr>
        <w:t>〕</w:t>
      </w:r>
      <w:r>
        <w:rPr>
          <w:rFonts w:eastAsia="仿宋_GB2312"/>
          <w:sz w:val="28"/>
          <w:szCs w:val="28"/>
        </w:rPr>
        <w:t>20</w:t>
      </w:r>
      <w:r>
        <w:rPr>
          <w:rFonts w:hint="eastAsia" w:eastAsia="仿宋_GB2312"/>
          <w:sz w:val="28"/>
          <w:szCs w:val="28"/>
        </w:rPr>
        <w:t>号）、《南通市水污染防治工作方案》（通政发〔</w:t>
      </w:r>
      <w:r>
        <w:rPr>
          <w:rFonts w:eastAsia="仿宋_GB2312"/>
          <w:sz w:val="28"/>
          <w:szCs w:val="28"/>
        </w:rPr>
        <w:t>2016</w:t>
      </w:r>
      <w:r>
        <w:rPr>
          <w:rFonts w:hint="eastAsia" w:eastAsia="仿宋_GB2312"/>
          <w:sz w:val="28"/>
          <w:szCs w:val="28"/>
        </w:rPr>
        <w:t>〕</w:t>
      </w:r>
      <w:r>
        <w:rPr>
          <w:rFonts w:eastAsia="仿宋_GB2312"/>
          <w:sz w:val="28"/>
          <w:szCs w:val="28"/>
        </w:rPr>
        <w:t>35</w:t>
      </w:r>
      <w:r>
        <w:rPr>
          <w:rFonts w:hint="eastAsia" w:eastAsia="仿宋_GB2312"/>
          <w:sz w:val="28"/>
          <w:szCs w:val="28"/>
        </w:rPr>
        <w:t>号）、《省政府关于印发江苏省</w:t>
      </w:r>
      <w:r>
        <w:rPr>
          <w:rFonts w:eastAsia="仿宋_GB2312"/>
          <w:sz w:val="28"/>
          <w:szCs w:val="28"/>
        </w:rPr>
        <w:t>“</w:t>
      </w:r>
      <w:r>
        <w:rPr>
          <w:rFonts w:hint="eastAsia" w:eastAsia="仿宋_GB2312"/>
          <w:sz w:val="28"/>
          <w:szCs w:val="28"/>
        </w:rPr>
        <w:t>三线一单</w:t>
      </w:r>
      <w:r>
        <w:rPr>
          <w:rFonts w:eastAsia="仿宋_GB2312"/>
          <w:sz w:val="28"/>
          <w:szCs w:val="28"/>
        </w:rPr>
        <w:t>”</w:t>
      </w:r>
      <w:r>
        <w:rPr>
          <w:rFonts w:hint="eastAsia" w:eastAsia="仿宋_GB2312"/>
          <w:sz w:val="28"/>
          <w:szCs w:val="28"/>
        </w:rPr>
        <w:t>生态环境分区管控方案的通知》（苏政发〔</w:t>
      </w:r>
      <w:r>
        <w:rPr>
          <w:rFonts w:eastAsia="仿宋_GB2312"/>
          <w:sz w:val="28"/>
          <w:szCs w:val="28"/>
        </w:rPr>
        <w:t>2020</w:t>
      </w:r>
      <w:r>
        <w:rPr>
          <w:rFonts w:hint="eastAsia" w:eastAsia="仿宋_GB2312"/>
          <w:sz w:val="28"/>
          <w:szCs w:val="28"/>
        </w:rPr>
        <w:t>〕</w:t>
      </w:r>
      <w:r>
        <w:rPr>
          <w:rFonts w:eastAsia="仿宋_GB2312"/>
          <w:sz w:val="28"/>
          <w:szCs w:val="28"/>
        </w:rPr>
        <w:t>49</w:t>
      </w:r>
      <w:r>
        <w:rPr>
          <w:rFonts w:hint="eastAsia" w:eastAsia="仿宋_GB2312"/>
          <w:sz w:val="28"/>
          <w:szCs w:val="28"/>
        </w:rPr>
        <w:t>号）、《南通市“三线一单”生态环境分区管控方案》（通政办规〔</w:t>
      </w:r>
      <w:r>
        <w:rPr>
          <w:rFonts w:eastAsia="仿宋_GB2312"/>
          <w:sz w:val="28"/>
          <w:szCs w:val="28"/>
        </w:rPr>
        <w:t>2021</w:t>
      </w:r>
      <w:r>
        <w:rPr>
          <w:rFonts w:hint="eastAsia" w:eastAsia="仿宋_GB2312"/>
          <w:sz w:val="28"/>
          <w:szCs w:val="28"/>
        </w:rPr>
        <w:t>〕</w:t>
      </w:r>
      <w:r>
        <w:rPr>
          <w:rFonts w:eastAsia="仿宋_GB2312"/>
          <w:sz w:val="28"/>
          <w:szCs w:val="28"/>
        </w:rPr>
        <w:t>4</w:t>
      </w:r>
      <w:r>
        <w:rPr>
          <w:rFonts w:hint="eastAsia" w:eastAsia="仿宋_GB2312"/>
          <w:sz w:val="28"/>
          <w:szCs w:val="28"/>
        </w:rPr>
        <w:t>号）等生态环境保护相关法规、规划和政策的要求相符。</w:t>
      </w:r>
    </w:p>
    <w:p>
      <w:pPr>
        <w:pStyle w:val="2"/>
        <w:spacing w:line="500" w:lineRule="exact"/>
        <w:sectPr>
          <w:pgSz w:w="11906" w:h="16838"/>
          <w:pgMar w:top="1440" w:right="1800" w:bottom="1440" w:left="1800" w:header="851" w:footer="992" w:gutter="0"/>
          <w:cols w:space="425" w:num="1"/>
          <w:docGrid w:type="lines" w:linePitch="312" w:charSpace="0"/>
        </w:sectPr>
      </w:pPr>
    </w:p>
    <w:p>
      <w:pPr>
        <w:pStyle w:val="2"/>
        <w:spacing w:line="500" w:lineRule="exact"/>
      </w:pPr>
      <w:bookmarkStart w:id="21" w:name="_Toc74055736"/>
      <w:r>
        <w:t>6环境影响减缓措施</w:t>
      </w:r>
      <w:bookmarkEnd w:id="21"/>
    </w:p>
    <w:p>
      <w:pPr>
        <w:spacing w:line="500" w:lineRule="exact"/>
        <w:ind w:firstLine="560" w:firstLineChars="200"/>
        <w:rPr>
          <w:rFonts w:eastAsia="仿宋_GB2312"/>
          <w:sz w:val="28"/>
          <w:szCs w:val="28"/>
        </w:rPr>
      </w:pPr>
      <w:r>
        <w:rPr>
          <w:rFonts w:eastAsia="仿宋_GB2312"/>
          <w:sz w:val="28"/>
          <w:szCs w:val="28"/>
        </w:rPr>
        <w:t>（1）大气环境</w:t>
      </w:r>
    </w:p>
    <w:p>
      <w:pPr>
        <w:spacing w:line="500" w:lineRule="exact"/>
        <w:ind w:firstLine="560" w:firstLineChars="200"/>
        <w:rPr>
          <w:rFonts w:eastAsia="仿宋_GB2312"/>
          <w:sz w:val="28"/>
          <w:szCs w:val="28"/>
        </w:rPr>
      </w:pPr>
      <w:r>
        <w:rPr>
          <w:rFonts w:eastAsia="仿宋_GB2312"/>
          <w:sz w:val="28"/>
          <w:szCs w:val="28"/>
        </w:rPr>
        <w:t>强化</w:t>
      </w:r>
      <w:r>
        <w:rPr>
          <w:rFonts w:hint="eastAsia" w:eastAsia="仿宋_GB2312"/>
          <w:sz w:val="28"/>
          <w:szCs w:val="28"/>
        </w:rPr>
        <w:t>工业集中区</w:t>
      </w:r>
      <w:r>
        <w:rPr>
          <w:rFonts w:eastAsia="仿宋_GB2312"/>
          <w:sz w:val="28"/>
          <w:szCs w:val="28"/>
        </w:rPr>
        <w:t>大气环境监管，严控防护距离；各企业工艺废气</w:t>
      </w:r>
      <w:r>
        <w:rPr>
          <w:rFonts w:hint="eastAsia" w:eastAsia="仿宋_GB2312"/>
          <w:sz w:val="28"/>
          <w:szCs w:val="28"/>
        </w:rPr>
        <w:t>有效</w:t>
      </w:r>
      <w:r>
        <w:rPr>
          <w:rFonts w:eastAsia="仿宋_GB2312"/>
          <w:sz w:val="28"/>
          <w:szCs w:val="28"/>
        </w:rPr>
        <w:t>收集，经处理后达标排放；以点带面，加强VOCs污染控制，开展重点行业VOCs污染控制；加强建筑扬尘和道路扬尘控制。</w:t>
      </w:r>
    </w:p>
    <w:p>
      <w:pPr>
        <w:spacing w:line="500" w:lineRule="exact"/>
        <w:ind w:firstLine="560" w:firstLineChars="200"/>
        <w:rPr>
          <w:rFonts w:eastAsia="仿宋_GB2312"/>
          <w:sz w:val="28"/>
          <w:szCs w:val="28"/>
        </w:rPr>
      </w:pPr>
      <w:r>
        <w:rPr>
          <w:rFonts w:eastAsia="仿宋_GB2312"/>
          <w:sz w:val="28"/>
          <w:szCs w:val="28"/>
        </w:rPr>
        <w:t>（2）地表水</w:t>
      </w:r>
    </w:p>
    <w:p>
      <w:pPr>
        <w:spacing w:line="500" w:lineRule="exact"/>
        <w:ind w:firstLine="560" w:firstLineChars="200"/>
        <w:rPr>
          <w:rFonts w:eastAsia="仿宋_GB2312"/>
          <w:sz w:val="28"/>
          <w:szCs w:val="28"/>
        </w:rPr>
      </w:pPr>
      <w:r>
        <w:rPr>
          <w:rFonts w:eastAsia="仿宋_GB2312"/>
          <w:sz w:val="28"/>
          <w:szCs w:val="28"/>
        </w:rPr>
        <w:t>完善废水收集、处理和排放体系建设；加强污废水纳管排放监管，规范排放口设置；大力推进园区企业实施清洁生产、调整产品结构、优化生产工艺、开展中水回用，减少废水污染物排放；加快推进与实施</w:t>
      </w:r>
      <w:r>
        <w:rPr>
          <w:rFonts w:hint="eastAsia" w:eastAsia="仿宋_GB2312"/>
          <w:sz w:val="28"/>
          <w:szCs w:val="28"/>
        </w:rPr>
        <w:t>集中区</w:t>
      </w:r>
      <w:r>
        <w:rPr>
          <w:rFonts w:eastAsia="仿宋_GB2312"/>
          <w:sz w:val="28"/>
          <w:szCs w:val="28"/>
        </w:rPr>
        <w:t>企业节水管理等废水减排工程。</w:t>
      </w:r>
    </w:p>
    <w:p>
      <w:pPr>
        <w:spacing w:line="500" w:lineRule="exact"/>
        <w:ind w:firstLine="560" w:firstLineChars="200"/>
        <w:rPr>
          <w:rFonts w:eastAsia="仿宋_GB2312"/>
          <w:sz w:val="28"/>
          <w:szCs w:val="28"/>
        </w:rPr>
      </w:pPr>
      <w:r>
        <w:rPr>
          <w:rFonts w:eastAsia="仿宋_GB2312"/>
          <w:sz w:val="28"/>
          <w:szCs w:val="28"/>
        </w:rPr>
        <w:t>（3）地下水、土壤</w:t>
      </w:r>
    </w:p>
    <w:p>
      <w:pPr>
        <w:spacing w:line="500" w:lineRule="exact"/>
        <w:ind w:firstLine="560" w:firstLineChars="200"/>
        <w:rPr>
          <w:rFonts w:eastAsia="仿宋_GB2312"/>
          <w:sz w:val="28"/>
          <w:szCs w:val="28"/>
        </w:rPr>
      </w:pPr>
      <w:r>
        <w:rPr>
          <w:rFonts w:eastAsia="仿宋_GB2312"/>
          <w:sz w:val="28"/>
          <w:szCs w:val="28"/>
        </w:rPr>
        <w:t>区域内严格限制开采地下水，加强对区内企业废水排放的监管和工业固废的污染整治，严防废渣液渗漏污染地下水；将地下水污染应急纳入</w:t>
      </w:r>
      <w:r>
        <w:rPr>
          <w:rFonts w:hint="eastAsia" w:eastAsia="仿宋_GB2312"/>
          <w:sz w:val="28"/>
          <w:szCs w:val="28"/>
        </w:rPr>
        <w:t>集中区</w:t>
      </w:r>
      <w:r>
        <w:rPr>
          <w:rFonts w:eastAsia="仿宋_GB2312"/>
          <w:sz w:val="28"/>
          <w:szCs w:val="28"/>
        </w:rPr>
        <w:t>整体环境突发应急，一旦发现地下水污染事故，立即启动应急预案、采取应急措施控制地下水污染，并使污染得到治理。</w:t>
      </w:r>
    </w:p>
    <w:p>
      <w:pPr>
        <w:spacing w:line="500" w:lineRule="exact"/>
        <w:ind w:firstLine="560" w:firstLineChars="200"/>
        <w:rPr>
          <w:rFonts w:eastAsia="仿宋_GB2312"/>
          <w:sz w:val="28"/>
          <w:szCs w:val="28"/>
        </w:rPr>
      </w:pPr>
      <w:r>
        <w:rPr>
          <w:rFonts w:eastAsia="仿宋_GB2312"/>
          <w:sz w:val="28"/>
          <w:szCs w:val="28"/>
        </w:rPr>
        <w:t>（4）噪声</w:t>
      </w:r>
    </w:p>
    <w:p>
      <w:pPr>
        <w:spacing w:line="500" w:lineRule="exact"/>
        <w:ind w:firstLine="560" w:firstLineChars="200"/>
        <w:rPr>
          <w:rFonts w:eastAsia="仿宋_GB2312"/>
          <w:sz w:val="28"/>
          <w:szCs w:val="28"/>
        </w:rPr>
      </w:pPr>
      <w:r>
        <w:rPr>
          <w:rFonts w:eastAsia="仿宋_GB2312"/>
          <w:sz w:val="28"/>
          <w:szCs w:val="28"/>
        </w:rPr>
        <w:t>加强工业企业噪声污染的防治与管理；加强交通噪声污染的防治与管理；加强建筑施工噪声的防治与管理；建立噪声污染监控系统。</w:t>
      </w:r>
    </w:p>
    <w:p>
      <w:pPr>
        <w:spacing w:line="500" w:lineRule="exact"/>
        <w:ind w:firstLine="560" w:firstLineChars="200"/>
        <w:rPr>
          <w:rFonts w:eastAsia="仿宋_GB2312"/>
          <w:sz w:val="28"/>
          <w:szCs w:val="28"/>
        </w:rPr>
      </w:pPr>
      <w:r>
        <w:rPr>
          <w:rFonts w:eastAsia="仿宋_GB2312"/>
          <w:sz w:val="28"/>
          <w:szCs w:val="28"/>
        </w:rPr>
        <w:t>（5）固废</w:t>
      </w:r>
    </w:p>
    <w:p>
      <w:pPr>
        <w:spacing w:line="500" w:lineRule="exact"/>
        <w:ind w:firstLine="560" w:firstLineChars="200"/>
        <w:rPr>
          <w:rFonts w:eastAsia="仿宋_GB2312"/>
          <w:sz w:val="28"/>
          <w:szCs w:val="28"/>
        </w:rPr>
      </w:pPr>
      <w:r>
        <w:rPr>
          <w:rFonts w:eastAsia="仿宋_GB2312"/>
          <w:sz w:val="28"/>
          <w:szCs w:val="28"/>
        </w:rPr>
        <w:t>完善固体废物收集系统；加强工业固废的管理与处置；加强危险废物转移处置监管；强化生活垃圾和建筑垃圾综合利用和无害化处置。</w:t>
      </w:r>
    </w:p>
    <w:p>
      <w:pPr>
        <w:pStyle w:val="2"/>
        <w:spacing w:line="500" w:lineRule="exact"/>
        <w:sectPr>
          <w:pgSz w:w="11906" w:h="16838"/>
          <w:pgMar w:top="1440" w:right="1800" w:bottom="1440" w:left="1800" w:header="851" w:footer="992" w:gutter="0"/>
          <w:cols w:space="425" w:num="1"/>
          <w:docGrid w:type="lines" w:linePitch="312" w:charSpace="0"/>
        </w:sectPr>
      </w:pPr>
    </w:p>
    <w:p>
      <w:pPr>
        <w:pStyle w:val="2"/>
        <w:spacing w:line="500" w:lineRule="exact"/>
      </w:pPr>
      <w:bookmarkStart w:id="22" w:name="_Toc74055737"/>
      <w:r>
        <w:t>7 公众参与方案</w:t>
      </w:r>
      <w:bookmarkEnd w:id="22"/>
    </w:p>
    <w:p>
      <w:pPr>
        <w:spacing w:line="500" w:lineRule="exact"/>
        <w:ind w:firstLine="560" w:firstLineChars="200"/>
        <w:rPr>
          <w:rFonts w:eastAsia="仿宋_GB2312"/>
          <w:sz w:val="28"/>
          <w:szCs w:val="28"/>
        </w:rPr>
      </w:pPr>
      <w:r>
        <w:rPr>
          <w:rFonts w:eastAsia="仿宋_GB2312"/>
          <w:sz w:val="28"/>
          <w:szCs w:val="28"/>
        </w:rPr>
        <w:t>（1）公开环境信息的次数、内容、方式</w:t>
      </w:r>
    </w:p>
    <w:p>
      <w:pPr>
        <w:spacing w:line="500" w:lineRule="exact"/>
        <w:ind w:firstLine="560" w:firstLineChars="200"/>
        <w:rPr>
          <w:rFonts w:eastAsia="仿宋_GB2312"/>
          <w:sz w:val="28"/>
          <w:szCs w:val="28"/>
        </w:rPr>
      </w:pPr>
      <w:r>
        <w:rPr>
          <w:rFonts w:eastAsia="仿宋_GB2312"/>
          <w:sz w:val="28"/>
          <w:szCs w:val="28"/>
        </w:rPr>
        <w:t>本项目环境影响评价第一次信息发布于2021年</w:t>
      </w:r>
      <w:r>
        <w:rPr>
          <w:rFonts w:hint="eastAsia" w:eastAsia="仿宋_GB2312"/>
          <w:sz w:val="28"/>
          <w:szCs w:val="28"/>
          <w:lang w:val="en-US" w:eastAsia="zh-CN"/>
        </w:rPr>
        <w:t>9</w:t>
      </w:r>
      <w:r>
        <w:rPr>
          <w:rFonts w:eastAsia="仿宋_GB2312"/>
          <w:sz w:val="28"/>
          <w:szCs w:val="28"/>
        </w:rPr>
        <w:t>月6日通过</w:t>
      </w:r>
      <w:r>
        <w:rPr>
          <w:rFonts w:hint="eastAsia" w:eastAsia="仿宋_GB2312"/>
          <w:sz w:val="28"/>
          <w:szCs w:val="28"/>
        </w:rPr>
        <w:t>启东市</w:t>
      </w:r>
      <w:r>
        <w:rPr>
          <w:rFonts w:hint="eastAsia" w:eastAsia="仿宋_GB2312"/>
          <w:sz w:val="28"/>
          <w:szCs w:val="28"/>
          <w:lang w:val="en-US" w:eastAsia="zh-CN"/>
        </w:rPr>
        <w:t>寅阳</w:t>
      </w:r>
      <w:r>
        <w:rPr>
          <w:rFonts w:hint="eastAsia" w:eastAsia="仿宋_GB2312"/>
          <w:sz w:val="28"/>
          <w:szCs w:val="28"/>
        </w:rPr>
        <w:t>镇</w:t>
      </w:r>
      <w:r>
        <w:rPr>
          <w:rFonts w:eastAsia="仿宋_GB2312"/>
          <w:sz w:val="28"/>
          <w:szCs w:val="28"/>
        </w:rPr>
        <w:t>政府网站公开发布，对</w:t>
      </w:r>
      <w:r>
        <w:rPr>
          <w:rFonts w:hint="eastAsia" w:eastAsia="仿宋_GB2312"/>
          <w:sz w:val="28"/>
          <w:szCs w:val="28"/>
        </w:rPr>
        <w:t>启东市</w:t>
      </w:r>
      <w:r>
        <w:rPr>
          <w:rFonts w:hint="eastAsia" w:eastAsia="仿宋_GB2312"/>
          <w:sz w:val="28"/>
          <w:szCs w:val="28"/>
          <w:lang w:val="en-US" w:eastAsia="zh-CN"/>
        </w:rPr>
        <w:t>寅阳</w:t>
      </w:r>
      <w:r>
        <w:rPr>
          <w:rFonts w:hint="eastAsia" w:eastAsia="仿宋_GB2312"/>
          <w:sz w:val="28"/>
          <w:szCs w:val="28"/>
        </w:rPr>
        <w:t>镇工业集中区</w:t>
      </w:r>
      <w:r>
        <w:rPr>
          <w:rFonts w:eastAsia="仿宋_GB2312"/>
          <w:sz w:val="28"/>
          <w:szCs w:val="28"/>
        </w:rPr>
        <w:t>的基本概况和</w:t>
      </w:r>
      <w:r>
        <w:rPr>
          <w:rFonts w:hint="eastAsia" w:eastAsia="仿宋_GB2312"/>
          <w:sz w:val="28"/>
          <w:szCs w:val="28"/>
        </w:rPr>
        <w:t>环境影响评价</w:t>
      </w:r>
      <w:r>
        <w:rPr>
          <w:rFonts w:eastAsia="仿宋_GB2312"/>
          <w:sz w:val="28"/>
          <w:szCs w:val="28"/>
        </w:rPr>
        <w:t>的主要工作内容作了介绍。</w:t>
      </w:r>
    </w:p>
    <w:p>
      <w:pPr>
        <w:spacing w:line="500" w:lineRule="exact"/>
        <w:ind w:firstLine="560" w:firstLineChars="200"/>
        <w:rPr>
          <w:rFonts w:eastAsia="仿宋_GB2312"/>
          <w:sz w:val="28"/>
          <w:szCs w:val="28"/>
        </w:rPr>
      </w:pPr>
      <w:r>
        <w:rPr>
          <w:rFonts w:eastAsia="仿宋_GB2312"/>
          <w:sz w:val="28"/>
          <w:szCs w:val="28"/>
        </w:rPr>
        <w:t>本项目环境影响评价第二次信息将通过</w:t>
      </w:r>
      <w:r>
        <w:rPr>
          <w:rFonts w:hint="eastAsia" w:eastAsia="仿宋_GB2312"/>
          <w:sz w:val="28"/>
          <w:szCs w:val="28"/>
        </w:rPr>
        <w:t>启东市</w:t>
      </w:r>
      <w:r>
        <w:rPr>
          <w:rFonts w:hint="eastAsia" w:eastAsia="仿宋_GB2312"/>
          <w:sz w:val="28"/>
          <w:szCs w:val="28"/>
          <w:lang w:val="en-US" w:eastAsia="zh-CN"/>
        </w:rPr>
        <w:t>寅阳</w:t>
      </w:r>
      <w:r>
        <w:rPr>
          <w:rFonts w:hint="eastAsia" w:eastAsia="仿宋_GB2312"/>
          <w:sz w:val="28"/>
          <w:szCs w:val="28"/>
        </w:rPr>
        <w:t>镇</w:t>
      </w:r>
      <w:r>
        <w:rPr>
          <w:rFonts w:eastAsia="仿宋_GB2312"/>
          <w:sz w:val="28"/>
          <w:szCs w:val="28"/>
        </w:rPr>
        <w:t>政府网站公开发布，对</w:t>
      </w:r>
      <w:r>
        <w:rPr>
          <w:rFonts w:hint="eastAsia" w:eastAsia="仿宋_GB2312"/>
          <w:sz w:val="28"/>
          <w:szCs w:val="28"/>
          <w:lang w:val="en-US" w:eastAsia="zh-CN"/>
        </w:rPr>
        <w:t>寅阳</w:t>
      </w:r>
      <w:r>
        <w:rPr>
          <w:rFonts w:hint="eastAsia" w:eastAsia="仿宋_GB2312"/>
          <w:sz w:val="28"/>
          <w:szCs w:val="28"/>
        </w:rPr>
        <w:t>镇工业集中区</w:t>
      </w:r>
      <w:r>
        <w:rPr>
          <w:rFonts w:eastAsia="仿宋_GB2312"/>
          <w:sz w:val="28"/>
          <w:szCs w:val="28"/>
        </w:rPr>
        <w:t>的情况和环评的主要工作内容作进一步介绍，并同时链接公布本报告书征求意见稿。</w:t>
      </w:r>
    </w:p>
    <w:p>
      <w:pPr>
        <w:spacing w:line="500" w:lineRule="exact"/>
        <w:ind w:firstLine="560" w:firstLineChars="200"/>
        <w:rPr>
          <w:rFonts w:eastAsia="仿宋_GB2312"/>
          <w:sz w:val="28"/>
          <w:szCs w:val="28"/>
        </w:rPr>
      </w:pPr>
      <w:r>
        <w:rPr>
          <w:rFonts w:eastAsia="仿宋_GB2312"/>
          <w:sz w:val="28"/>
          <w:szCs w:val="28"/>
        </w:rPr>
        <w:t>第二次网上公示期间，同步以张贴公告、报纸公示的方式收集评价范围内的公众代表对本规划环境保护方面的意见和建议。</w:t>
      </w:r>
    </w:p>
    <w:p>
      <w:pPr>
        <w:spacing w:line="500" w:lineRule="exact"/>
        <w:ind w:firstLine="560" w:firstLineChars="200"/>
        <w:rPr>
          <w:rFonts w:eastAsia="仿宋_GB2312"/>
          <w:sz w:val="28"/>
          <w:szCs w:val="28"/>
        </w:rPr>
      </w:pPr>
      <w:r>
        <w:rPr>
          <w:rFonts w:eastAsia="仿宋_GB2312"/>
          <w:sz w:val="28"/>
          <w:szCs w:val="28"/>
        </w:rPr>
        <w:t>（2）征求公众意见的范围、次数、形式</w:t>
      </w:r>
    </w:p>
    <w:p>
      <w:pPr>
        <w:spacing w:line="500" w:lineRule="exact"/>
        <w:ind w:firstLine="560" w:firstLineChars="200"/>
        <w:rPr>
          <w:rFonts w:eastAsia="仿宋_GB2312"/>
          <w:sz w:val="28"/>
          <w:szCs w:val="28"/>
        </w:rPr>
      </w:pPr>
      <w:r>
        <w:rPr>
          <w:rFonts w:eastAsia="仿宋_GB2312"/>
          <w:sz w:val="28"/>
          <w:szCs w:val="28"/>
        </w:rPr>
        <w:t>公众参与的对象包括</w:t>
      </w:r>
      <w:r>
        <w:rPr>
          <w:rFonts w:hint="eastAsia" w:eastAsia="仿宋_GB2312"/>
          <w:sz w:val="28"/>
          <w:szCs w:val="28"/>
          <w:lang w:val="en-US" w:eastAsia="zh-CN"/>
        </w:rPr>
        <w:t>寅阳</w:t>
      </w:r>
      <w:r>
        <w:rPr>
          <w:rFonts w:hint="eastAsia" w:eastAsia="仿宋_GB2312"/>
          <w:sz w:val="28"/>
          <w:szCs w:val="28"/>
        </w:rPr>
        <w:t>镇工业集中区</w:t>
      </w:r>
      <w:r>
        <w:rPr>
          <w:rFonts w:eastAsia="仿宋_GB2312"/>
          <w:sz w:val="28"/>
          <w:szCs w:val="28"/>
        </w:rPr>
        <w:t>涉及的环境敏感目标，公众可在网上公示期间向</w:t>
      </w:r>
      <w:r>
        <w:rPr>
          <w:rFonts w:hint="eastAsia" w:eastAsia="仿宋_GB2312"/>
          <w:sz w:val="28"/>
          <w:szCs w:val="28"/>
        </w:rPr>
        <w:t>实施</w:t>
      </w:r>
      <w:r>
        <w:rPr>
          <w:rFonts w:eastAsia="仿宋_GB2312"/>
          <w:sz w:val="28"/>
          <w:szCs w:val="28"/>
        </w:rPr>
        <w:t>单位、评价机构发送电子邮件、传真和信函等方式发表意见。</w:t>
      </w:r>
    </w:p>
    <w:p>
      <w:pPr>
        <w:pStyle w:val="2"/>
        <w:spacing w:line="500" w:lineRule="exact"/>
        <w:sectPr>
          <w:pgSz w:w="11906" w:h="16838"/>
          <w:pgMar w:top="1440" w:right="1800" w:bottom="1440" w:left="1800" w:header="851" w:footer="992" w:gutter="0"/>
          <w:cols w:space="425" w:num="1"/>
          <w:docGrid w:type="lines" w:linePitch="312" w:charSpace="0"/>
        </w:sectPr>
      </w:pPr>
    </w:p>
    <w:p>
      <w:pPr>
        <w:pStyle w:val="2"/>
        <w:spacing w:line="500" w:lineRule="exact"/>
      </w:pPr>
      <w:bookmarkStart w:id="23" w:name="_Toc74055738"/>
      <w:r>
        <w:t>8 环境影响评价总结论</w:t>
      </w:r>
      <w:bookmarkEnd w:id="23"/>
    </w:p>
    <w:p>
      <w:pPr>
        <w:spacing w:line="500" w:lineRule="exact"/>
        <w:ind w:firstLine="560" w:firstLineChars="200"/>
        <w:rPr>
          <w:rFonts w:eastAsia="仿宋_GB2312"/>
          <w:sz w:val="28"/>
          <w:szCs w:val="28"/>
        </w:rPr>
      </w:pPr>
      <w:r>
        <w:rPr>
          <w:rFonts w:hint="eastAsia" w:eastAsia="仿宋_GB2312"/>
          <w:sz w:val="28"/>
          <w:szCs w:val="28"/>
        </w:rPr>
        <w:t>区域环境质量状况基本良好，具有一定的环境承载力，规划配套基础设施能够满足</w:t>
      </w:r>
      <w:r>
        <w:rPr>
          <w:rFonts w:hint="eastAsia" w:eastAsia="仿宋_GB2312"/>
          <w:sz w:val="28"/>
          <w:szCs w:val="28"/>
          <w:lang w:val="en-US" w:eastAsia="zh-CN"/>
        </w:rPr>
        <w:t>寅阳</w:t>
      </w:r>
      <w:r>
        <w:rPr>
          <w:rFonts w:hint="eastAsia" w:eastAsia="仿宋_GB2312"/>
          <w:sz w:val="28"/>
          <w:szCs w:val="28"/>
        </w:rPr>
        <w:t>镇工业集中区开发建设需求，规划实施对区域环境产生的影响有限，从环境保护的角度分析，在严格落实本报告提出的污染防治措施、风险防范措施、规划优化调整建议等前提下，影响在可接受的范围内，不会降低区域环境功能，</w:t>
      </w:r>
      <w:r>
        <w:rPr>
          <w:rFonts w:hint="eastAsia" w:eastAsia="仿宋_GB2312"/>
          <w:sz w:val="28"/>
          <w:szCs w:val="28"/>
          <w:lang w:val="en-US" w:eastAsia="zh-CN"/>
        </w:rPr>
        <w:t>寅阳</w:t>
      </w:r>
      <w:r>
        <w:rPr>
          <w:rFonts w:hint="eastAsia" w:eastAsia="仿宋_GB2312"/>
          <w:sz w:val="28"/>
          <w:szCs w:val="28"/>
        </w:rPr>
        <w:t>镇工业集中区依据本轮规划进行开发建设具备环境可行性。</w:t>
      </w:r>
    </w:p>
    <w:p>
      <w:pPr>
        <w:pStyle w:val="2"/>
        <w:spacing w:line="500" w:lineRule="exact"/>
        <w:sectPr>
          <w:pgSz w:w="11906" w:h="16838"/>
          <w:pgMar w:top="1440" w:right="1800" w:bottom="1440" w:left="1800" w:header="851" w:footer="992" w:gutter="0"/>
          <w:cols w:space="425" w:num="1"/>
          <w:docGrid w:type="lines" w:linePitch="312" w:charSpace="0"/>
        </w:sectPr>
      </w:pPr>
    </w:p>
    <w:p>
      <w:pPr>
        <w:pStyle w:val="2"/>
        <w:spacing w:line="500" w:lineRule="exact"/>
      </w:pPr>
      <w:bookmarkStart w:id="24" w:name="_Toc74055739"/>
      <w:r>
        <w:t>9 联系方式</w:t>
      </w:r>
      <w:bookmarkEnd w:id="24"/>
    </w:p>
    <w:p>
      <w:pPr>
        <w:spacing w:line="500" w:lineRule="exact"/>
        <w:ind w:firstLine="560" w:firstLineChars="200"/>
        <w:rPr>
          <w:rFonts w:eastAsia="仿宋_GB2312"/>
          <w:sz w:val="28"/>
          <w:szCs w:val="28"/>
        </w:rPr>
      </w:pPr>
      <w:r>
        <w:rPr>
          <w:rFonts w:eastAsia="仿宋_GB2312"/>
          <w:sz w:val="28"/>
          <w:szCs w:val="28"/>
        </w:rPr>
        <w:t>（1）规划实施单位名称及联系方式</w:t>
      </w:r>
    </w:p>
    <w:p>
      <w:pPr>
        <w:spacing w:line="500" w:lineRule="exact"/>
        <w:ind w:firstLine="560" w:firstLineChars="200"/>
        <w:rPr>
          <w:rFonts w:eastAsia="仿宋_GB2312"/>
          <w:sz w:val="28"/>
          <w:szCs w:val="28"/>
        </w:rPr>
      </w:pPr>
      <w:r>
        <w:rPr>
          <w:rFonts w:hint="eastAsia" w:eastAsia="仿宋_GB2312"/>
          <w:sz w:val="28"/>
          <w:szCs w:val="28"/>
        </w:rPr>
        <w:t>规划实施单位：启东市</w:t>
      </w:r>
      <w:r>
        <w:rPr>
          <w:rFonts w:hint="eastAsia" w:eastAsia="仿宋_GB2312"/>
          <w:sz w:val="28"/>
          <w:szCs w:val="28"/>
          <w:lang w:val="en-US" w:eastAsia="zh-CN"/>
        </w:rPr>
        <w:t>寅阳</w:t>
      </w:r>
      <w:r>
        <w:rPr>
          <w:rFonts w:hint="eastAsia" w:eastAsia="仿宋_GB2312"/>
          <w:sz w:val="28"/>
          <w:szCs w:val="28"/>
        </w:rPr>
        <w:t>镇人民政府</w:t>
      </w:r>
    </w:p>
    <w:p>
      <w:pPr>
        <w:spacing w:line="500" w:lineRule="exact"/>
        <w:ind w:firstLine="560" w:firstLineChars="200"/>
        <w:rPr>
          <w:rFonts w:eastAsia="仿宋_GB2312"/>
          <w:sz w:val="28"/>
          <w:szCs w:val="28"/>
        </w:rPr>
      </w:pPr>
      <w:r>
        <w:rPr>
          <w:rFonts w:hint="eastAsia" w:eastAsia="仿宋_GB2312"/>
          <w:sz w:val="28"/>
          <w:szCs w:val="28"/>
        </w:rPr>
        <w:t>联系人：黄翌伦</w:t>
      </w:r>
    </w:p>
    <w:p>
      <w:pPr>
        <w:spacing w:line="500" w:lineRule="exact"/>
        <w:ind w:firstLine="560" w:firstLineChars="200"/>
        <w:rPr>
          <w:rFonts w:eastAsia="仿宋_GB2312"/>
          <w:sz w:val="28"/>
          <w:szCs w:val="28"/>
        </w:rPr>
      </w:pPr>
      <w:r>
        <w:rPr>
          <w:rFonts w:hint="eastAsia" w:eastAsia="仿宋_GB2312"/>
          <w:sz w:val="28"/>
          <w:szCs w:val="28"/>
        </w:rPr>
        <w:t>联系电话：0513-68956670</w:t>
      </w:r>
    </w:p>
    <w:p>
      <w:pPr>
        <w:spacing w:line="500" w:lineRule="exact"/>
        <w:ind w:firstLine="560" w:firstLineChars="200"/>
        <w:rPr>
          <w:rFonts w:eastAsia="仿宋_GB2312"/>
          <w:sz w:val="28"/>
          <w:szCs w:val="28"/>
        </w:rPr>
      </w:pPr>
      <w:r>
        <w:rPr>
          <w:rFonts w:eastAsia="仿宋_GB2312"/>
          <w:sz w:val="28"/>
          <w:szCs w:val="28"/>
        </w:rPr>
        <w:t>（2）环评单位名称及联系方式</w:t>
      </w:r>
    </w:p>
    <w:p>
      <w:pPr>
        <w:spacing w:line="500" w:lineRule="exact"/>
        <w:ind w:firstLine="560" w:firstLineChars="200"/>
        <w:rPr>
          <w:rFonts w:eastAsia="仿宋_GB2312"/>
          <w:sz w:val="28"/>
          <w:szCs w:val="28"/>
        </w:rPr>
      </w:pPr>
      <w:r>
        <w:rPr>
          <w:rFonts w:hint="eastAsia" w:eastAsia="仿宋_GB2312"/>
          <w:sz w:val="28"/>
          <w:szCs w:val="28"/>
        </w:rPr>
        <w:t>规划环评单位：南通国信环境科技有限公司</w:t>
      </w:r>
    </w:p>
    <w:p>
      <w:pPr>
        <w:spacing w:line="500" w:lineRule="exact"/>
        <w:ind w:firstLine="560" w:firstLineChars="200"/>
        <w:rPr>
          <w:rFonts w:eastAsia="仿宋_GB2312"/>
          <w:sz w:val="28"/>
          <w:szCs w:val="28"/>
        </w:rPr>
      </w:pPr>
      <w:r>
        <w:rPr>
          <w:rFonts w:hint="eastAsia" w:eastAsia="仿宋_GB2312"/>
          <w:sz w:val="28"/>
          <w:szCs w:val="28"/>
        </w:rPr>
        <w:t>联系人：杨工</w:t>
      </w:r>
    </w:p>
    <w:p>
      <w:pPr>
        <w:spacing w:line="500" w:lineRule="exact"/>
        <w:ind w:firstLine="560" w:firstLineChars="200"/>
        <w:rPr>
          <w:rFonts w:eastAsia="仿宋_GB2312"/>
          <w:sz w:val="28"/>
          <w:szCs w:val="28"/>
        </w:rPr>
      </w:pPr>
      <w:r>
        <w:rPr>
          <w:rFonts w:hint="eastAsia" w:eastAsia="仿宋_GB2312"/>
          <w:sz w:val="28"/>
          <w:szCs w:val="28"/>
        </w:rPr>
        <w:t>联系电话：0513-89127181；</w:t>
      </w:r>
    </w:p>
    <w:p>
      <w:pPr>
        <w:spacing w:line="500" w:lineRule="exact"/>
        <w:ind w:firstLine="560" w:firstLineChars="200"/>
        <w:rPr>
          <w:rFonts w:eastAsia="仿宋_GB2312"/>
          <w:sz w:val="28"/>
          <w:szCs w:val="28"/>
        </w:rPr>
      </w:pPr>
      <w:r>
        <w:rPr>
          <w:rFonts w:hint="eastAsia" w:eastAsia="仿宋_GB2312"/>
          <w:sz w:val="28"/>
          <w:szCs w:val="28"/>
        </w:rPr>
        <w:t>Email：32710988@qq.com；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decorative"/>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001039"/>
      <w:docPartObj>
        <w:docPartGallery w:val="AutoText"/>
      </w:docPartObj>
    </w:sdtPr>
    <w:sdtEndPr>
      <w:rPr>
        <w:rFonts w:ascii="Times New Roman" w:hAnsi="Times New Roman" w:cs="Times New Roman"/>
      </w:rPr>
    </w:sdtEndPr>
    <w:sdtContent>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w:t>
        </w:r>
        <w:r>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4785054"/>
      <w:docPartObj>
        <w:docPartGallery w:val="AutoText"/>
      </w:docPartObj>
    </w:sdtPr>
    <w:sdtEndPr>
      <w:rPr>
        <w:rFonts w:ascii="Times New Roman" w:hAnsi="Times New Roman" w:cs="Times New Roman"/>
      </w:rPr>
    </w:sdtEndPr>
    <w:sdtContent>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11</w:t>
        </w:r>
        <w:r>
          <w:rPr>
            <w:rFonts w:ascii="Times New Roman" w:hAnsi="Times New Roman" w:cs="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EA2FB5"/>
    <w:multiLevelType w:val="multilevel"/>
    <w:tmpl w:val="68EA2FB5"/>
    <w:lvl w:ilvl="0" w:tentative="0">
      <w:start w:val="1"/>
      <w:numFmt w:val="decimal"/>
      <w:lvlText w:val="%1"/>
      <w:lvlJc w:val="left"/>
      <w:pPr>
        <w:ind w:left="425" w:hanging="425"/>
      </w:pPr>
      <w:rPr>
        <w:rFonts w:hint="eastAsia" w:eastAsia="宋体"/>
      </w:rPr>
    </w:lvl>
    <w:lvl w:ilvl="1" w:tentative="0">
      <w:start w:val="1"/>
      <w:numFmt w:val="decimal"/>
      <w:lvlText w:val="%1.%2"/>
      <w:lvlJc w:val="left"/>
      <w:pPr>
        <w:ind w:left="992" w:hanging="567"/>
      </w:pPr>
      <w:rPr>
        <w:rFonts w:hint="eastAsia"/>
      </w:rPr>
    </w:lvl>
    <w:lvl w:ilvl="2" w:tentative="0">
      <w:start w:val="1"/>
      <w:numFmt w:val="decimal"/>
      <w:isLgl/>
      <w:lvlText w:val="%2.%1.%3"/>
      <w:lvlJc w:val="left"/>
      <w:pPr>
        <w:ind w:left="420" w:hanging="42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lvlOverride w:ilvl="0">
      <w:lvl w:ilvl="0" w:tentative="1">
        <w:start w:val="1"/>
        <w:numFmt w:val="decimal"/>
        <w:lvlText w:val="%1"/>
        <w:lvlJc w:val="left"/>
        <w:pPr>
          <w:ind w:left="425" w:hanging="425"/>
        </w:pPr>
        <w:rPr>
          <w:rFonts w:hint="eastAsia" w:eastAsia="宋体"/>
        </w:rPr>
      </w:lvl>
    </w:lvlOverride>
    <w:lvlOverride w:ilvl="1">
      <w:lvl w:ilvl="1" w:tentative="1">
        <w:start w:val="1"/>
        <w:numFmt w:val="decimal"/>
        <w:lvlText w:val="%1.%2"/>
        <w:lvlJc w:val="left"/>
        <w:pPr>
          <w:ind w:left="992" w:hanging="567"/>
        </w:pPr>
        <w:rPr>
          <w:rFonts w:hint="eastAsia"/>
        </w:rPr>
      </w:lvl>
    </w:lvlOverride>
    <w:lvlOverride w:ilvl="2">
      <w:lvl w:ilvl="2" w:tentative="1">
        <w:start w:val="1"/>
        <w:numFmt w:val="decimal"/>
        <w:pStyle w:val="6"/>
        <w:lvlText w:val="%2.%1.%3"/>
        <w:lvlJc w:val="left"/>
        <w:pPr>
          <w:ind w:left="420" w:hanging="420"/>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8A"/>
    <w:rsid w:val="00001066"/>
    <w:rsid w:val="00005A6C"/>
    <w:rsid w:val="0003190E"/>
    <w:rsid w:val="00032602"/>
    <w:rsid w:val="0004045A"/>
    <w:rsid w:val="00045AD0"/>
    <w:rsid w:val="0005234A"/>
    <w:rsid w:val="00055770"/>
    <w:rsid w:val="00067D0C"/>
    <w:rsid w:val="0007199F"/>
    <w:rsid w:val="000769BB"/>
    <w:rsid w:val="00082A85"/>
    <w:rsid w:val="00087286"/>
    <w:rsid w:val="000A323A"/>
    <w:rsid w:val="000A472C"/>
    <w:rsid w:val="000B73F5"/>
    <w:rsid w:val="000C0364"/>
    <w:rsid w:val="000D0912"/>
    <w:rsid w:val="000D2BC0"/>
    <w:rsid w:val="000D59F4"/>
    <w:rsid w:val="000E2089"/>
    <w:rsid w:val="000E5405"/>
    <w:rsid w:val="000E6670"/>
    <w:rsid w:val="000F098C"/>
    <w:rsid w:val="000F3969"/>
    <w:rsid w:val="00113A3D"/>
    <w:rsid w:val="001256BC"/>
    <w:rsid w:val="00134A35"/>
    <w:rsid w:val="00145C67"/>
    <w:rsid w:val="00154EF1"/>
    <w:rsid w:val="001554FF"/>
    <w:rsid w:val="0015585C"/>
    <w:rsid w:val="00156053"/>
    <w:rsid w:val="0016521B"/>
    <w:rsid w:val="00182792"/>
    <w:rsid w:val="00185832"/>
    <w:rsid w:val="001A18F7"/>
    <w:rsid w:val="001A3E1D"/>
    <w:rsid w:val="001C58D2"/>
    <w:rsid w:val="001C7BA2"/>
    <w:rsid w:val="001D290A"/>
    <w:rsid w:val="001D2918"/>
    <w:rsid w:val="001D403F"/>
    <w:rsid w:val="001F4542"/>
    <w:rsid w:val="00200127"/>
    <w:rsid w:val="00206949"/>
    <w:rsid w:val="00210B46"/>
    <w:rsid w:val="002201C3"/>
    <w:rsid w:val="002245A7"/>
    <w:rsid w:val="002323CC"/>
    <w:rsid w:val="0023340D"/>
    <w:rsid w:val="00241567"/>
    <w:rsid w:val="002431F5"/>
    <w:rsid w:val="00244371"/>
    <w:rsid w:val="00247B02"/>
    <w:rsid w:val="002577AD"/>
    <w:rsid w:val="00257A18"/>
    <w:rsid w:val="002610B0"/>
    <w:rsid w:val="002653A6"/>
    <w:rsid w:val="002707AD"/>
    <w:rsid w:val="00273C8F"/>
    <w:rsid w:val="00281F36"/>
    <w:rsid w:val="00284AED"/>
    <w:rsid w:val="00286FEC"/>
    <w:rsid w:val="002A0C18"/>
    <w:rsid w:val="002D2DC5"/>
    <w:rsid w:val="002D45F9"/>
    <w:rsid w:val="002E4E67"/>
    <w:rsid w:val="002E539B"/>
    <w:rsid w:val="002E70B2"/>
    <w:rsid w:val="002E7215"/>
    <w:rsid w:val="002F1E02"/>
    <w:rsid w:val="002F5913"/>
    <w:rsid w:val="002F75C4"/>
    <w:rsid w:val="00301492"/>
    <w:rsid w:val="003039A1"/>
    <w:rsid w:val="003067C5"/>
    <w:rsid w:val="00316671"/>
    <w:rsid w:val="00324A71"/>
    <w:rsid w:val="00337E12"/>
    <w:rsid w:val="00337F94"/>
    <w:rsid w:val="003429B4"/>
    <w:rsid w:val="00344671"/>
    <w:rsid w:val="0034544E"/>
    <w:rsid w:val="00346721"/>
    <w:rsid w:val="00361A7A"/>
    <w:rsid w:val="00373F4C"/>
    <w:rsid w:val="003825F3"/>
    <w:rsid w:val="00384CBE"/>
    <w:rsid w:val="00390327"/>
    <w:rsid w:val="00391F85"/>
    <w:rsid w:val="00392598"/>
    <w:rsid w:val="003960BF"/>
    <w:rsid w:val="003A32F2"/>
    <w:rsid w:val="003A595F"/>
    <w:rsid w:val="003A60C3"/>
    <w:rsid w:val="003B0AF8"/>
    <w:rsid w:val="003B5F8E"/>
    <w:rsid w:val="003C2260"/>
    <w:rsid w:val="003C5AFB"/>
    <w:rsid w:val="003C6480"/>
    <w:rsid w:val="003D2260"/>
    <w:rsid w:val="003D38C6"/>
    <w:rsid w:val="003D3E96"/>
    <w:rsid w:val="003E235D"/>
    <w:rsid w:val="003E6B73"/>
    <w:rsid w:val="003F5A2B"/>
    <w:rsid w:val="0040110A"/>
    <w:rsid w:val="00402101"/>
    <w:rsid w:val="00423D4A"/>
    <w:rsid w:val="00434B7B"/>
    <w:rsid w:val="004465DC"/>
    <w:rsid w:val="00446883"/>
    <w:rsid w:val="00460D15"/>
    <w:rsid w:val="00470B94"/>
    <w:rsid w:val="0048450C"/>
    <w:rsid w:val="004870FF"/>
    <w:rsid w:val="0049292F"/>
    <w:rsid w:val="004A466A"/>
    <w:rsid w:val="004B4C09"/>
    <w:rsid w:val="004C5BA5"/>
    <w:rsid w:val="004E0179"/>
    <w:rsid w:val="004E349F"/>
    <w:rsid w:val="004E495B"/>
    <w:rsid w:val="004F2A2B"/>
    <w:rsid w:val="004F2EC0"/>
    <w:rsid w:val="004F3E7B"/>
    <w:rsid w:val="004F480A"/>
    <w:rsid w:val="0050197F"/>
    <w:rsid w:val="0050526F"/>
    <w:rsid w:val="005069FA"/>
    <w:rsid w:val="0052235B"/>
    <w:rsid w:val="00522362"/>
    <w:rsid w:val="005264A9"/>
    <w:rsid w:val="00530D35"/>
    <w:rsid w:val="005412B7"/>
    <w:rsid w:val="00545A16"/>
    <w:rsid w:val="00546269"/>
    <w:rsid w:val="00553592"/>
    <w:rsid w:val="00591BB4"/>
    <w:rsid w:val="00595F8D"/>
    <w:rsid w:val="005A650A"/>
    <w:rsid w:val="005B1B9E"/>
    <w:rsid w:val="005C283D"/>
    <w:rsid w:val="005C3EA9"/>
    <w:rsid w:val="005D02F2"/>
    <w:rsid w:val="005E43C0"/>
    <w:rsid w:val="005F1E3A"/>
    <w:rsid w:val="00622B40"/>
    <w:rsid w:val="006312B1"/>
    <w:rsid w:val="006341FB"/>
    <w:rsid w:val="0063425C"/>
    <w:rsid w:val="0063434F"/>
    <w:rsid w:val="006435FF"/>
    <w:rsid w:val="00645661"/>
    <w:rsid w:val="006508D3"/>
    <w:rsid w:val="0065216C"/>
    <w:rsid w:val="00655215"/>
    <w:rsid w:val="00665452"/>
    <w:rsid w:val="00673871"/>
    <w:rsid w:val="00687CE4"/>
    <w:rsid w:val="006A258E"/>
    <w:rsid w:val="006A2898"/>
    <w:rsid w:val="006A2AF9"/>
    <w:rsid w:val="006A72E8"/>
    <w:rsid w:val="006B0342"/>
    <w:rsid w:val="006B19B7"/>
    <w:rsid w:val="006B1F00"/>
    <w:rsid w:val="006B45EB"/>
    <w:rsid w:val="006D0862"/>
    <w:rsid w:val="006D2C29"/>
    <w:rsid w:val="006D7B4F"/>
    <w:rsid w:val="006E5955"/>
    <w:rsid w:val="006E6279"/>
    <w:rsid w:val="00712F2B"/>
    <w:rsid w:val="00722A29"/>
    <w:rsid w:val="00726C40"/>
    <w:rsid w:val="007365EB"/>
    <w:rsid w:val="00736E10"/>
    <w:rsid w:val="00743A7E"/>
    <w:rsid w:val="007478B3"/>
    <w:rsid w:val="00756583"/>
    <w:rsid w:val="00756C70"/>
    <w:rsid w:val="00756DE3"/>
    <w:rsid w:val="00761FE8"/>
    <w:rsid w:val="00765E19"/>
    <w:rsid w:val="00771DF3"/>
    <w:rsid w:val="00776F74"/>
    <w:rsid w:val="00777F8E"/>
    <w:rsid w:val="00781FDC"/>
    <w:rsid w:val="007841CF"/>
    <w:rsid w:val="00785B16"/>
    <w:rsid w:val="00785DD6"/>
    <w:rsid w:val="00797ACE"/>
    <w:rsid w:val="007A1535"/>
    <w:rsid w:val="007A4A98"/>
    <w:rsid w:val="007A7C00"/>
    <w:rsid w:val="007B461B"/>
    <w:rsid w:val="007B530D"/>
    <w:rsid w:val="007B5908"/>
    <w:rsid w:val="007C6552"/>
    <w:rsid w:val="007E4186"/>
    <w:rsid w:val="007F23C7"/>
    <w:rsid w:val="007F2B63"/>
    <w:rsid w:val="007F3E9B"/>
    <w:rsid w:val="007F4404"/>
    <w:rsid w:val="0080573D"/>
    <w:rsid w:val="00816C6D"/>
    <w:rsid w:val="00822009"/>
    <w:rsid w:val="008226FE"/>
    <w:rsid w:val="00823BBD"/>
    <w:rsid w:val="00823E02"/>
    <w:rsid w:val="00824A22"/>
    <w:rsid w:val="008435C6"/>
    <w:rsid w:val="00844198"/>
    <w:rsid w:val="008557A6"/>
    <w:rsid w:val="008649FB"/>
    <w:rsid w:val="00866D1E"/>
    <w:rsid w:val="00875DE3"/>
    <w:rsid w:val="008924F0"/>
    <w:rsid w:val="0089462A"/>
    <w:rsid w:val="00894B2E"/>
    <w:rsid w:val="00897985"/>
    <w:rsid w:val="008B7685"/>
    <w:rsid w:val="008D1C2A"/>
    <w:rsid w:val="008D209F"/>
    <w:rsid w:val="008E1B57"/>
    <w:rsid w:val="008E3B3C"/>
    <w:rsid w:val="008E73AC"/>
    <w:rsid w:val="008F1C1B"/>
    <w:rsid w:val="008F53B6"/>
    <w:rsid w:val="00903605"/>
    <w:rsid w:val="00905371"/>
    <w:rsid w:val="00911AAC"/>
    <w:rsid w:val="009138D3"/>
    <w:rsid w:val="00920698"/>
    <w:rsid w:val="00923F14"/>
    <w:rsid w:val="00925C60"/>
    <w:rsid w:val="009373FD"/>
    <w:rsid w:val="00942C41"/>
    <w:rsid w:val="00943B7E"/>
    <w:rsid w:val="00954826"/>
    <w:rsid w:val="009567D2"/>
    <w:rsid w:val="0096720B"/>
    <w:rsid w:val="0097298F"/>
    <w:rsid w:val="0097448B"/>
    <w:rsid w:val="009769D8"/>
    <w:rsid w:val="00984621"/>
    <w:rsid w:val="00991732"/>
    <w:rsid w:val="009941E6"/>
    <w:rsid w:val="00997DAC"/>
    <w:rsid w:val="009A6169"/>
    <w:rsid w:val="009B3B47"/>
    <w:rsid w:val="009C6821"/>
    <w:rsid w:val="009C6A4D"/>
    <w:rsid w:val="009D1D6C"/>
    <w:rsid w:val="009E01A3"/>
    <w:rsid w:val="009E642F"/>
    <w:rsid w:val="009F6BAF"/>
    <w:rsid w:val="00A02AA6"/>
    <w:rsid w:val="00A1078E"/>
    <w:rsid w:val="00A118C0"/>
    <w:rsid w:val="00A122FA"/>
    <w:rsid w:val="00A1578A"/>
    <w:rsid w:val="00A2534F"/>
    <w:rsid w:val="00A30DCA"/>
    <w:rsid w:val="00A34BD2"/>
    <w:rsid w:val="00A365AA"/>
    <w:rsid w:val="00A36D31"/>
    <w:rsid w:val="00A431AA"/>
    <w:rsid w:val="00A5004D"/>
    <w:rsid w:val="00A52172"/>
    <w:rsid w:val="00A541E9"/>
    <w:rsid w:val="00A551E0"/>
    <w:rsid w:val="00A5590E"/>
    <w:rsid w:val="00A73154"/>
    <w:rsid w:val="00A736B7"/>
    <w:rsid w:val="00A856C3"/>
    <w:rsid w:val="00A9303B"/>
    <w:rsid w:val="00A93B5F"/>
    <w:rsid w:val="00AC3D4B"/>
    <w:rsid w:val="00AC4CC9"/>
    <w:rsid w:val="00AC6ED1"/>
    <w:rsid w:val="00AD1F22"/>
    <w:rsid w:val="00AD2ACB"/>
    <w:rsid w:val="00AD4A40"/>
    <w:rsid w:val="00AD62A1"/>
    <w:rsid w:val="00AD64A2"/>
    <w:rsid w:val="00AD7407"/>
    <w:rsid w:val="00AE3997"/>
    <w:rsid w:val="00AF39A1"/>
    <w:rsid w:val="00AF554B"/>
    <w:rsid w:val="00B0612E"/>
    <w:rsid w:val="00B11886"/>
    <w:rsid w:val="00B12339"/>
    <w:rsid w:val="00B1407F"/>
    <w:rsid w:val="00B20514"/>
    <w:rsid w:val="00B21FC5"/>
    <w:rsid w:val="00B255EE"/>
    <w:rsid w:val="00B30288"/>
    <w:rsid w:val="00B34797"/>
    <w:rsid w:val="00B36984"/>
    <w:rsid w:val="00B46245"/>
    <w:rsid w:val="00B57366"/>
    <w:rsid w:val="00B613AA"/>
    <w:rsid w:val="00B62406"/>
    <w:rsid w:val="00B6291E"/>
    <w:rsid w:val="00B62F81"/>
    <w:rsid w:val="00B679CA"/>
    <w:rsid w:val="00B7404B"/>
    <w:rsid w:val="00B87C76"/>
    <w:rsid w:val="00BA330B"/>
    <w:rsid w:val="00BA4CBC"/>
    <w:rsid w:val="00BA5908"/>
    <w:rsid w:val="00BA6305"/>
    <w:rsid w:val="00BB0B4D"/>
    <w:rsid w:val="00BB1EF0"/>
    <w:rsid w:val="00BB53D6"/>
    <w:rsid w:val="00BC52E1"/>
    <w:rsid w:val="00BD2E96"/>
    <w:rsid w:val="00BD3770"/>
    <w:rsid w:val="00BE03D7"/>
    <w:rsid w:val="00BE3FB4"/>
    <w:rsid w:val="00BF0DA2"/>
    <w:rsid w:val="00BF6564"/>
    <w:rsid w:val="00BF6A80"/>
    <w:rsid w:val="00BF6BB2"/>
    <w:rsid w:val="00BF7A35"/>
    <w:rsid w:val="00C1241E"/>
    <w:rsid w:val="00C169A9"/>
    <w:rsid w:val="00C17FD7"/>
    <w:rsid w:val="00C27317"/>
    <w:rsid w:val="00C300DB"/>
    <w:rsid w:val="00C337C8"/>
    <w:rsid w:val="00C36AD9"/>
    <w:rsid w:val="00C53C84"/>
    <w:rsid w:val="00C5452B"/>
    <w:rsid w:val="00C66BEF"/>
    <w:rsid w:val="00C71B31"/>
    <w:rsid w:val="00C77B6C"/>
    <w:rsid w:val="00C867EF"/>
    <w:rsid w:val="00C93FD3"/>
    <w:rsid w:val="00C944AD"/>
    <w:rsid w:val="00CA047D"/>
    <w:rsid w:val="00CA0F43"/>
    <w:rsid w:val="00CA3D43"/>
    <w:rsid w:val="00CA7983"/>
    <w:rsid w:val="00CA7A93"/>
    <w:rsid w:val="00CB1A9D"/>
    <w:rsid w:val="00CB1C51"/>
    <w:rsid w:val="00CC1F04"/>
    <w:rsid w:val="00CC5C60"/>
    <w:rsid w:val="00CC7EA7"/>
    <w:rsid w:val="00CD03F6"/>
    <w:rsid w:val="00CE4F70"/>
    <w:rsid w:val="00CF4B44"/>
    <w:rsid w:val="00D0033D"/>
    <w:rsid w:val="00D1268E"/>
    <w:rsid w:val="00D1660A"/>
    <w:rsid w:val="00D21112"/>
    <w:rsid w:val="00D21858"/>
    <w:rsid w:val="00D22BAF"/>
    <w:rsid w:val="00D24781"/>
    <w:rsid w:val="00D2503D"/>
    <w:rsid w:val="00D2545E"/>
    <w:rsid w:val="00D31306"/>
    <w:rsid w:val="00D3410F"/>
    <w:rsid w:val="00D350C2"/>
    <w:rsid w:val="00D379DA"/>
    <w:rsid w:val="00D44129"/>
    <w:rsid w:val="00D4504F"/>
    <w:rsid w:val="00D50198"/>
    <w:rsid w:val="00D5427A"/>
    <w:rsid w:val="00D67DF2"/>
    <w:rsid w:val="00D81B29"/>
    <w:rsid w:val="00D8685D"/>
    <w:rsid w:val="00D86BE9"/>
    <w:rsid w:val="00D903AC"/>
    <w:rsid w:val="00DA6177"/>
    <w:rsid w:val="00DB135C"/>
    <w:rsid w:val="00DB4DDD"/>
    <w:rsid w:val="00DB7D95"/>
    <w:rsid w:val="00DC3B28"/>
    <w:rsid w:val="00DC3FC1"/>
    <w:rsid w:val="00DD024B"/>
    <w:rsid w:val="00DD1FE1"/>
    <w:rsid w:val="00DD7890"/>
    <w:rsid w:val="00DE000E"/>
    <w:rsid w:val="00DE0A82"/>
    <w:rsid w:val="00DE3469"/>
    <w:rsid w:val="00DE3723"/>
    <w:rsid w:val="00DE5D0F"/>
    <w:rsid w:val="00DF12BE"/>
    <w:rsid w:val="00DF7951"/>
    <w:rsid w:val="00E04D5F"/>
    <w:rsid w:val="00E27617"/>
    <w:rsid w:val="00E31BB6"/>
    <w:rsid w:val="00E32051"/>
    <w:rsid w:val="00E335AB"/>
    <w:rsid w:val="00E37BF5"/>
    <w:rsid w:val="00E41B87"/>
    <w:rsid w:val="00E51EBA"/>
    <w:rsid w:val="00E5452D"/>
    <w:rsid w:val="00E61527"/>
    <w:rsid w:val="00E65FF2"/>
    <w:rsid w:val="00E74322"/>
    <w:rsid w:val="00E77111"/>
    <w:rsid w:val="00E81C58"/>
    <w:rsid w:val="00E8650F"/>
    <w:rsid w:val="00EB0D03"/>
    <w:rsid w:val="00ED4760"/>
    <w:rsid w:val="00F12772"/>
    <w:rsid w:val="00F16A34"/>
    <w:rsid w:val="00F1740C"/>
    <w:rsid w:val="00F215A9"/>
    <w:rsid w:val="00F236F7"/>
    <w:rsid w:val="00F23A31"/>
    <w:rsid w:val="00F24AE2"/>
    <w:rsid w:val="00F32898"/>
    <w:rsid w:val="00F33538"/>
    <w:rsid w:val="00F33F3E"/>
    <w:rsid w:val="00F45809"/>
    <w:rsid w:val="00F56834"/>
    <w:rsid w:val="00F5711C"/>
    <w:rsid w:val="00F5719E"/>
    <w:rsid w:val="00F61C0C"/>
    <w:rsid w:val="00F75EC2"/>
    <w:rsid w:val="00F76CE4"/>
    <w:rsid w:val="00F82B25"/>
    <w:rsid w:val="00F976BD"/>
    <w:rsid w:val="00FA21AA"/>
    <w:rsid w:val="00FC0808"/>
    <w:rsid w:val="00FC23D6"/>
    <w:rsid w:val="00FC5FC2"/>
    <w:rsid w:val="00FC6A40"/>
    <w:rsid w:val="00FD0572"/>
    <w:rsid w:val="00FD150E"/>
    <w:rsid w:val="00FD4147"/>
    <w:rsid w:val="00FD7A85"/>
    <w:rsid w:val="00FE5C5B"/>
    <w:rsid w:val="00FF3A14"/>
    <w:rsid w:val="00FF7A47"/>
    <w:rsid w:val="421E3839"/>
    <w:rsid w:val="698110D7"/>
    <w:rsid w:val="6BA40572"/>
    <w:rsid w:val="75C4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keepNext/>
      <w:keepLines/>
      <w:adjustRightInd w:val="0"/>
      <w:snapToGrid w:val="0"/>
      <w:spacing w:before="120" w:after="120"/>
      <w:jc w:val="left"/>
      <w:outlineLvl w:val="0"/>
    </w:pPr>
    <w:rPr>
      <w:rFonts w:eastAsia="仿宋_GB2312"/>
      <w:b/>
      <w:kern w:val="44"/>
      <w:sz w:val="32"/>
      <w:szCs w:val="20"/>
    </w:rPr>
  </w:style>
  <w:style w:type="paragraph" w:styleId="3">
    <w:name w:val="heading 2"/>
    <w:basedOn w:val="1"/>
    <w:next w:val="4"/>
    <w:link w:val="30"/>
    <w:qFormat/>
    <w:uiPriority w:val="0"/>
    <w:pPr>
      <w:keepNext/>
      <w:keepLines/>
      <w:autoSpaceDE w:val="0"/>
      <w:autoSpaceDN w:val="0"/>
      <w:adjustRightInd w:val="0"/>
      <w:snapToGrid w:val="0"/>
      <w:spacing w:before="120" w:after="120"/>
      <w:jc w:val="left"/>
      <w:textAlignment w:val="baseline"/>
      <w:outlineLvl w:val="1"/>
    </w:pPr>
    <w:rPr>
      <w:rFonts w:eastAsia="仿宋_GB2312"/>
      <w:b/>
      <w:kern w:val="0"/>
      <w:sz w:val="30"/>
      <w:szCs w:val="20"/>
    </w:rPr>
  </w:style>
  <w:style w:type="paragraph" w:styleId="5">
    <w:name w:val="heading 3"/>
    <w:basedOn w:val="1"/>
    <w:next w:val="1"/>
    <w:link w:val="31"/>
    <w:qFormat/>
    <w:uiPriority w:val="0"/>
    <w:pPr>
      <w:keepNext/>
      <w:keepLines/>
      <w:adjustRightInd w:val="0"/>
      <w:snapToGrid w:val="0"/>
      <w:spacing w:before="120" w:after="120"/>
      <w:outlineLvl w:val="2"/>
    </w:pPr>
    <w:rPr>
      <w:rFonts w:eastAsia="仿宋_GB2312"/>
      <w:b/>
      <w:bCs/>
      <w:sz w:val="28"/>
      <w:szCs w:val="32"/>
    </w:rPr>
  </w:style>
  <w:style w:type="paragraph" w:styleId="6">
    <w:name w:val="heading 4"/>
    <w:basedOn w:val="1"/>
    <w:next w:val="4"/>
    <w:link w:val="27"/>
    <w:uiPriority w:val="0"/>
    <w:pPr>
      <w:keepNext/>
      <w:keepLines/>
      <w:numPr>
        <w:ilvl w:val="2"/>
        <w:numId w:val="1"/>
      </w:numPr>
      <w:adjustRightInd w:val="0"/>
      <w:snapToGrid w:val="0"/>
      <w:spacing w:before="78" w:beforeLines="25" w:after="78" w:afterLines="25"/>
      <w:outlineLvl w:val="3"/>
    </w:pPr>
    <w:rPr>
      <w:rFonts w:ascii="Arial" w:hAnsi="Arial" w:eastAsia="仿宋_GB2312"/>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Normal Indent"/>
    <w:basedOn w:val="1"/>
    <w:link w:val="29"/>
    <w:uiPriority w:val="0"/>
    <w:pPr>
      <w:ind w:firstLine="420" w:firstLineChars="200"/>
    </w:pPr>
  </w:style>
  <w:style w:type="paragraph" w:styleId="7">
    <w:name w:val="annotation text"/>
    <w:basedOn w:val="1"/>
    <w:link w:val="38"/>
    <w:unhideWhenUsed/>
    <w:qFormat/>
    <w:uiPriority w:val="99"/>
    <w:pPr>
      <w:jc w:val="left"/>
    </w:pPr>
  </w:style>
  <w:style w:type="paragraph" w:styleId="8">
    <w:name w:val="Body Text"/>
    <w:basedOn w:val="1"/>
    <w:link w:val="43"/>
    <w:qFormat/>
    <w:uiPriority w:val="1"/>
    <w:pPr>
      <w:autoSpaceDE w:val="0"/>
      <w:autoSpaceDN w:val="0"/>
      <w:jc w:val="left"/>
    </w:pPr>
    <w:rPr>
      <w:rFonts w:ascii="宋体" w:hAnsi="宋体" w:cs="宋体"/>
      <w:kern w:val="0"/>
      <w:sz w:val="24"/>
      <w:lang w:val="zh-CN" w:bidi="zh-CN"/>
    </w:rPr>
  </w:style>
  <w:style w:type="paragraph" w:styleId="9">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0">
    <w:name w:val="Balloon Text"/>
    <w:basedOn w:val="1"/>
    <w:link w:val="35"/>
    <w:semiHidden/>
    <w:unhideWhenUsed/>
    <w:qFormat/>
    <w:uiPriority w:val="99"/>
    <w:rPr>
      <w:sz w:val="18"/>
      <w:szCs w:val="18"/>
    </w:rPr>
  </w:style>
  <w:style w:type="paragraph" w:styleId="11">
    <w:name w:val="footer"/>
    <w:basedOn w:val="1"/>
    <w:link w:val="23"/>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2"/>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unhideWhenUsed/>
    <w:qFormat/>
    <w:uiPriority w:val="39"/>
    <w:pPr>
      <w:tabs>
        <w:tab w:val="right" w:leader="dot" w:pos="8296"/>
      </w:tabs>
    </w:pPr>
    <w:rPr>
      <w:b/>
      <w:sz w:val="24"/>
    </w:rPr>
  </w:style>
  <w:style w:type="paragraph" w:styleId="14">
    <w:name w:val="toc 2"/>
    <w:basedOn w:val="1"/>
    <w:next w:val="1"/>
    <w:unhideWhenUsed/>
    <w:qFormat/>
    <w:uiPriority w:val="39"/>
    <w:pPr>
      <w:ind w:left="420" w:leftChars="200"/>
    </w:pPr>
  </w:style>
  <w:style w:type="paragraph" w:styleId="15">
    <w:name w:val="annotation subject"/>
    <w:basedOn w:val="7"/>
    <w:next w:val="7"/>
    <w:link w:val="39"/>
    <w:semiHidden/>
    <w:unhideWhenUsed/>
    <w:qFormat/>
    <w:uiPriority w:val="99"/>
    <w:rPr>
      <w:b/>
      <w:bCs/>
    </w:rPr>
  </w:style>
  <w:style w:type="table" w:styleId="17">
    <w:name w:val="Table Grid"/>
    <w:basedOn w:val="1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uiPriority w:val="0"/>
    <w:rPr>
      <w:b/>
      <w:bCs/>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unhideWhenUsed/>
    <w:qFormat/>
    <w:uiPriority w:val="99"/>
    <w:rPr>
      <w:sz w:val="21"/>
      <w:szCs w:val="21"/>
    </w:rPr>
  </w:style>
  <w:style w:type="character" w:customStyle="1" w:styleId="22">
    <w:name w:val="页眉 字符"/>
    <w:basedOn w:val="18"/>
    <w:link w:val="12"/>
    <w:uiPriority w:val="99"/>
    <w:rPr>
      <w:sz w:val="18"/>
      <w:szCs w:val="18"/>
    </w:rPr>
  </w:style>
  <w:style w:type="character" w:customStyle="1" w:styleId="23">
    <w:name w:val="页脚 字符"/>
    <w:basedOn w:val="18"/>
    <w:link w:val="11"/>
    <w:uiPriority w:val="99"/>
    <w:rPr>
      <w:sz w:val="18"/>
      <w:szCs w:val="18"/>
    </w:rPr>
  </w:style>
  <w:style w:type="character" w:customStyle="1" w:styleId="24">
    <w:name w:val="标题 1 Char"/>
    <w:basedOn w:val="18"/>
    <w:uiPriority w:val="9"/>
    <w:rPr>
      <w:rFonts w:ascii="Times New Roman" w:hAnsi="Times New Roman" w:eastAsia="宋体" w:cs="Times New Roman"/>
      <w:b/>
      <w:bCs/>
      <w:kern w:val="44"/>
      <w:sz w:val="44"/>
      <w:szCs w:val="44"/>
    </w:rPr>
  </w:style>
  <w:style w:type="character" w:customStyle="1" w:styleId="25">
    <w:name w:val="标题 2 Char"/>
    <w:basedOn w:val="18"/>
    <w:semiHidden/>
    <w:uiPriority w:val="9"/>
    <w:rPr>
      <w:rFonts w:asciiTheme="majorHAnsi" w:hAnsiTheme="majorHAnsi" w:eastAsiaTheme="majorEastAsia" w:cstheme="majorBidi"/>
      <w:b/>
      <w:bCs/>
      <w:sz w:val="32"/>
      <w:szCs w:val="32"/>
    </w:rPr>
  </w:style>
  <w:style w:type="character" w:customStyle="1" w:styleId="26">
    <w:name w:val="标题 3 Char"/>
    <w:basedOn w:val="18"/>
    <w:semiHidden/>
    <w:uiPriority w:val="9"/>
    <w:rPr>
      <w:rFonts w:ascii="Times New Roman" w:hAnsi="Times New Roman" w:eastAsia="宋体" w:cs="Times New Roman"/>
      <w:b/>
      <w:bCs/>
      <w:sz w:val="32"/>
      <w:szCs w:val="32"/>
    </w:rPr>
  </w:style>
  <w:style w:type="character" w:customStyle="1" w:styleId="27">
    <w:name w:val="标题 4 字符"/>
    <w:basedOn w:val="18"/>
    <w:link w:val="6"/>
    <w:uiPriority w:val="0"/>
    <w:rPr>
      <w:rFonts w:ascii="Arial" w:hAnsi="Arial" w:eastAsia="仿宋_GB2312" w:cs="Times New Roman"/>
      <w:b/>
      <w:bCs/>
      <w:sz w:val="28"/>
      <w:szCs w:val="28"/>
    </w:rPr>
  </w:style>
  <w:style w:type="character" w:customStyle="1" w:styleId="28">
    <w:name w:val="标题 1 字符"/>
    <w:link w:val="2"/>
    <w:uiPriority w:val="0"/>
    <w:rPr>
      <w:rFonts w:ascii="Times New Roman" w:hAnsi="Times New Roman" w:eastAsia="仿宋_GB2312" w:cs="Times New Roman"/>
      <w:b/>
      <w:kern w:val="44"/>
      <w:sz w:val="32"/>
      <w:szCs w:val="20"/>
    </w:rPr>
  </w:style>
  <w:style w:type="character" w:customStyle="1" w:styleId="29">
    <w:name w:val="正文缩进 字符"/>
    <w:link w:val="4"/>
    <w:uiPriority w:val="0"/>
    <w:rPr>
      <w:rFonts w:ascii="Times New Roman" w:hAnsi="Times New Roman" w:eastAsia="宋体" w:cs="Times New Roman"/>
      <w:szCs w:val="24"/>
    </w:rPr>
  </w:style>
  <w:style w:type="character" w:customStyle="1" w:styleId="30">
    <w:name w:val="标题 2 字符"/>
    <w:link w:val="3"/>
    <w:uiPriority w:val="0"/>
    <w:rPr>
      <w:rFonts w:ascii="Times New Roman" w:hAnsi="Times New Roman" w:eastAsia="仿宋_GB2312" w:cs="Times New Roman"/>
      <w:b/>
      <w:kern w:val="0"/>
      <w:sz w:val="30"/>
      <w:szCs w:val="20"/>
    </w:rPr>
  </w:style>
  <w:style w:type="character" w:customStyle="1" w:styleId="31">
    <w:name w:val="标题 3 字符"/>
    <w:link w:val="5"/>
    <w:uiPriority w:val="0"/>
    <w:rPr>
      <w:rFonts w:ascii="Times New Roman" w:hAnsi="Times New Roman" w:eastAsia="仿宋_GB2312" w:cs="Times New Roman"/>
      <w:b/>
      <w:bCs/>
      <w:sz w:val="28"/>
      <w:szCs w:val="32"/>
    </w:rPr>
  </w:style>
  <w:style w:type="character" w:customStyle="1" w:styleId="32">
    <w:name w:val="标题 4 Char Char Char Char Char Char Char Char Char Char Char Char Char Char Char Char Char Char Char"/>
    <w:uiPriority w:val="0"/>
    <w:rPr>
      <w:rFonts w:ascii="Arial" w:hAnsi="Arial" w:eastAsia="黑体"/>
      <w:b/>
      <w:bCs/>
      <w:snapToGrid w:val="0"/>
      <w:sz w:val="24"/>
      <w:szCs w:val="28"/>
      <w:lang w:val="en-US" w:eastAsia="zh-CN"/>
    </w:rPr>
  </w:style>
  <w:style w:type="paragraph" w:customStyle="1" w:styleId="33">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4">
    <w:name w:val="列出段落1"/>
    <w:basedOn w:val="1"/>
    <w:uiPriority w:val="0"/>
    <w:pPr>
      <w:spacing w:line="360" w:lineRule="auto"/>
      <w:ind w:firstLine="420" w:firstLineChars="200"/>
    </w:pPr>
    <w:rPr>
      <w:rFonts w:eastAsia="仿宋_GB2312"/>
      <w:sz w:val="24"/>
    </w:rPr>
  </w:style>
  <w:style w:type="character" w:customStyle="1" w:styleId="35">
    <w:name w:val="批注框文本 字符"/>
    <w:basedOn w:val="18"/>
    <w:link w:val="10"/>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style>
  <w:style w:type="paragraph" w:customStyle="1" w:styleId="37">
    <w:name w:val="TOC Heading"/>
    <w:basedOn w:val="2"/>
    <w:next w:val="1"/>
    <w:semiHidden/>
    <w:unhideWhenUsed/>
    <w:qFormat/>
    <w:uiPriority w:val="39"/>
    <w:pPr>
      <w:widowControl/>
      <w:adjustRightInd/>
      <w:snapToGrid/>
      <w:spacing w:before="480" w:after="0" w:line="276" w:lineRule="auto"/>
      <w:outlineLvl w:val="9"/>
    </w:pPr>
    <w:rPr>
      <w:rFonts w:asciiTheme="majorHAnsi" w:hAnsiTheme="majorHAnsi" w:eastAsiaTheme="majorEastAsia" w:cstheme="majorBidi"/>
      <w:bCs/>
      <w:color w:val="376092" w:themeColor="accent1" w:themeShade="BF"/>
      <w:kern w:val="0"/>
      <w:sz w:val="28"/>
      <w:szCs w:val="28"/>
    </w:rPr>
  </w:style>
  <w:style w:type="character" w:customStyle="1" w:styleId="38">
    <w:name w:val="批注文字 字符"/>
    <w:basedOn w:val="18"/>
    <w:link w:val="7"/>
    <w:qFormat/>
    <w:uiPriority w:val="99"/>
    <w:rPr>
      <w:rFonts w:ascii="Times New Roman" w:hAnsi="Times New Roman" w:eastAsia="宋体" w:cs="Times New Roman"/>
      <w:szCs w:val="24"/>
    </w:rPr>
  </w:style>
  <w:style w:type="character" w:customStyle="1" w:styleId="39">
    <w:name w:val="批注主题 字符"/>
    <w:basedOn w:val="38"/>
    <w:link w:val="15"/>
    <w:semiHidden/>
    <w:qFormat/>
    <w:uiPriority w:val="99"/>
    <w:rPr>
      <w:rFonts w:ascii="Times New Roman" w:hAnsi="Times New Roman" w:eastAsia="宋体" w:cs="Times New Roman"/>
      <w:b/>
      <w:bCs/>
      <w:szCs w:val="24"/>
    </w:rPr>
  </w:style>
  <w:style w:type="character" w:customStyle="1" w:styleId="40">
    <w:name w:val="正文 文字 Char Char"/>
    <w:link w:val="41"/>
    <w:qFormat/>
    <w:uiPriority w:val="0"/>
    <w:rPr>
      <w:rFonts w:ascii="Arial" w:hAnsi="Arial" w:eastAsia="仿宋_GB2312" w:cs="Times New Roman"/>
      <w:sz w:val="28"/>
      <w:szCs w:val="24"/>
    </w:rPr>
  </w:style>
  <w:style w:type="paragraph" w:customStyle="1" w:styleId="41">
    <w:name w:val="正文 文字"/>
    <w:basedOn w:val="1"/>
    <w:link w:val="40"/>
    <w:qFormat/>
    <w:uiPriority w:val="0"/>
    <w:pPr>
      <w:spacing w:line="500" w:lineRule="exact"/>
      <w:ind w:firstLine="200" w:firstLineChars="200"/>
      <w:jc w:val="left"/>
    </w:pPr>
    <w:rPr>
      <w:rFonts w:ascii="Arial" w:hAnsi="Arial" w:eastAsia="仿宋_GB2312"/>
      <w:sz w:val="28"/>
    </w:rPr>
  </w:style>
  <w:style w:type="character" w:customStyle="1" w:styleId="42">
    <w:name w:val="未处理的提及1"/>
    <w:basedOn w:val="18"/>
    <w:semiHidden/>
    <w:unhideWhenUsed/>
    <w:qFormat/>
    <w:uiPriority w:val="99"/>
    <w:rPr>
      <w:color w:val="605E5C"/>
      <w:shd w:val="clear" w:color="auto" w:fill="E1DFDD"/>
    </w:rPr>
  </w:style>
  <w:style w:type="character" w:customStyle="1" w:styleId="43">
    <w:name w:val="正文文本 字符"/>
    <w:basedOn w:val="18"/>
    <w:link w:val="8"/>
    <w:qFormat/>
    <w:uiPriority w:val="1"/>
    <w:rPr>
      <w:rFonts w:ascii="宋体" w:hAnsi="宋体" w:eastAsia="宋体" w:cs="宋体"/>
      <w:kern w:val="0"/>
      <w:sz w:val="24"/>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4D9DF-2175-4F51-B758-B039759C87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1420</Words>
  <Characters>8097</Characters>
  <Lines>67</Lines>
  <Paragraphs>18</Paragraphs>
  <TotalTime>2</TotalTime>
  <ScaleCrop>false</ScaleCrop>
  <LinksUpToDate>false</LinksUpToDate>
  <CharactersWithSpaces>9499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2021-10-08T00:32:00Z</dcterms:created>
  <dc:creator>JHL</dc:creator>
  <cp:lastModifiedBy>豆子爱打架</cp:lastModifiedBy>
  <dcterms:modified xsi:type="dcterms:W3CDTF">2021-11-19T06:46:30Z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CAFA159776B342C9B0BA36F24163E874</vt:lpwstr>
  </property>
</Properties>
</file>