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3EE4E">
      <w:pPr>
        <w:snapToGrid w:val="0"/>
        <w:spacing w:line="500" w:lineRule="exact"/>
        <w:jc w:val="center"/>
        <w:rPr>
          <w:rFonts w:hint="eastAsia" w:ascii="宋体" w:hAnsi="宋体" w:cs="Times New Roman"/>
          <w:color w:val="auto"/>
          <w:sz w:val="28"/>
          <w:szCs w:val="28"/>
          <w:highlight w:val="none"/>
          <w:lang w:eastAsia="zh-CN"/>
        </w:rPr>
      </w:pPr>
      <w:bookmarkStart w:id="0" w:name="OLE_LINK1"/>
      <w:r>
        <w:rPr>
          <w:rFonts w:hint="eastAsia" w:ascii="宋体" w:hAnsi="宋体"/>
          <w:color w:val="auto"/>
          <w:sz w:val="28"/>
          <w:szCs w:val="28"/>
          <w:highlight w:val="none"/>
          <w:lang w:eastAsia="zh-CN"/>
        </w:rPr>
        <w:t>启东市妇幼保健院</w:t>
      </w:r>
      <w:r>
        <w:rPr>
          <w:rFonts w:hint="eastAsia" w:ascii="宋体" w:hAnsi="宋体" w:cs="Times New Roman"/>
          <w:color w:val="auto"/>
          <w:sz w:val="28"/>
          <w:szCs w:val="28"/>
          <w:highlight w:val="none"/>
          <w:lang w:val="en-US" w:eastAsia="zh-CN"/>
        </w:rPr>
        <w:t>复旦大学附属儿科医院数据互联互通对接服务项目</w:t>
      </w:r>
    </w:p>
    <w:p w14:paraId="5E9AB4F9">
      <w:pPr>
        <w:snapToGrid w:val="0"/>
        <w:spacing w:line="500" w:lineRule="exact"/>
        <w:jc w:val="center"/>
        <w:rPr>
          <w:rFonts w:ascii="宋体"/>
          <w:color w:val="auto"/>
          <w:sz w:val="28"/>
          <w:szCs w:val="28"/>
          <w:highlight w:val="none"/>
        </w:rPr>
      </w:pPr>
      <w:r>
        <w:rPr>
          <w:rFonts w:hint="eastAsia" w:ascii="宋体" w:hAnsi="宋体"/>
          <w:color w:val="auto"/>
          <w:sz w:val="28"/>
          <w:szCs w:val="28"/>
          <w:highlight w:val="none"/>
        </w:rPr>
        <w:t>分散采购竞争性磋商文件</w:t>
      </w:r>
    </w:p>
    <w:p w14:paraId="4136A9ED">
      <w:pPr>
        <w:spacing w:line="500" w:lineRule="exact"/>
        <w:jc w:val="center"/>
        <w:rPr>
          <w:rFonts w:ascii="宋体"/>
          <w:color w:val="auto"/>
          <w:sz w:val="28"/>
          <w:szCs w:val="28"/>
          <w:highlight w:val="yellow"/>
        </w:rPr>
      </w:pPr>
      <w:r>
        <w:rPr>
          <w:rFonts w:hint="eastAsia" w:ascii="宋体" w:hAnsi="宋体"/>
          <w:color w:val="auto"/>
          <w:sz w:val="28"/>
          <w:szCs w:val="28"/>
          <w:highlight w:val="none"/>
        </w:rPr>
        <w:t>二○二</w:t>
      </w:r>
      <w:r>
        <w:rPr>
          <w:rFonts w:hint="eastAsia" w:ascii="宋体" w:hAnsi="宋体"/>
          <w:color w:val="auto"/>
          <w:sz w:val="28"/>
          <w:szCs w:val="28"/>
          <w:highlight w:val="none"/>
          <w:lang w:eastAsia="zh-CN"/>
        </w:rPr>
        <w:t>五</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 xml:space="preserve"> 八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二十二 </w:t>
      </w:r>
      <w:r>
        <w:rPr>
          <w:rFonts w:hint="eastAsia" w:ascii="宋体" w:hAnsi="宋体"/>
          <w:color w:val="auto"/>
          <w:sz w:val="28"/>
          <w:szCs w:val="28"/>
          <w:highlight w:val="none"/>
        </w:rPr>
        <w:t>日</w:t>
      </w:r>
    </w:p>
    <w:p w14:paraId="11FAFBAD">
      <w:pPr>
        <w:spacing w:line="500" w:lineRule="exact"/>
        <w:jc w:val="center"/>
        <w:rPr>
          <w:rFonts w:ascii="宋体"/>
          <w:color w:val="auto"/>
          <w:sz w:val="28"/>
          <w:szCs w:val="28"/>
          <w:highlight w:val="none"/>
        </w:rPr>
      </w:pPr>
      <w:r>
        <w:rPr>
          <w:rFonts w:hint="eastAsia" w:ascii="宋体" w:hAnsi="宋体"/>
          <w:color w:val="auto"/>
          <w:sz w:val="28"/>
          <w:szCs w:val="28"/>
          <w:highlight w:val="none"/>
        </w:rPr>
        <w:t>磋商文件目录</w:t>
      </w:r>
    </w:p>
    <w:p w14:paraId="1846C56C">
      <w:pPr>
        <w:snapToGrid w:val="0"/>
        <w:spacing w:line="500" w:lineRule="exact"/>
        <w:ind w:firstLine="560" w:firstLineChars="200"/>
        <w:rPr>
          <w:rFonts w:ascii="宋体"/>
          <w:color w:val="auto"/>
          <w:sz w:val="28"/>
          <w:szCs w:val="28"/>
          <w:highlight w:val="none"/>
        </w:rPr>
      </w:pPr>
      <w:r>
        <w:rPr>
          <w:rFonts w:hint="eastAsia" w:ascii="宋体" w:hAnsi="宋体"/>
          <w:color w:val="auto"/>
          <w:sz w:val="28"/>
          <w:szCs w:val="28"/>
          <w:highlight w:val="none"/>
        </w:rPr>
        <w:t>一、招标函；二、项目需求；三、</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须知；四、磋商响应文件格式；</w:t>
      </w:r>
    </w:p>
    <w:p w14:paraId="070D6425">
      <w:pPr>
        <w:snapToGrid w:val="0"/>
        <w:spacing w:line="500" w:lineRule="exact"/>
        <w:jc w:val="center"/>
        <w:rPr>
          <w:rFonts w:ascii="宋体"/>
          <w:color w:val="auto"/>
          <w:sz w:val="28"/>
          <w:szCs w:val="28"/>
          <w:highlight w:val="none"/>
        </w:rPr>
      </w:pPr>
      <w:r>
        <w:rPr>
          <w:rFonts w:hint="eastAsia" w:ascii="宋体" w:hAnsi="宋体"/>
          <w:color w:val="auto"/>
          <w:sz w:val="28"/>
          <w:szCs w:val="28"/>
          <w:highlight w:val="none"/>
        </w:rPr>
        <w:t>第一部分  招标函</w:t>
      </w:r>
    </w:p>
    <w:p w14:paraId="36A64BC5">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根据启东市政府采购管理的有关规定，就</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r>
        <w:rPr>
          <w:rFonts w:hint="eastAsia" w:ascii="宋体" w:hAnsi="宋体"/>
          <w:color w:val="auto"/>
          <w:sz w:val="24"/>
          <w:highlight w:val="none"/>
        </w:rPr>
        <w:t>进行竞争性磋商，欢迎具备《政府采购法》第</w:t>
      </w:r>
      <w:r>
        <w:rPr>
          <w:rFonts w:ascii="宋体" w:hAnsi="宋体"/>
          <w:color w:val="auto"/>
          <w:sz w:val="24"/>
          <w:highlight w:val="none"/>
        </w:rPr>
        <w:t>22</w:t>
      </w:r>
      <w:r>
        <w:rPr>
          <w:rFonts w:hint="eastAsia" w:ascii="宋体" w:hAnsi="宋体"/>
          <w:color w:val="auto"/>
          <w:sz w:val="24"/>
          <w:highlight w:val="none"/>
        </w:rPr>
        <w:t>条所规定的，具有相应资质及法律法规规定应具备的其他条件的</w:t>
      </w:r>
      <w:r>
        <w:rPr>
          <w:rFonts w:hint="eastAsia" w:ascii="宋体" w:hAnsi="宋体"/>
          <w:color w:val="auto"/>
          <w:sz w:val="24"/>
          <w:highlight w:val="none"/>
          <w:lang w:eastAsia="zh-CN"/>
        </w:rPr>
        <w:t>供应商</w:t>
      </w:r>
      <w:r>
        <w:rPr>
          <w:rFonts w:hint="eastAsia" w:ascii="宋体" w:hAnsi="宋体"/>
          <w:color w:val="auto"/>
          <w:sz w:val="24"/>
          <w:highlight w:val="none"/>
        </w:rPr>
        <w:t>前来参与磋商。</w:t>
      </w:r>
    </w:p>
    <w:p w14:paraId="732D3020">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一、项目概况：</w:t>
      </w:r>
    </w:p>
    <w:p w14:paraId="17602CC0">
      <w:pPr>
        <w:snapToGrid w:val="0"/>
        <w:spacing w:line="440" w:lineRule="exact"/>
        <w:rPr>
          <w:rFonts w:hint="eastAsia" w:ascii="宋体" w:eastAsia="宋体"/>
          <w:color w:val="auto"/>
          <w:sz w:val="24"/>
          <w:highlight w:val="none"/>
          <w:lang w:eastAsia="zh-CN"/>
        </w:rPr>
      </w:pPr>
      <w:r>
        <w:rPr>
          <w:rFonts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采购单位：</w:t>
      </w:r>
      <w:r>
        <w:rPr>
          <w:rFonts w:hint="eastAsia" w:ascii="宋体" w:hAnsi="宋体"/>
          <w:color w:val="auto"/>
          <w:sz w:val="24"/>
          <w:highlight w:val="none"/>
          <w:lang w:eastAsia="zh-CN"/>
        </w:rPr>
        <w:t>启东市妇幼保健院</w:t>
      </w:r>
    </w:p>
    <w:p w14:paraId="4B448B48">
      <w:pPr>
        <w:snapToGrid w:val="0"/>
        <w:spacing w:line="440" w:lineRule="exact"/>
        <w:ind w:firstLine="960" w:firstLineChars="4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ascii="宋体" w:hAnsi="宋体"/>
          <w:color w:val="auto"/>
          <w:sz w:val="24"/>
          <w:highlight w:val="none"/>
        </w:rPr>
        <w:t>:</w:t>
      </w:r>
      <w:r>
        <w:rPr>
          <w:rFonts w:hint="eastAsia" w:ascii="宋体" w:hAnsi="宋体"/>
          <w:color w:val="auto"/>
          <w:sz w:val="24"/>
          <w:highlight w:val="none"/>
          <w:lang w:eastAsia="zh-CN"/>
        </w:rPr>
        <w:t>唐工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18068679409</w:t>
      </w:r>
      <w:r>
        <w:rPr>
          <w:rFonts w:hint="eastAsia" w:ascii="宋体" w:hAnsi="宋体"/>
          <w:color w:val="auto"/>
          <w:sz w:val="24"/>
          <w:highlight w:val="none"/>
        </w:rPr>
        <w:t>、0513-81309409</w:t>
      </w:r>
    </w:p>
    <w:p w14:paraId="6DBA0E4D">
      <w:pPr>
        <w:snapToGrid w:val="0"/>
        <w:spacing w:line="480" w:lineRule="exact"/>
        <w:rPr>
          <w:rFonts w:hint="eastAsia" w:ascii="宋体" w:hAnsi="宋体"/>
          <w:color w:val="auto"/>
          <w:sz w:val="24"/>
          <w:highlight w:val="none"/>
          <w:lang w:eastAsia="zh-CN"/>
        </w:rPr>
      </w:pPr>
      <w:r>
        <w:rPr>
          <w:rFonts w:ascii="宋体" w:hAnsi="宋体"/>
          <w:color w:val="auto"/>
          <w:sz w:val="24"/>
          <w:highlight w:val="none"/>
        </w:rPr>
        <w:t xml:space="preserve">    2</w:t>
      </w:r>
      <w:r>
        <w:rPr>
          <w:rFonts w:hint="eastAsia" w:ascii="宋体" w:hAnsi="宋体"/>
          <w:color w:val="auto"/>
          <w:sz w:val="24"/>
          <w:highlight w:val="none"/>
          <w:lang w:val="en-US" w:eastAsia="zh-CN"/>
        </w:rPr>
        <w:t>.</w:t>
      </w:r>
      <w:r>
        <w:rPr>
          <w:rFonts w:hint="eastAsia" w:ascii="宋体" w:hAnsi="宋体"/>
          <w:color w:val="auto"/>
          <w:sz w:val="24"/>
          <w:highlight w:val="none"/>
        </w:rPr>
        <w:t>项目名称：</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p>
    <w:p w14:paraId="70A244C9">
      <w:pPr>
        <w:pStyle w:val="2"/>
        <w:spacing w:line="48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质量要求：</w:t>
      </w:r>
      <w:r>
        <w:rPr>
          <w:rFonts w:hint="eastAsia" w:ascii="宋体" w:hAnsi="宋体"/>
          <w:color w:val="auto"/>
          <w:sz w:val="24"/>
          <w:highlight w:val="none"/>
          <w:lang w:eastAsia="zh-CN"/>
        </w:rPr>
        <w:t>供应商须提供符合采购需求、</w:t>
      </w:r>
      <w:r>
        <w:rPr>
          <w:rFonts w:hint="eastAsia" w:ascii="宋体"/>
          <w:color w:val="auto"/>
          <w:sz w:val="24"/>
          <w:highlight w:val="none"/>
        </w:rPr>
        <w:t>全新、未使用过的原装合格正品，并完全符合竞争性磋商文件及本项目合同规定的质量、规格和性能的要求。</w:t>
      </w:r>
    </w:p>
    <w:p w14:paraId="3ABBDD3E">
      <w:pPr>
        <w:snapToGrid w:val="0"/>
        <w:spacing w:line="39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二、</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w:t>
      </w:r>
      <w:r>
        <w:rPr>
          <w:rFonts w:hint="eastAsia" w:ascii="宋体" w:hAnsi="宋体" w:cs="仿宋"/>
          <w:b/>
          <w:bCs/>
          <w:color w:val="auto"/>
          <w:sz w:val="24"/>
          <w:highlight w:val="none"/>
          <w:lang w:val="en-US" w:eastAsia="zh-CN"/>
        </w:rPr>
        <w:t>拾万元</w:t>
      </w:r>
      <w:r>
        <w:rPr>
          <w:rFonts w:hint="eastAsia" w:ascii="宋体" w:hAnsi="宋体" w:cs="仿宋"/>
          <w:b/>
          <w:bCs/>
          <w:color w:val="auto"/>
          <w:sz w:val="24"/>
          <w:highlight w:val="none"/>
        </w:rPr>
        <w:t>整</w:t>
      </w:r>
      <w:r>
        <w:rPr>
          <w:rFonts w:hint="eastAsia" w:ascii="宋体" w:hAnsi="宋体" w:cs="仿宋"/>
          <w:color w:val="auto"/>
          <w:sz w:val="24"/>
          <w:highlight w:val="none"/>
        </w:rPr>
        <w:t>，</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所报投标价不得超过</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，否则按无效投标处理。</w:t>
      </w:r>
    </w:p>
    <w:p w14:paraId="6B1B27E7">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ascii="宋体" w:hAnsi="宋体" w:cs="仿宋"/>
          <w:color w:val="auto"/>
          <w:sz w:val="24"/>
          <w:highlight w:val="none"/>
          <w:lang w:eastAsia="zh-CN"/>
        </w:rPr>
      </w:pPr>
      <w:r>
        <w:rPr>
          <w:rFonts w:hint="eastAsia" w:ascii="宋体" w:hAnsi="宋体" w:cs="仿宋"/>
          <w:color w:val="auto"/>
          <w:sz w:val="24"/>
          <w:highlight w:val="none"/>
        </w:rPr>
        <w:t>三、付款方式</w:t>
      </w:r>
      <w:r>
        <w:rPr>
          <w:rFonts w:hint="eastAsia" w:ascii="宋体" w:hAnsi="宋体" w:cs="仿宋"/>
          <w:color w:val="auto"/>
          <w:sz w:val="24"/>
          <w:highlight w:val="none"/>
          <w:lang w:eastAsia="zh-CN"/>
        </w:rPr>
        <w:t>：</w:t>
      </w:r>
    </w:p>
    <w:p w14:paraId="7FAEEA48">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color w:val="auto"/>
          <w:highlight w:val="none"/>
          <w:lang w:val="en-US" w:eastAsia="zh-CN"/>
        </w:rPr>
      </w:pPr>
      <w:r>
        <w:rPr>
          <w:rFonts w:hint="eastAsia" w:ascii="宋体" w:hAnsi="宋体" w:cs="仿宋"/>
          <w:color w:val="auto"/>
          <w:sz w:val="24"/>
          <w:highlight w:val="none"/>
          <w:lang w:val="en-US" w:eastAsia="zh-CN"/>
        </w:rPr>
        <w:t>合同签订后30日内付合同价的10%;网站上线运行并验收合格一个月内付合同价的80%给供方;服务期满一年并在无故障运行情况下一个月内支付合同价的10%给供方。</w:t>
      </w:r>
    </w:p>
    <w:p w14:paraId="15BE88AB">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资质要求：</w:t>
      </w:r>
    </w:p>
    <w:p w14:paraId="51A28480">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（一）法定基本条件:</w:t>
      </w:r>
    </w:p>
    <w:p w14:paraId="71F4F91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符合《政府采购法》第二十二条的相关规定：</w:t>
      </w:r>
    </w:p>
    <w:p w14:paraId="3C7B9E5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5C3E5C5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w:t>
      </w:r>
      <w:r>
        <w:rPr>
          <w:color w:val="auto"/>
          <w:highlight w:val="none"/>
        </w:rPr>
        <w:fldChar w:fldCharType="begin"/>
      </w:r>
      <w:r>
        <w:rPr>
          <w:color w:val="auto"/>
          <w:highlight w:val="none"/>
        </w:rPr>
        <w:instrText xml:space="preserve"> HYPERLINK "https://baike.baidu.com/item/%E8%B4%A2%E5%8A%A1%E4%BC%9A%E8%AE%A1%E5%88%B6%E5%BA%A6" \t "https://baike.baidu.com/item/%E4%B8%AD%E5%8D%8E%E4%BA%BA%E6%B0%91%E5%85%B1%E5%92%8C%E5%9B%BD%E6%94%BF%E5%BA%9C%E9%87%87%E8%B4%AD%E6%B3%95/_blank" </w:instrText>
      </w:r>
      <w:r>
        <w:rPr>
          <w:color w:val="auto"/>
          <w:highlight w:val="none"/>
        </w:rPr>
        <w:fldChar w:fldCharType="separate"/>
      </w:r>
      <w:r>
        <w:rPr>
          <w:rFonts w:hint="eastAsia" w:ascii="宋体" w:hAnsi="宋体"/>
          <w:color w:val="auto"/>
          <w:sz w:val="24"/>
          <w:highlight w:val="none"/>
        </w:rPr>
        <w:t>财务会计制度</w:t>
      </w:r>
      <w:r>
        <w:rPr>
          <w:rFonts w:hint="eastAsia" w:ascii="宋体" w:hAnsi="宋体"/>
          <w:color w:val="auto"/>
          <w:sz w:val="24"/>
          <w:highlight w:val="none"/>
        </w:rPr>
        <w:fldChar w:fldCharType="end"/>
      </w:r>
      <w:r>
        <w:rPr>
          <w:rFonts w:hint="eastAsia" w:ascii="宋体" w:hAnsi="宋体"/>
          <w:color w:val="auto"/>
          <w:sz w:val="24"/>
          <w:highlight w:val="none"/>
        </w:rPr>
        <w:t>；</w:t>
      </w:r>
    </w:p>
    <w:p w14:paraId="5DE9247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55A9BAC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074C866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68056C6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14:paraId="645568FB">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（二）法定特定条件：</w:t>
      </w:r>
    </w:p>
    <w:p w14:paraId="1AE75DB3">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cs="Times New Roman"/>
          <w:color w:val="auto"/>
          <w:sz w:val="24"/>
          <w:highlight w:val="none"/>
          <w:lang w:val="en-US" w:eastAsia="zh-CN"/>
        </w:rPr>
        <w:t>.</w:t>
      </w:r>
      <w:r>
        <w:rPr>
          <w:rFonts w:hint="eastAsia" w:ascii="宋体" w:hAnsi="宋体"/>
          <w:color w:val="auto"/>
          <w:sz w:val="24"/>
          <w:highlight w:val="none"/>
          <w:lang w:eastAsia="zh-CN"/>
        </w:rPr>
        <w:t>供应商</w:t>
      </w:r>
      <w:r>
        <w:rPr>
          <w:rFonts w:hint="eastAsia" w:ascii="宋体" w:hAnsi="宋体" w:eastAsia="宋体" w:cs="Times New Roman"/>
          <w:color w:val="auto"/>
          <w:sz w:val="24"/>
          <w:highlight w:val="none"/>
        </w:rPr>
        <w:t>必须有能力按本</w:t>
      </w:r>
      <w:r>
        <w:rPr>
          <w:rFonts w:hint="eastAsia" w:ascii="宋体" w:hAnsi="宋体" w:eastAsia="宋体" w:cs="Times New Roman"/>
          <w:color w:val="auto"/>
          <w:sz w:val="24"/>
          <w:highlight w:val="none"/>
          <w:lang w:eastAsia="zh-CN"/>
        </w:rPr>
        <w:t>磋商文件</w:t>
      </w:r>
      <w:r>
        <w:rPr>
          <w:rFonts w:hint="eastAsia" w:ascii="宋体" w:hAnsi="宋体" w:eastAsia="宋体" w:cs="Times New Roman"/>
          <w:color w:val="auto"/>
          <w:sz w:val="24"/>
          <w:highlight w:val="none"/>
        </w:rPr>
        <w:t>规定的要求提供相关货物和服务，须提供有效的</w:t>
      </w:r>
      <w:r>
        <w:rPr>
          <w:rFonts w:hint="eastAsia" w:ascii="宋体" w:hAnsi="宋体" w:eastAsia="宋体" w:cs="Times New Roman"/>
          <w:color w:val="auto"/>
          <w:sz w:val="24"/>
          <w:highlight w:val="none"/>
          <w:lang w:eastAsia="zh-CN"/>
        </w:rPr>
        <w:t>企业法人</w:t>
      </w:r>
      <w:r>
        <w:rPr>
          <w:rFonts w:hint="eastAsia" w:ascii="宋体" w:hAnsi="宋体" w:eastAsia="宋体" w:cs="Times New Roman"/>
          <w:color w:val="auto"/>
          <w:sz w:val="24"/>
          <w:highlight w:val="none"/>
        </w:rPr>
        <w:t>营业执照</w:t>
      </w:r>
      <w:r>
        <w:rPr>
          <w:rFonts w:hint="eastAsia" w:ascii="宋体" w:hAnsi="宋体" w:eastAsia="宋体" w:cs="Times New Roman"/>
          <w:color w:val="auto"/>
          <w:sz w:val="24"/>
          <w:highlight w:val="none"/>
          <w:lang w:eastAsia="zh-CN"/>
        </w:rPr>
        <w:t>；</w:t>
      </w:r>
    </w:p>
    <w:p w14:paraId="5D4518E5">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三</w:t>
      </w:r>
      <w:r>
        <w:rPr>
          <w:rFonts w:hint="eastAsia" w:ascii="宋体" w:hAnsi="宋体"/>
          <w:color w:val="auto"/>
          <w:sz w:val="24"/>
          <w:highlight w:val="none"/>
        </w:rPr>
        <w:t>格式填写，法定代表人亲自参加的，无需提供授权委托书；非法定代表人参加投标时提交，身份证原件备查）</w:t>
      </w:r>
      <w:r>
        <w:rPr>
          <w:rFonts w:hint="eastAsia" w:ascii="宋体" w:hAnsi="宋体" w:eastAsia="宋体" w:cs="Times New Roman"/>
          <w:color w:val="auto"/>
          <w:sz w:val="24"/>
          <w:highlight w:val="none"/>
        </w:rPr>
        <w:t>；</w:t>
      </w:r>
    </w:p>
    <w:p w14:paraId="41A4F727">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法定代表人身份证复印件（无论法定代表人是否亲自参加磋商均需提供本项材料，法定代表人亲自参加磋商时，身份证原件备查）；</w:t>
      </w:r>
    </w:p>
    <w:p w14:paraId="744EF499">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.参加政府采购活动前三年内，在经营活动中没有重大违法记录（提供参加政府采购活动前3年内在经营活动中没有重大违法记录的书面声明）；</w:t>
      </w:r>
    </w:p>
    <w:p w14:paraId="7C929740">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.本项目招标不接受联合体投标。</w:t>
      </w:r>
    </w:p>
    <w:p w14:paraId="3E81143D">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（三）禁止情形：</w:t>
      </w:r>
    </w:p>
    <w:p w14:paraId="7CADFF0B">
      <w:pPr>
        <w:spacing w:line="440" w:lineRule="exact"/>
        <w:ind w:firstLine="480" w:firstLineChars="200"/>
        <w:rPr>
          <w:rFonts w:ascii="宋体"/>
          <w:color w:val="auto"/>
          <w:sz w:val="24"/>
          <w:highlight w:val="none"/>
        </w:rPr>
      </w:pPr>
      <w:r>
        <w:rPr>
          <w:rFonts w:hint="eastAsia" w:ascii="宋体" w:hAnsi="宋体"/>
          <w:color w:val="auto"/>
          <w:sz w:val="24"/>
          <w:highlight w:val="none"/>
        </w:rPr>
        <w:t>拒绝以下</w:t>
      </w:r>
      <w:r>
        <w:rPr>
          <w:rFonts w:hint="eastAsia" w:ascii="宋体" w:hAnsi="宋体"/>
          <w:color w:val="auto"/>
          <w:sz w:val="24"/>
          <w:highlight w:val="none"/>
          <w:lang w:eastAsia="zh-CN"/>
        </w:rPr>
        <w:t>供应商</w:t>
      </w:r>
      <w:r>
        <w:rPr>
          <w:rFonts w:hint="eastAsia" w:ascii="宋体" w:hAnsi="宋体"/>
          <w:color w:val="auto"/>
          <w:sz w:val="24"/>
          <w:highlight w:val="none"/>
        </w:rPr>
        <w:t>参与投标：</w:t>
      </w:r>
    </w:p>
    <w:p w14:paraId="68A95268">
      <w:pPr>
        <w:spacing w:line="440" w:lineRule="exact"/>
        <w:ind w:firstLine="480" w:firstLineChars="200"/>
        <w:rPr>
          <w:rFonts w:ascii="宋体"/>
          <w:color w:val="auto"/>
          <w:sz w:val="24"/>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供应商</w:t>
      </w:r>
      <w:r>
        <w:rPr>
          <w:rFonts w:hint="eastAsia" w:ascii="宋体" w:hAnsi="宋体"/>
          <w:color w:val="auto"/>
          <w:sz w:val="24"/>
          <w:highlight w:val="none"/>
        </w:rPr>
        <w:t>，不得参加同一合同项下的政府采购活动。</w:t>
      </w:r>
    </w:p>
    <w:p w14:paraId="659F171B">
      <w:pPr>
        <w:spacing w:line="440" w:lineRule="exact"/>
        <w:ind w:firstLine="480" w:firstLineChars="200"/>
        <w:rPr>
          <w:rFonts w:ascii="宋体" w:cs="仿宋"/>
          <w:color w:val="auto"/>
          <w:sz w:val="24"/>
          <w:highlight w:val="none"/>
        </w:rPr>
      </w:pPr>
      <w:r>
        <w:rPr>
          <w:rFonts w:hint="eastAsia" w:ascii="宋体" w:hAnsi="宋体" w:cs="仿宋"/>
          <w:color w:val="auto"/>
          <w:sz w:val="24"/>
          <w:highlight w:val="none"/>
          <w:lang w:eastAsia="zh-CN"/>
        </w:rPr>
        <w:t>五</w:t>
      </w:r>
      <w:r>
        <w:rPr>
          <w:rFonts w:hint="eastAsia" w:ascii="宋体" w:hAnsi="宋体" w:cs="仿宋"/>
          <w:color w:val="auto"/>
          <w:sz w:val="24"/>
          <w:highlight w:val="none"/>
        </w:rPr>
        <w:t>、获取磋商文件方法：各</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可自行从网络下载</w:t>
      </w:r>
      <w:r>
        <w:rPr>
          <w:rFonts w:ascii="宋体" w:hAnsi="宋体" w:cs="仿宋"/>
          <w:color w:val="auto"/>
          <w:sz w:val="24"/>
          <w:highlight w:val="none"/>
        </w:rPr>
        <w:t>(</w:t>
      </w:r>
      <w:r>
        <w:rPr>
          <w:rFonts w:hint="eastAsia" w:ascii="宋体" w:hAnsi="宋体" w:cs="仿宋"/>
          <w:color w:val="auto"/>
          <w:sz w:val="24"/>
          <w:highlight w:val="none"/>
        </w:rPr>
        <w:t>下载网址</w:t>
      </w:r>
      <w:r>
        <w:rPr>
          <w:rFonts w:ascii="宋体" w:hAnsi="宋体" w:cs="仿宋"/>
          <w:color w:val="auto"/>
          <w:sz w:val="24"/>
          <w:highlight w:val="none"/>
        </w:rPr>
        <w:t xml:space="preserve">: </w:t>
      </w:r>
      <w:r>
        <w:rPr>
          <w:rFonts w:hint="eastAsia" w:ascii="宋体" w:hAnsi="宋体"/>
          <w:color w:val="auto"/>
          <w:sz w:val="24"/>
          <w:highlight w:val="none"/>
          <w:lang w:eastAsia="zh-CN"/>
        </w:rPr>
        <w:t>启东市人民政府网站（www.qidong.gov.cn）</w:t>
      </w:r>
      <w:r>
        <w:rPr>
          <w:rFonts w:hint="eastAsia" w:ascii="宋体" w:hAnsi="宋体" w:cs="仿宋"/>
          <w:color w:val="auto"/>
          <w:sz w:val="24"/>
          <w:highlight w:val="none"/>
        </w:rPr>
        <w:t>。</w:t>
      </w:r>
    </w:p>
    <w:p w14:paraId="6CD40FCA">
      <w:pPr>
        <w:snapToGrid w:val="0"/>
        <w:spacing w:line="440" w:lineRule="exact"/>
        <w:ind w:firstLine="480" w:firstLineChars="200"/>
        <w:rPr>
          <w:rFonts w:asci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、投标时间及截止时间：</w:t>
      </w:r>
    </w:p>
    <w:p w14:paraId="3B61401F">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投标时间：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9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2 </w:t>
      </w:r>
      <w:r>
        <w:rPr>
          <w:rFonts w:hint="eastAsia" w:ascii="宋体" w:hAnsi="宋体"/>
          <w:color w:val="auto"/>
          <w:sz w:val="24"/>
          <w:highlight w:val="none"/>
        </w:rPr>
        <w:t>日下午</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6B7FA8CD">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截止时间：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9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2 </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594DC3E5">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CN"/>
        </w:rPr>
        <w:t>七</w:t>
      </w:r>
      <w:r>
        <w:rPr>
          <w:rFonts w:hint="eastAsia" w:ascii="宋体" w:hAnsi="宋体" w:cs="宋体"/>
          <w:color w:val="auto"/>
          <w:kern w:val="0"/>
          <w:sz w:val="24"/>
          <w:highlight w:val="none"/>
        </w:rPr>
        <w:t>、开标时间：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9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2 </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r>
        <w:rPr>
          <w:rFonts w:ascii="宋体" w:hAnsi="宋体" w:cs="宋体"/>
          <w:color w:val="auto"/>
          <w:kern w:val="0"/>
          <w:sz w:val="24"/>
          <w:highlight w:val="none"/>
        </w:rPr>
        <w:t xml:space="preserve"> </w:t>
      </w:r>
    </w:p>
    <w:p w14:paraId="11037058">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、开标地点：</w:t>
      </w:r>
      <w:bookmarkEnd w:id="0"/>
      <w:r>
        <w:rPr>
          <w:rFonts w:hint="eastAsia" w:ascii="宋体" w:hAnsi="宋体"/>
          <w:color w:val="auto"/>
          <w:sz w:val="24"/>
          <w:highlight w:val="none"/>
          <w:lang w:eastAsia="zh-CN"/>
        </w:rPr>
        <w:t>启东市妇幼保健院2号行政楼230</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室</w:t>
      </w:r>
    </w:p>
    <w:p w14:paraId="3041E20B">
      <w:pPr>
        <w:pStyle w:val="21"/>
        <w:rPr>
          <w:rFonts w:hint="eastAsia" w:ascii="宋体" w:hAnsi="宋体" w:eastAsia="宋体" w:cs="Times New Roman"/>
          <w:b w:val="0"/>
          <w:bCs w:val="0"/>
          <w:color w:val="auto"/>
          <w:sz w:val="28"/>
          <w:szCs w:val="28"/>
          <w:highlight w:val="none"/>
        </w:rPr>
      </w:pPr>
    </w:p>
    <w:p w14:paraId="54C66CC2">
      <w:pP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br w:type="page"/>
      </w:r>
    </w:p>
    <w:p w14:paraId="114FFE2A">
      <w:pPr>
        <w:pStyle w:val="21"/>
        <w:numPr>
          <w:ilvl w:val="0"/>
          <w:numId w:val="2"/>
        </w:numPr>
        <w:jc w:val="cente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 项目需求</w:t>
      </w:r>
    </w:p>
    <w:p w14:paraId="00EC65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请供应商在制作响应文件时仔细研究项目需求说明。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明示，如不明示的视同完全响应。</w:t>
      </w:r>
    </w:p>
    <w:p w14:paraId="3254E0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p>
    <w:p w14:paraId="1B9693B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outlineLvl w:val="1"/>
        <w:rPr>
          <w:rFonts w:hint="eastAsia" w:ascii="宋体"/>
          <w:b/>
          <w:color w:val="auto"/>
          <w:sz w:val="24"/>
          <w:highlight w:val="none"/>
        </w:rPr>
      </w:pPr>
      <w:r>
        <w:rPr>
          <w:rFonts w:hint="eastAsia" w:ascii="宋体"/>
          <w:b/>
          <w:color w:val="auto"/>
          <w:sz w:val="24"/>
          <w:highlight w:val="none"/>
        </w:rPr>
        <w:t>一、有关要求说明</w:t>
      </w:r>
    </w:p>
    <w:p w14:paraId="48C36192">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1.主要技术参数：</w:t>
      </w:r>
      <w:r>
        <w:rPr>
          <w:rFonts w:hint="eastAsia" w:ascii="宋体" w:hAnsi="宋体" w:eastAsia="宋体" w:cs="Times New Roman"/>
          <w:b w:val="0"/>
          <w:bCs w:val="0"/>
          <w:color w:val="auto"/>
          <w:kern w:val="2"/>
          <w:sz w:val="24"/>
          <w:szCs w:val="24"/>
          <w:highlight w:val="none"/>
          <w:lang w:val="en-US" w:eastAsia="zh-CN" w:bidi="ar-SA"/>
        </w:rPr>
        <w:t>为鼓励不同品牌的充分竞争，如某主要技术参数属于个别品牌专有，则该主要技术参数不具有限制性，供应商可对该参数进行适当调整，并说明调整的理由。</w:t>
      </w:r>
    </w:p>
    <w:p w14:paraId="7A4BD58D">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2.绿色采购：</w:t>
      </w:r>
      <w:r>
        <w:rPr>
          <w:rFonts w:hint="eastAsia" w:ascii="宋体" w:hAnsi="宋体" w:eastAsia="宋体" w:cs="Times New Roman"/>
          <w:b w:val="0"/>
          <w:bCs w:val="0"/>
          <w:color w:val="auto"/>
          <w:kern w:val="2"/>
          <w:sz w:val="24"/>
          <w:szCs w:val="24"/>
          <w:highlight w:val="none"/>
          <w:lang w:val="en-US" w:eastAsia="zh-CN" w:bidi="ar-SA"/>
        </w:rPr>
        <w:t>依据政府采购节能产品、环境标志产品实施品目清单和认证证书实施政府优先采购和强制采购。采购单位拟采购的产品属于品目清单范围的，采购单位及其委托的采购代理机构应当依据国家确定的认证机构出具的、处于有效期之内的节能产品、环境标志产品认证证书，对获得证书的产品实施政府优先采购或强制采购。</w:t>
      </w:r>
    </w:p>
    <w:p w14:paraId="47823DB0">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3.产品要求：</w:t>
      </w:r>
      <w:r>
        <w:rPr>
          <w:rFonts w:hint="eastAsia" w:ascii="宋体" w:hAnsi="宋体" w:eastAsia="宋体" w:cs="Times New Roman"/>
          <w:b w:val="0"/>
          <w:bCs w:val="0"/>
          <w:color w:val="auto"/>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4536DDA2">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p>
    <w:p w14:paraId="7C44FF10">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outlineLvl w:val="1"/>
        <w:rPr>
          <w:rFonts w:hint="eastAsia" w:ascii="宋体"/>
          <w:b/>
          <w:color w:val="auto"/>
          <w:sz w:val="24"/>
          <w:highlight w:val="none"/>
        </w:rPr>
      </w:pPr>
      <w:r>
        <w:rPr>
          <w:rFonts w:hint="eastAsia" w:ascii="宋体"/>
          <w:b/>
          <w:color w:val="auto"/>
          <w:sz w:val="24"/>
          <w:highlight w:val="none"/>
        </w:rPr>
        <w:t>二、项目建设要求：</w:t>
      </w:r>
    </w:p>
    <w:p w14:paraId="6AB65E36">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因采购单位无专职技术人员，供应商需要充分考虑项目的复杂性，报价中包括但不限于下列清单中的软硬件设备，如项目必需部件未包括在下列清单中，供应商必须免费提供，不再另行支付费用。</w:t>
      </w:r>
    </w:p>
    <w:p w14:paraId="24E39CDB">
      <w:pPr>
        <w:keepNext w:val="0"/>
        <w:keepLines w:val="0"/>
        <w:pageBreakBefore w:val="0"/>
        <w:widowControl w:val="0"/>
        <w:kinsoku/>
        <w:wordWrap/>
        <w:overflowPunct/>
        <w:topLinePunct w:val="0"/>
        <w:autoSpaceDE/>
        <w:autoSpaceDN/>
        <w:bidi w:val="0"/>
        <w:adjustRightInd/>
        <w:snapToGrid/>
        <w:spacing w:before="240" w:after="60" w:line="440" w:lineRule="exact"/>
        <w:jc w:val="left"/>
        <w:textAlignment w:val="auto"/>
        <w:outlineLvl w:val="0"/>
        <w:rPr>
          <w:rFonts w:hint="eastAsia" w:ascii="宋体" w:hAnsi="宋体" w:eastAsia="宋体" w:cs="Times New Roman"/>
          <w:color w:val="auto"/>
          <w:kern w:val="2"/>
          <w:sz w:val="24"/>
          <w:szCs w:val="24"/>
          <w:highlight w:val="none"/>
          <w:lang w:val="en-US" w:eastAsia="zh-CN" w:bidi="ar-SA"/>
        </w:rPr>
      </w:pPr>
    </w:p>
    <w:p w14:paraId="73AB8D29">
      <w:pPr>
        <w:keepNext w:val="0"/>
        <w:keepLines w:val="0"/>
        <w:pageBreakBefore w:val="0"/>
        <w:widowControl w:val="0"/>
        <w:kinsoku/>
        <w:wordWrap/>
        <w:overflowPunct/>
        <w:topLinePunct w:val="0"/>
        <w:autoSpaceDE/>
        <w:autoSpaceDN/>
        <w:bidi w:val="0"/>
        <w:adjustRightInd/>
        <w:snapToGrid/>
        <w:spacing w:before="240" w:after="60" w:line="440" w:lineRule="exact"/>
        <w:ind w:firstLine="482" w:firstLineChars="200"/>
        <w:jc w:val="left"/>
        <w:textAlignment w:val="auto"/>
        <w:outlineLvl w:val="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启东市妇幼保健院</w:t>
      </w:r>
      <w:r>
        <w:rPr>
          <w:rFonts w:hint="eastAsia" w:ascii="宋体" w:hAnsi="宋体" w:cs="Times New Roman"/>
          <w:b/>
          <w:bCs/>
          <w:color w:val="auto"/>
          <w:kern w:val="2"/>
          <w:sz w:val="24"/>
          <w:szCs w:val="24"/>
          <w:highlight w:val="none"/>
          <w:lang w:val="en-US" w:eastAsia="zh-CN" w:bidi="ar-SA"/>
        </w:rPr>
        <w:t>复旦大学附属儿科医院数据互联互通对接</w:t>
      </w:r>
      <w:r>
        <w:rPr>
          <w:rFonts w:hint="eastAsia" w:ascii="宋体" w:hAnsi="宋体" w:eastAsia="宋体" w:cs="Times New Roman"/>
          <w:b/>
          <w:bCs/>
          <w:color w:val="auto"/>
          <w:kern w:val="2"/>
          <w:sz w:val="24"/>
          <w:szCs w:val="24"/>
          <w:highlight w:val="none"/>
          <w:lang w:val="en-US" w:eastAsia="zh-CN" w:bidi="ar-SA"/>
        </w:rPr>
        <w:t>服务项目主要功能包括但不仅限于：</w:t>
      </w:r>
      <w:r>
        <w:rPr>
          <w:rFonts w:hint="eastAsia" w:ascii="宋体" w:hAnsi="宋体" w:cs="Times New Roman"/>
          <w:b/>
          <w:bCs/>
          <w:color w:val="auto"/>
          <w:kern w:val="2"/>
          <w:sz w:val="24"/>
          <w:szCs w:val="24"/>
          <w:highlight w:val="none"/>
          <w:lang w:val="en-US" w:eastAsia="zh-CN" w:bidi="ar-SA"/>
        </w:rPr>
        <w:t>医务部分、护理、医技、药剂、管理、区域患者360视图和分院第三方PACS接入方案等，具体参数要求：</w:t>
      </w:r>
    </w:p>
    <w:tbl>
      <w:tblPr>
        <w:tblStyle w:val="24"/>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58"/>
        <w:gridCol w:w="6864"/>
        <w:gridCol w:w="690"/>
      </w:tblGrid>
      <w:tr w14:paraId="25B8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5A3FE5F9">
            <w:pPr>
              <w:jc w:val="center"/>
              <w:rPr>
                <w:rFonts w:ascii="宋体" w:hAnsi="宋体" w:cs="宋体"/>
                <w:b/>
                <w:iCs/>
                <w:color w:val="000000"/>
                <w:sz w:val="24"/>
                <w:szCs w:val="24"/>
                <w:highlight w:val="none"/>
              </w:rPr>
            </w:pPr>
            <w:r>
              <w:rPr>
                <w:rFonts w:hint="eastAsia" w:ascii="宋体" w:hAnsi="宋体" w:cs="宋体"/>
                <w:b/>
                <w:iCs/>
                <w:color w:val="000000"/>
                <w:sz w:val="24"/>
                <w:szCs w:val="24"/>
                <w:highlight w:val="none"/>
              </w:rPr>
              <w:t>序号</w:t>
            </w:r>
          </w:p>
        </w:tc>
        <w:tc>
          <w:tcPr>
            <w:tcW w:w="920" w:type="pct"/>
            <w:noWrap w:val="0"/>
            <w:vAlign w:val="center"/>
          </w:tcPr>
          <w:p w14:paraId="00BA06A7">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功能名称</w:t>
            </w:r>
          </w:p>
        </w:tc>
        <w:tc>
          <w:tcPr>
            <w:tcW w:w="3402" w:type="pct"/>
            <w:noWrap w:val="0"/>
            <w:vAlign w:val="center"/>
          </w:tcPr>
          <w:p w14:paraId="1DCC830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功能简述</w:t>
            </w:r>
          </w:p>
        </w:tc>
        <w:tc>
          <w:tcPr>
            <w:tcW w:w="341" w:type="pct"/>
            <w:noWrap w:val="0"/>
            <w:vAlign w:val="center"/>
          </w:tcPr>
          <w:p w14:paraId="240274D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备注</w:t>
            </w:r>
          </w:p>
        </w:tc>
      </w:tr>
      <w:tr w14:paraId="45D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27B64F8E">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920" w:type="pct"/>
            <w:vMerge w:val="restart"/>
            <w:noWrap w:val="0"/>
            <w:vAlign w:val="center"/>
          </w:tcPr>
          <w:p w14:paraId="7B75827F">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医务部分</w:t>
            </w:r>
          </w:p>
        </w:tc>
        <w:tc>
          <w:tcPr>
            <w:tcW w:w="3402" w:type="pct"/>
            <w:noWrap w:val="0"/>
            <w:vAlign w:val="center"/>
          </w:tcPr>
          <w:p w14:paraId="20D308D8">
            <w:pPr>
              <w:keepNext w:val="0"/>
              <w:keepLines w:val="0"/>
              <w:widowControl/>
              <w:suppressLineNumbers w:val="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患者基本信息(Pat_BasicInformation)</w:t>
            </w:r>
          </w:p>
        </w:tc>
        <w:tc>
          <w:tcPr>
            <w:tcW w:w="341" w:type="pct"/>
            <w:noWrap w:val="0"/>
            <w:vAlign w:val="center"/>
          </w:tcPr>
          <w:p w14:paraId="1F1F1D2D">
            <w:pPr>
              <w:widowControl/>
              <w:jc w:val="left"/>
              <w:rPr>
                <w:rFonts w:hint="eastAsia" w:ascii="宋体" w:hAnsi="宋体" w:cs="宋体"/>
                <w:b/>
                <w:bCs/>
                <w:kern w:val="0"/>
                <w:sz w:val="24"/>
                <w:szCs w:val="24"/>
                <w:highlight w:val="none"/>
              </w:rPr>
            </w:pPr>
          </w:p>
        </w:tc>
      </w:tr>
      <w:tr w14:paraId="2650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9ADC661">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7538FF8B">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C2A646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门诊预约信息表(Outpat_AppointmentRecord)</w:t>
            </w:r>
          </w:p>
        </w:tc>
        <w:tc>
          <w:tcPr>
            <w:tcW w:w="341" w:type="pct"/>
            <w:noWrap w:val="0"/>
            <w:vAlign w:val="center"/>
          </w:tcPr>
          <w:p w14:paraId="2C240615">
            <w:pPr>
              <w:widowControl/>
              <w:jc w:val="left"/>
              <w:rPr>
                <w:rFonts w:hint="eastAsia" w:ascii="宋体" w:hAnsi="宋体" w:cs="宋体"/>
                <w:b/>
                <w:bCs/>
                <w:kern w:val="0"/>
                <w:sz w:val="24"/>
                <w:szCs w:val="24"/>
                <w:highlight w:val="none"/>
              </w:rPr>
            </w:pPr>
          </w:p>
        </w:tc>
      </w:tr>
      <w:tr w14:paraId="027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2F8E8137">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5725F386">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05922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门诊挂号信息表(Outpat_RegisterRecord)</w:t>
            </w:r>
          </w:p>
        </w:tc>
        <w:tc>
          <w:tcPr>
            <w:tcW w:w="341" w:type="pct"/>
            <w:noWrap w:val="0"/>
            <w:vAlign w:val="center"/>
          </w:tcPr>
          <w:p w14:paraId="271D1104">
            <w:pPr>
              <w:widowControl/>
              <w:jc w:val="left"/>
              <w:rPr>
                <w:rFonts w:hint="eastAsia" w:ascii="宋体" w:hAnsi="宋体" w:cs="宋体"/>
                <w:b/>
                <w:bCs/>
                <w:kern w:val="0"/>
                <w:sz w:val="24"/>
                <w:szCs w:val="24"/>
                <w:highlight w:val="none"/>
              </w:rPr>
            </w:pPr>
          </w:p>
        </w:tc>
      </w:tr>
      <w:tr w14:paraId="3FC0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E6A7928">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0AECD7A6">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45A021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门急诊诊疗病历表(Outpat_EMRecord)</w:t>
            </w:r>
          </w:p>
        </w:tc>
        <w:tc>
          <w:tcPr>
            <w:tcW w:w="341" w:type="pct"/>
            <w:noWrap w:val="0"/>
            <w:vAlign w:val="center"/>
          </w:tcPr>
          <w:p w14:paraId="603A917F">
            <w:pPr>
              <w:widowControl/>
              <w:jc w:val="left"/>
              <w:rPr>
                <w:rFonts w:hint="eastAsia" w:ascii="宋体" w:hAnsi="宋体" w:cs="宋体"/>
                <w:b/>
                <w:bCs/>
                <w:kern w:val="0"/>
                <w:sz w:val="24"/>
                <w:szCs w:val="24"/>
                <w:highlight w:val="none"/>
              </w:rPr>
            </w:pPr>
          </w:p>
        </w:tc>
      </w:tr>
      <w:tr w14:paraId="353D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B1FD424">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246B2F9E">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132726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住院登记表(Inpat_RegisterRecord)</w:t>
            </w:r>
          </w:p>
        </w:tc>
        <w:tc>
          <w:tcPr>
            <w:tcW w:w="341" w:type="pct"/>
            <w:noWrap w:val="0"/>
            <w:vAlign w:val="center"/>
          </w:tcPr>
          <w:p w14:paraId="3D25C64A">
            <w:pPr>
              <w:widowControl/>
              <w:jc w:val="left"/>
              <w:rPr>
                <w:rFonts w:hint="eastAsia" w:ascii="宋体" w:hAnsi="宋体" w:cs="宋体"/>
                <w:b/>
                <w:bCs/>
                <w:kern w:val="0"/>
                <w:sz w:val="24"/>
                <w:szCs w:val="24"/>
                <w:highlight w:val="none"/>
              </w:rPr>
            </w:pPr>
          </w:p>
        </w:tc>
      </w:tr>
      <w:tr w14:paraId="3B4E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DB68B15">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2A99B65D">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48DB5EA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住院病案首页表(Inpat_RecordMain)</w:t>
            </w:r>
          </w:p>
        </w:tc>
        <w:tc>
          <w:tcPr>
            <w:tcW w:w="341" w:type="pct"/>
            <w:noWrap w:val="0"/>
            <w:vAlign w:val="center"/>
          </w:tcPr>
          <w:p w14:paraId="7AC37DA4">
            <w:pPr>
              <w:widowControl/>
              <w:jc w:val="left"/>
              <w:rPr>
                <w:rFonts w:hint="eastAsia" w:ascii="宋体" w:hAnsi="宋体" w:cs="宋体"/>
                <w:b/>
                <w:bCs/>
                <w:kern w:val="0"/>
                <w:sz w:val="24"/>
                <w:szCs w:val="24"/>
                <w:highlight w:val="none"/>
              </w:rPr>
            </w:pPr>
          </w:p>
        </w:tc>
      </w:tr>
      <w:tr w14:paraId="485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1C559629">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4CA44DD3">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32C6F1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住院病案首页新生儿表(Inpat_RecordBaby)</w:t>
            </w:r>
          </w:p>
        </w:tc>
        <w:tc>
          <w:tcPr>
            <w:tcW w:w="341" w:type="pct"/>
            <w:noWrap w:val="0"/>
            <w:vAlign w:val="center"/>
          </w:tcPr>
          <w:p w14:paraId="721F5CB0">
            <w:pPr>
              <w:widowControl/>
              <w:jc w:val="left"/>
              <w:rPr>
                <w:rFonts w:hint="eastAsia" w:ascii="宋体" w:hAnsi="宋体" w:cs="宋体"/>
                <w:b/>
                <w:bCs/>
                <w:kern w:val="0"/>
                <w:sz w:val="24"/>
                <w:szCs w:val="24"/>
                <w:highlight w:val="none"/>
              </w:rPr>
            </w:pPr>
          </w:p>
        </w:tc>
      </w:tr>
      <w:tr w14:paraId="2F4D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FD2B867">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307B081A">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19AEA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住院病案首页诊断表(Inpat_RecordDiagnose)</w:t>
            </w:r>
          </w:p>
        </w:tc>
        <w:tc>
          <w:tcPr>
            <w:tcW w:w="341" w:type="pct"/>
            <w:noWrap w:val="0"/>
            <w:vAlign w:val="center"/>
          </w:tcPr>
          <w:p w14:paraId="20C0A9C9">
            <w:pPr>
              <w:widowControl/>
              <w:jc w:val="left"/>
              <w:rPr>
                <w:rFonts w:hint="eastAsia" w:ascii="宋体" w:hAnsi="宋体" w:cs="宋体"/>
                <w:b/>
                <w:bCs/>
                <w:kern w:val="0"/>
                <w:sz w:val="24"/>
                <w:szCs w:val="24"/>
                <w:highlight w:val="none"/>
              </w:rPr>
            </w:pPr>
          </w:p>
        </w:tc>
      </w:tr>
      <w:tr w14:paraId="4F0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6D70E790">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012C1E10">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61CF65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住院病案首页手术表(Inpat_RecordOperate)</w:t>
            </w:r>
          </w:p>
        </w:tc>
        <w:tc>
          <w:tcPr>
            <w:tcW w:w="341" w:type="pct"/>
            <w:noWrap w:val="0"/>
            <w:vAlign w:val="center"/>
          </w:tcPr>
          <w:p w14:paraId="13372B92">
            <w:pPr>
              <w:widowControl/>
              <w:jc w:val="left"/>
              <w:rPr>
                <w:rFonts w:hint="eastAsia" w:ascii="宋体" w:hAnsi="宋体" w:cs="宋体"/>
                <w:b/>
                <w:bCs/>
                <w:kern w:val="0"/>
                <w:sz w:val="24"/>
                <w:szCs w:val="24"/>
                <w:highlight w:val="none"/>
              </w:rPr>
            </w:pPr>
          </w:p>
        </w:tc>
      </w:tr>
      <w:tr w14:paraId="1B79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1485123F">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393690F1">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5C5071D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住院病案首页重症监护记录表(Inpat_IntensiveCareRecord)</w:t>
            </w:r>
          </w:p>
        </w:tc>
        <w:tc>
          <w:tcPr>
            <w:tcW w:w="341" w:type="pct"/>
            <w:noWrap w:val="0"/>
            <w:vAlign w:val="center"/>
          </w:tcPr>
          <w:p w14:paraId="029492FC">
            <w:pPr>
              <w:widowControl/>
              <w:jc w:val="left"/>
              <w:rPr>
                <w:rFonts w:hint="eastAsia" w:ascii="宋体" w:hAnsi="宋体" w:cs="宋体"/>
                <w:b/>
                <w:bCs/>
                <w:kern w:val="0"/>
                <w:sz w:val="24"/>
                <w:szCs w:val="24"/>
                <w:highlight w:val="none"/>
              </w:rPr>
            </w:pPr>
          </w:p>
        </w:tc>
      </w:tr>
      <w:tr w14:paraId="0441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DDB5B2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74B6F14F">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467865B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患者诊断记录表(Diagnosis_Record)</w:t>
            </w:r>
          </w:p>
        </w:tc>
        <w:tc>
          <w:tcPr>
            <w:tcW w:w="341" w:type="pct"/>
            <w:noWrap w:val="0"/>
            <w:vAlign w:val="center"/>
          </w:tcPr>
          <w:p w14:paraId="57CE9977">
            <w:pPr>
              <w:widowControl/>
              <w:jc w:val="left"/>
              <w:rPr>
                <w:rFonts w:hint="eastAsia" w:ascii="宋体" w:hAnsi="宋体" w:cs="宋体"/>
                <w:b/>
                <w:bCs/>
                <w:kern w:val="0"/>
                <w:sz w:val="24"/>
                <w:szCs w:val="24"/>
                <w:highlight w:val="none"/>
              </w:rPr>
            </w:pPr>
          </w:p>
        </w:tc>
      </w:tr>
      <w:tr w14:paraId="07F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DC2157A">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3A251671">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20D1A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患者过敏反应记录表(Allergy_AdverseReaction)</w:t>
            </w:r>
          </w:p>
        </w:tc>
        <w:tc>
          <w:tcPr>
            <w:tcW w:w="341" w:type="pct"/>
            <w:noWrap w:val="0"/>
            <w:vAlign w:val="center"/>
          </w:tcPr>
          <w:p w14:paraId="2278870F">
            <w:pPr>
              <w:widowControl/>
              <w:jc w:val="left"/>
              <w:rPr>
                <w:rFonts w:hint="eastAsia" w:ascii="宋体" w:hAnsi="宋体" w:cs="宋体"/>
                <w:b/>
                <w:bCs/>
                <w:kern w:val="0"/>
                <w:sz w:val="24"/>
                <w:szCs w:val="24"/>
                <w:highlight w:val="none"/>
              </w:rPr>
            </w:pPr>
          </w:p>
        </w:tc>
      </w:tr>
      <w:tr w14:paraId="0678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6631BDB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71767747">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E99764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输血记录表(Blood_Transfuse)</w:t>
            </w:r>
          </w:p>
        </w:tc>
        <w:tc>
          <w:tcPr>
            <w:tcW w:w="341" w:type="pct"/>
            <w:noWrap w:val="0"/>
            <w:vAlign w:val="center"/>
          </w:tcPr>
          <w:p w14:paraId="0D352275">
            <w:pPr>
              <w:widowControl/>
              <w:jc w:val="left"/>
              <w:rPr>
                <w:rFonts w:hint="eastAsia" w:ascii="宋体" w:hAnsi="宋体" w:cs="宋体"/>
                <w:b/>
                <w:bCs/>
                <w:kern w:val="0"/>
                <w:sz w:val="24"/>
                <w:szCs w:val="24"/>
                <w:highlight w:val="none"/>
              </w:rPr>
            </w:pPr>
          </w:p>
        </w:tc>
      </w:tr>
      <w:tr w14:paraId="78C1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3F03FFB5">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307BC39">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21A5515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手术登记表(Oper_RegRecord)</w:t>
            </w:r>
          </w:p>
        </w:tc>
        <w:tc>
          <w:tcPr>
            <w:tcW w:w="341" w:type="pct"/>
            <w:noWrap w:val="0"/>
            <w:vAlign w:val="center"/>
          </w:tcPr>
          <w:p w14:paraId="169310BA">
            <w:pPr>
              <w:widowControl/>
              <w:jc w:val="left"/>
              <w:rPr>
                <w:rFonts w:hint="eastAsia" w:ascii="宋体" w:hAnsi="宋体" w:cs="宋体"/>
                <w:b/>
                <w:bCs/>
                <w:kern w:val="0"/>
                <w:sz w:val="24"/>
                <w:szCs w:val="24"/>
                <w:highlight w:val="none"/>
              </w:rPr>
            </w:pPr>
          </w:p>
        </w:tc>
      </w:tr>
      <w:tr w14:paraId="7DB4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95147B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518FECBF">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4F2DF95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手术诊断明细表(Oper_Diagnosis)</w:t>
            </w:r>
          </w:p>
        </w:tc>
        <w:tc>
          <w:tcPr>
            <w:tcW w:w="341" w:type="pct"/>
            <w:noWrap w:val="0"/>
            <w:vAlign w:val="center"/>
          </w:tcPr>
          <w:p w14:paraId="3936D4A6">
            <w:pPr>
              <w:widowControl/>
              <w:jc w:val="left"/>
              <w:rPr>
                <w:rFonts w:hint="eastAsia" w:ascii="宋体" w:hAnsi="宋体" w:cs="宋体"/>
                <w:b/>
                <w:bCs/>
                <w:kern w:val="0"/>
                <w:sz w:val="24"/>
                <w:szCs w:val="24"/>
                <w:highlight w:val="none"/>
              </w:rPr>
            </w:pPr>
          </w:p>
        </w:tc>
      </w:tr>
      <w:tr w14:paraId="2D7D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89C284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538F74D6">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308AD5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手术排班信息表(Oper_Schedule)</w:t>
            </w:r>
          </w:p>
        </w:tc>
        <w:tc>
          <w:tcPr>
            <w:tcW w:w="341" w:type="pct"/>
            <w:noWrap w:val="0"/>
            <w:vAlign w:val="center"/>
          </w:tcPr>
          <w:p w14:paraId="773E6E62">
            <w:pPr>
              <w:widowControl/>
              <w:jc w:val="left"/>
              <w:rPr>
                <w:rFonts w:hint="eastAsia" w:ascii="宋体" w:hAnsi="宋体" w:cs="宋体"/>
                <w:b/>
                <w:bCs/>
                <w:kern w:val="0"/>
                <w:sz w:val="24"/>
                <w:szCs w:val="24"/>
                <w:highlight w:val="none"/>
              </w:rPr>
            </w:pPr>
          </w:p>
        </w:tc>
      </w:tr>
      <w:tr w14:paraId="1F0D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CF4F96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7012BF01">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5B230AE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手术人员表(Oper_StaffInfo)</w:t>
            </w:r>
          </w:p>
        </w:tc>
        <w:tc>
          <w:tcPr>
            <w:tcW w:w="341" w:type="pct"/>
            <w:noWrap w:val="0"/>
            <w:vAlign w:val="center"/>
          </w:tcPr>
          <w:p w14:paraId="744C638E">
            <w:pPr>
              <w:widowControl/>
              <w:jc w:val="left"/>
              <w:rPr>
                <w:rFonts w:hint="eastAsia" w:ascii="宋体" w:hAnsi="宋体" w:cs="宋体"/>
                <w:b/>
                <w:bCs/>
                <w:kern w:val="0"/>
                <w:sz w:val="24"/>
                <w:szCs w:val="24"/>
                <w:highlight w:val="none"/>
              </w:rPr>
            </w:pPr>
          </w:p>
        </w:tc>
      </w:tr>
      <w:tr w14:paraId="4E9B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1EC7884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5689C6D4">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DEA51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手术明细表(Oper_Detail)</w:t>
            </w:r>
          </w:p>
        </w:tc>
        <w:tc>
          <w:tcPr>
            <w:tcW w:w="341" w:type="pct"/>
            <w:noWrap w:val="0"/>
            <w:vAlign w:val="center"/>
          </w:tcPr>
          <w:p w14:paraId="5C203265">
            <w:pPr>
              <w:widowControl/>
              <w:jc w:val="left"/>
              <w:rPr>
                <w:rFonts w:hint="eastAsia" w:ascii="宋体" w:hAnsi="宋体" w:cs="宋体"/>
                <w:b/>
                <w:bCs/>
                <w:kern w:val="0"/>
                <w:sz w:val="24"/>
                <w:szCs w:val="24"/>
                <w:highlight w:val="none"/>
              </w:rPr>
            </w:pPr>
          </w:p>
        </w:tc>
      </w:tr>
      <w:tr w14:paraId="1FEF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680EDE0B">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920" w:type="pct"/>
            <w:vMerge w:val="restart"/>
            <w:noWrap w:val="0"/>
            <w:vAlign w:val="center"/>
          </w:tcPr>
          <w:p w14:paraId="7E4BD34B">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w:t>
            </w:r>
          </w:p>
        </w:tc>
        <w:tc>
          <w:tcPr>
            <w:tcW w:w="3402" w:type="pct"/>
            <w:noWrap w:val="0"/>
            <w:vAlign w:val="center"/>
          </w:tcPr>
          <w:p w14:paraId="73E733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住院排药记录表(Inpat_MedicineSchedule)</w:t>
            </w:r>
          </w:p>
        </w:tc>
        <w:tc>
          <w:tcPr>
            <w:tcW w:w="341" w:type="pct"/>
            <w:noWrap w:val="0"/>
            <w:vAlign w:val="center"/>
          </w:tcPr>
          <w:p w14:paraId="674C6E96">
            <w:pPr>
              <w:widowControl/>
              <w:jc w:val="left"/>
              <w:rPr>
                <w:rFonts w:hint="eastAsia" w:ascii="宋体" w:hAnsi="宋体" w:cs="宋体"/>
                <w:b/>
                <w:bCs/>
                <w:kern w:val="0"/>
                <w:sz w:val="24"/>
                <w:szCs w:val="24"/>
                <w:highlight w:val="none"/>
              </w:rPr>
            </w:pPr>
          </w:p>
        </w:tc>
      </w:tr>
      <w:tr w14:paraId="630B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2677FB4">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552744B3">
            <w:pPr>
              <w:jc w:val="center"/>
              <w:rPr>
                <w:rFonts w:hint="eastAsia" w:ascii="宋体" w:hAnsi="宋体" w:eastAsia="宋体" w:cs="宋体"/>
                <w:i w:val="0"/>
                <w:iCs w:val="0"/>
                <w:color w:val="000000"/>
                <w:kern w:val="0"/>
                <w:sz w:val="20"/>
                <w:szCs w:val="20"/>
                <w:u w:val="none"/>
                <w:lang w:val="en-US" w:eastAsia="zh-CN" w:bidi="ar"/>
              </w:rPr>
            </w:pPr>
          </w:p>
        </w:tc>
        <w:tc>
          <w:tcPr>
            <w:tcW w:w="3402" w:type="pct"/>
            <w:noWrap w:val="0"/>
            <w:vAlign w:val="center"/>
          </w:tcPr>
          <w:p w14:paraId="1FF39C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护理体征记录表(Nurse_SignValue)</w:t>
            </w:r>
          </w:p>
        </w:tc>
        <w:tc>
          <w:tcPr>
            <w:tcW w:w="341" w:type="pct"/>
            <w:noWrap w:val="0"/>
            <w:vAlign w:val="center"/>
          </w:tcPr>
          <w:p w14:paraId="6E052D62">
            <w:pPr>
              <w:widowControl/>
              <w:jc w:val="left"/>
              <w:rPr>
                <w:rFonts w:hint="eastAsia" w:ascii="宋体" w:hAnsi="宋体" w:cs="宋体"/>
                <w:b/>
                <w:bCs/>
                <w:kern w:val="0"/>
                <w:sz w:val="24"/>
                <w:szCs w:val="24"/>
                <w:highlight w:val="none"/>
              </w:rPr>
            </w:pPr>
          </w:p>
        </w:tc>
      </w:tr>
      <w:tr w14:paraId="0EA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45F8DB31">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920" w:type="pct"/>
            <w:vMerge w:val="restart"/>
            <w:noWrap w:val="0"/>
            <w:vAlign w:val="center"/>
          </w:tcPr>
          <w:p w14:paraId="7910D0FD">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医技</w:t>
            </w:r>
          </w:p>
        </w:tc>
        <w:tc>
          <w:tcPr>
            <w:tcW w:w="3402" w:type="pct"/>
            <w:noWrap w:val="0"/>
            <w:vAlign w:val="center"/>
          </w:tcPr>
          <w:p w14:paraId="79B729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检验申请单表(Lab_OrderSheet)</w:t>
            </w:r>
          </w:p>
        </w:tc>
        <w:tc>
          <w:tcPr>
            <w:tcW w:w="341" w:type="pct"/>
            <w:noWrap w:val="0"/>
            <w:vAlign w:val="center"/>
          </w:tcPr>
          <w:p w14:paraId="5B91B313">
            <w:pPr>
              <w:widowControl/>
              <w:jc w:val="left"/>
              <w:rPr>
                <w:rFonts w:hint="eastAsia" w:ascii="宋体" w:hAnsi="宋体" w:cs="宋体"/>
                <w:b/>
                <w:bCs/>
                <w:kern w:val="0"/>
                <w:sz w:val="24"/>
                <w:szCs w:val="24"/>
                <w:highlight w:val="none"/>
              </w:rPr>
            </w:pPr>
          </w:p>
        </w:tc>
      </w:tr>
      <w:tr w14:paraId="1EE2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12F39F7">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0ACC7B68">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49305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检验申请单项目明细表(Lab_OrderSheetItem)</w:t>
            </w:r>
          </w:p>
        </w:tc>
        <w:tc>
          <w:tcPr>
            <w:tcW w:w="341" w:type="pct"/>
            <w:noWrap w:val="0"/>
            <w:vAlign w:val="center"/>
          </w:tcPr>
          <w:p w14:paraId="3F8501AF">
            <w:pPr>
              <w:widowControl/>
              <w:jc w:val="left"/>
              <w:rPr>
                <w:rFonts w:hint="eastAsia" w:ascii="宋体" w:hAnsi="宋体" w:cs="宋体"/>
                <w:b/>
                <w:bCs/>
                <w:kern w:val="0"/>
                <w:sz w:val="24"/>
                <w:szCs w:val="24"/>
                <w:highlight w:val="none"/>
              </w:rPr>
            </w:pPr>
          </w:p>
        </w:tc>
      </w:tr>
      <w:tr w14:paraId="4E9C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780CDC3">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F467826">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2B8CA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检验常规报告表(Lab_GenericReport)</w:t>
            </w:r>
          </w:p>
        </w:tc>
        <w:tc>
          <w:tcPr>
            <w:tcW w:w="341" w:type="pct"/>
            <w:noWrap w:val="0"/>
            <w:vAlign w:val="center"/>
          </w:tcPr>
          <w:p w14:paraId="0D3DAD09">
            <w:pPr>
              <w:widowControl/>
              <w:jc w:val="left"/>
              <w:rPr>
                <w:rFonts w:hint="eastAsia" w:ascii="宋体" w:hAnsi="宋体" w:cs="宋体"/>
                <w:b/>
                <w:bCs/>
                <w:kern w:val="0"/>
                <w:sz w:val="24"/>
                <w:szCs w:val="24"/>
                <w:highlight w:val="none"/>
              </w:rPr>
            </w:pPr>
          </w:p>
        </w:tc>
      </w:tr>
      <w:tr w14:paraId="3987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3870B49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0DE1A7E1">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03BBF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检验常规报告结果表(Lab_GenericResult)</w:t>
            </w:r>
          </w:p>
        </w:tc>
        <w:tc>
          <w:tcPr>
            <w:tcW w:w="341" w:type="pct"/>
            <w:noWrap w:val="0"/>
            <w:vAlign w:val="center"/>
          </w:tcPr>
          <w:p w14:paraId="2AA5EAE4">
            <w:pPr>
              <w:widowControl/>
              <w:jc w:val="left"/>
              <w:rPr>
                <w:rFonts w:hint="eastAsia" w:ascii="宋体" w:hAnsi="宋体" w:cs="宋体"/>
                <w:b/>
                <w:bCs/>
                <w:kern w:val="0"/>
                <w:sz w:val="24"/>
                <w:szCs w:val="24"/>
                <w:highlight w:val="none"/>
              </w:rPr>
            </w:pPr>
          </w:p>
        </w:tc>
      </w:tr>
      <w:tr w14:paraId="0AFC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2395AFF">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CC03DD7">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B3124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检验微生物报告表(Lab_MicrobeReport)</w:t>
            </w:r>
          </w:p>
        </w:tc>
        <w:tc>
          <w:tcPr>
            <w:tcW w:w="341" w:type="pct"/>
            <w:noWrap w:val="0"/>
            <w:vAlign w:val="center"/>
          </w:tcPr>
          <w:p w14:paraId="6EC25068">
            <w:pPr>
              <w:widowControl/>
              <w:jc w:val="left"/>
              <w:rPr>
                <w:rFonts w:hint="eastAsia" w:ascii="宋体" w:hAnsi="宋体" w:cs="宋体"/>
                <w:b/>
                <w:bCs/>
                <w:kern w:val="0"/>
                <w:sz w:val="24"/>
                <w:szCs w:val="24"/>
                <w:highlight w:val="none"/>
              </w:rPr>
            </w:pPr>
          </w:p>
        </w:tc>
      </w:tr>
      <w:tr w14:paraId="399A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173BD3A">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79DCB8D5">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16367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检验微生物报告细菌结果表(Lab_MicrobeBacteria)</w:t>
            </w:r>
          </w:p>
        </w:tc>
        <w:tc>
          <w:tcPr>
            <w:tcW w:w="341" w:type="pct"/>
            <w:noWrap w:val="0"/>
            <w:vAlign w:val="center"/>
          </w:tcPr>
          <w:p w14:paraId="53F9AFD3">
            <w:pPr>
              <w:widowControl/>
              <w:jc w:val="left"/>
              <w:rPr>
                <w:rFonts w:hint="eastAsia" w:ascii="宋体" w:hAnsi="宋体" w:cs="宋体"/>
                <w:b/>
                <w:bCs/>
                <w:kern w:val="0"/>
                <w:sz w:val="24"/>
                <w:szCs w:val="24"/>
                <w:highlight w:val="none"/>
              </w:rPr>
            </w:pPr>
          </w:p>
        </w:tc>
      </w:tr>
      <w:tr w14:paraId="361E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8002074">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D1E96F0">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C610D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检验微生物报告药敏结果表(Lab_MicrobeAntibiotic)</w:t>
            </w:r>
          </w:p>
        </w:tc>
        <w:tc>
          <w:tcPr>
            <w:tcW w:w="341" w:type="pct"/>
            <w:noWrap w:val="0"/>
            <w:vAlign w:val="center"/>
          </w:tcPr>
          <w:p w14:paraId="4678C73F">
            <w:pPr>
              <w:widowControl/>
              <w:jc w:val="left"/>
              <w:rPr>
                <w:rFonts w:hint="eastAsia" w:ascii="宋体" w:hAnsi="宋体" w:cs="宋体"/>
                <w:b/>
                <w:bCs/>
                <w:kern w:val="0"/>
                <w:sz w:val="24"/>
                <w:szCs w:val="24"/>
                <w:highlight w:val="none"/>
              </w:rPr>
            </w:pPr>
          </w:p>
        </w:tc>
      </w:tr>
      <w:tr w14:paraId="377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F574A7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6A590F2">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48CDA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检验微生物报告其他结果表(Lab_MicrobeOtherResult)</w:t>
            </w:r>
          </w:p>
        </w:tc>
        <w:tc>
          <w:tcPr>
            <w:tcW w:w="341" w:type="pct"/>
            <w:noWrap w:val="0"/>
            <w:vAlign w:val="center"/>
          </w:tcPr>
          <w:p w14:paraId="2E52FBCE">
            <w:pPr>
              <w:widowControl/>
              <w:jc w:val="left"/>
              <w:rPr>
                <w:rFonts w:hint="eastAsia" w:ascii="宋体" w:hAnsi="宋体" w:cs="宋体"/>
                <w:b/>
                <w:bCs/>
                <w:kern w:val="0"/>
                <w:sz w:val="24"/>
                <w:szCs w:val="24"/>
                <w:highlight w:val="none"/>
              </w:rPr>
            </w:pPr>
          </w:p>
        </w:tc>
      </w:tr>
      <w:tr w14:paraId="6639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41A424E">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1BAC523">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534B1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检查申请单表(Exam_OrderSheet)</w:t>
            </w:r>
          </w:p>
        </w:tc>
        <w:tc>
          <w:tcPr>
            <w:tcW w:w="341" w:type="pct"/>
            <w:noWrap w:val="0"/>
            <w:vAlign w:val="center"/>
          </w:tcPr>
          <w:p w14:paraId="13CFF4ED">
            <w:pPr>
              <w:widowControl/>
              <w:jc w:val="left"/>
              <w:rPr>
                <w:rFonts w:hint="eastAsia" w:ascii="宋体" w:hAnsi="宋体" w:cs="宋体"/>
                <w:b/>
                <w:bCs/>
                <w:kern w:val="0"/>
                <w:sz w:val="24"/>
                <w:szCs w:val="24"/>
                <w:highlight w:val="none"/>
              </w:rPr>
            </w:pPr>
          </w:p>
        </w:tc>
      </w:tr>
      <w:tr w14:paraId="5255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3BF4B49D">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5B24CDCD">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FC9AA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检查申请单项目明细表(Exam_OrderSheetItem)</w:t>
            </w:r>
          </w:p>
        </w:tc>
        <w:tc>
          <w:tcPr>
            <w:tcW w:w="341" w:type="pct"/>
            <w:noWrap w:val="0"/>
            <w:vAlign w:val="center"/>
          </w:tcPr>
          <w:p w14:paraId="45F16455">
            <w:pPr>
              <w:widowControl/>
              <w:jc w:val="left"/>
              <w:rPr>
                <w:rFonts w:hint="eastAsia" w:ascii="宋体" w:hAnsi="宋体" w:cs="宋体"/>
                <w:b/>
                <w:bCs/>
                <w:kern w:val="0"/>
                <w:sz w:val="24"/>
                <w:szCs w:val="24"/>
                <w:highlight w:val="none"/>
              </w:rPr>
            </w:pPr>
          </w:p>
        </w:tc>
      </w:tr>
      <w:tr w14:paraId="56A2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22DC7C48">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E598F6E">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289A9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检查报告表(Exam_Report)</w:t>
            </w:r>
          </w:p>
        </w:tc>
        <w:tc>
          <w:tcPr>
            <w:tcW w:w="341" w:type="pct"/>
            <w:noWrap w:val="0"/>
            <w:vAlign w:val="center"/>
          </w:tcPr>
          <w:p w14:paraId="486DA1DC">
            <w:pPr>
              <w:widowControl/>
              <w:jc w:val="left"/>
              <w:rPr>
                <w:rFonts w:hint="eastAsia" w:ascii="宋体" w:hAnsi="宋体" w:cs="宋体"/>
                <w:b/>
                <w:bCs/>
                <w:kern w:val="0"/>
                <w:sz w:val="24"/>
                <w:szCs w:val="24"/>
                <w:highlight w:val="none"/>
              </w:rPr>
            </w:pPr>
          </w:p>
        </w:tc>
      </w:tr>
      <w:tr w14:paraId="6F7D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24D7C857">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DD0BDCB">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C099F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检查报告结果表(Exam_ReportResult)</w:t>
            </w:r>
          </w:p>
        </w:tc>
        <w:tc>
          <w:tcPr>
            <w:tcW w:w="341" w:type="pct"/>
            <w:noWrap w:val="0"/>
            <w:vAlign w:val="center"/>
          </w:tcPr>
          <w:p w14:paraId="5FEEA378">
            <w:pPr>
              <w:widowControl/>
              <w:jc w:val="left"/>
              <w:rPr>
                <w:rFonts w:hint="eastAsia" w:ascii="宋体" w:hAnsi="宋体" w:cs="宋体"/>
                <w:b/>
                <w:bCs/>
                <w:kern w:val="0"/>
                <w:sz w:val="24"/>
                <w:szCs w:val="24"/>
                <w:highlight w:val="none"/>
              </w:rPr>
            </w:pPr>
          </w:p>
        </w:tc>
      </w:tr>
      <w:tr w14:paraId="7C6C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6FEF2A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0C0FB418">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1DD6B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危急值发送表(Critical_Report)</w:t>
            </w:r>
          </w:p>
        </w:tc>
        <w:tc>
          <w:tcPr>
            <w:tcW w:w="341" w:type="pct"/>
            <w:noWrap w:val="0"/>
            <w:vAlign w:val="center"/>
          </w:tcPr>
          <w:p w14:paraId="641F0CB7">
            <w:pPr>
              <w:widowControl/>
              <w:jc w:val="left"/>
              <w:rPr>
                <w:rFonts w:hint="eastAsia" w:ascii="宋体" w:hAnsi="宋体" w:cs="宋体"/>
                <w:b/>
                <w:bCs/>
                <w:kern w:val="0"/>
                <w:sz w:val="24"/>
                <w:szCs w:val="24"/>
                <w:highlight w:val="none"/>
              </w:rPr>
            </w:pPr>
          </w:p>
        </w:tc>
      </w:tr>
      <w:tr w14:paraId="001F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92390F2">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20B00F8">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B4543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危急值明细表(Critical_ReportDetail)</w:t>
            </w:r>
          </w:p>
        </w:tc>
        <w:tc>
          <w:tcPr>
            <w:tcW w:w="341" w:type="pct"/>
            <w:noWrap w:val="0"/>
            <w:vAlign w:val="center"/>
          </w:tcPr>
          <w:p w14:paraId="595FF085">
            <w:pPr>
              <w:widowControl/>
              <w:jc w:val="left"/>
              <w:rPr>
                <w:rFonts w:hint="eastAsia" w:ascii="宋体" w:hAnsi="宋体" w:cs="宋体"/>
                <w:b/>
                <w:bCs/>
                <w:kern w:val="0"/>
                <w:sz w:val="24"/>
                <w:szCs w:val="24"/>
                <w:highlight w:val="none"/>
              </w:rPr>
            </w:pPr>
          </w:p>
        </w:tc>
      </w:tr>
      <w:tr w14:paraId="59AA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55F987B3">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920" w:type="pct"/>
            <w:vMerge w:val="restart"/>
            <w:noWrap w:val="0"/>
            <w:vAlign w:val="center"/>
          </w:tcPr>
          <w:p w14:paraId="12CD910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药剂</w:t>
            </w:r>
          </w:p>
        </w:tc>
        <w:tc>
          <w:tcPr>
            <w:tcW w:w="3402" w:type="pct"/>
            <w:noWrap w:val="0"/>
            <w:vAlign w:val="center"/>
          </w:tcPr>
          <w:p w14:paraId="5F30D2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门诊处方表(Outpat_Recipe)</w:t>
            </w:r>
          </w:p>
        </w:tc>
        <w:tc>
          <w:tcPr>
            <w:tcW w:w="341" w:type="pct"/>
            <w:noWrap w:val="0"/>
            <w:vAlign w:val="center"/>
          </w:tcPr>
          <w:p w14:paraId="3E66DE4D">
            <w:pPr>
              <w:widowControl/>
              <w:jc w:val="left"/>
              <w:rPr>
                <w:rFonts w:hint="eastAsia" w:ascii="宋体" w:hAnsi="宋体" w:cs="宋体"/>
                <w:b/>
                <w:bCs/>
                <w:kern w:val="0"/>
                <w:sz w:val="24"/>
                <w:szCs w:val="24"/>
                <w:highlight w:val="none"/>
              </w:rPr>
            </w:pPr>
          </w:p>
        </w:tc>
      </w:tr>
      <w:tr w14:paraId="43C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F3B9B7D">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36FC173">
            <w:pPr>
              <w:jc w:val="center"/>
              <w:rPr>
                <w:rFonts w:hint="eastAsia" w:ascii="宋体" w:hAnsi="宋体" w:eastAsia="宋体" w:cs="宋体"/>
                <w:i w:val="0"/>
                <w:iCs w:val="0"/>
                <w:color w:val="000000"/>
                <w:kern w:val="0"/>
                <w:sz w:val="20"/>
                <w:szCs w:val="20"/>
                <w:u w:val="none"/>
                <w:lang w:val="en-US" w:eastAsia="zh-CN" w:bidi="ar"/>
              </w:rPr>
            </w:pPr>
          </w:p>
        </w:tc>
        <w:tc>
          <w:tcPr>
            <w:tcW w:w="3402" w:type="pct"/>
            <w:noWrap w:val="0"/>
            <w:vAlign w:val="center"/>
          </w:tcPr>
          <w:p w14:paraId="506346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门诊处方明细表(Outpat_RecipeDetail)</w:t>
            </w:r>
          </w:p>
        </w:tc>
        <w:tc>
          <w:tcPr>
            <w:tcW w:w="341" w:type="pct"/>
            <w:noWrap w:val="0"/>
            <w:vAlign w:val="center"/>
          </w:tcPr>
          <w:p w14:paraId="4842F4E5">
            <w:pPr>
              <w:widowControl/>
              <w:jc w:val="left"/>
              <w:rPr>
                <w:rFonts w:hint="eastAsia" w:ascii="宋体" w:hAnsi="宋体" w:cs="宋体"/>
                <w:b/>
                <w:bCs/>
                <w:kern w:val="0"/>
                <w:sz w:val="24"/>
                <w:szCs w:val="24"/>
                <w:highlight w:val="none"/>
              </w:rPr>
            </w:pPr>
          </w:p>
        </w:tc>
      </w:tr>
      <w:tr w14:paraId="395F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2AF332AA">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0AD06E29">
            <w:pPr>
              <w:jc w:val="center"/>
              <w:rPr>
                <w:rFonts w:hint="eastAsia" w:ascii="宋体" w:hAnsi="宋体" w:eastAsia="宋体" w:cs="宋体"/>
                <w:i w:val="0"/>
                <w:iCs w:val="0"/>
                <w:color w:val="000000"/>
                <w:kern w:val="0"/>
                <w:sz w:val="20"/>
                <w:szCs w:val="20"/>
                <w:u w:val="none"/>
                <w:lang w:val="en-US" w:eastAsia="zh-CN" w:bidi="ar"/>
              </w:rPr>
            </w:pPr>
          </w:p>
        </w:tc>
        <w:tc>
          <w:tcPr>
            <w:tcW w:w="3402" w:type="pct"/>
            <w:noWrap w:val="0"/>
            <w:vAlign w:val="center"/>
          </w:tcPr>
          <w:p w14:paraId="71AC3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住院用药医嘱表(Inpat_MedicineOrders)</w:t>
            </w:r>
          </w:p>
        </w:tc>
        <w:tc>
          <w:tcPr>
            <w:tcW w:w="341" w:type="pct"/>
            <w:noWrap w:val="0"/>
            <w:vAlign w:val="center"/>
          </w:tcPr>
          <w:p w14:paraId="7A1D975F">
            <w:pPr>
              <w:widowControl/>
              <w:jc w:val="left"/>
              <w:rPr>
                <w:rFonts w:hint="eastAsia" w:ascii="宋体" w:hAnsi="宋体" w:cs="宋体"/>
                <w:b/>
                <w:bCs/>
                <w:kern w:val="0"/>
                <w:sz w:val="24"/>
                <w:szCs w:val="24"/>
                <w:highlight w:val="none"/>
              </w:rPr>
            </w:pPr>
          </w:p>
        </w:tc>
      </w:tr>
      <w:tr w14:paraId="7163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6B08FF99">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6F89717A">
            <w:pPr>
              <w:jc w:val="center"/>
              <w:rPr>
                <w:rFonts w:hint="eastAsia" w:ascii="宋体" w:hAnsi="宋体" w:eastAsia="宋体" w:cs="宋体"/>
                <w:i w:val="0"/>
                <w:iCs w:val="0"/>
                <w:color w:val="000000"/>
                <w:kern w:val="0"/>
                <w:sz w:val="20"/>
                <w:szCs w:val="20"/>
                <w:u w:val="none"/>
                <w:lang w:val="en-US" w:eastAsia="zh-CN" w:bidi="ar"/>
              </w:rPr>
            </w:pPr>
          </w:p>
        </w:tc>
        <w:tc>
          <w:tcPr>
            <w:tcW w:w="3402" w:type="pct"/>
            <w:noWrap w:val="0"/>
            <w:vAlign w:val="center"/>
          </w:tcPr>
          <w:p w14:paraId="0B99CE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住院非药医嘱表(Inpat_NoMedicineOrders)</w:t>
            </w:r>
          </w:p>
        </w:tc>
        <w:tc>
          <w:tcPr>
            <w:tcW w:w="341" w:type="pct"/>
            <w:noWrap w:val="0"/>
            <w:vAlign w:val="center"/>
          </w:tcPr>
          <w:p w14:paraId="57D686F9">
            <w:pPr>
              <w:widowControl/>
              <w:jc w:val="left"/>
              <w:rPr>
                <w:rFonts w:hint="eastAsia" w:ascii="宋体" w:hAnsi="宋体" w:cs="宋体"/>
                <w:b/>
                <w:bCs/>
                <w:kern w:val="0"/>
                <w:sz w:val="24"/>
                <w:szCs w:val="24"/>
                <w:highlight w:val="none"/>
              </w:rPr>
            </w:pPr>
          </w:p>
        </w:tc>
      </w:tr>
      <w:tr w14:paraId="6FC8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34BEC2D1">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920" w:type="pct"/>
            <w:vMerge w:val="restart"/>
            <w:noWrap w:val="0"/>
            <w:vAlign w:val="center"/>
          </w:tcPr>
          <w:p w14:paraId="4F9B2FC1">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w:t>
            </w:r>
          </w:p>
        </w:tc>
        <w:tc>
          <w:tcPr>
            <w:tcW w:w="3402" w:type="pct"/>
            <w:noWrap w:val="0"/>
            <w:vAlign w:val="center"/>
          </w:tcPr>
          <w:p w14:paraId="77F077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科室病区信息表(MD_Dept)</w:t>
            </w:r>
          </w:p>
        </w:tc>
        <w:tc>
          <w:tcPr>
            <w:tcW w:w="341" w:type="pct"/>
            <w:noWrap w:val="0"/>
            <w:vAlign w:val="center"/>
          </w:tcPr>
          <w:p w14:paraId="491B1693">
            <w:pPr>
              <w:widowControl/>
              <w:jc w:val="left"/>
              <w:rPr>
                <w:rFonts w:hint="eastAsia" w:ascii="宋体" w:hAnsi="宋体" w:cs="宋体"/>
                <w:b/>
                <w:bCs/>
                <w:kern w:val="0"/>
                <w:sz w:val="24"/>
                <w:szCs w:val="24"/>
                <w:highlight w:val="none"/>
              </w:rPr>
            </w:pPr>
          </w:p>
        </w:tc>
      </w:tr>
      <w:tr w14:paraId="1388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3B13D7D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83C00CD">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23B6D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员工信息表(MD_Staff)</w:t>
            </w:r>
          </w:p>
        </w:tc>
        <w:tc>
          <w:tcPr>
            <w:tcW w:w="341" w:type="pct"/>
            <w:noWrap w:val="0"/>
            <w:vAlign w:val="center"/>
          </w:tcPr>
          <w:p w14:paraId="3E460AA2">
            <w:pPr>
              <w:widowControl/>
              <w:jc w:val="left"/>
              <w:rPr>
                <w:rFonts w:hint="eastAsia" w:ascii="宋体" w:hAnsi="宋体" w:cs="宋体"/>
                <w:b/>
                <w:bCs/>
                <w:kern w:val="0"/>
                <w:sz w:val="24"/>
                <w:szCs w:val="24"/>
                <w:highlight w:val="none"/>
              </w:rPr>
            </w:pPr>
          </w:p>
        </w:tc>
      </w:tr>
      <w:tr w14:paraId="35E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FF8C16F">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2BC826D6">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74BFC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门诊挂号收费发票表(Outpat_RegisterFeeInvoice)</w:t>
            </w:r>
          </w:p>
        </w:tc>
        <w:tc>
          <w:tcPr>
            <w:tcW w:w="341" w:type="pct"/>
            <w:noWrap w:val="0"/>
            <w:vAlign w:val="center"/>
          </w:tcPr>
          <w:p w14:paraId="33BBDA7D">
            <w:pPr>
              <w:widowControl/>
              <w:jc w:val="left"/>
              <w:rPr>
                <w:rFonts w:hint="eastAsia" w:ascii="宋体" w:hAnsi="宋体" w:cs="宋体"/>
                <w:b/>
                <w:bCs/>
                <w:kern w:val="0"/>
                <w:sz w:val="24"/>
                <w:szCs w:val="24"/>
                <w:highlight w:val="none"/>
              </w:rPr>
            </w:pPr>
          </w:p>
        </w:tc>
      </w:tr>
      <w:tr w14:paraId="2128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4765F4B">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27F04626">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6D73A5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门诊挂号收费明细表(Outpat_RegisterFeeDetail)</w:t>
            </w:r>
          </w:p>
        </w:tc>
        <w:tc>
          <w:tcPr>
            <w:tcW w:w="341" w:type="pct"/>
            <w:noWrap w:val="0"/>
            <w:vAlign w:val="center"/>
          </w:tcPr>
          <w:p w14:paraId="461B9AC5">
            <w:pPr>
              <w:widowControl/>
              <w:jc w:val="left"/>
              <w:rPr>
                <w:rFonts w:hint="eastAsia" w:ascii="宋体" w:hAnsi="宋体" w:cs="宋体"/>
                <w:b/>
                <w:bCs/>
                <w:kern w:val="0"/>
                <w:sz w:val="24"/>
                <w:szCs w:val="24"/>
                <w:highlight w:val="none"/>
              </w:rPr>
            </w:pPr>
          </w:p>
        </w:tc>
      </w:tr>
      <w:tr w14:paraId="3EB8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F84320F">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38F3E820">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6042AF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门诊收费发票表(Outpat_FeeInvoice)</w:t>
            </w:r>
          </w:p>
        </w:tc>
        <w:tc>
          <w:tcPr>
            <w:tcW w:w="341" w:type="pct"/>
            <w:noWrap w:val="0"/>
            <w:vAlign w:val="center"/>
          </w:tcPr>
          <w:p w14:paraId="6B5A2504">
            <w:pPr>
              <w:widowControl/>
              <w:jc w:val="left"/>
              <w:rPr>
                <w:rFonts w:hint="eastAsia" w:ascii="宋体" w:hAnsi="宋体" w:cs="宋体"/>
                <w:b/>
                <w:bCs/>
                <w:kern w:val="0"/>
                <w:sz w:val="24"/>
                <w:szCs w:val="24"/>
                <w:highlight w:val="none"/>
              </w:rPr>
            </w:pPr>
          </w:p>
        </w:tc>
      </w:tr>
      <w:tr w14:paraId="263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141DD5A2">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78BDFCC">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608C2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门诊收费明细表(Outpat_FeeDetail)</w:t>
            </w:r>
          </w:p>
        </w:tc>
        <w:tc>
          <w:tcPr>
            <w:tcW w:w="341" w:type="pct"/>
            <w:noWrap w:val="0"/>
            <w:vAlign w:val="center"/>
          </w:tcPr>
          <w:p w14:paraId="6CCB9BE8">
            <w:pPr>
              <w:widowControl/>
              <w:jc w:val="left"/>
              <w:rPr>
                <w:rFonts w:hint="eastAsia" w:ascii="宋体" w:hAnsi="宋体" w:cs="宋体"/>
                <w:b/>
                <w:bCs/>
                <w:kern w:val="0"/>
                <w:sz w:val="24"/>
                <w:szCs w:val="24"/>
                <w:highlight w:val="none"/>
              </w:rPr>
            </w:pPr>
          </w:p>
        </w:tc>
      </w:tr>
      <w:tr w14:paraId="2370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0725CD09">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2530EC82">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44C54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住院收费发票表(Inpat_FeeInvoice)</w:t>
            </w:r>
          </w:p>
        </w:tc>
        <w:tc>
          <w:tcPr>
            <w:tcW w:w="341" w:type="pct"/>
            <w:noWrap w:val="0"/>
            <w:vAlign w:val="center"/>
          </w:tcPr>
          <w:p w14:paraId="377F380E">
            <w:pPr>
              <w:widowControl/>
              <w:jc w:val="left"/>
              <w:rPr>
                <w:rFonts w:hint="eastAsia" w:ascii="宋体" w:hAnsi="宋体" w:cs="宋体"/>
                <w:b/>
                <w:bCs/>
                <w:kern w:val="0"/>
                <w:sz w:val="24"/>
                <w:szCs w:val="24"/>
                <w:highlight w:val="none"/>
              </w:rPr>
            </w:pPr>
          </w:p>
        </w:tc>
      </w:tr>
      <w:tr w14:paraId="3785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569772E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14DED34E">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15721A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住院收费明细表(Inpat_FeeDetail)</w:t>
            </w:r>
          </w:p>
        </w:tc>
        <w:tc>
          <w:tcPr>
            <w:tcW w:w="341" w:type="pct"/>
            <w:noWrap w:val="0"/>
            <w:vAlign w:val="center"/>
          </w:tcPr>
          <w:p w14:paraId="61D7C9D1">
            <w:pPr>
              <w:widowControl/>
              <w:jc w:val="left"/>
              <w:rPr>
                <w:rFonts w:hint="eastAsia" w:ascii="宋体" w:hAnsi="宋体" w:cs="宋体"/>
                <w:b/>
                <w:bCs/>
                <w:kern w:val="0"/>
                <w:sz w:val="24"/>
                <w:szCs w:val="24"/>
                <w:highlight w:val="none"/>
              </w:rPr>
            </w:pPr>
          </w:p>
        </w:tc>
      </w:tr>
      <w:tr w14:paraId="2385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6A9792B9">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920" w:type="pct"/>
            <w:vMerge w:val="restart"/>
            <w:noWrap w:val="0"/>
            <w:vAlign w:val="center"/>
          </w:tcPr>
          <w:p w14:paraId="3BC469F7">
            <w:pPr>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区域患者360视图</w:t>
            </w:r>
          </w:p>
        </w:tc>
        <w:tc>
          <w:tcPr>
            <w:tcW w:w="3402" w:type="pct"/>
            <w:noWrap w:val="0"/>
            <w:vAlign w:val="center"/>
          </w:tcPr>
          <w:p w14:paraId="7A8B85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区域患者360视图（患者首页）接入接口</w:t>
            </w:r>
          </w:p>
        </w:tc>
        <w:tc>
          <w:tcPr>
            <w:tcW w:w="341" w:type="pct"/>
            <w:noWrap w:val="0"/>
            <w:vAlign w:val="center"/>
          </w:tcPr>
          <w:p w14:paraId="3B5C28FD">
            <w:pPr>
              <w:widowControl/>
              <w:jc w:val="left"/>
              <w:rPr>
                <w:rFonts w:hint="eastAsia" w:ascii="宋体" w:hAnsi="宋体" w:cs="宋体"/>
                <w:b/>
                <w:bCs/>
                <w:kern w:val="0"/>
                <w:sz w:val="24"/>
                <w:szCs w:val="24"/>
                <w:highlight w:val="none"/>
              </w:rPr>
            </w:pPr>
          </w:p>
        </w:tc>
      </w:tr>
      <w:tr w14:paraId="7199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shd w:val="clear" w:color="auto" w:fill="auto"/>
            <w:noWrap w:val="0"/>
            <w:vAlign w:val="center"/>
          </w:tcPr>
          <w:p w14:paraId="4AD81A91">
            <w:pPr>
              <w:jc w:val="center"/>
              <w:rPr>
                <w:rFonts w:hint="eastAsia" w:ascii="宋体" w:hAnsi="宋体" w:cs="宋体"/>
                <w:kern w:val="0"/>
                <w:sz w:val="24"/>
                <w:szCs w:val="24"/>
                <w:highlight w:val="none"/>
                <w:lang w:val="en-US" w:eastAsia="zh-CN"/>
              </w:rPr>
            </w:pPr>
          </w:p>
        </w:tc>
        <w:tc>
          <w:tcPr>
            <w:tcW w:w="920" w:type="pct"/>
            <w:vMerge w:val="continue"/>
            <w:noWrap w:val="0"/>
            <w:vAlign w:val="center"/>
          </w:tcPr>
          <w:p w14:paraId="4C7BA6CD">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58AFA0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区域患者360视图（医生首页）接入接口 </w:t>
            </w:r>
          </w:p>
        </w:tc>
        <w:tc>
          <w:tcPr>
            <w:tcW w:w="341" w:type="pct"/>
            <w:noWrap w:val="0"/>
            <w:vAlign w:val="center"/>
          </w:tcPr>
          <w:p w14:paraId="6F5002C3">
            <w:pPr>
              <w:widowControl/>
              <w:jc w:val="left"/>
              <w:rPr>
                <w:rFonts w:hint="eastAsia" w:ascii="宋体" w:hAnsi="宋体" w:cs="宋体"/>
                <w:b/>
                <w:bCs/>
                <w:kern w:val="0"/>
                <w:sz w:val="24"/>
                <w:szCs w:val="24"/>
                <w:highlight w:val="none"/>
              </w:rPr>
            </w:pPr>
          </w:p>
        </w:tc>
      </w:tr>
      <w:tr w14:paraId="67C9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7C46F2BA">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920" w:type="pct"/>
            <w:vMerge w:val="restart"/>
            <w:noWrap w:val="0"/>
            <w:vAlign w:val="center"/>
          </w:tcPr>
          <w:p w14:paraId="247857E2">
            <w:pPr>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分院第三方PACS接入方案</w:t>
            </w:r>
          </w:p>
        </w:tc>
        <w:tc>
          <w:tcPr>
            <w:tcW w:w="3402" w:type="pct"/>
            <w:noWrap w:val="0"/>
            <w:vAlign w:val="center"/>
          </w:tcPr>
          <w:p w14:paraId="015F45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检查数据上传</w:t>
            </w:r>
          </w:p>
        </w:tc>
        <w:tc>
          <w:tcPr>
            <w:tcW w:w="341" w:type="pct"/>
            <w:noWrap w:val="0"/>
            <w:vAlign w:val="center"/>
          </w:tcPr>
          <w:p w14:paraId="5FB8D9CB">
            <w:pPr>
              <w:widowControl/>
              <w:jc w:val="left"/>
              <w:rPr>
                <w:rFonts w:hint="eastAsia" w:ascii="宋体" w:hAnsi="宋体" w:cs="宋体"/>
                <w:b/>
                <w:bCs/>
                <w:kern w:val="0"/>
                <w:sz w:val="24"/>
                <w:szCs w:val="24"/>
                <w:highlight w:val="none"/>
              </w:rPr>
            </w:pPr>
          </w:p>
        </w:tc>
      </w:tr>
      <w:tr w14:paraId="65BC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C71A12A">
            <w:pPr>
              <w:pStyle w:val="2"/>
              <w:rPr>
                <w:rFonts w:hint="eastAsia"/>
                <w:lang w:val="en-US" w:eastAsia="zh-CN"/>
              </w:rPr>
            </w:pPr>
          </w:p>
        </w:tc>
        <w:tc>
          <w:tcPr>
            <w:tcW w:w="920" w:type="pct"/>
            <w:vMerge w:val="continue"/>
            <w:noWrap w:val="0"/>
            <w:vAlign w:val="center"/>
          </w:tcPr>
          <w:p w14:paraId="53F73166">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D3BC0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影像数据上传</w:t>
            </w:r>
          </w:p>
        </w:tc>
        <w:tc>
          <w:tcPr>
            <w:tcW w:w="341" w:type="pct"/>
            <w:noWrap w:val="0"/>
            <w:vAlign w:val="center"/>
          </w:tcPr>
          <w:p w14:paraId="074E61E0">
            <w:pPr>
              <w:widowControl/>
              <w:jc w:val="left"/>
              <w:rPr>
                <w:rFonts w:hint="eastAsia" w:ascii="宋体" w:hAnsi="宋体" w:cs="宋体"/>
                <w:b/>
                <w:bCs/>
                <w:kern w:val="0"/>
                <w:sz w:val="24"/>
                <w:szCs w:val="24"/>
                <w:highlight w:val="none"/>
              </w:rPr>
            </w:pPr>
          </w:p>
        </w:tc>
      </w:tr>
      <w:tr w14:paraId="5F4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73F23AED">
            <w:pPr>
              <w:pStyle w:val="2"/>
              <w:rPr>
                <w:rFonts w:hint="eastAsia"/>
                <w:lang w:val="en-US" w:eastAsia="zh-CN"/>
              </w:rPr>
            </w:pPr>
          </w:p>
        </w:tc>
        <w:tc>
          <w:tcPr>
            <w:tcW w:w="920" w:type="pct"/>
            <w:vMerge w:val="continue"/>
            <w:noWrap w:val="0"/>
            <w:vAlign w:val="center"/>
          </w:tcPr>
          <w:p w14:paraId="71D95A71">
            <w:pPr>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35E75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远程诊断模块-数据获取</w:t>
            </w:r>
          </w:p>
        </w:tc>
        <w:tc>
          <w:tcPr>
            <w:tcW w:w="341" w:type="pct"/>
            <w:noWrap w:val="0"/>
            <w:vAlign w:val="center"/>
          </w:tcPr>
          <w:p w14:paraId="6B9E2143">
            <w:pPr>
              <w:widowControl/>
              <w:jc w:val="left"/>
              <w:rPr>
                <w:rFonts w:hint="eastAsia" w:ascii="宋体" w:hAnsi="宋体" w:cs="宋体"/>
                <w:b/>
                <w:bCs/>
                <w:kern w:val="0"/>
                <w:sz w:val="24"/>
                <w:szCs w:val="24"/>
                <w:highlight w:val="none"/>
              </w:rPr>
            </w:pPr>
          </w:p>
        </w:tc>
      </w:tr>
      <w:tr w14:paraId="48A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58" w:type="pct"/>
            <w:gridSpan w:val="3"/>
            <w:noWrap w:val="0"/>
            <w:vAlign w:val="center"/>
          </w:tcPr>
          <w:p w14:paraId="0D87747A">
            <w:pPr>
              <w:widowControl/>
              <w:ind w:firstLine="480" w:firstLineChars="200"/>
              <w:jc w:val="left"/>
              <w:rPr>
                <w:rFonts w:hint="eastAsia" w:ascii="宋体" w:hAnsi="宋体" w:cs="宋体"/>
                <w:kern w:val="0"/>
                <w:szCs w:val="21"/>
              </w:rPr>
            </w:pPr>
            <w:r>
              <w:rPr>
                <w:rFonts w:hint="eastAsia" w:ascii="宋体" w:hAnsi="宋体" w:eastAsia="宋体" w:cs="宋体"/>
                <w:kern w:val="0"/>
                <w:sz w:val="24"/>
                <w:szCs w:val="24"/>
                <w:highlight w:val="none"/>
              </w:rPr>
              <w:t>注:</w:t>
            </w:r>
          </w:p>
          <w:p w14:paraId="16CC853B">
            <w:pPr>
              <w:widowControl/>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bookmarkStart w:id="1" w:name="FWXX_1"/>
            <w:r>
              <w:rPr>
                <w:rFonts w:hint="eastAsia" w:ascii="宋体" w:hAnsi="宋体" w:eastAsia="宋体" w:cs="宋体"/>
                <w:sz w:val="24"/>
                <w:szCs w:val="24"/>
                <w:highlight w:val="none"/>
                <w:lang w:val="en-US" w:eastAsia="zh-CN"/>
              </w:rPr>
              <w:t>在医院现有信息系统软件基础上按照《复旦大学附属儿科医院信息互联互通平台数据集文档》《复旦大学附属儿科医院信息互联互通平台数据接口规范》《复旦大学附属儿科医院分院第三方PACS接入方案》《复旦大学附属儿科医院区域患者360视图接入接口文档》等技术文档标准，实现可靠的数据交换和信息互通</w:t>
            </w:r>
            <w:bookmarkEnd w:id="1"/>
            <w:r>
              <w:rPr>
                <w:rFonts w:hint="eastAsia" w:ascii="宋体" w:hAnsi="宋体" w:cs="宋体"/>
                <w:sz w:val="24"/>
                <w:szCs w:val="24"/>
                <w:highlight w:val="none"/>
                <w:lang w:val="en-US" w:eastAsia="zh-CN"/>
              </w:rPr>
              <w:t>。</w:t>
            </w:r>
          </w:p>
          <w:p w14:paraId="0822735F">
            <w:pPr>
              <w:widowControl/>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成交供应商在本项目实施过程中，所有事宜由成交供应商自行处理，所产生的任何费用采购方不再额外支付。</w:t>
            </w:r>
          </w:p>
        </w:tc>
        <w:tc>
          <w:tcPr>
            <w:tcW w:w="341" w:type="pct"/>
            <w:noWrap w:val="0"/>
            <w:vAlign w:val="top"/>
          </w:tcPr>
          <w:p w14:paraId="60FA604A">
            <w:pPr>
              <w:widowControl/>
              <w:jc w:val="left"/>
              <w:rPr>
                <w:rFonts w:hint="eastAsia" w:ascii="宋体" w:hAnsi="宋体" w:cs="宋体"/>
                <w:kern w:val="0"/>
                <w:sz w:val="24"/>
                <w:szCs w:val="24"/>
                <w:highlight w:val="none"/>
              </w:rPr>
            </w:pPr>
          </w:p>
        </w:tc>
      </w:tr>
    </w:tbl>
    <w:p w14:paraId="0166A81E">
      <w:pPr>
        <w:adjustRightInd w:val="0"/>
        <w:snapToGrid w:val="0"/>
        <w:outlineLvl w:val="1"/>
        <w:rPr>
          <w:rFonts w:hint="eastAsia" w:ascii="宋体"/>
          <w:b/>
          <w:color w:val="auto"/>
          <w:sz w:val="24"/>
          <w:highlight w:val="none"/>
        </w:rPr>
      </w:pPr>
    </w:p>
    <w:p w14:paraId="2258EFA9">
      <w:pPr>
        <w:numPr>
          <w:ilvl w:val="0"/>
          <w:numId w:val="3"/>
        </w:num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b/>
          <w:color w:val="auto"/>
          <w:sz w:val="24"/>
          <w:highlight w:val="none"/>
        </w:rPr>
        <w:t>质量要求</w:t>
      </w:r>
      <w:r>
        <w:rPr>
          <w:rFonts w:hint="eastAsia" w:ascii="宋体"/>
          <w:b/>
          <w:color w:val="auto"/>
          <w:sz w:val="24"/>
          <w:highlight w:val="none"/>
          <w:lang w:eastAsia="zh-CN"/>
        </w:rPr>
        <w:t>：</w:t>
      </w:r>
      <w:r>
        <w:rPr>
          <w:rFonts w:hint="eastAsia" w:ascii="宋体"/>
          <w:b w:val="0"/>
          <w:bCs/>
          <w:sz w:val="24"/>
          <w:highlight w:val="none"/>
          <w:lang w:eastAsia="zh-CN"/>
        </w:rPr>
        <w:t>供应商须提供符合采购需求、全新、未使用过的原装合格正品，并完全符合竞争性磋商文件及本项目合同规定的质量、规格和性能的要求</w:t>
      </w:r>
      <w:r>
        <w:rPr>
          <w:rFonts w:hint="eastAsia" w:ascii="宋体"/>
          <w:b w:val="0"/>
          <w:bCs/>
          <w:color w:val="auto"/>
          <w:sz w:val="24"/>
          <w:highlight w:val="none"/>
          <w:lang w:eastAsia="zh-CN"/>
        </w:rPr>
        <w:t>。</w:t>
      </w:r>
    </w:p>
    <w:p w14:paraId="3451824F">
      <w:pPr>
        <w:numPr>
          <w:ilvl w:val="0"/>
          <w:numId w:val="3"/>
        </w:num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cs="Times New Roman"/>
          <w:b/>
          <w:color w:val="auto"/>
          <w:sz w:val="24"/>
          <w:highlight w:val="none"/>
          <w:lang w:eastAsia="zh-CN"/>
        </w:rPr>
        <w:t>质保期</w:t>
      </w:r>
      <w:r>
        <w:rPr>
          <w:rFonts w:hint="eastAsia" w:ascii="宋体" w:hAnsi="Times New Roman" w:eastAsia="宋体" w:cs="Times New Roman"/>
          <w:b/>
          <w:color w:val="auto"/>
          <w:sz w:val="24"/>
          <w:highlight w:val="none"/>
          <w:lang w:eastAsia="zh-CN"/>
        </w:rPr>
        <w:t>：</w:t>
      </w:r>
      <w:r>
        <w:rPr>
          <w:rFonts w:hint="eastAsia" w:ascii="宋体" w:cs="Times New Roman"/>
          <w:b/>
          <w:color w:val="auto"/>
          <w:sz w:val="24"/>
          <w:highlight w:val="none"/>
          <w:lang w:val="en-US" w:eastAsia="zh-CN"/>
        </w:rPr>
        <w:t>1</w:t>
      </w:r>
      <w:r>
        <w:rPr>
          <w:rFonts w:hint="eastAsia" w:ascii="宋体" w:cs="Times New Roman"/>
          <w:color w:val="auto"/>
          <w:sz w:val="24"/>
          <w:highlight w:val="none"/>
          <w:lang w:eastAsia="zh-CN"/>
        </w:rPr>
        <w:t>年。</w:t>
      </w:r>
    </w:p>
    <w:p w14:paraId="0C9EF656">
      <w:p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b/>
          <w:color w:val="auto"/>
          <w:sz w:val="24"/>
          <w:highlight w:val="none"/>
          <w:lang w:eastAsia="zh-CN"/>
        </w:rPr>
        <w:t>五</w:t>
      </w:r>
      <w:r>
        <w:rPr>
          <w:rFonts w:hint="eastAsia" w:ascii="宋体"/>
          <w:b/>
          <w:color w:val="auto"/>
          <w:sz w:val="24"/>
          <w:highlight w:val="none"/>
        </w:rPr>
        <w:t>、</w:t>
      </w:r>
      <w:r>
        <w:rPr>
          <w:rFonts w:hint="eastAsia" w:ascii="宋体"/>
          <w:b/>
          <w:color w:val="auto"/>
          <w:sz w:val="24"/>
          <w:highlight w:val="none"/>
          <w:lang w:eastAsia="zh-CN"/>
        </w:rPr>
        <w:t>服务周期</w:t>
      </w:r>
      <w:r>
        <w:rPr>
          <w:rFonts w:hint="eastAsia" w:ascii="宋体"/>
          <w:b/>
          <w:color w:val="auto"/>
          <w:sz w:val="24"/>
          <w:highlight w:val="none"/>
        </w:rPr>
        <w:t>：</w:t>
      </w:r>
      <w:r>
        <w:rPr>
          <w:rFonts w:hint="eastAsia" w:ascii="宋体" w:hAnsi="Times New Roman" w:eastAsia="宋体" w:cs="Times New Roman"/>
          <w:color w:val="auto"/>
          <w:sz w:val="24"/>
          <w:highlight w:val="none"/>
          <w:lang w:eastAsia="zh-CN"/>
        </w:rPr>
        <w:t>供应商</w:t>
      </w:r>
      <w:r>
        <w:rPr>
          <w:rFonts w:hint="eastAsia" w:ascii="宋体" w:hAnsi="Times New Roman" w:eastAsia="宋体" w:cs="Times New Roman"/>
          <w:color w:val="auto"/>
          <w:sz w:val="24"/>
          <w:highlight w:val="none"/>
        </w:rPr>
        <w:t>接到采购单位通知后，</w:t>
      </w:r>
      <w:r>
        <w:rPr>
          <w:rFonts w:hint="eastAsia" w:ascii="宋体" w:hAnsi="Times New Roman" w:eastAsia="宋体" w:cs="Times New Roman"/>
          <w:sz w:val="24"/>
          <w:highlight w:val="none"/>
        </w:rPr>
        <w:t>须在</w:t>
      </w:r>
      <w:r>
        <w:rPr>
          <w:rFonts w:hint="eastAsia" w:ascii="宋体" w:hAnsi="Times New Roman" w:eastAsia="宋体" w:cs="Times New Roman"/>
          <w:sz w:val="24"/>
          <w:highlight w:val="none"/>
          <w:lang w:val="en-US" w:eastAsia="zh-CN"/>
        </w:rPr>
        <w:t>9</w:t>
      </w:r>
      <w:r>
        <w:rPr>
          <w:rFonts w:hint="eastAsia" w:ascii="宋体" w:hAnsi="Times New Roman" w:eastAsia="宋体" w:cs="Times New Roman"/>
          <w:sz w:val="24"/>
          <w:highlight w:val="none"/>
        </w:rPr>
        <w:t>0个日历日内安装集成完毕</w:t>
      </w:r>
      <w:r>
        <w:rPr>
          <w:rFonts w:hint="eastAsia" w:ascii="宋体" w:hAnsi="Times New Roman" w:eastAsia="宋体" w:cs="Times New Roman"/>
          <w:color w:val="auto"/>
          <w:sz w:val="24"/>
          <w:highlight w:val="none"/>
        </w:rPr>
        <w:t>。逾期未移交的，每延迟一周（不满一周按一周计算），按成交价格的百分之二向采购人支付违约金。</w:t>
      </w:r>
    </w:p>
    <w:p w14:paraId="0984A8E6">
      <w:pPr>
        <w:adjustRightInd w:val="0"/>
        <w:snapToGrid w:val="0"/>
        <w:spacing w:line="360" w:lineRule="auto"/>
        <w:ind w:firstLine="496" w:firstLineChars="206"/>
        <w:outlineLvl w:val="1"/>
        <w:rPr>
          <w:rFonts w:hint="eastAsia" w:ascii="宋体"/>
          <w:b/>
          <w:color w:val="auto"/>
          <w:sz w:val="24"/>
          <w:highlight w:val="none"/>
          <w:lang w:eastAsia="zh-CN"/>
        </w:rPr>
      </w:pPr>
      <w:r>
        <w:rPr>
          <w:rFonts w:hint="eastAsia" w:ascii="宋体"/>
          <w:b/>
          <w:color w:val="auto"/>
          <w:sz w:val="24"/>
          <w:highlight w:val="none"/>
          <w:lang w:eastAsia="zh-CN"/>
        </w:rPr>
        <w:t>六</w:t>
      </w:r>
      <w:r>
        <w:rPr>
          <w:rFonts w:hint="eastAsia" w:ascii="宋体"/>
          <w:b/>
          <w:color w:val="auto"/>
          <w:sz w:val="24"/>
          <w:highlight w:val="none"/>
        </w:rPr>
        <w:t>、</w:t>
      </w:r>
      <w:r>
        <w:rPr>
          <w:rFonts w:hint="eastAsia" w:ascii="宋体"/>
          <w:b/>
          <w:color w:val="auto"/>
          <w:sz w:val="24"/>
          <w:highlight w:val="none"/>
          <w:lang w:eastAsia="zh-CN"/>
        </w:rPr>
        <w:t>售后服务要求</w:t>
      </w:r>
    </w:p>
    <w:p w14:paraId="5E906BBA">
      <w:pPr>
        <w:adjustRightInd w:val="0"/>
        <w:snapToGrid w:val="0"/>
        <w:spacing w:line="360" w:lineRule="auto"/>
        <w:ind w:firstLine="494" w:firstLineChars="206"/>
        <w:outlineLvl w:val="1"/>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1.</w:t>
      </w:r>
      <w:r>
        <w:rPr>
          <w:rFonts w:hint="eastAsia" w:ascii="宋体" w:hAnsi="Times New Roman" w:eastAsia="宋体" w:cs="Times New Roman"/>
          <w:color w:val="auto"/>
          <w:sz w:val="24"/>
          <w:highlight w:val="none"/>
        </w:rPr>
        <w:t>因启东市妇幼保健院无专职技术人员，必须考虑集成后高质量运行的要求，不仅在集成过程中要有完善的技术保障，在出现故障时也要有及时有效的应急服务保障，为充分满足售后服务及维护的要求。</w:t>
      </w:r>
    </w:p>
    <w:p w14:paraId="4CC52E4E">
      <w:pPr>
        <w:adjustRightInd w:val="0"/>
        <w:snapToGrid w:val="0"/>
        <w:spacing w:line="360" w:lineRule="auto"/>
        <w:ind w:firstLine="494" w:firstLineChars="206"/>
        <w:outlineLvl w:val="1"/>
        <w:rPr>
          <w:rFonts w:hint="default" w:ascii="宋体"/>
          <w:b/>
          <w:color w:val="auto"/>
          <w:sz w:val="24"/>
          <w:highlight w:val="none"/>
          <w:lang w:val="en-US" w:eastAsia="zh-CN"/>
        </w:rPr>
      </w:pPr>
      <w:r>
        <w:rPr>
          <w:rFonts w:hint="eastAsia" w:ascii="宋体" w:hAnsi="Times New Roman" w:eastAsia="宋体" w:cs="Times New Roman"/>
          <w:color w:val="auto"/>
          <w:sz w:val="24"/>
          <w:highlight w:val="none"/>
          <w:lang w:val="en-US" w:eastAsia="zh-CN"/>
        </w:rPr>
        <w:t>2.</w:t>
      </w:r>
      <w:r>
        <w:rPr>
          <w:rFonts w:hint="eastAsia" w:ascii="宋体" w:hAnsi="Times New Roman" w:eastAsia="宋体" w:cs="Times New Roman"/>
          <w:color w:val="auto"/>
          <w:sz w:val="24"/>
          <w:highlight w:val="none"/>
        </w:rPr>
        <w:t>签订采购合同之日起，在全部验收合格前，供应商必须安排不少于壹名具备良好职业素质的员工与医院工作人员同时间同地点协同完成有关工作，完全遵守医院各项管理制度，服从医院工作指派。</w:t>
      </w:r>
    </w:p>
    <w:p w14:paraId="6C7355E5">
      <w:pPr>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、验收要求</w:t>
      </w:r>
    </w:p>
    <w:p w14:paraId="1FC36CF8">
      <w:pPr>
        <w:adjustRightInd w:val="0"/>
        <w:snapToGrid w:val="0"/>
        <w:spacing w:line="360" w:lineRule="auto"/>
        <w:ind w:firstLine="494" w:firstLineChars="206"/>
        <w:outlineLvl w:val="1"/>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在成交供应商安装、调试完毕后，招标人组织验收。验收合格后，成交供应商向采购单位提交验收申请报告，采购单位收到验收申请报告后将组织验收小组根据</w:t>
      </w:r>
      <w:r>
        <w:rPr>
          <w:rFonts w:hint="eastAsia" w:ascii="宋体" w:hAnsi="Times New Roman" w:eastAsia="宋体" w:cs="Times New Roman"/>
          <w:color w:val="auto"/>
          <w:sz w:val="24"/>
          <w:highlight w:val="none"/>
          <w:lang w:eastAsia="zh-CN"/>
        </w:rPr>
        <w:t>磋商文件</w:t>
      </w:r>
      <w:r>
        <w:rPr>
          <w:rFonts w:hint="eastAsia" w:ascii="宋体" w:hAnsi="Times New Roman" w:eastAsia="宋体" w:cs="Times New Roman"/>
          <w:color w:val="auto"/>
          <w:sz w:val="24"/>
          <w:highlight w:val="none"/>
        </w:rPr>
        <w:t>和供应商报价文件对供应商</w:t>
      </w:r>
      <w:r>
        <w:rPr>
          <w:rFonts w:hint="eastAsia" w:ascii="宋体" w:hAnsi="Times New Roman" w:eastAsia="宋体" w:cs="Times New Roman"/>
          <w:color w:val="auto"/>
          <w:sz w:val="24"/>
          <w:highlight w:val="none"/>
          <w:lang w:eastAsia="zh-CN"/>
        </w:rPr>
        <w:t>的服务成果</w:t>
      </w:r>
      <w:r>
        <w:rPr>
          <w:rFonts w:hint="eastAsia" w:ascii="宋体" w:hAnsi="Times New Roman" w:eastAsia="宋体" w:cs="Times New Roman"/>
          <w:color w:val="auto"/>
          <w:sz w:val="24"/>
          <w:highlight w:val="none"/>
        </w:rPr>
        <w:t>进行验收。如验收时发现有参数偏离且未在报价文件中说明的，视为验收不合格。如以上检测、验收发现</w:t>
      </w:r>
      <w:r>
        <w:rPr>
          <w:rFonts w:hint="eastAsia" w:ascii="宋体" w:hAnsi="Times New Roman" w:eastAsia="宋体" w:cs="Times New Roman"/>
          <w:color w:val="auto"/>
          <w:sz w:val="24"/>
          <w:highlight w:val="none"/>
          <w:lang w:eastAsia="zh-CN"/>
        </w:rPr>
        <w:t>服务成果</w:t>
      </w:r>
      <w:r>
        <w:rPr>
          <w:rFonts w:hint="eastAsia" w:ascii="宋体" w:hAnsi="Times New Roman" w:eastAsia="宋体" w:cs="Times New Roman"/>
          <w:color w:val="auto"/>
          <w:sz w:val="24"/>
          <w:highlight w:val="none"/>
        </w:rPr>
        <w:t>有不符合</w:t>
      </w:r>
      <w:r>
        <w:rPr>
          <w:rFonts w:hint="eastAsia" w:ascii="宋体" w:hAnsi="Times New Roman" w:eastAsia="宋体" w:cs="Times New Roman"/>
          <w:color w:val="auto"/>
          <w:sz w:val="24"/>
          <w:highlight w:val="none"/>
          <w:lang w:eastAsia="zh-CN"/>
        </w:rPr>
        <w:t>磋商</w:t>
      </w:r>
      <w:r>
        <w:rPr>
          <w:rFonts w:hint="eastAsia" w:ascii="宋体" w:hAnsi="Times New Roman" w:eastAsia="宋体" w:cs="Times New Roman"/>
          <w:color w:val="auto"/>
          <w:sz w:val="24"/>
          <w:highlight w:val="none"/>
        </w:rPr>
        <w:t>文件参数要求等情况，采购将视作成交供应商违约，有权终止双方合同、不予退还履约保证金，同时成交供应商还应承担采购人的一切损失并报相关部门予以处罚。</w:t>
      </w:r>
    </w:p>
    <w:p w14:paraId="6D0D274D">
      <w:pPr>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、付款方式</w:t>
      </w:r>
    </w:p>
    <w:p w14:paraId="0C9ED1E4">
      <w:pPr>
        <w:adjustRightInd w:val="0"/>
        <w:snapToGrid w:val="0"/>
        <w:spacing w:line="360" w:lineRule="auto"/>
        <w:ind w:firstLine="494" w:firstLineChars="206"/>
        <w:outlineLvl w:val="1"/>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合同合同签订后30日内付合同价的10%;软件无故障运行并验收合格一个月内付合同价的80%给供方;服务期满一年并在无故障运行情况下一个月内支付合同价的10%给供方。</w:t>
      </w:r>
    </w:p>
    <w:p w14:paraId="5B660DC9">
      <w:pPr>
        <w:pStyle w:val="2"/>
        <w:rPr>
          <w:color w:val="auto"/>
          <w:highlight w:val="none"/>
        </w:rPr>
      </w:pPr>
    </w:p>
    <w:p w14:paraId="11E78A0A">
      <w:pPr>
        <w:spacing w:line="500" w:lineRule="exact"/>
        <w:jc w:val="center"/>
        <w:rPr>
          <w:rFonts w:ascii="宋体"/>
          <w:color w:val="auto"/>
          <w:sz w:val="24"/>
          <w:highlight w:val="none"/>
        </w:rPr>
      </w:pPr>
      <w:r>
        <w:rPr>
          <w:rFonts w:hint="eastAsia" w:ascii="宋体" w:hAnsi="宋体"/>
          <w:color w:val="auto"/>
          <w:sz w:val="28"/>
          <w:szCs w:val="28"/>
          <w:highlight w:val="none"/>
        </w:rPr>
        <w:t>第三部分  供应商须知</w:t>
      </w:r>
    </w:p>
    <w:p w14:paraId="259D1B8F">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一、磋商文件的阅读</w:t>
      </w:r>
    </w:p>
    <w:p w14:paraId="2A0D1E9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供应商应详细阅读磋商文件的全部内容，供应商对磋商文件有疑问或异议的，必须在投标截止日3天前以书面形式向采购单位提出。</w:t>
      </w:r>
    </w:p>
    <w:p w14:paraId="6ABE608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二、磋商文件的修改</w:t>
      </w:r>
    </w:p>
    <w:p w14:paraId="1D3E1AA6">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、采购单位可对磋商文件用补充文件的方式进行修改，并在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6221F846">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、补充文件将作为磋商文件的组成部分，对所有供应商有约束力。</w:t>
      </w:r>
    </w:p>
    <w:p w14:paraId="40C787B2">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、若采购单位认为需要推迟投标截止日期和开标日期，将在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78EF38F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三、磋商文件应包括下列内容：</w:t>
      </w:r>
    </w:p>
    <w:p w14:paraId="776E0F8A">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磋商响应文件由书面磋商响应文件（资格审查文件、商务技术标文件、价格标文件）组成：</w:t>
      </w:r>
    </w:p>
    <w:p w14:paraId="59E1FE21">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（一）资格审查文件（根据招标函中的供应商资质要求提供）</w:t>
      </w:r>
    </w:p>
    <w:p w14:paraId="4CF4D3F0">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1、磋商承诺书（按照附件一格式填写）；</w:t>
      </w:r>
    </w:p>
    <w:p w14:paraId="3427BE66">
      <w:pPr>
        <w:snapToGrid w:val="0"/>
        <w:spacing w:line="44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商务部分正负偏离表（格式见附件二）；技术部分正负偏离表（格式见附件三）；</w:t>
      </w:r>
    </w:p>
    <w:p w14:paraId="40289E63">
      <w:pPr>
        <w:snapToGrid w:val="0"/>
        <w:spacing w:line="440" w:lineRule="exact"/>
        <w:ind w:firstLine="482" w:firstLineChars="200"/>
        <w:rPr>
          <w:rFonts w:hint="eastAsia" w:ascii="宋体" w:hAnsi="宋体"/>
          <w:color w:val="auto"/>
          <w:sz w:val="24"/>
          <w:highlight w:val="none"/>
          <w:lang w:val="en-US" w:eastAsia="zh-CN"/>
        </w:rPr>
      </w:pPr>
      <w:r>
        <w:rPr>
          <w:rFonts w:hint="eastAsia" w:ascii="宋体" w:hAnsi="宋体"/>
          <w:b/>
          <w:bCs/>
          <w:color w:val="auto"/>
          <w:sz w:val="24"/>
          <w:highlight w:val="none"/>
          <w:lang w:val="zh-CN"/>
        </w:rPr>
        <w:t>填制正负偏离表，完全响应的，请以空白表列示。不完全响应的，必须在偏离表中列示；列示不全的，视同故意隐瞒。</w:t>
      </w:r>
    </w:p>
    <w:p w14:paraId="7D7AC47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四</w:t>
      </w:r>
      <w:r>
        <w:rPr>
          <w:rFonts w:hint="eastAsia" w:ascii="宋体" w:hAnsi="宋体"/>
          <w:color w:val="auto"/>
          <w:sz w:val="24"/>
          <w:highlight w:val="none"/>
        </w:rPr>
        <w:t>格式填写，法定代表人亲自参加的，无需提供授权委托书；非法定代表人参加投标时提交，身份证原件备查）；</w:t>
      </w:r>
    </w:p>
    <w:p w14:paraId="10B1649D">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、法定代表人身份证复印件（无论法定代表人是否亲自参加磋商均需提供本项材料，法定代表人亲自参加磋商时，身份证原件备查）；</w:t>
      </w:r>
    </w:p>
    <w:p w14:paraId="1246D38C">
      <w:pPr>
        <w:pStyle w:val="2"/>
        <w:spacing w:after="0"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、有效的营业执照（副本）复印件；</w:t>
      </w:r>
    </w:p>
    <w:p w14:paraId="5C2F3D88">
      <w:pPr>
        <w:spacing w:line="440" w:lineRule="exact"/>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、参加采购活动前三年内在经营活动中没有重大违法记录的书面声明（按照附件</w:t>
      </w:r>
      <w:r>
        <w:rPr>
          <w:rFonts w:hint="eastAsia" w:ascii="宋体" w:hAnsi="宋体"/>
          <w:color w:val="auto"/>
          <w:sz w:val="24"/>
          <w:highlight w:val="none"/>
          <w:lang w:eastAsia="zh-CN"/>
        </w:rPr>
        <w:t>五</w:t>
      </w:r>
      <w:r>
        <w:rPr>
          <w:rFonts w:hint="eastAsia" w:ascii="宋体" w:hAnsi="宋体"/>
          <w:color w:val="auto"/>
          <w:sz w:val="24"/>
          <w:highlight w:val="none"/>
        </w:rPr>
        <w:t>格式填写）；</w:t>
      </w:r>
    </w:p>
    <w:p w14:paraId="527AF4AA">
      <w:pPr>
        <w:spacing w:line="440" w:lineRule="exact"/>
        <w:ind w:firstLine="482" w:firstLineChars="200"/>
        <w:jc w:val="left"/>
        <w:rPr>
          <w:rFonts w:ascii="宋体" w:cs="仿宋_GB2312"/>
          <w:b/>
          <w:bCs/>
          <w:color w:val="auto"/>
          <w:sz w:val="24"/>
          <w:highlight w:val="none"/>
        </w:rPr>
      </w:pPr>
      <w:r>
        <w:rPr>
          <w:rFonts w:hint="eastAsia" w:ascii="宋体" w:hAnsi="宋体" w:cs="仿宋_GB2312"/>
          <w:b/>
          <w:bCs/>
          <w:color w:val="auto"/>
          <w:sz w:val="24"/>
          <w:highlight w:val="none"/>
        </w:rPr>
        <w:t>注意：</w:t>
      </w:r>
      <w:r>
        <w:rPr>
          <w:rFonts w:hint="eastAsia" w:ascii="宋体" w:hAnsi="宋体" w:cs="仿宋_GB2312"/>
          <w:b/>
          <w:color w:val="auto"/>
          <w:sz w:val="24"/>
          <w:highlight w:val="none"/>
        </w:rPr>
        <w:t>上述复印件均需加盖单位公章。</w:t>
      </w:r>
    </w:p>
    <w:p w14:paraId="47EB0735">
      <w:pPr>
        <w:spacing w:line="440" w:lineRule="exact"/>
        <w:ind w:firstLine="240" w:firstLineChars="100"/>
        <w:jc w:val="left"/>
        <w:rPr>
          <w:rFonts w:ascii="宋体"/>
          <w:color w:val="auto"/>
          <w:sz w:val="24"/>
          <w:highlight w:val="none"/>
        </w:rPr>
      </w:pPr>
      <w:r>
        <w:rPr>
          <w:rFonts w:hint="eastAsia" w:ascii="宋体" w:hAnsi="宋体"/>
          <w:color w:val="auto"/>
          <w:sz w:val="24"/>
          <w:highlight w:val="none"/>
        </w:rPr>
        <w:t>（二）商务技术标文件：本磋商文件评标办法中要求提供的证明材料</w:t>
      </w:r>
    </w:p>
    <w:p w14:paraId="267CB1C6">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（三）价格标文件</w:t>
      </w:r>
    </w:p>
    <w:p w14:paraId="5F6C01E8">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磋商报价表（按照附件六格式填写，必须加盖供应商公章）（磋商报价表必须密封在价格标密封袋内，投标文件的其他地方不得出现报价金额，否则按无效投标文件处理。）</w:t>
      </w:r>
    </w:p>
    <w:p w14:paraId="4592D0A3">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最后报价一览表（按照附件七格式填写）供应商须签字并加盖单位公章后密封在价格标密封袋内，在开标现场填写，供最后报价时使用。</w:t>
      </w:r>
    </w:p>
    <w:p w14:paraId="5A11C27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四、磋商响应文件的签署</w:t>
      </w:r>
    </w:p>
    <w:p w14:paraId="0F9D1379">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、磋商响应文件均需用</w:t>
      </w:r>
      <w:r>
        <w:rPr>
          <w:rFonts w:ascii="宋体" w:hAnsi="宋体"/>
          <w:color w:val="auto"/>
          <w:sz w:val="24"/>
          <w:highlight w:val="none"/>
        </w:rPr>
        <w:t>A4</w:t>
      </w:r>
      <w:r>
        <w:rPr>
          <w:rFonts w:hint="eastAsia" w:ascii="宋体" w:hAnsi="宋体"/>
          <w:color w:val="auto"/>
          <w:sz w:val="24"/>
          <w:highlight w:val="none"/>
        </w:rPr>
        <w:t>纸打印并装订成册，签字使用不褪色的蓝、黑墨水笔书写，字迹应清晰易于辨认，如</w:t>
      </w:r>
      <w:r>
        <w:rPr>
          <w:rFonts w:hint="eastAsia" w:ascii="宋体" w:hAnsi="宋体"/>
          <w:color w:val="auto"/>
          <w:kern w:val="0"/>
          <w:sz w:val="24"/>
          <w:highlight w:val="none"/>
        </w:rPr>
        <w:t>因磋商</w:t>
      </w:r>
      <w:r>
        <w:rPr>
          <w:rFonts w:hint="eastAsia" w:ascii="宋体" w:hAnsi="宋体"/>
          <w:color w:val="auto"/>
          <w:sz w:val="24"/>
          <w:highlight w:val="none"/>
        </w:rPr>
        <w:t>响应</w:t>
      </w:r>
      <w:r>
        <w:rPr>
          <w:rFonts w:hint="eastAsia" w:ascii="宋体" w:hAnsi="宋体"/>
          <w:color w:val="auto"/>
          <w:kern w:val="0"/>
          <w:sz w:val="24"/>
          <w:highlight w:val="none"/>
        </w:rPr>
        <w:t>文件字迹潦草或表达不清所引起的后果由供应商负责</w:t>
      </w:r>
      <w:r>
        <w:rPr>
          <w:rFonts w:hint="eastAsia" w:ascii="宋体" w:hAnsi="宋体"/>
          <w:color w:val="auto"/>
          <w:sz w:val="24"/>
          <w:highlight w:val="none"/>
        </w:rPr>
        <w:t>。供应商应在磋商响应文件封面的右上角清楚地注明“正本”或“副本”。正本和副本如有不一致之处，以正本为准。</w:t>
      </w:r>
    </w:p>
    <w:p w14:paraId="776555B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、磋商响应文件须加盖骑缝章或每页盖章，磋商响应文件的报价表必须盖章。</w:t>
      </w:r>
    </w:p>
    <w:p w14:paraId="2C87395C">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、磋商响应文件如有修改、行间内插字和增删，修改处应加盖供应商的印章。</w:t>
      </w:r>
    </w:p>
    <w:p w14:paraId="19B18487">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五、磋商文件的密封与递交</w:t>
      </w:r>
    </w:p>
    <w:p w14:paraId="531647F1">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采购单位不接收供应商邮寄磋商响应文件。</w:t>
      </w:r>
    </w:p>
    <w:p w14:paraId="7545BA11">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磋商响应文件必须提供</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491CAB75">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磋商响应文件分三包密封，一包资格审查文件、一包商务技术标、一包价格标（每包内含相应文件</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294886C3">
      <w:pPr>
        <w:snapToGrid w:val="0"/>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供应商应在磋商响应文件密封袋上标明：采购单位名称、项目名称、供应商名称、磋商响应文件名称（如：“资格审查文件”、“商务技术标文件”、“价格标文件”）。</w:t>
      </w:r>
    </w:p>
    <w:p w14:paraId="426D2D73">
      <w:pPr>
        <w:snapToGrid w:val="0"/>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所有磋商响应文件的密封袋封口处均应加盖供应商印章。</w:t>
      </w:r>
    </w:p>
    <w:p w14:paraId="478BBE78">
      <w:pPr>
        <w:snapToGrid w:val="0"/>
        <w:spacing w:line="440" w:lineRule="exact"/>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如果供应商未按上述要求密封及加写标记，将作无效磋商响应文件处理。</w:t>
      </w:r>
    </w:p>
    <w:p w14:paraId="3F4286D3">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六、磋商响应文件提交的截止时间</w:t>
      </w:r>
    </w:p>
    <w:p w14:paraId="0642717C">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、供应商应于磋商文件中规定的递交磋商响应文件截止时间前将书面磋商响应文件送至指定的投标地点。</w:t>
      </w:r>
    </w:p>
    <w:p w14:paraId="3A207E1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、如到投标截止时间为止，收到的有效响应文件或经评审后有效的响应文件少于两个的（不含两个），项目废标，采购人将依法重新组织采购。</w:t>
      </w:r>
    </w:p>
    <w:p w14:paraId="65C43C44">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、采购单位推迟投标截止时间，采购单位和供应商的权利和义务将受到新的截止时间的约束。</w:t>
      </w:r>
    </w:p>
    <w:p w14:paraId="2101B74B">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七、磋商响应文件的修改和撤回</w:t>
      </w:r>
    </w:p>
    <w:p w14:paraId="7FE4457B">
      <w:pPr>
        <w:snapToGrid w:val="0"/>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、如果供应商提出修改或撤标要求，在投标截止时间前书面送达采购单位，采购单位可以予以接受，但不退还磋商响应文件；</w:t>
      </w:r>
    </w:p>
    <w:p w14:paraId="158B17BB">
      <w:pPr>
        <w:snapToGrid w:val="0"/>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、供应商修改磋商响应文件的书面材料，须密封送达采购单位，同时在封套上标明“修改磋商响应文件”和“开标时启封”字样；</w:t>
      </w:r>
    </w:p>
    <w:p w14:paraId="174683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八、迟交的投标文件</w:t>
      </w:r>
    </w:p>
    <w:p w14:paraId="1654784F">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在规定的投标截止时间以后递交的磋商响应文件，将被拒收。</w:t>
      </w:r>
    </w:p>
    <w:p w14:paraId="07741B96">
      <w:pPr>
        <w:snapToGrid w:val="0"/>
        <w:spacing w:line="460" w:lineRule="exact"/>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九、磋商保证金</w:t>
      </w:r>
      <w:r>
        <w:rPr>
          <w:rFonts w:hint="eastAsia" w:ascii="宋体" w:hAnsi="宋体"/>
          <w:color w:val="auto"/>
          <w:sz w:val="24"/>
          <w:highlight w:val="none"/>
          <w:lang w:eastAsia="zh-CN"/>
        </w:rPr>
        <w:t>：根据省财政厅要求，本项目免收磋商保证金。</w:t>
      </w:r>
    </w:p>
    <w:p w14:paraId="21AA9A8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十、磋商响应文件的无效情形</w:t>
      </w:r>
    </w:p>
    <w:p w14:paraId="58B07BE6">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开标时，出现下列情形之一的，磋商响应文件应当作为无效文件：</w:t>
      </w:r>
    </w:p>
    <w:p w14:paraId="22DC4E02">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1</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磋商响应文件的资格审查文件部分不符合磋商文件要求的；</w:t>
      </w:r>
    </w:p>
    <w:p w14:paraId="5BD14490">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．磋商响应文件未按照磋商文件的要求进行制作或密封的；</w:t>
      </w:r>
    </w:p>
    <w:p w14:paraId="1B83C498">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．磋商响应文件未按规定加盖供应商印章，磋商响应报价表未盖章的；</w:t>
      </w:r>
    </w:p>
    <w:p w14:paraId="37C2987A">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．磋商响应文件的关键内容字迹模糊，无法辨认的；</w:t>
      </w:r>
    </w:p>
    <w:p w14:paraId="064A3D8F">
      <w:pPr>
        <w:snapToGrid w:val="0"/>
        <w:spacing w:line="460" w:lineRule="exact"/>
        <w:ind w:firstLine="420" w:firstLineChars="200"/>
        <w:rPr>
          <w:rFonts w:ascii="宋体" w:hAnsi="宋体"/>
          <w:bCs/>
          <w:color w:val="auto"/>
          <w:sz w:val="24"/>
          <w:highlight w:val="none"/>
        </w:rPr>
      </w:pPr>
      <w:r>
        <w:rPr>
          <w:rFonts w:hint="default"/>
          <w:color w:val="auto"/>
          <w:highlight w:val="none"/>
          <w:lang w:val="en-US"/>
        </w:rPr>
        <mc:AlternateContent>
          <mc:Choice Requires="wps">
            <w:drawing>
              <wp:anchor distT="0" distB="0" distL="114300" distR="114300" simplePos="0" relativeHeight="251659264" behindDoc="0" locked="0" layoutInCell="1" allowOverlap="1">
                <wp:simplePos x="0" y="0"/>
                <wp:positionH relativeFrom="column">
                  <wp:posOffset>5734685</wp:posOffset>
                </wp:positionH>
                <wp:positionV relativeFrom="paragraph">
                  <wp:posOffset>38735</wp:posOffset>
                </wp:positionV>
                <wp:extent cx="485775" cy="1038225"/>
                <wp:effectExtent l="4445" t="5080" r="5080"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7F1CE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1.55pt;margin-top:3.05pt;height:81.75pt;width:38.25pt;z-index:251659264;mso-width-relative:page;mso-height-relative:page;" fillcolor="#FFFFFF" filled="t" stroked="t" coordsize="21600,21600" o:gfxdata="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kAoQ1wAAAAkBAAAPAAAAAAAAAAEAIAAAACIA&#10;AABkcnMvZG93bnJldi54bWxQSwECFAAUAAAACACHTuJAJ5yWuUMCAACVBAAADgAAAAAAAAABACAA&#10;AAAmAQAAZHJzL2Uyb0RvYy54bWxQSwUGAAAAAAYABgBZAQAA2wUAAAAA&#10;">
                <v:fill on="t" focussize="0,0"/>
                <v:stroke color="#FFFFFF" miterlimit="8" joinstyle="miter"/>
                <v:imagedata o:title=""/>
                <o:lock v:ext="edit" aspectratio="f"/>
                <v:textbox>
                  <w:txbxContent>
                    <w:p w14:paraId="7F1CEF04"/>
                  </w:txbxContent>
                </v:textbox>
              </v:shape>
            </w:pict>
          </mc:Fallback>
        </mc:AlternateContent>
      </w:r>
      <w:r>
        <w:rPr>
          <w:rFonts w:hint="default"/>
          <w:color w:val="auto"/>
          <w:highlight w:val="none"/>
          <w:lang w:val="en-US"/>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38735</wp:posOffset>
                </wp:positionV>
                <wp:extent cx="485775" cy="1038225"/>
                <wp:effectExtent l="4445" t="5080" r="508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273B7FA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pt;margin-top:3.05pt;height:81.75pt;width:38.25pt;z-index:251660288;mso-width-relative:page;mso-height-relative:page;" fillcolor="#FFFFFF" filled="t" stroked="t" coordsize="21600,21600" o:gfxdata="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5uNt9YAAAAIAQAADwAAAAAAAAABACAAAAAiAAAA&#10;ZHJzL2Rvd25yZXYueG1sUEsBAhQAFAAAAAgAh07iQAYin4lCAgAAlQQAAA4AAAAAAAAAAQAgAAAA&#10;JQEAAGRycy9lMm9Eb2MueG1sUEsFBgAAAAAGAAYAWQEAANkFAAAAAA==&#10;">
                <v:fill on="t" focussize="0,0"/>
                <v:stroke color="#FFFFFF" miterlimit="8" joinstyle="miter"/>
                <v:imagedata o:title=""/>
                <o:lock v:ext="edit" aspectratio="f"/>
                <v:textbox>
                  <w:txbxContent>
                    <w:p w14:paraId="273B7FA5"/>
                  </w:txbxContent>
                </v:textbox>
              </v:shape>
            </w:pict>
          </mc:Fallback>
        </mc:AlternateContent>
      </w:r>
      <w:r>
        <w:rPr>
          <w:rFonts w:hint="eastAsia"/>
          <w:color w:val="auto"/>
          <w:highlight w:val="none"/>
          <w:lang w:val="en-US" w:eastAsia="zh-CN"/>
        </w:rPr>
        <w:t>5</w:t>
      </w:r>
      <w:r>
        <w:rPr>
          <w:rFonts w:ascii="宋体" w:hAnsi="宋体"/>
          <w:bCs/>
          <w:color w:val="auto"/>
          <w:sz w:val="24"/>
          <w:highlight w:val="none"/>
        </w:rPr>
        <w:t xml:space="preserve">. </w:t>
      </w:r>
      <w:r>
        <w:rPr>
          <w:rFonts w:hint="eastAsia" w:ascii="宋体" w:hAnsi="宋体"/>
          <w:bCs/>
          <w:color w:val="auto"/>
          <w:sz w:val="24"/>
          <w:highlight w:val="none"/>
        </w:rPr>
        <w:t>磋商响应文件中除价格标外出现报价的；</w:t>
      </w:r>
    </w:p>
    <w:p w14:paraId="27A226E2">
      <w:pPr>
        <w:snapToGrid w:val="0"/>
        <w:spacing w:line="460" w:lineRule="exact"/>
        <w:ind w:firstLine="480" w:firstLineChars="200"/>
        <w:rPr>
          <w:ins w:id="0" w:author="Microsoft" w:date="2016-05-14T19:31:00Z"/>
          <w:rFonts w:ascii="宋体"/>
          <w:bCs/>
          <w:color w:val="auto"/>
          <w:sz w:val="24"/>
          <w:highlight w:val="none"/>
        </w:rPr>
      </w:pPr>
      <w:r>
        <w:rPr>
          <w:rFonts w:hint="eastAsia" w:ascii="宋体" w:hAnsi="宋体"/>
          <w:bCs/>
          <w:color w:val="auto"/>
          <w:sz w:val="24"/>
          <w:highlight w:val="none"/>
          <w:lang w:val="en-US" w:eastAsia="zh-CN"/>
        </w:rPr>
        <w:t>6</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磋商响应文件的资格审查文件要求提供原件备查但投标时未提供原件的；</w:t>
      </w:r>
    </w:p>
    <w:p w14:paraId="06B7EA8A">
      <w:pPr>
        <w:snapToGrid w:val="0"/>
        <w:spacing w:line="460" w:lineRule="exact"/>
        <w:ind w:firstLine="480" w:firstLineChars="200"/>
        <w:rPr>
          <w:ins w:id="1" w:author="Microsoft" w:date="2016-05-14T19:31:00Z"/>
          <w:rFonts w:ascii="宋体"/>
          <w:bCs/>
          <w:color w:val="auto"/>
          <w:sz w:val="24"/>
          <w:highlight w:val="none"/>
        </w:rPr>
      </w:pPr>
      <w:r>
        <w:rPr>
          <w:rFonts w:hint="eastAsia" w:ascii="宋体" w:hAnsi="宋体"/>
          <w:bCs/>
          <w:color w:val="auto"/>
          <w:sz w:val="24"/>
          <w:highlight w:val="none"/>
          <w:lang w:val="en-US" w:eastAsia="zh-CN"/>
        </w:rPr>
        <w:t>7</w:t>
      </w:r>
      <w:r>
        <w:rPr>
          <w:rFonts w:ascii="宋体" w:hAnsi="宋体"/>
          <w:bCs/>
          <w:color w:val="auto"/>
          <w:sz w:val="24"/>
          <w:highlight w:val="none"/>
        </w:rPr>
        <w:t xml:space="preserve">. </w:t>
      </w:r>
      <w:r>
        <w:rPr>
          <w:rFonts w:hint="eastAsia" w:ascii="宋体" w:hAnsi="宋体"/>
          <w:bCs/>
          <w:color w:val="auto"/>
          <w:sz w:val="24"/>
          <w:highlight w:val="none"/>
        </w:rPr>
        <w:t>磋商响应文件与磋商文件有重大偏离的或未能实质性响应磋商文件要求的；</w:t>
      </w:r>
    </w:p>
    <w:p w14:paraId="7B70497C">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．磋商报价</w:t>
      </w:r>
      <w:r>
        <w:rPr>
          <w:rFonts w:hint="eastAsia" w:ascii="宋体" w:hAnsi="宋体"/>
          <w:bCs/>
          <w:color w:val="auto"/>
          <w:sz w:val="24"/>
          <w:highlight w:val="none"/>
          <w:lang w:eastAsia="zh-CN"/>
        </w:rPr>
        <w:t>超过最高限价</w:t>
      </w:r>
      <w:r>
        <w:rPr>
          <w:rFonts w:hint="eastAsia" w:ascii="宋体" w:hAnsi="宋体"/>
          <w:bCs/>
          <w:color w:val="auto"/>
          <w:sz w:val="24"/>
          <w:highlight w:val="none"/>
        </w:rPr>
        <w:t>的；</w:t>
      </w:r>
    </w:p>
    <w:p w14:paraId="7960117E">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供应商的磋商报价</w:t>
      </w:r>
      <w:r>
        <w:rPr>
          <w:rFonts w:hint="eastAsia" w:ascii="宋体" w:hAnsi="宋体"/>
          <w:color w:val="auto"/>
          <w:sz w:val="24"/>
          <w:highlight w:val="none"/>
          <w:lang w:eastAsia="zh-CN"/>
        </w:rPr>
        <w:t>高于</w:t>
      </w:r>
      <w:r>
        <w:rPr>
          <w:rFonts w:hint="eastAsia" w:ascii="宋体" w:hAnsi="宋体"/>
          <w:color w:val="auto"/>
          <w:sz w:val="24"/>
          <w:highlight w:val="none"/>
        </w:rPr>
        <w:t>自己前一轮的。</w:t>
      </w:r>
    </w:p>
    <w:p w14:paraId="3B8E320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十一、各供应商应严格按照本磋商文件中招标说明及招标项目要求中的规定要求，编制相关成果。</w:t>
      </w:r>
    </w:p>
    <w:p w14:paraId="2D037F1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十二、履约保证金金额：被确定成交的供应商，必须在签订合同前向采购单位交纳履约保证金，</w:t>
      </w:r>
      <w:r>
        <w:rPr>
          <w:rFonts w:hint="eastAsia" w:ascii="宋体" w:hAnsi="Times New Roman" w:eastAsia="宋体" w:cs="Times New Roman"/>
          <w:color w:val="auto"/>
          <w:sz w:val="24"/>
          <w:highlight w:val="none"/>
        </w:rPr>
        <w:t>履约保证金金额为成交金额的10%</w:t>
      </w:r>
      <w:r>
        <w:rPr>
          <w:rFonts w:hint="eastAsia" w:ascii="宋体" w:hAnsi="宋体"/>
          <w:color w:val="auto"/>
          <w:sz w:val="24"/>
          <w:highlight w:val="none"/>
          <w:lang w:eastAsia="zh-CN"/>
        </w:rPr>
        <w:t>（形式：转账或银行汇票）</w:t>
      </w:r>
      <w:r>
        <w:rPr>
          <w:rFonts w:hint="eastAsia" w:ascii="宋体" w:hAnsi="宋体"/>
          <w:color w:val="auto"/>
          <w:sz w:val="24"/>
          <w:highlight w:val="none"/>
        </w:rPr>
        <w:t>，在供应商供货、安装完毕经采购单位验收合格并在无故障运行一个月内由采购单位返还</w:t>
      </w:r>
      <w:r>
        <w:rPr>
          <w:rFonts w:hint="eastAsia" w:ascii="宋体" w:hAnsi="宋体"/>
          <w:color w:val="auto"/>
          <w:sz w:val="24"/>
          <w:highlight w:val="none"/>
          <w:lang w:val="en-US" w:eastAsia="zh-CN"/>
        </w:rPr>
        <w:t>。</w:t>
      </w:r>
    </w:p>
    <w:p w14:paraId="5FBB8469">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注：发生以下情况的，履约保证金不予退还或部分退还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cr/>
      </w:r>
      <w:r>
        <w:rPr>
          <w:rFonts w:hint="eastAsia" w:ascii="宋体" w:hAnsi="宋体" w:eastAsia="宋体" w:cs="Times New Roman"/>
          <w:color w:val="auto"/>
          <w:sz w:val="24"/>
          <w:highlight w:val="none"/>
          <w:lang w:val="en-US" w:eastAsia="zh-CN"/>
        </w:rPr>
        <w:tab/>
      </w:r>
      <w:r>
        <w:rPr>
          <w:rFonts w:hint="eastAsia" w:ascii="宋体" w:hAnsi="宋体" w:eastAsia="宋体" w:cs="Times New Roman"/>
          <w:color w:val="auto"/>
          <w:sz w:val="24"/>
          <w:highlight w:val="none"/>
        </w:rPr>
        <w:t>a.签订合同后，成交供应商不履行合同义务的，采购单位有权全额扣除履约保证金，全额不予退还，同时采购单位亦有权终止合同，中标供应商还须承担相应的法律赔偿责任。</w:t>
      </w:r>
    </w:p>
    <w:p w14:paraId="49DA9976">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1A692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十三、供应商在本次招标中所承诺实施的成果质量，可在磋商响应文件中一并申明。</w:t>
      </w:r>
    </w:p>
    <w:p w14:paraId="1FF72892">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color w:val="auto"/>
          <w:sz w:val="24"/>
          <w:highlight w:val="none"/>
        </w:rPr>
        <w:t>十四、</w:t>
      </w:r>
      <w:r>
        <w:rPr>
          <w:rFonts w:hint="eastAsia" w:ascii="宋体" w:hAnsi="宋体"/>
          <w:b w:val="0"/>
          <w:bCs w:val="0"/>
          <w:color w:val="auto"/>
          <w:sz w:val="24"/>
          <w:highlight w:val="none"/>
          <w:lang w:eastAsia="zh-CN"/>
        </w:rPr>
        <w:t>报价要求：</w:t>
      </w:r>
      <w:r>
        <w:rPr>
          <w:rFonts w:hint="eastAsia" w:ascii="宋体" w:hAnsi="Times New Roman" w:eastAsia="宋体" w:cs="Times New Roman"/>
          <w:b/>
          <w:bCs/>
          <w:color w:val="auto"/>
          <w:sz w:val="24"/>
          <w:highlight w:val="none"/>
        </w:rPr>
        <w:t>本项目为“交钥匙”工程：供应商报价应充分考虑包括但不仅限于采购范围内现状调研、项目需求、系统分析、功能模块设计、集成开发、采购单位应政策性要求或实际需要对功能个性化修改等直至交付使用所需要的各种费用，还包括质保期内</w:t>
      </w:r>
      <w:r>
        <w:rPr>
          <w:rFonts w:hint="eastAsia" w:ascii="宋体" w:cs="Times New Roman"/>
          <w:b/>
          <w:bCs/>
          <w:color w:val="auto"/>
          <w:sz w:val="24"/>
          <w:highlight w:val="none"/>
          <w:lang w:eastAsia="zh-CN"/>
        </w:rPr>
        <w:t>（</w:t>
      </w:r>
      <w:r>
        <w:rPr>
          <w:rFonts w:hint="eastAsia" w:ascii="宋体" w:cs="Times New Roman"/>
          <w:b/>
          <w:bCs/>
          <w:color w:val="auto"/>
          <w:sz w:val="24"/>
          <w:highlight w:val="none"/>
          <w:lang w:val="en-US" w:eastAsia="zh-CN"/>
        </w:rPr>
        <w:t>6</w:t>
      </w:r>
      <w:r>
        <w:rPr>
          <w:rFonts w:hint="eastAsia" w:ascii="宋体" w:cs="Times New Roman"/>
          <w:b/>
          <w:bCs/>
          <w:color w:val="auto"/>
          <w:sz w:val="24"/>
          <w:highlight w:val="none"/>
          <w:lang w:eastAsia="zh-CN"/>
        </w:rPr>
        <w:t>年）</w:t>
      </w:r>
      <w:r>
        <w:rPr>
          <w:rFonts w:hint="eastAsia" w:ascii="宋体" w:hAnsi="Times New Roman" w:eastAsia="宋体" w:cs="Times New Roman"/>
          <w:b/>
          <w:bCs/>
          <w:color w:val="auto"/>
          <w:sz w:val="24"/>
          <w:highlight w:val="none"/>
        </w:rPr>
        <w:t>的维护费、人工费等费用。请投标供应商充分考虑本项目的复杂性，如必需</w:t>
      </w:r>
      <w:r>
        <w:rPr>
          <w:rFonts w:hint="eastAsia" w:ascii="宋体" w:hAnsi="Times New Roman" w:eastAsia="宋体" w:cs="Times New Roman"/>
          <w:b/>
          <w:bCs/>
          <w:color w:val="auto"/>
          <w:sz w:val="24"/>
          <w:highlight w:val="none"/>
          <w:lang w:eastAsia="zh-CN"/>
        </w:rPr>
        <w:t>软件功能模块</w:t>
      </w:r>
      <w:r>
        <w:rPr>
          <w:rFonts w:hint="eastAsia" w:ascii="宋体" w:hAnsi="Times New Roman" w:eastAsia="宋体" w:cs="Times New Roman"/>
          <w:b/>
          <w:bCs/>
          <w:color w:val="auto"/>
          <w:sz w:val="24"/>
          <w:highlight w:val="none"/>
        </w:rPr>
        <w:t>未包括在清单和技术参数中，供应商必须免费提供，采购单位不再另行支付任何费用。</w:t>
      </w:r>
      <w:r>
        <w:rPr>
          <w:rFonts w:hint="eastAsia" w:ascii="宋体" w:hAnsi="宋体" w:eastAsia="宋体" w:cs="宋体"/>
          <w:b/>
          <w:bCs/>
          <w:color w:val="auto"/>
          <w:sz w:val="24"/>
          <w:highlight w:val="none"/>
        </w:rPr>
        <w:t>请各供应商在报价时请充分考虑各种因素。</w:t>
      </w:r>
    </w:p>
    <w:p w14:paraId="568590C9">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十五、磋商响应文件必须按照要求制作，磋商响应文件中所使用的计量单位，除磋商文件有特殊要求外，应采用国家法定计量单位。</w:t>
      </w:r>
    </w:p>
    <w:p w14:paraId="148C6849">
      <w:pPr>
        <w:spacing w:line="460" w:lineRule="exact"/>
        <w:ind w:firstLine="480" w:firstLineChars="200"/>
        <w:rPr>
          <w:rFonts w:ascii="宋体"/>
          <w:color w:val="auto"/>
          <w:sz w:val="24"/>
          <w:highlight w:val="none"/>
        </w:rPr>
      </w:pPr>
      <w:r>
        <w:rPr>
          <w:rFonts w:hint="eastAsia" w:ascii="宋体" w:hAnsi="宋体"/>
          <w:color w:val="auto"/>
          <w:sz w:val="24"/>
          <w:highlight w:val="none"/>
        </w:rPr>
        <w:t>十六、评标原则</w:t>
      </w:r>
    </w:p>
    <w:p w14:paraId="28964A55">
      <w:pPr>
        <w:spacing w:line="460" w:lineRule="exact"/>
        <w:ind w:firstLine="480" w:firstLineChars="200"/>
        <w:rPr>
          <w:rFonts w:ascii="宋体"/>
          <w:color w:val="auto"/>
          <w:sz w:val="24"/>
          <w:highlight w:val="none"/>
        </w:rPr>
      </w:pPr>
      <w:r>
        <w:rPr>
          <w:rFonts w:hint="eastAsia" w:ascii="宋体" w:hAnsi="宋体"/>
          <w:color w:val="auto"/>
          <w:sz w:val="24"/>
          <w:highlight w:val="none"/>
        </w:rPr>
        <w:t>开标后，评标委员会对磋商响应文件的完整性、符合性、响应性等进行审查，凡不符合有关规定或不响应磋商文件要求的磋商响应文件将不进入评标范围。评标专家组以开标、审标、询标情况为基本依据，对有效的磋商响应文件将按评标标准要求进行分析评议。具体方法如下：</w:t>
      </w:r>
    </w:p>
    <w:p w14:paraId="6EFA69DD">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、本项目专门设立评标委员会。评标委员会将根据商务技术、报价等方面进行评审（详见评标办法），确定成交供应商。</w:t>
      </w:r>
    </w:p>
    <w:p w14:paraId="09272F38">
      <w:pPr>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、评标委员会将组织审查投标文件是否完整、是否有计算错误、文件是否恰当地签署，如果单价与总价有出入，以单价为准；若发现文字大写表示的数据与数字表示有差别，则以文字大写表示的数据为准。</w:t>
      </w:r>
    </w:p>
    <w:p w14:paraId="01B09557">
      <w:pPr>
        <w:spacing w:line="460" w:lineRule="exact"/>
        <w:ind w:firstLine="480" w:firstLineChars="200"/>
        <w:jc w:val="left"/>
        <w:rPr>
          <w:rFonts w:hint="eastAsia" w:ascii="宋体" w:hAnsi="宋体" w:eastAsia="宋体"/>
          <w:color w:val="auto"/>
          <w:sz w:val="24"/>
          <w:highlight w:val="none"/>
        </w:rPr>
      </w:pPr>
      <w:r>
        <w:rPr>
          <w:rFonts w:hint="eastAsia" w:ascii="宋体" w:hAnsi="宋体"/>
          <w:color w:val="auto"/>
          <w:sz w:val="24"/>
          <w:highlight w:val="none"/>
        </w:rPr>
        <w:t>十七、评标方法</w:t>
      </w:r>
      <w:r>
        <w:rPr>
          <w:rFonts w:ascii="宋体" w:hAnsi="宋体"/>
          <w:color w:val="auto"/>
          <w:sz w:val="24"/>
          <w:highlight w:val="none"/>
        </w:rPr>
        <w:t>:</w:t>
      </w:r>
      <w:r>
        <w:rPr>
          <w:rFonts w:hint="eastAsia" w:ascii="宋体" w:hAnsi="宋体"/>
          <w:color w:val="auto"/>
          <w:sz w:val="24"/>
          <w:highlight w:val="none"/>
        </w:rPr>
        <w:t>本次评标采用综合评分法</w:t>
      </w:r>
      <w:r>
        <w:rPr>
          <w:rFonts w:hint="eastAsia" w:ascii="宋体" w:hAnsi="宋体" w:eastAsia="宋体"/>
          <w:color w:val="auto"/>
          <w:sz w:val="24"/>
          <w:highlight w:val="none"/>
        </w:rPr>
        <w:t>，满分为100分，其中商务技术部分占</w:t>
      </w:r>
      <w:r>
        <w:rPr>
          <w:rFonts w:hint="eastAsia" w:ascii="宋体" w:hAnsi="宋体"/>
          <w:color w:val="auto"/>
          <w:sz w:val="24"/>
          <w:highlight w:val="none"/>
          <w:lang w:val="en-US" w:eastAsia="zh-CN"/>
        </w:rPr>
        <w:t>70</w:t>
      </w:r>
      <w:r>
        <w:rPr>
          <w:rFonts w:hint="eastAsia" w:ascii="宋体" w:hAnsi="宋体" w:eastAsia="宋体"/>
          <w:color w:val="auto"/>
          <w:sz w:val="24"/>
          <w:highlight w:val="none"/>
        </w:rPr>
        <w:t>分，价格部分占</w:t>
      </w:r>
      <w:r>
        <w:rPr>
          <w:rFonts w:hint="eastAsia" w:ascii="宋体" w:hAnsi="宋体"/>
          <w:color w:val="auto"/>
          <w:sz w:val="24"/>
          <w:highlight w:val="none"/>
          <w:lang w:val="en-US" w:eastAsia="zh-CN"/>
        </w:rPr>
        <w:t>3</w:t>
      </w:r>
      <w:r>
        <w:rPr>
          <w:rFonts w:hint="eastAsia" w:ascii="宋体" w:hAnsi="宋体" w:eastAsia="宋体"/>
          <w:color w:val="auto"/>
          <w:sz w:val="24"/>
          <w:highlight w:val="none"/>
        </w:rPr>
        <w:t>0分。由评标委员会各成员根据本磋商文件的要求，对供应商的磋商响应文件和简介、澄清等，按本项目的具体评分项目及分值进行评分，最后计算供应商的商务技术部分各评委评分的平均得分+最后报价得分，取得分最高的供应商为成交供应商。</w:t>
      </w:r>
    </w:p>
    <w:p w14:paraId="2ABAD338">
      <w:pPr>
        <w:spacing w:line="460" w:lineRule="exact"/>
        <w:ind w:firstLine="480" w:firstLineChars="200"/>
        <w:rPr>
          <w:rFonts w:ascii="宋体"/>
          <w:color w:val="auto"/>
          <w:sz w:val="24"/>
          <w:highlight w:val="none"/>
        </w:rPr>
      </w:pPr>
      <w:r>
        <w:rPr>
          <w:rFonts w:hint="eastAsia" w:ascii="宋体" w:hAnsi="宋体"/>
          <w:color w:val="auto"/>
          <w:sz w:val="24"/>
          <w:highlight w:val="none"/>
        </w:rPr>
        <w:t>评标流程：评审资格审查文件</w:t>
      </w:r>
      <w:r>
        <w:rPr>
          <w:rFonts w:ascii="宋体" w:hAnsi="宋体"/>
          <w:color w:val="auto"/>
          <w:sz w:val="24"/>
          <w:highlight w:val="none"/>
        </w:rPr>
        <w:t>—</w:t>
      </w:r>
      <w:r>
        <w:rPr>
          <w:rFonts w:hint="eastAsia" w:ascii="宋体" w:hAnsi="宋体"/>
          <w:color w:val="auto"/>
          <w:sz w:val="24"/>
          <w:highlight w:val="none"/>
        </w:rPr>
        <w:t>评审商务技术标</w:t>
      </w:r>
      <w:r>
        <w:rPr>
          <w:rFonts w:ascii="宋体" w:hAnsi="宋体"/>
          <w:color w:val="auto"/>
          <w:sz w:val="24"/>
          <w:highlight w:val="none"/>
        </w:rPr>
        <w:t>—</w:t>
      </w:r>
      <w:r>
        <w:rPr>
          <w:rFonts w:hint="eastAsia" w:ascii="宋体" w:hAnsi="宋体"/>
          <w:color w:val="auto"/>
          <w:sz w:val="24"/>
          <w:highlight w:val="none"/>
        </w:rPr>
        <w:t>供应商现场递交最后报价</w:t>
      </w:r>
      <w:r>
        <w:rPr>
          <w:rFonts w:ascii="宋体" w:hAnsi="宋体"/>
          <w:color w:val="auto"/>
          <w:sz w:val="24"/>
          <w:highlight w:val="none"/>
        </w:rPr>
        <w:t>—</w:t>
      </w:r>
      <w:r>
        <w:rPr>
          <w:rFonts w:hint="eastAsia" w:ascii="宋体" w:hAnsi="宋体"/>
          <w:color w:val="auto"/>
          <w:sz w:val="24"/>
          <w:highlight w:val="none"/>
        </w:rPr>
        <w:t>评审价格标</w:t>
      </w:r>
      <w:r>
        <w:rPr>
          <w:rFonts w:ascii="宋体" w:hAnsi="宋体"/>
          <w:color w:val="auto"/>
          <w:sz w:val="24"/>
          <w:highlight w:val="none"/>
        </w:rPr>
        <w:t>—</w:t>
      </w:r>
      <w:r>
        <w:rPr>
          <w:rFonts w:hint="eastAsia" w:ascii="宋体" w:hAnsi="宋体"/>
          <w:color w:val="auto"/>
          <w:sz w:val="24"/>
          <w:highlight w:val="none"/>
        </w:rPr>
        <w:t>确定成交供应商。</w:t>
      </w:r>
    </w:p>
    <w:p w14:paraId="3D0D6B16">
      <w:pPr>
        <w:spacing w:line="460" w:lineRule="exact"/>
        <w:ind w:firstLine="241" w:firstLineChars="100"/>
        <w:rPr>
          <w:rFonts w:ascii="宋体"/>
          <w:b/>
          <w:color w:val="auto"/>
          <w:sz w:val="24"/>
          <w:highlight w:val="none"/>
        </w:rPr>
      </w:pPr>
      <w:r>
        <w:rPr>
          <w:rFonts w:hint="eastAsia" w:ascii="宋体" w:hAnsi="宋体"/>
          <w:b/>
          <w:color w:val="auto"/>
          <w:sz w:val="24"/>
          <w:highlight w:val="none"/>
        </w:rPr>
        <w:t>（一）资格审查</w:t>
      </w:r>
    </w:p>
    <w:p w14:paraId="02117E62">
      <w:pPr>
        <w:spacing w:line="460" w:lineRule="exact"/>
        <w:ind w:firstLine="480" w:firstLineChars="200"/>
        <w:rPr>
          <w:rFonts w:ascii="宋体"/>
          <w:color w:val="auto"/>
          <w:sz w:val="24"/>
          <w:highlight w:val="none"/>
        </w:rPr>
      </w:pPr>
      <w:r>
        <w:rPr>
          <w:rFonts w:hint="eastAsia" w:ascii="宋体" w:hAnsi="宋体"/>
          <w:color w:val="auto"/>
          <w:sz w:val="24"/>
          <w:highlight w:val="none"/>
        </w:rPr>
        <w:t>所有投标的供应商全部进入资格审查，由评标委员会根据参加资格审查的供应商递交的资格文件，并按照本磋商文件供应商资格要求对供应商的资格进行审查。只有资格条件评审合格的供应商，才可参加商务技术标评分。</w:t>
      </w:r>
    </w:p>
    <w:p w14:paraId="0A917107">
      <w:pPr>
        <w:numPr>
          <w:ilvl w:val="0"/>
          <w:numId w:val="4"/>
        </w:numPr>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商务技术评审（</w:t>
      </w:r>
      <w:r>
        <w:rPr>
          <w:rFonts w:hint="eastAsia" w:ascii="宋体" w:hAnsi="宋体"/>
          <w:b/>
          <w:color w:val="auto"/>
          <w:sz w:val="24"/>
          <w:highlight w:val="none"/>
          <w:lang w:val="en-US" w:eastAsia="zh-CN"/>
        </w:rPr>
        <w:t>70</w:t>
      </w:r>
      <w:r>
        <w:rPr>
          <w:rFonts w:hint="eastAsia" w:ascii="宋体" w:hAnsi="宋体"/>
          <w:b/>
          <w:color w:val="auto"/>
          <w:sz w:val="24"/>
          <w:highlight w:val="none"/>
        </w:rPr>
        <w:t>分）</w:t>
      </w:r>
    </w:p>
    <w:p w14:paraId="42C32BA2">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评标委员会根据以下几个方面进行综合评估后打分(取平均值作为供应商商务技术标的最后得分，得分采用四舍五入法保留小数点后两位小数。)</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20"/>
        <w:gridCol w:w="755"/>
        <w:gridCol w:w="6622"/>
      </w:tblGrid>
      <w:tr w14:paraId="339E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vAlign w:val="center"/>
          </w:tcPr>
          <w:p w14:paraId="60F9F192">
            <w:pPr>
              <w:jc w:val="center"/>
              <w:rPr>
                <w:rFonts w:hint="eastAsia" w:hAnsi="宋体" w:cs="宋体"/>
                <w:b/>
                <w:color w:val="000000"/>
                <w:sz w:val="24"/>
                <w:szCs w:val="21"/>
              </w:rPr>
            </w:pPr>
            <w:r>
              <w:rPr>
                <w:rFonts w:hint="eastAsia" w:hAnsi="宋体" w:cs="宋体"/>
                <w:b/>
                <w:color w:val="000000"/>
                <w:sz w:val="24"/>
                <w:szCs w:val="21"/>
              </w:rPr>
              <w:t>序号</w:t>
            </w:r>
          </w:p>
        </w:tc>
        <w:tc>
          <w:tcPr>
            <w:tcW w:w="1520" w:type="dxa"/>
            <w:vAlign w:val="center"/>
          </w:tcPr>
          <w:p w14:paraId="6FB56399">
            <w:pPr>
              <w:jc w:val="center"/>
              <w:rPr>
                <w:rFonts w:hint="eastAsia" w:hAnsi="宋体" w:cs="宋体"/>
                <w:b/>
                <w:color w:val="000000"/>
                <w:sz w:val="24"/>
                <w:szCs w:val="21"/>
              </w:rPr>
            </w:pPr>
            <w:r>
              <w:rPr>
                <w:rFonts w:hint="eastAsia" w:hAnsi="宋体" w:cs="宋体"/>
                <w:b/>
                <w:color w:val="000000"/>
                <w:sz w:val="24"/>
                <w:szCs w:val="21"/>
              </w:rPr>
              <w:t>评分点名称</w:t>
            </w:r>
          </w:p>
        </w:tc>
        <w:tc>
          <w:tcPr>
            <w:tcW w:w="755" w:type="dxa"/>
            <w:vAlign w:val="center"/>
          </w:tcPr>
          <w:p w14:paraId="1CBAE490">
            <w:pPr>
              <w:jc w:val="center"/>
              <w:rPr>
                <w:rFonts w:hint="eastAsia" w:hAnsi="宋体" w:cs="宋体"/>
                <w:b/>
                <w:color w:val="000000"/>
                <w:sz w:val="24"/>
                <w:szCs w:val="21"/>
              </w:rPr>
            </w:pPr>
            <w:r>
              <w:rPr>
                <w:rFonts w:hint="eastAsia" w:hAnsi="宋体" w:cs="宋体"/>
                <w:b/>
                <w:color w:val="000000"/>
                <w:sz w:val="24"/>
                <w:szCs w:val="21"/>
              </w:rPr>
              <w:t>分值</w:t>
            </w:r>
          </w:p>
        </w:tc>
        <w:tc>
          <w:tcPr>
            <w:tcW w:w="6622" w:type="dxa"/>
            <w:vAlign w:val="center"/>
          </w:tcPr>
          <w:p w14:paraId="48DF2514">
            <w:pPr>
              <w:jc w:val="center"/>
              <w:rPr>
                <w:rFonts w:hint="eastAsia" w:hAnsi="宋体" w:cs="宋体"/>
                <w:b/>
                <w:color w:val="000000"/>
                <w:sz w:val="24"/>
                <w:szCs w:val="21"/>
              </w:rPr>
            </w:pPr>
            <w:r>
              <w:rPr>
                <w:rFonts w:hint="eastAsia" w:hAnsi="宋体" w:cs="宋体"/>
                <w:b/>
                <w:color w:val="000000"/>
                <w:sz w:val="24"/>
                <w:szCs w:val="21"/>
              </w:rPr>
              <w:t>评审标准</w:t>
            </w:r>
          </w:p>
        </w:tc>
      </w:tr>
      <w:tr w14:paraId="6DA1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8" w:type="dxa"/>
            <w:vMerge w:val="restart"/>
            <w:vAlign w:val="center"/>
          </w:tcPr>
          <w:p w14:paraId="5C56CAEB">
            <w:pPr>
              <w:jc w:val="center"/>
              <w:rPr>
                <w:rFonts w:hint="eastAsia" w:hAnsi="宋体" w:cs="宋体"/>
                <w:color w:val="000000"/>
                <w:sz w:val="24"/>
                <w:szCs w:val="21"/>
              </w:rPr>
            </w:pPr>
            <w:r>
              <w:rPr>
                <w:rFonts w:hint="eastAsia" w:hAnsi="宋体" w:cs="宋体"/>
                <w:color w:val="000000"/>
                <w:sz w:val="24"/>
                <w:szCs w:val="21"/>
              </w:rPr>
              <w:t>1</w:t>
            </w:r>
          </w:p>
        </w:tc>
        <w:tc>
          <w:tcPr>
            <w:tcW w:w="1520" w:type="dxa"/>
            <w:vMerge w:val="restart"/>
            <w:vAlign w:val="center"/>
          </w:tcPr>
          <w:p w14:paraId="08B36FB1">
            <w:pPr>
              <w:jc w:val="center"/>
              <w:rPr>
                <w:rFonts w:hint="eastAsia" w:hAnsi="宋体" w:cs="宋体"/>
                <w:color w:val="000000"/>
                <w:sz w:val="24"/>
                <w:szCs w:val="21"/>
              </w:rPr>
            </w:pPr>
            <w:r>
              <w:rPr>
                <w:rFonts w:hint="eastAsia" w:hAnsi="宋体" w:cs="宋体"/>
                <w:color w:val="000000"/>
                <w:sz w:val="24"/>
                <w:szCs w:val="21"/>
              </w:rPr>
              <w:t>技术方案（</w:t>
            </w:r>
            <w:r>
              <w:rPr>
                <w:rFonts w:hint="eastAsia" w:hAnsi="宋体" w:cs="宋体"/>
                <w:color w:val="000000"/>
                <w:sz w:val="24"/>
                <w:szCs w:val="21"/>
                <w:lang w:val="en-US" w:eastAsia="zh-CN"/>
              </w:rPr>
              <w:t>40</w:t>
            </w:r>
            <w:r>
              <w:rPr>
                <w:rFonts w:hint="eastAsia" w:hAnsi="宋体" w:cs="宋体"/>
                <w:color w:val="000000"/>
                <w:sz w:val="24"/>
                <w:szCs w:val="21"/>
              </w:rPr>
              <w:t>）</w:t>
            </w:r>
          </w:p>
        </w:tc>
        <w:tc>
          <w:tcPr>
            <w:tcW w:w="755" w:type="dxa"/>
            <w:vAlign w:val="center"/>
          </w:tcPr>
          <w:p w14:paraId="66D0965E">
            <w:pPr>
              <w:jc w:val="center"/>
              <w:rPr>
                <w:rFonts w:hint="eastAsia" w:hAnsi="宋体" w:cs="宋体"/>
                <w:color w:val="000000"/>
                <w:sz w:val="24"/>
                <w:szCs w:val="21"/>
              </w:rPr>
            </w:pPr>
            <w:r>
              <w:rPr>
                <w:rFonts w:hint="eastAsia" w:hAnsi="宋体" w:cs="宋体"/>
                <w:color w:val="000000"/>
                <w:sz w:val="24"/>
                <w:szCs w:val="21"/>
              </w:rPr>
              <w:t>10</w:t>
            </w:r>
          </w:p>
        </w:tc>
        <w:tc>
          <w:tcPr>
            <w:tcW w:w="6622" w:type="dxa"/>
            <w:vAlign w:val="center"/>
          </w:tcPr>
          <w:p w14:paraId="6B256F69">
            <w:pPr>
              <w:jc w:val="left"/>
              <w:rPr>
                <w:rFonts w:hint="eastAsia" w:hAnsi="宋体"/>
                <w:sz w:val="24"/>
                <w:lang w:val="zh-CN"/>
              </w:rPr>
            </w:pPr>
            <w:r>
              <w:rPr>
                <w:rFonts w:hint="eastAsia" w:hAnsi="宋体"/>
                <w:sz w:val="24"/>
              </w:rPr>
              <w:t>供应商对采购内容及要求理解的准确性，对项目服务与技术难点分析准确性。根据投标文件响应情况从有利于本项目实施的角</w:t>
            </w:r>
            <w:r>
              <w:rPr>
                <w:rFonts w:hint="eastAsia" w:hAnsi="宋体"/>
                <w:sz w:val="24"/>
                <w:lang w:val="zh-CN"/>
              </w:rPr>
              <w:t>度进行打分。</w:t>
            </w:r>
          </w:p>
          <w:p w14:paraId="162FF221">
            <w:pPr>
              <w:jc w:val="left"/>
              <w:rPr>
                <w:rFonts w:hint="eastAsia" w:hAnsi="宋体"/>
                <w:sz w:val="24"/>
              </w:rPr>
            </w:pPr>
            <w:r>
              <w:rPr>
                <w:rFonts w:hint="eastAsia" w:hAnsi="宋体"/>
                <w:sz w:val="24"/>
                <w:lang w:val="zh-CN"/>
              </w:rPr>
              <w:t>（</w:t>
            </w:r>
            <w:r>
              <w:rPr>
                <w:rFonts w:hint="eastAsia" w:hAnsi="宋体"/>
                <w:sz w:val="24"/>
              </w:rPr>
              <w:t>1</w:t>
            </w:r>
            <w:r>
              <w:rPr>
                <w:rFonts w:hint="eastAsia" w:hAnsi="宋体"/>
                <w:sz w:val="24"/>
                <w:lang w:val="zh-CN"/>
              </w:rPr>
              <w:t>）方案</w:t>
            </w:r>
            <w:r>
              <w:rPr>
                <w:rFonts w:hint="eastAsia" w:hAnsi="宋体"/>
                <w:sz w:val="24"/>
              </w:rPr>
              <w:t>对项目服务与技术难点分析准确性高</w:t>
            </w:r>
            <w:r>
              <w:rPr>
                <w:rFonts w:hint="eastAsia" w:hAnsi="宋体"/>
                <w:sz w:val="24"/>
                <w:lang w:val="zh-CN"/>
              </w:rPr>
              <w:t>得</w:t>
            </w:r>
            <w:r>
              <w:rPr>
                <w:rFonts w:hint="eastAsia" w:hAnsi="宋体"/>
                <w:sz w:val="24"/>
              </w:rPr>
              <w:t>10分；</w:t>
            </w:r>
          </w:p>
          <w:p w14:paraId="48688D84">
            <w:pPr>
              <w:jc w:val="left"/>
              <w:rPr>
                <w:rFonts w:hint="eastAsia" w:hAnsi="宋体"/>
                <w:sz w:val="24"/>
              </w:rPr>
            </w:pPr>
            <w:r>
              <w:rPr>
                <w:rFonts w:hint="eastAsia" w:hAnsi="宋体"/>
                <w:sz w:val="24"/>
                <w:lang w:val="zh-CN"/>
              </w:rPr>
              <w:t>（</w:t>
            </w:r>
            <w:r>
              <w:rPr>
                <w:rFonts w:hint="eastAsia" w:hAnsi="宋体"/>
                <w:sz w:val="24"/>
              </w:rPr>
              <w:t>2</w:t>
            </w:r>
            <w:r>
              <w:rPr>
                <w:rFonts w:hint="eastAsia" w:hAnsi="宋体"/>
                <w:sz w:val="24"/>
                <w:lang w:val="zh-CN"/>
              </w:rPr>
              <w:t>）方案</w:t>
            </w:r>
            <w:r>
              <w:rPr>
                <w:rFonts w:hint="eastAsia" w:hAnsi="宋体"/>
                <w:sz w:val="24"/>
              </w:rPr>
              <w:t>对项目服务与技术难点分析准确性</w:t>
            </w:r>
            <w:r>
              <w:rPr>
                <w:rFonts w:hint="eastAsia" w:hAnsi="宋体"/>
                <w:sz w:val="24"/>
                <w:lang w:val="zh-CN"/>
              </w:rPr>
              <w:t>一般得</w:t>
            </w:r>
            <w:r>
              <w:rPr>
                <w:rFonts w:hint="eastAsia" w:hAnsi="宋体"/>
                <w:sz w:val="24"/>
              </w:rPr>
              <w:t>7分；</w:t>
            </w:r>
          </w:p>
          <w:p w14:paraId="6E09DD43">
            <w:pPr>
              <w:jc w:val="left"/>
              <w:rPr>
                <w:rFonts w:hint="eastAsia" w:hAnsi="宋体"/>
                <w:sz w:val="24"/>
              </w:rPr>
            </w:pPr>
            <w:r>
              <w:rPr>
                <w:rFonts w:hint="eastAsia" w:hAnsi="宋体"/>
                <w:sz w:val="24"/>
                <w:lang w:val="zh-CN"/>
              </w:rPr>
              <w:t>（</w:t>
            </w:r>
            <w:r>
              <w:rPr>
                <w:rFonts w:hint="eastAsia" w:hAnsi="宋体"/>
                <w:sz w:val="24"/>
              </w:rPr>
              <w:t>3</w:t>
            </w:r>
            <w:r>
              <w:rPr>
                <w:rFonts w:hint="eastAsia" w:hAnsi="宋体"/>
                <w:sz w:val="24"/>
                <w:lang w:val="zh-CN"/>
              </w:rPr>
              <w:t>）方案</w:t>
            </w:r>
            <w:r>
              <w:rPr>
                <w:rFonts w:hint="eastAsia" w:hAnsi="宋体"/>
                <w:sz w:val="24"/>
              </w:rPr>
              <w:t>对项目服务与技术难点分析准确性</w:t>
            </w:r>
            <w:r>
              <w:rPr>
                <w:rFonts w:hint="eastAsia" w:hAnsi="宋体"/>
                <w:sz w:val="24"/>
                <w:lang w:val="zh-CN"/>
              </w:rPr>
              <w:t>较差得</w:t>
            </w:r>
            <w:r>
              <w:rPr>
                <w:rFonts w:hint="eastAsia" w:hAnsi="宋体"/>
                <w:sz w:val="24"/>
              </w:rPr>
              <w:t>4分；</w:t>
            </w:r>
          </w:p>
          <w:p w14:paraId="0B7A4B27">
            <w:pPr>
              <w:jc w:val="left"/>
            </w:pPr>
            <w:r>
              <w:rPr>
                <w:rFonts w:hint="eastAsia" w:hAnsi="宋体"/>
                <w:sz w:val="24"/>
                <w:lang w:val="zh-CN"/>
              </w:rPr>
              <w:t>（</w:t>
            </w:r>
            <w:r>
              <w:rPr>
                <w:rFonts w:hint="eastAsia" w:hAnsi="宋体"/>
                <w:sz w:val="24"/>
              </w:rPr>
              <w:t>4</w:t>
            </w:r>
            <w:r>
              <w:rPr>
                <w:rFonts w:hint="eastAsia" w:hAnsi="宋体"/>
                <w:sz w:val="24"/>
                <w:lang w:val="zh-CN"/>
              </w:rPr>
              <w:t>）未提供相关内容不得分</w:t>
            </w:r>
            <w:r>
              <w:rPr>
                <w:rFonts w:hint="eastAsia" w:hAnsi="宋体"/>
                <w:sz w:val="24"/>
              </w:rPr>
              <w:t>；</w:t>
            </w:r>
          </w:p>
        </w:tc>
      </w:tr>
      <w:tr w14:paraId="7DA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vMerge w:val="continue"/>
            <w:vAlign w:val="center"/>
          </w:tcPr>
          <w:p w14:paraId="75775020">
            <w:pPr>
              <w:jc w:val="center"/>
              <w:rPr>
                <w:rFonts w:hint="eastAsia" w:hAnsi="宋体" w:cs="宋体"/>
                <w:color w:val="000000"/>
                <w:sz w:val="24"/>
                <w:szCs w:val="21"/>
              </w:rPr>
            </w:pPr>
          </w:p>
        </w:tc>
        <w:tc>
          <w:tcPr>
            <w:tcW w:w="1520" w:type="dxa"/>
            <w:vMerge w:val="continue"/>
            <w:vAlign w:val="center"/>
          </w:tcPr>
          <w:p w14:paraId="7D49C8A4">
            <w:pPr>
              <w:jc w:val="center"/>
              <w:rPr>
                <w:rFonts w:hint="eastAsia" w:hAnsi="宋体" w:cs="宋体"/>
                <w:color w:val="000000"/>
                <w:sz w:val="24"/>
                <w:szCs w:val="21"/>
              </w:rPr>
            </w:pPr>
          </w:p>
        </w:tc>
        <w:tc>
          <w:tcPr>
            <w:tcW w:w="755" w:type="dxa"/>
            <w:vAlign w:val="center"/>
          </w:tcPr>
          <w:p w14:paraId="12A346DF">
            <w:pPr>
              <w:jc w:val="center"/>
              <w:rPr>
                <w:rFonts w:hint="eastAsia" w:hAnsi="宋体" w:cs="宋体"/>
                <w:color w:val="000000"/>
                <w:sz w:val="24"/>
                <w:szCs w:val="21"/>
              </w:rPr>
            </w:pPr>
            <w:r>
              <w:rPr>
                <w:rFonts w:hint="eastAsia" w:hAnsi="宋体" w:cs="宋体"/>
                <w:color w:val="000000"/>
                <w:sz w:val="24"/>
                <w:szCs w:val="21"/>
              </w:rPr>
              <w:t>10</w:t>
            </w:r>
          </w:p>
        </w:tc>
        <w:tc>
          <w:tcPr>
            <w:tcW w:w="6622" w:type="dxa"/>
            <w:vAlign w:val="center"/>
          </w:tcPr>
          <w:p w14:paraId="1CE2A644">
            <w:pPr>
              <w:jc w:val="left"/>
              <w:rPr>
                <w:rFonts w:hint="eastAsia" w:hAnsi="宋体"/>
                <w:sz w:val="24"/>
              </w:rPr>
            </w:pPr>
            <w:r>
              <w:rPr>
                <w:rFonts w:hint="eastAsia" w:hAnsi="宋体"/>
                <w:sz w:val="24"/>
              </w:rPr>
              <w:t>整体方案科学性和完整性，包括</w:t>
            </w:r>
            <w:r>
              <w:rPr>
                <w:rFonts w:hint="eastAsia" w:hAnsi="宋体"/>
                <w:sz w:val="24"/>
                <w:lang w:val="zh-CN"/>
              </w:rPr>
              <w:t>整体方案与需求的吻合程度情况，</w:t>
            </w:r>
            <w:r>
              <w:rPr>
                <w:rFonts w:hint="eastAsia" w:hAnsi="宋体"/>
                <w:sz w:val="24"/>
              </w:rPr>
              <w:t>服务要求的解决方案、组织实施方案、质量管理、售后支持承诺等。</w:t>
            </w:r>
          </w:p>
          <w:p w14:paraId="3E113C98">
            <w:pPr>
              <w:jc w:val="left"/>
              <w:rPr>
                <w:rFonts w:hint="eastAsia" w:hAnsi="宋体"/>
                <w:sz w:val="24"/>
              </w:rPr>
            </w:pPr>
            <w:r>
              <w:rPr>
                <w:rFonts w:hint="eastAsia" w:hAnsi="宋体"/>
                <w:sz w:val="24"/>
                <w:lang w:val="zh-CN"/>
              </w:rPr>
              <w:t>（</w:t>
            </w:r>
            <w:r>
              <w:rPr>
                <w:rFonts w:hint="eastAsia" w:hAnsi="宋体"/>
                <w:sz w:val="24"/>
              </w:rPr>
              <w:t>1</w:t>
            </w:r>
            <w:r>
              <w:rPr>
                <w:rFonts w:hint="eastAsia" w:hAnsi="宋体"/>
                <w:sz w:val="24"/>
                <w:lang w:val="zh-CN"/>
              </w:rPr>
              <w:t>）方案内容详细、响应内容全面、切实可行得</w:t>
            </w:r>
            <w:r>
              <w:rPr>
                <w:rFonts w:hint="eastAsia" w:hAnsi="宋体"/>
                <w:sz w:val="24"/>
              </w:rPr>
              <w:t>10分；</w:t>
            </w:r>
          </w:p>
          <w:p w14:paraId="364E6E68">
            <w:pPr>
              <w:jc w:val="left"/>
              <w:rPr>
                <w:rFonts w:hint="eastAsia" w:hAnsi="宋体"/>
                <w:sz w:val="24"/>
              </w:rPr>
            </w:pPr>
            <w:r>
              <w:rPr>
                <w:rFonts w:hint="eastAsia" w:hAnsi="宋体"/>
                <w:sz w:val="24"/>
                <w:lang w:val="zh-CN"/>
              </w:rPr>
              <w:t>（</w:t>
            </w:r>
            <w:r>
              <w:rPr>
                <w:rFonts w:hint="eastAsia" w:hAnsi="宋体"/>
                <w:sz w:val="24"/>
              </w:rPr>
              <w:t>2</w:t>
            </w:r>
            <w:r>
              <w:rPr>
                <w:rFonts w:hint="eastAsia" w:hAnsi="宋体"/>
                <w:sz w:val="24"/>
                <w:lang w:val="zh-CN"/>
              </w:rPr>
              <w:t>）方案内容较详细、响应内容较全面、可行性一般得</w:t>
            </w:r>
            <w:r>
              <w:rPr>
                <w:rFonts w:hint="eastAsia" w:hAnsi="宋体"/>
                <w:sz w:val="24"/>
              </w:rPr>
              <w:t>7分；</w:t>
            </w:r>
          </w:p>
          <w:p w14:paraId="79EE67CA">
            <w:pPr>
              <w:jc w:val="left"/>
              <w:rPr>
                <w:rFonts w:hint="eastAsia" w:hAnsi="宋体"/>
                <w:sz w:val="24"/>
              </w:rPr>
            </w:pPr>
            <w:r>
              <w:rPr>
                <w:rFonts w:hint="eastAsia" w:hAnsi="宋体"/>
                <w:sz w:val="24"/>
                <w:lang w:val="zh-CN"/>
              </w:rPr>
              <w:t>（</w:t>
            </w:r>
            <w:r>
              <w:rPr>
                <w:rFonts w:hint="eastAsia" w:hAnsi="宋体"/>
                <w:sz w:val="24"/>
              </w:rPr>
              <w:t>3</w:t>
            </w:r>
            <w:r>
              <w:rPr>
                <w:rFonts w:hint="eastAsia" w:hAnsi="宋体"/>
                <w:sz w:val="24"/>
                <w:lang w:val="zh-CN"/>
              </w:rPr>
              <w:t>）方案内容较详细程度较差、响应内容较少、可行性较差得</w:t>
            </w:r>
            <w:r>
              <w:rPr>
                <w:rFonts w:hint="eastAsia" w:hAnsi="宋体"/>
                <w:sz w:val="24"/>
              </w:rPr>
              <w:t>4分；</w:t>
            </w:r>
          </w:p>
          <w:p w14:paraId="4A10B2AF">
            <w:pPr>
              <w:jc w:val="left"/>
            </w:pPr>
            <w:r>
              <w:rPr>
                <w:rFonts w:hint="eastAsia" w:hAnsi="宋体"/>
                <w:sz w:val="24"/>
                <w:lang w:val="zh-CN"/>
              </w:rPr>
              <w:t>（</w:t>
            </w:r>
            <w:r>
              <w:rPr>
                <w:rFonts w:hint="eastAsia" w:hAnsi="宋体"/>
                <w:sz w:val="24"/>
              </w:rPr>
              <w:t>4</w:t>
            </w:r>
            <w:r>
              <w:rPr>
                <w:rFonts w:hint="eastAsia" w:hAnsi="宋体"/>
                <w:sz w:val="24"/>
                <w:lang w:val="zh-CN"/>
              </w:rPr>
              <w:t>）未提供相关内容不得分</w:t>
            </w:r>
            <w:r>
              <w:rPr>
                <w:rFonts w:hint="eastAsia" w:hAnsi="宋体"/>
                <w:sz w:val="24"/>
              </w:rPr>
              <w:t>；</w:t>
            </w:r>
          </w:p>
        </w:tc>
      </w:tr>
      <w:tr w14:paraId="35D6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vMerge w:val="continue"/>
            <w:vAlign w:val="center"/>
          </w:tcPr>
          <w:p w14:paraId="0CEE6576">
            <w:pPr>
              <w:jc w:val="center"/>
              <w:rPr>
                <w:rFonts w:hint="eastAsia" w:hAnsi="宋体" w:cs="宋体"/>
                <w:color w:val="000000"/>
                <w:sz w:val="24"/>
                <w:szCs w:val="21"/>
              </w:rPr>
            </w:pPr>
          </w:p>
        </w:tc>
        <w:tc>
          <w:tcPr>
            <w:tcW w:w="1520" w:type="dxa"/>
            <w:vMerge w:val="continue"/>
            <w:vAlign w:val="center"/>
          </w:tcPr>
          <w:p w14:paraId="30B70E40">
            <w:pPr>
              <w:jc w:val="center"/>
              <w:rPr>
                <w:rFonts w:hint="eastAsia" w:hAnsi="宋体" w:cs="宋体"/>
                <w:color w:val="000000"/>
                <w:sz w:val="24"/>
                <w:szCs w:val="21"/>
              </w:rPr>
            </w:pPr>
          </w:p>
        </w:tc>
        <w:tc>
          <w:tcPr>
            <w:tcW w:w="755" w:type="dxa"/>
            <w:vAlign w:val="center"/>
          </w:tcPr>
          <w:p w14:paraId="79AA716E">
            <w:pPr>
              <w:jc w:val="center"/>
              <w:rPr>
                <w:rFonts w:hint="default" w:hAnsi="宋体" w:eastAsia="宋体" w:cs="宋体"/>
                <w:color w:val="000000"/>
                <w:sz w:val="24"/>
                <w:szCs w:val="21"/>
                <w:lang w:val="en-US" w:eastAsia="zh-CN"/>
              </w:rPr>
            </w:pPr>
            <w:r>
              <w:rPr>
                <w:rFonts w:hint="eastAsia" w:hAnsi="宋体" w:cs="宋体"/>
                <w:color w:val="000000"/>
                <w:sz w:val="24"/>
                <w:szCs w:val="21"/>
                <w:lang w:val="en-US" w:eastAsia="zh-CN"/>
              </w:rPr>
              <w:t>10</w:t>
            </w:r>
          </w:p>
        </w:tc>
        <w:tc>
          <w:tcPr>
            <w:tcW w:w="6622" w:type="dxa"/>
            <w:vAlign w:val="center"/>
          </w:tcPr>
          <w:p w14:paraId="1ACE9468">
            <w:pPr>
              <w:jc w:val="left"/>
              <w:rPr>
                <w:rFonts w:hint="eastAsia" w:hAnsi="宋体"/>
                <w:sz w:val="24"/>
                <w:lang w:val="zh-CN"/>
              </w:rPr>
            </w:pPr>
            <w:r>
              <w:rPr>
                <w:rFonts w:hint="eastAsia" w:hAnsi="宋体"/>
                <w:sz w:val="24"/>
                <w:lang w:val="zh-CN"/>
              </w:rPr>
              <w:t>整体方案的优势情况，</w:t>
            </w:r>
            <w:r>
              <w:rPr>
                <w:rFonts w:hint="eastAsia" w:hAnsi="宋体"/>
                <w:sz w:val="24"/>
              </w:rPr>
              <w:t>供应商</w:t>
            </w:r>
            <w:r>
              <w:rPr>
                <w:rFonts w:hint="eastAsia" w:hAnsi="宋体"/>
                <w:sz w:val="24"/>
                <w:lang w:val="zh-CN"/>
              </w:rPr>
              <w:t>提供的整体方案是否有独到的优势，是否具备完善的服务管理体系，是否有安全、稳定、成熟可行的方案。</w:t>
            </w:r>
          </w:p>
          <w:p w14:paraId="02200E9C">
            <w:pPr>
              <w:jc w:val="left"/>
              <w:rPr>
                <w:rFonts w:hint="eastAsia" w:hAnsi="宋体"/>
                <w:sz w:val="24"/>
              </w:rPr>
            </w:pPr>
            <w:r>
              <w:rPr>
                <w:rFonts w:hint="eastAsia" w:hAnsi="宋体"/>
                <w:sz w:val="24"/>
                <w:lang w:val="zh-CN"/>
              </w:rPr>
              <w:t>（</w:t>
            </w:r>
            <w:r>
              <w:rPr>
                <w:rFonts w:hint="eastAsia" w:hAnsi="宋体"/>
                <w:sz w:val="24"/>
              </w:rPr>
              <w:t>1</w:t>
            </w:r>
            <w:r>
              <w:rPr>
                <w:rFonts w:hint="eastAsia" w:hAnsi="宋体"/>
                <w:sz w:val="24"/>
                <w:lang w:val="zh-CN"/>
              </w:rPr>
              <w:t>）方案优势明显，服务管理体系全面可行得</w:t>
            </w:r>
            <w:r>
              <w:rPr>
                <w:rFonts w:hint="eastAsia" w:hAnsi="宋体"/>
                <w:sz w:val="24"/>
                <w:lang w:val="en-US" w:eastAsia="zh-CN"/>
              </w:rPr>
              <w:t>10</w:t>
            </w:r>
            <w:r>
              <w:rPr>
                <w:rFonts w:hint="eastAsia" w:hAnsi="宋体"/>
                <w:sz w:val="24"/>
              </w:rPr>
              <w:t>分；</w:t>
            </w:r>
          </w:p>
          <w:p w14:paraId="22DD2C53">
            <w:pPr>
              <w:jc w:val="left"/>
              <w:rPr>
                <w:rFonts w:hint="eastAsia" w:hAnsi="宋体"/>
                <w:sz w:val="24"/>
              </w:rPr>
            </w:pPr>
            <w:r>
              <w:rPr>
                <w:rFonts w:hint="eastAsia" w:hAnsi="宋体"/>
                <w:sz w:val="24"/>
                <w:lang w:val="zh-CN"/>
              </w:rPr>
              <w:t>（</w:t>
            </w:r>
            <w:r>
              <w:rPr>
                <w:rFonts w:hint="eastAsia" w:hAnsi="宋体"/>
                <w:sz w:val="24"/>
              </w:rPr>
              <w:t>2</w:t>
            </w:r>
            <w:r>
              <w:rPr>
                <w:rFonts w:hint="eastAsia" w:hAnsi="宋体"/>
                <w:sz w:val="24"/>
                <w:lang w:val="zh-CN"/>
              </w:rPr>
              <w:t>）方案优势较明显，服务管理体系较全面可行得</w:t>
            </w:r>
            <w:r>
              <w:rPr>
                <w:rFonts w:hint="eastAsia" w:hAnsi="宋体"/>
                <w:sz w:val="24"/>
                <w:lang w:val="en-US" w:eastAsia="zh-CN"/>
              </w:rPr>
              <w:t>7</w:t>
            </w:r>
            <w:r>
              <w:rPr>
                <w:rFonts w:hint="eastAsia" w:hAnsi="宋体"/>
                <w:sz w:val="24"/>
              </w:rPr>
              <w:t>分；</w:t>
            </w:r>
          </w:p>
          <w:p w14:paraId="19FA21BB">
            <w:pPr>
              <w:jc w:val="left"/>
              <w:rPr>
                <w:rFonts w:hint="eastAsia" w:hAnsi="宋体"/>
                <w:sz w:val="24"/>
              </w:rPr>
            </w:pPr>
            <w:r>
              <w:rPr>
                <w:rFonts w:hint="eastAsia" w:hAnsi="宋体"/>
                <w:sz w:val="24"/>
                <w:lang w:val="zh-CN"/>
              </w:rPr>
              <w:t>（</w:t>
            </w:r>
            <w:r>
              <w:rPr>
                <w:rFonts w:hint="eastAsia" w:hAnsi="宋体"/>
                <w:sz w:val="24"/>
              </w:rPr>
              <w:t>3</w:t>
            </w:r>
            <w:r>
              <w:rPr>
                <w:rFonts w:hint="eastAsia" w:hAnsi="宋体"/>
                <w:sz w:val="24"/>
                <w:lang w:val="zh-CN"/>
              </w:rPr>
              <w:t>）方案优势不明显，服务管理体系全面可行性较差得</w:t>
            </w:r>
            <w:r>
              <w:rPr>
                <w:rFonts w:hint="eastAsia" w:hAnsi="宋体"/>
                <w:sz w:val="24"/>
                <w:lang w:val="en-US" w:eastAsia="zh-CN"/>
              </w:rPr>
              <w:t>4</w:t>
            </w:r>
            <w:r>
              <w:rPr>
                <w:rFonts w:hint="eastAsia" w:hAnsi="宋体"/>
                <w:sz w:val="24"/>
              </w:rPr>
              <w:t>分；</w:t>
            </w:r>
          </w:p>
          <w:p w14:paraId="2BECC88B">
            <w:pPr>
              <w:jc w:val="left"/>
            </w:pPr>
            <w:r>
              <w:rPr>
                <w:rFonts w:hint="eastAsia" w:hAnsi="宋体"/>
                <w:sz w:val="24"/>
                <w:lang w:val="zh-CN"/>
              </w:rPr>
              <w:t>（</w:t>
            </w:r>
            <w:r>
              <w:rPr>
                <w:rFonts w:hint="eastAsia" w:hAnsi="宋体"/>
                <w:sz w:val="24"/>
              </w:rPr>
              <w:t>4</w:t>
            </w:r>
            <w:r>
              <w:rPr>
                <w:rFonts w:hint="eastAsia" w:hAnsi="宋体"/>
                <w:sz w:val="24"/>
                <w:lang w:val="zh-CN"/>
              </w:rPr>
              <w:t>）未提供相关内容不得分</w:t>
            </w:r>
            <w:r>
              <w:rPr>
                <w:rFonts w:hint="eastAsia" w:hAnsi="宋体"/>
                <w:sz w:val="24"/>
              </w:rPr>
              <w:t>；</w:t>
            </w:r>
          </w:p>
        </w:tc>
      </w:tr>
      <w:tr w14:paraId="37D5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vAlign w:val="center"/>
          </w:tcPr>
          <w:p w14:paraId="1E5F9CEE">
            <w:pPr>
              <w:jc w:val="center"/>
              <w:rPr>
                <w:rFonts w:hint="eastAsia" w:hAnsi="宋体" w:cs="宋体"/>
                <w:color w:val="000000"/>
                <w:sz w:val="24"/>
                <w:szCs w:val="21"/>
              </w:rPr>
            </w:pPr>
          </w:p>
        </w:tc>
        <w:tc>
          <w:tcPr>
            <w:tcW w:w="1520" w:type="dxa"/>
            <w:vMerge w:val="continue"/>
            <w:vAlign w:val="center"/>
          </w:tcPr>
          <w:p w14:paraId="55141ADF">
            <w:pPr>
              <w:jc w:val="center"/>
              <w:rPr>
                <w:rFonts w:hint="eastAsia" w:hAnsi="宋体" w:cs="宋体"/>
                <w:color w:val="000000"/>
                <w:sz w:val="24"/>
                <w:szCs w:val="21"/>
              </w:rPr>
            </w:pPr>
          </w:p>
        </w:tc>
        <w:tc>
          <w:tcPr>
            <w:tcW w:w="755" w:type="dxa"/>
            <w:vAlign w:val="center"/>
          </w:tcPr>
          <w:p w14:paraId="7F57B0A1">
            <w:pPr>
              <w:jc w:val="center"/>
              <w:rPr>
                <w:rFonts w:hint="default" w:hAnsi="宋体" w:eastAsia="宋体" w:cs="宋体"/>
                <w:color w:val="000000"/>
                <w:sz w:val="24"/>
                <w:szCs w:val="21"/>
                <w:lang w:val="en-US" w:eastAsia="zh-CN"/>
              </w:rPr>
            </w:pPr>
            <w:r>
              <w:rPr>
                <w:rFonts w:hint="eastAsia" w:hAnsi="宋体" w:cs="宋体"/>
                <w:color w:val="000000"/>
                <w:sz w:val="24"/>
                <w:szCs w:val="21"/>
                <w:lang w:val="en-US" w:eastAsia="zh-CN"/>
              </w:rPr>
              <w:t>10</w:t>
            </w:r>
          </w:p>
        </w:tc>
        <w:tc>
          <w:tcPr>
            <w:tcW w:w="6622" w:type="dxa"/>
            <w:vAlign w:val="center"/>
          </w:tcPr>
          <w:p w14:paraId="62200599">
            <w:pPr>
              <w:rPr>
                <w:rFonts w:hint="eastAsia" w:hAnsi="宋体" w:cs="宋体"/>
                <w:sz w:val="24"/>
              </w:rPr>
            </w:pPr>
            <w:r>
              <w:rPr>
                <w:rFonts w:hint="eastAsia" w:hAnsi="宋体"/>
                <w:sz w:val="24"/>
              </w:rPr>
              <w:t>技术方案对产品、系统功能及其技术要点是否有完整和全面的响应和说明，以及产品的技术水平、应用程度、系统结构的先进性、科学性和合理性等,对采购人现有信息系统的熟悉情况，投标方案是否详</w:t>
            </w:r>
            <w:r>
              <w:rPr>
                <w:rFonts w:hint="eastAsia" w:hAnsi="宋体" w:cs="宋体"/>
                <w:sz w:val="24"/>
              </w:rPr>
              <w:t>尽、明晰，是否满足需求等。</w:t>
            </w:r>
          </w:p>
          <w:p w14:paraId="0183BB31">
            <w:pPr>
              <w:rPr>
                <w:rFonts w:hint="eastAsia" w:hAnsi="宋体" w:cs="宋体"/>
                <w:sz w:val="24"/>
              </w:rPr>
            </w:pPr>
            <w:r>
              <w:rPr>
                <w:rFonts w:hint="eastAsia" w:hAnsi="宋体" w:cs="宋体"/>
                <w:sz w:val="24"/>
                <w:lang w:val="zh-CN"/>
              </w:rPr>
              <w:t>（</w:t>
            </w:r>
            <w:r>
              <w:rPr>
                <w:rFonts w:hint="eastAsia" w:hAnsi="宋体" w:cs="宋体"/>
                <w:sz w:val="24"/>
              </w:rPr>
              <w:t>1</w:t>
            </w:r>
            <w:r>
              <w:rPr>
                <w:rFonts w:hint="eastAsia" w:hAnsi="宋体" w:cs="宋体"/>
                <w:sz w:val="24"/>
                <w:lang w:val="zh-CN"/>
              </w:rPr>
              <w:t>）方案</w:t>
            </w:r>
            <w:r>
              <w:rPr>
                <w:rFonts w:hint="eastAsia" w:hAnsi="宋体"/>
                <w:sz w:val="24"/>
              </w:rPr>
              <w:t>对产品、系统功能及其技术要点有完整和全面的响应和说明，方案详</w:t>
            </w:r>
            <w:r>
              <w:rPr>
                <w:rFonts w:hint="eastAsia" w:hAnsi="宋体" w:cs="宋体"/>
                <w:sz w:val="24"/>
              </w:rPr>
              <w:t>尽、明晰，满足项目需求</w:t>
            </w:r>
            <w:r>
              <w:rPr>
                <w:rFonts w:hint="eastAsia" w:hAnsi="宋体" w:cs="宋体"/>
                <w:sz w:val="24"/>
                <w:lang w:val="zh-CN"/>
              </w:rPr>
              <w:t>得</w:t>
            </w:r>
            <w:r>
              <w:rPr>
                <w:rFonts w:hint="eastAsia" w:hAnsi="宋体" w:cs="宋体"/>
                <w:sz w:val="24"/>
                <w:lang w:val="en-US" w:eastAsia="zh-CN"/>
              </w:rPr>
              <w:t>10</w:t>
            </w:r>
            <w:r>
              <w:rPr>
                <w:rFonts w:hint="eastAsia" w:hAnsi="宋体" w:cs="宋体"/>
                <w:sz w:val="24"/>
              </w:rPr>
              <w:t>分；</w:t>
            </w:r>
          </w:p>
          <w:p w14:paraId="35B0FCE6">
            <w:pPr>
              <w:rPr>
                <w:rFonts w:hint="eastAsia" w:hAnsi="宋体" w:cs="宋体"/>
                <w:sz w:val="24"/>
              </w:rPr>
            </w:pPr>
            <w:r>
              <w:rPr>
                <w:rFonts w:hint="eastAsia" w:hAnsi="宋体" w:cs="宋体"/>
                <w:sz w:val="24"/>
                <w:lang w:val="zh-CN"/>
              </w:rPr>
              <w:t>（</w:t>
            </w:r>
            <w:r>
              <w:rPr>
                <w:rFonts w:hint="eastAsia" w:hAnsi="宋体" w:cs="宋体"/>
                <w:sz w:val="24"/>
              </w:rPr>
              <w:t>2</w:t>
            </w:r>
            <w:r>
              <w:rPr>
                <w:rFonts w:hint="eastAsia" w:hAnsi="宋体" w:cs="宋体"/>
                <w:sz w:val="24"/>
                <w:lang w:val="zh-CN"/>
              </w:rPr>
              <w:t>）方案</w:t>
            </w:r>
            <w:r>
              <w:rPr>
                <w:rFonts w:hint="eastAsia" w:hAnsi="宋体"/>
                <w:sz w:val="24"/>
              </w:rPr>
              <w:t>对产品、系统功能及其技术要点有较完整和较全面的响应和说明，方案详细度一般</w:t>
            </w:r>
            <w:r>
              <w:rPr>
                <w:rFonts w:hint="eastAsia" w:hAnsi="宋体" w:cs="宋体"/>
                <w:sz w:val="24"/>
              </w:rPr>
              <w:t>，基本满足项目需求</w:t>
            </w:r>
            <w:r>
              <w:rPr>
                <w:rFonts w:hint="eastAsia" w:hAnsi="宋体" w:cs="宋体"/>
                <w:sz w:val="24"/>
                <w:lang w:val="zh-CN"/>
              </w:rPr>
              <w:t>得</w:t>
            </w:r>
            <w:r>
              <w:rPr>
                <w:rFonts w:hint="eastAsia" w:hAnsi="宋体" w:cs="宋体"/>
                <w:sz w:val="24"/>
                <w:lang w:val="en-US" w:eastAsia="zh-CN"/>
              </w:rPr>
              <w:t>7</w:t>
            </w:r>
            <w:r>
              <w:rPr>
                <w:rFonts w:hint="eastAsia" w:hAnsi="宋体" w:cs="宋体"/>
                <w:sz w:val="24"/>
              </w:rPr>
              <w:t>分；</w:t>
            </w:r>
          </w:p>
          <w:p w14:paraId="61E2E2F0">
            <w:pPr>
              <w:rPr>
                <w:rFonts w:hint="eastAsia" w:hAnsi="宋体" w:cs="宋体"/>
                <w:sz w:val="24"/>
              </w:rPr>
            </w:pPr>
            <w:r>
              <w:rPr>
                <w:rFonts w:hint="eastAsia" w:hAnsi="宋体" w:cs="宋体"/>
                <w:sz w:val="24"/>
                <w:lang w:val="zh-CN"/>
              </w:rPr>
              <w:t>（</w:t>
            </w:r>
            <w:r>
              <w:rPr>
                <w:rFonts w:hint="eastAsia" w:hAnsi="宋体" w:cs="宋体"/>
                <w:sz w:val="24"/>
              </w:rPr>
              <w:t>3</w:t>
            </w:r>
            <w:r>
              <w:rPr>
                <w:rFonts w:hint="eastAsia" w:hAnsi="宋体" w:cs="宋体"/>
                <w:sz w:val="24"/>
                <w:lang w:val="zh-CN"/>
              </w:rPr>
              <w:t>）方案</w:t>
            </w:r>
            <w:r>
              <w:rPr>
                <w:rFonts w:hint="eastAsia" w:hAnsi="宋体"/>
                <w:sz w:val="24"/>
              </w:rPr>
              <w:t>对产品、系统功能及其技术要点有不完整和不全面的响应和说明，方案详细度差</w:t>
            </w:r>
            <w:r>
              <w:rPr>
                <w:rFonts w:hint="eastAsia" w:hAnsi="宋体" w:cs="宋体"/>
                <w:sz w:val="24"/>
              </w:rPr>
              <w:t>，不满足项目需求</w:t>
            </w:r>
            <w:r>
              <w:rPr>
                <w:rFonts w:hint="eastAsia" w:hAnsi="宋体" w:cs="宋体"/>
                <w:sz w:val="24"/>
                <w:lang w:val="zh-CN"/>
              </w:rPr>
              <w:t>得</w:t>
            </w:r>
            <w:r>
              <w:rPr>
                <w:rFonts w:hint="eastAsia" w:hAnsi="宋体" w:cs="宋体"/>
                <w:sz w:val="24"/>
                <w:lang w:val="en-US" w:eastAsia="zh-CN"/>
              </w:rPr>
              <w:t>4</w:t>
            </w:r>
            <w:r>
              <w:rPr>
                <w:rFonts w:hint="eastAsia" w:hAnsi="宋体" w:cs="宋体"/>
                <w:sz w:val="24"/>
              </w:rPr>
              <w:t>分；</w:t>
            </w:r>
          </w:p>
          <w:p w14:paraId="5828FF42">
            <w:r>
              <w:rPr>
                <w:rFonts w:hint="eastAsia" w:hAnsi="宋体" w:cs="宋体"/>
                <w:sz w:val="24"/>
                <w:lang w:val="zh-CN"/>
              </w:rPr>
              <w:t>（</w:t>
            </w:r>
            <w:r>
              <w:rPr>
                <w:rFonts w:hint="eastAsia" w:hAnsi="宋体" w:cs="宋体"/>
                <w:sz w:val="24"/>
              </w:rPr>
              <w:t>4</w:t>
            </w:r>
            <w:r>
              <w:rPr>
                <w:rFonts w:hint="eastAsia" w:hAnsi="宋体" w:cs="宋体"/>
                <w:sz w:val="24"/>
                <w:lang w:val="zh-CN"/>
              </w:rPr>
              <w:t>）未提供相关内容不得分</w:t>
            </w:r>
            <w:r>
              <w:rPr>
                <w:rFonts w:hint="eastAsia" w:hAnsi="宋体" w:cs="宋体"/>
                <w:sz w:val="24"/>
              </w:rPr>
              <w:t>；</w:t>
            </w:r>
          </w:p>
        </w:tc>
      </w:tr>
      <w:tr w14:paraId="02DA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98" w:type="dxa"/>
            <w:vMerge w:val="restart"/>
            <w:vAlign w:val="center"/>
          </w:tcPr>
          <w:p w14:paraId="0EF5EEDA">
            <w:pPr>
              <w:jc w:val="center"/>
              <w:rPr>
                <w:rFonts w:hint="eastAsia" w:hAnsi="宋体" w:cs="宋体"/>
                <w:color w:val="000000"/>
                <w:sz w:val="24"/>
                <w:szCs w:val="21"/>
              </w:rPr>
            </w:pPr>
            <w:r>
              <w:rPr>
                <w:rFonts w:hint="eastAsia" w:hAnsi="宋体" w:cs="宋体"/>
                <w:color w:val="000000"/>
                <w:sz w:val="24"/>
                <w:szCs w:val="21"/>
              </w:rPr>
              <w:t>2</w:t>
            </w:r>
          </w:p>
        </w:tc>
        <w:tc>
          <w:tcPr>
            <w:tcW w:w="1520" w:type="dxa"/>
            <w:vMerge w:val="restart"/>
            <w:vAlign w:val="center"/>
          </w:tcPr>
          <w:p w14:paraId="0BD8E17D">
            <w:pPr>
              <w:jc w:val="center"/>
              <w:rPr>
                <w:rFonts w:hint="eastAsia" w:hAnsi="宋体" w:cs="宋体"/>
                <w:color w:val="000000"/>
                <w:sz w:val="24"/>
                <w:szCs w:val="21"/>
              </w:rPr>
            </w:pPr>
            <w:r>
              <w:rPr>
                <w:rFonts w:hint="eastAsia" w:hAnsi="宋体" w:cs="宋体"/>
                <w:color w:val="000000"/>
                <w:sz w:val="24"/>
                <w:szCs w:val="21"/>
              </w:rPr>
              <w:t>综合能力（</w:t>
            </w:r>
            <w:r>
              <w:rPr>
                <w:rFonts w:hint="eastAsia" w:hAnsi="宋体" w:cs="宋体"/>
                <w:color w:val="000000"/>
                <w:sz w:val="24"/>
                <w:szCs w:val="21"/>
                <w:lang w:val="en-US" w:eastAsia="zh-CN"/>
              </w:rPr>
              <w:t>15</w:t>
            </w:r>
            <w:r>
              <w:rPr>
                <w:rFonts w:hint="eastAsia" w:hAnsi="宋体" w:cs="宋体"/>
                <w:color w:val="000000"/>
                <w:sz w:val="24"/>
                <w:szCs w:val="21"/>
              </w:rPr>
              <w:t>）</w:t>
            </w:r>
          </w:p>
        </w:tc>
        <w:tc>
          <w:tcPr>
            <w:tcW w:w="755" w:type="dxa"/>
            <w:vAlign w:val="center"/>
          </w:tcPr>
          <w:p w14:paraId="1A4F260B">
            <w:pPr>
              <w:jc w:val="center"/>
              <w:rPr>
                <w:rFonts w:hint="default" w:hAnsi="宋体" w:eastAsia="宋体" w:cs="宋体"/>
                <w:color w:val="000000"/>
                <w:sz w:val="24"/>
                <w:szCs w:val="21"/>
                <w:lang w:val="en-US" w:eastAsia="zh-CN"/>
              </w:rPr>
            </w:pPr>
            <w:r>
              <w:rPr>
                <w:rFonts w:hint="eastAsia" w:hAnsi="宋体" w:eastAsia="宋体" w:cs="宋体"/>
                <w:color w:val="000000"/>
                <w:sz w:val="24"/>
                <w:szCs w:val="21"/>
                <w:lang w:val="en-US" w:eastAsia="zh-CN"/>
              </w:rPr>
              <w:t>6</w:t>
            </w:r>
          </w:p>
        </w:tc>
        <w:tc>
          <w:tcPr>
            <w:tcW w:w="6622" w:type="dxa"/>
            <w:vAlign w:val="center"/>
          </w:tcPr>
          <w:p w14:paraId="69733F39">
            <w:pPr>
              <w:rPr>
                <w:rFonts w:hint="eastAsia" w:hAnsi="宋体"/>
                <w:sz w:val="24"/>
              </w:rPr>
            </w:pPr>
            <w:r>
              <w:rPr>
                <w:rFonts w:hint="eastAsia" w:hAnsi="宋体"/>
                <w:sz w:val="24"/>
              </w:rPr>
              <w:t>供应商拥有信息安全管理体系认证证书、信息技术服务管理体系认证证书</w:t>
            </w:r>
            <w:r>
              <w:rPr>
                <w:rFonts w:hint="eastAsia" w:hAnsi="宋体"/>
                <w:sz w:val="24"/>
                <w:lang w:eastAsia="zh-CN"/>
              </w:rPr>
              <w:t>、</w:t>
            </w:r>
            <w:r>
              <w:rPr>
                <w:rFonts w:hint="eastAsia" w:hAnsi="宋体"/>
                <w:sz w:val="24"/>
              </w:rPr>
              <w:t>信息安全服务资质</w:t>
            </w:r>
            <w:r>
              <w:rPr>
                <w:rFonts w:hint="eastAsia" w:hAnsi="宋体"/>
                <w:sz w:val="24"/>
                <w:lang w:val="en-US" w:eastAsia="zh-CN"/>
              </w:rPr>
              <w:t>认证证书</w:t>
            </w:r>
            <w:r>
              <w:rPr>
                <w:rFonts w:hint="eastAsia" w:hAnsi="宋体"/>
                <w:sz w:val="24"/>
              </w:rPr>
              <w:t>三级</w:t>
            </w:r>
            <w:r>
              <w:rPr>
                <w:rFonts w:hint="eastAsia" w:hAnsi="宋体"/>
                <w:sz w:val="24"/>
                <w:lang w:val="en-US" w:eastAsia="zh-CN"/>
              </w:rPr>
              <w:t>以上的</w:t>
            </w:r>
            <w:r>
              <w:rPr>
                <w:rFonts w:hint="eastAsia" w:hAnsi="宋体"/>
                <w:sz w:val="24"/>
              </w:rPr>
              <w:t>，每提供一项得</w:t>
            </w:r>
            <w:r>
              <w:rPr>
                <w:rFonts w:hint="eastAsia" w:hAnsi="宋体"/>
                <w:sz w:val="24"/>
                <w:lang w:val="en-US" w:eastAsia="zh-CN"/>
              </w:rPr>
              <w:t>2</w:t>
            </w:r>
            <w:r>
              <w:rPr>
                <w:rFonts w:hint="eastAsia" w:hAnsi="宋体"/>
                <w:sz w:val="24"/>
              </w:rPr>
              <w:t>分，最高得</w:t>
            </w:r>
            <w:r>
              <w:rPr>
                <w:rFonts w:hint="eastAsia" w:hAnsi="宋体"/>
                <w:sz w:val="24"/>
                <w:lang w:val="en-US" w:eastAsia="zh-CN"/>
              </w:rPr>
              <w:t>6</w:t>
            </w:r>
            <w:r>
              <w:rPr>
                <w:rFonts w:hint="eastAsia" w:hAnsi="宋体"/>
                <w:sz w:val="24"/>
              </w:rPr>
              <w:t>分。</w:t>
            </w:r>
          </w:p>
          <w:p w14:paraId="054D55A3">
            <w:pPr>
              <w:rPr>
                <w:rFonts w:hint="eastAsia" w:hAnsi="宋体"/>
                <w:sz w:val="24"/>
              </w:rPr>
            </w:pPr>
            <w:r>
              <w:rPr>
                <w:rFonts w:hint="eastAsia" w:hAnsi="宋体"/>
                <w:sz w:val="24"/>
              </w:rPr>
              <w:t>注：须提供认证证书复印件并加盖供应商公章，未提供的不得分</w:t>
            </w:r>
            <w:r>
              <w:rPr>
                <w:rFonts w:hint="eastAsia" w:hAnsi="宋体" w:cs="宋体"/>
                <w:sz w:val="24"/>
              </w:rPr>
              <w:t>；</w:t>
            </w:r>
          </w:p>
        </w:tc>
      </w:tr>
      <w:tr w14:paraId="6957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98" w:type="dxa"/>
            <w:vMerge w:val="continue"/>
            <w:vAlign w:val="center"/>
          </w:tcPr>
          <w:p w14:paraId="267DD93E">
            <w:pPr>
              <w:jc w:val="center"/>
              <w:rPr>
                <w:rFonts w:hint="eastAsia" w:hAnsi="宋体" w:cs="宋体"/>
                <w:color w:val="000000"/>
                <w:sz w:val="24"/>
                <w:szCs w:val="21"/>
              </w:rPr>
            </w:pPr>
          </w:p>
        </w:tc>
        <w:tc>
          <w:tcPr>
            <w:tcW w:w="1520" w:type="dxa"/>
            <w:vMerge w:val="continue"/>
            <w:vAlign w:val="center"/>
          </w:tcPr>
          <w:p w14:paraId="4503E775">
            <w:pPr>
              <w:jc w:val="center"/>
              <w:rPr>
                <w:rFonts w:hint="eastAsia" w:hAnsi="宋体" w:cs="宋体"/>
                <w:color w:val="000000"/>
                <w:sz w:val="24"/>
                <w:szCs w:val="21"/>
              </w:rPr>
            </w:pPr>
          </w:p>
        </w:tc>
        <w:tc>
          <w:tcPr>
            <w:tcW w:w="755" w:type="dxa"/>
            <w:vAlign w:val="center"/>
          </w:tcPr>
          <w:p w14:paraId="41D34C5E">
            <w:pPr>
              <w:jc w:val="center"/>
              <w:rPr>
                <w:rFonts w:hint="default" w:hAnsi="宋体" w:eastAsia="宋体" w:cs="宋体"/>
                <w:color w:val="000000"/>
                <w:sz w:val="24"/>
                <w:szCs w:val="21"/>
                <w:lang w:val="en-US" w:eastAsia="zh-CN"/>
              </w:rPr>
            </w:pPr>
            <w:r>
              <w:rPr>
                <w:rFonts w:hint="eastAsia" w:hAnsi="宋体" w:eastAsia="宋体" w:cs="宋体"/>
                <w:color w:val="000000"/>
                <w:sz w:val="24"/>
                <w:szCs w:val="21"/>
                <w:lang w:val="en-US" w:eastAsia="zh-CN"/>
              </w:rPr>
              <w:t>9</w:t>
            </w:r>
          </w:p>
        </w:tc>
        <w:tc>
          <w:tcPr>
            <w:tcW w:w="6622" w:type="dxa"/>
            <w:vAlign w:val="center"/>
          </w:tcPr>
          <w:p w14:paraId="62259C52">
            <w:pPr>
              <w:rPr>
                <w:rFonts w:hint="eastAsia" w:hAnsi="宋体"/>
                <w:sz w:val="24"/>
              </w:rPr>
            </w:pPr>
            <w:r>
              <w:rPr>
                <w:rFonts w:hint="eastAsia" w:hAnsi="宋体"/>
                <w:sz w:val="24"/>
              </w:rPr>
              <w:t>为保证项目顺利实施，供应商拟派此次项目的团队人员具有以下证书的：</w:t>
            </w:r>
          </w:p>
          <w:p w14:paraId="57EADE63">
            <w:pPr>
              <w:rPr>
                <w:rFonts w:hint="eastAsia" w:hAnsi="宋体"/>
                <w:sz w:val="24"/>
              </w:rPr>
            </w:pPr>
            <w:r>
              <w:rPr>
                <w:rFonts w:hint="eastAsia" w:hAnsi="宋体"/>
                <w:sz w:val="24"/>
              </w:rPr>
              <w:t>（1）具有</w:t>
            </w:r>
            <w:r>
              <w:rPr>
                <w:rFonts w:hAnsi="宋体"/>
                <w:sz w:val="24"/>
              </w:rPr>
              <w:t>系统集成项目管理</w:t>
            </w:r>
            <w:r>
              <w:rPr>
                <w:rFonts w:hint="eastAsia" w:hAnsi="宋体"/>
                <w:sz w:val="24"/>
              </w:rPr>
              <w:t>工</w:t>
            </w:r>
            <w:r>
              <w:rPr>
                <w:rFonts w:hAnsi="宋体"/>
                <w:sz w:val="24"/>
              </w:rPr>
              <w:t>程师</w:t>
            </w:r>
            <w:r>
              <w:rPr>
                <w:rFonts w:hint="eastAsia" w:hAnsi="宋体"/>
                <w:sz w:val="24"/>
              </w:rPr>
              <w:t>证书的得</w:t>
            </w:r>
            <w:r>
              <w:rPr>
                <w:rFonts w:hint="eastAsia" w:hAnsi="宋体"/>
                <w:sz w:val="24"/>
                <w:lang w:val="en-US" w:eastAsia="zh-CN"/>
              </w:rPr>
              <w:t>3</w:t>
            </w:r>
            <w:r>
              <w:rPr>
                <w:rFonts w:hint="eastAsia" w:hAnsi="宋体"/>
                <w:sz w:val="24"/>
              </w:rPr>
              <w:t>分；</w:t>
            </w:r>
          </w:p>
          <w:p w14:paraId="68626BAE">
            <w:pPr>
              <w:rPr>
                <w:rFonts w:hint="eastAsia" w:hAnsi="宋体"/>
                <w:sz w:val="24"/>
              </w:rPr>
            </w:pPr>
            <w:r>
              <w:rPr>
                <w:rFonts w:hint="eastAsia" w:hAnsi="宋体"/>
                <w:sz w:val="24"/>
              </w:rPr>
              <w:t>（2）具有ITSS IT服务工程师的得</w:t>
            </w:r>
            <w:r>
              <w:rPr>
                <w:rFonts w:hint="eastAsia" w:hAnsi="宋体"/>
                <w:sz w:val="24"/>
                <w:lang w:val="en-US" w:eastAsia="zh-CN"/>
              </w:rPr>
              <w:t>3</w:t>
            </w:r>
            <w:r>
              <w:rPr>
                <w:rFonts w:hint="eastAsia" w:hAnsi="宋体"/>
                <w:sz w:val="24"/>
              </w:rPr>
              <w:t>分；</w:t>
            </w:r>
          </w:p>
          <w:p w14:paraId="22C9EBBF">
            <w:pPr>
              <w:rPr>
                <w:rFonts w:hint="eastAsia" w:hAnsi="宋体"/>
                <w:sz w:val="24"/>
              </w:rPr>
            </w:pPr>
            <w:r>
              <w:rPr>
                <w:rFonts w:hint="eastAsia" w:hAnsi="宋体"/>
                <w:sz w:val="24"/>
              </w:rPr>
              <w:t>（3）具有软件设计师证书的得</w:t>
            </w:r>
            <w:r>
              <w:rPr>
                <w:rFonts w:hint="eastAsia" w:hAnsi="宋体"/>
                <w:sz w:val="24"/>
                <w:lang w:val="en-US" w:eastAsia="zh-CN"/>
              </w:rPr>
              <w:t>3</w:t>
            </w:r>
            <w:r>
              <w:rPr>
                <w:rFonts w:hint="eastAsia" w:hAnsi="宋体"/>
                <w:sz w:val="24"/>
              </w:rPr>
              <w:t>分；</w:t>
            </w:r>
          </w:p>
          <w:p w14:paraId="3765C9B1">
            <w:pPr>
              <w:rPr>
                <w:rFonts w:hint="eastAsia" w:hAnsi="宋体"/>
                <w:sz w:val="24"/>
              </w:rPr>
            </w:pPr>
            <w:r>
              <w:rPr>
                <w:rFonts w:hint="eastAsia" w:hAnsi="宋体"/>
                <w:sz w:val="24"/>
              </w:rPr>
              <w:t>此项最高得</w:t>
            </w:r>
            <w:r>
              <w:rPr>
                <w:rFonts w:hint="eastAsia" w:hAnsi="宋体"/>
                <w:sz w:val="24"/>
                <w:lang w:val="en-US" w:eastAsia="zh-CN"/>
              </w:rPr>
              <w:t>9</w:t>
            </w:r>
            <w:r>
              <w:rPr>
                <w:rFonts w:hint="eastAsia" w:hAnsi="宋体"/>
                <w:sz w:val="24"/>
              </w:rPr>
              <w:t>分（如一人同时具备多个证书，只按其中一个证书计取，不重复得分。项目团队不同成员具有相同证书的按一人具备计算，不重复得分。）</w:t>
            </w:r>
          </w:p>
          <w:p w14:paraId="56F753D5">
            <w:pPr>
              <w:rPr>
                <w:rFonts w:hint="eastAsia" w:hAnsi="宋体"/>
                <w:sz w:val="24"/>
              </w:rPr>
            </w:pPr>
            <w:r>
              <w:rPr>
                <w:rFonts w:hint="eastAsia" w:hAnsi="宋体"/>
                <w:sz w:val="24"/>
              </w:rPr>
              <w:t>注：须提供①团队人员资格证书复印件并加盖供应商公章；②供应商为其缴纳的自投标截止时间前三个月的养老保险缴费证明(投标人如为成立不足三个月的新公司，可以提供最近一个月的养老保险缴费证明；成立不足一个月的新公司，可以不提交养老保险缴费证明）；</w:t>
            </w:r>
          </w:p>
        </w:tc>
      </w:tr>
      <w:tr w14:paraId="423F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restart"/>
            <w:vAlign w:val="center"/>
          </w:tcPr>
          <w:p w14:paraId="6C10FD65">
            <w:pPr>
              <w:jc w:val="center"/>
              <w:rPr>
                <w:rFonts w:hint="eastAsia" w:hAnsi="宋体" w:cs="宋体"/>
                <w:color w:val="000000"/>
                <w:sz w:val="24"/>
                <w:szCs w:val="21"/>
              </w:rPr>
            </w:pPr>
            <w:r>
              <w:rPr>
                <w:rFonts w:hint="eastAsia" w:hAnsi="宋体" w:cs="宋体"/>
                <w:color w:val="000000"/>
                <w:sz w:val="24"/>
                <w:szCs w:val="21"/>
              </w:rPr>
              <w:t>3</w:t>
            </w:r>
          </w:p>
        </w:tc>
        <w:tc>
          <w:tcPr>
            <w:tcW w:w="1520" w:type="dxa"/>
            <w:vMerge w:val="restart"/>
            <w:vAlign w:val="center"/>
          </w:tcPr>
          <w:p w14:paraId="62D5F676">
            <w:pPr>
              <w:jc w:val="center"/>
              <w:rPr>
                <w:rFonts w:hint="eastAsia" w:hAnsi="宋体" w:cs="宋体"/>
                <w:color w:val="000000"/>
                <w:sz w:val="24"/>
                <w:szCs w:val="21"/>
              </w:rPr>
            </w:pPr>
            <w:r>
              <w:rPr>
                <w:rFonts w:hint="eastAsia" w:hAnsi="宋体" w:cs="宋体"/>
                <w:color w:val="000000"/>
                <w:sz w:val="24"/>
                <w:szCs w:val="21"/>
              </w:rPr>
              <w:t>实施与售后服务（1</w:t>
            </w:r>
            <w:r>
              <w:rPr>
                <w:rFonts w:hint="eastAsia" w:hAnsi="宋体" w:cs="宋体"/>
                <w:color w:val="000000"/>
                <w:sz w:val="24"/>
                <w:szCs w:val="21"/>
                <w:lang w:val="en-US" w:eastAsia="zh-CN"/>
              </w:rPr>
              <w:t>5</w:t>
            </w:r>
            <w:r>
              <w:rPr>
                <w:rFonts w:hint="eastAsia" w:hAnsi="宋体" w:cs="宋体"/>
                <w:color w:val="000000"/>
                <w:sz w:val="24"/>
                <w:szCs w:val="21"/>
              </w:rPr>
              <w:t>）</w:t>
            </w:r>
          </w:p>
        </w:tc>
        <w:tc>
          <w:tcPr>
            <w:tcW w:w="755" w:type="dxa"/>
            <w:vAlign w:val="center"/>
          </w:tcPr>
          <w:p w14:paraId="455D06ED">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5</w:t>
            </w:r>
          </w:p>
        </w:tc>
        <w:tc>
          <w:tcPr>
            <w:tcW w:w="6622" w:type="dxa"/>
            <w:vAlign w:val="center"/>
          </w:tcPr>
          <w:p w14:paraId="1CDF87D1">
            <w:pPr>
              <w:jc w:val="left"/>
              <w:rPr>
                <w:rFonts w:hint="eastAsia" w:hAnsi="宋体"/>
                <w:sz w:val="24"/>
              </w:rPr>
            </w:pPr>
            <w:r>
              <w:rPr>
                <w:rFonts w:hint="eastAsia" w:hAnsi="宋体"/>
                <w:sz w:val="24"/>
              </w:rPr>
              <w:t>供应商项目组织实施方案的科学性、合理性、规范性和可操作性及与原有系统兼容性等，包括系统升级、系统集成、试运行、测试、调优、应用开发培训、系统管理培训、系统运行维护等内容，以及组织机构、实施场所、工作时间安排表、工作程序和步骤、管理和协调方法、关键步骤的思路和要点等。</w:t>
            </w:r>
          </w:p>
          <w:p w14:paraId="466A2EF9">
            <w:pPr>
              <w:jc w:val="left"/>
              <w:rPr>
                <w:rFonts w:hint="eastAsia" w:ascii="宋体" w:hAnsi="宋体"/>
                <w:sz w:val="24"/>
              </w:rPr>
            </w:pPr>
            <w:r>
              <w:rPr>
                <w:rFonts w:hint="eastAsia" w:ascii="宋体" w:hAnsi="宋体"/>
                <w:sz w:val="24"/>
                <w:lang w:val="zh-CN"/>
              </w:rPr>
              <w:t>（</w:t>
            </w:r>
            <w:r>
              <w:rPr>
                <w:rFonts w:hint="eastAsia" w:ascii="宋体" w:hAnsi="宋体"/>
                <w:sz w:val="24"/>
              </w:rPr>
              <w:t>1</w:t>
            </w:r>
            <w:r>
              <w:rPr>
                <w:rFonts w:hint="eastAsia" w:ascii="宋体" w:hAnsi="宋体"/>
                <w:sz w:val="24"/>
                <w:lang w:val="zh-CN"/>
              </w:rPr>
              <w:t>）实施方案科学、合理、规范、可操作性强、与原有系统兼容性好得</w:t>
            </w:r>
            <w:r>
              <w:rPr>
                <w:rFonts w:hint="eastAsia" w:ascii="宋体" w:hAnsi="宋体"/>
                <w:sz w:val="24"/>
                <w:lang w:val="en-US" w:eastAsia="zh-CN"/>
              </w:rPr>
              <w:t>5</w:t>
            </w:r>
            <w:r>
              <w:rPr>
                <w:rFonts w:hint="eastAsia" w:ascii="宋体" w:hAnsi="宋体"/>
                <w:sz w:val="24"/>
              </w:rPr>
              <w:t>分；</w:t>
            </w:r>
          </w:p>
          <w:p w14:paraId="7298DC52">
            <w:pPr>
              <w:jc w:val="left"/>
              <w:rPr>
                <w:rFonts w:hint="eastAsia" w:ascii="宋体" w:hAnsi="宋体"/>
                <w:sz w:val="24"/>
              </w:rPr>
            </w:pPr>
            <w:r>
              <w:rPr>
                <w:rFonts w:hint="eastAsia" w:ascii="宋体" w:hAnsi="宋体"/>
                <w:sz w:val="24"/>
                <w:lang w:val="zh-CN"/>
              </w:rPr>
              <w:t>（</w:t>
            </w:r>
            <w:r>
              <w:rPr>
                <w:rFonts w:hint="eastAsia" w:ascii="宋体" w:hAnsi="宋体"/>
                <w:sz w:val="24"/>
              </w:rPr>
              <w:t>2</w:t>
            </w:r>
            <w:r>
              <w:rPr>
                <w:rFonts w:hint="eastAsia" w:ascii="宋体" w:hAnsi="宋体"/>
                <w:sz w:val="24"/>
                <w:lang w:val="zh-CN"/>
              </w:rPr>
              <w:t>）实施方案较科学、较合理、较规范，可操作性较强、与原有系统兼容性较好得</w:t>
            </w:r>
            <w:r>
              <w:rPr>
                <w:rFonts w:hint="eastAsia" w:ascii="宋体" w:hAnsi="宋体"/>
                <w:sz w:val="24"/>
                <w:lang w:val="en-US" w:eastAsia="zh-CN"/>
              </w:rPr>
              <w:t>3</w:t>
            </w:r>
            <w:r>
              <w:rPr>
                <w:rFonts w:hint="eastAsia" w:ascii="宋体" w:hAnsi="宋体"/>
                <w:sz w:val="24"/>
              </w:rPr>
              <w:t>分；</w:t>
            </w:r>
          </w:p>
          <w:p w14:paraId="6D493C22">
            <w:pPr>
              <w:jc w:val="left"/>
              <w:rPr>
                <w:rFonts w:hint="eastAsia" w:ascii="宋体" w:hAnsi="宋体"/>
                <w:sz w:val="24"/>
              </w:rPr>
            </w:pPr>
            <w:r>
              <w:rPr>
                <w:rFonts w:hint="eastAsia" w:ascii="宋体" w:hAnsi="宋体"/>
                <w:sz w:val="24"/>
                <w:lang w:val="zh-CN"/>
              </w:rPr>
              <w:t>（</w:t>
            </w:r>
            <w:r>
              <w:rPr>
                <w:rFonts w:hint="eastAsia" w:ascii="宋体" w:hAnsi="宋体"/>
                <w:sz w:val="24"/>
              </w:rPr>
              <w:t>3</w:t>
            </w:r>
            <w:r>
              <w:rPr>
                <w:rFonts w:hint="eastAsia" w:ascii="宋体" w:hAnsi="宋体"/>
                <w:sz w:val="24"/>
                <w:lang w:val="zh-CN"/>
              </w:rPr>
              <w:t>）实施方案</w:t>
            </w:r>
            <w:r>
              <w:rPr>
                <w:rFonts w:hint="eastAsia" w:hAnsi="宋体"/>
                <w:sz w:val="24"/>
              </w:rPr>
              <w:t>科学性、合理性、规范性一般</w:t>
            </w:r>
            <w:r>
              <w:rPr>
                <w:rFonts w:hint="eastAsia" w:ascii="宋体" w:hAnsi="宋体"/>
                <w:sz w:val="24"/>
                <w:lang w:val="zh-CN"/>
              </w:rPr>
              <w:t>，可操作性不强、与原有系统兼容性较差得</w:t>
            </w:r>
            <w:r>
              <w:rPr>
                <w:rFonts w:hint="eastAsia" w:ascii="宋体" w:hAnsi="宋体"/>
                <w:sz w:val="24"/>
              </w:rPr>
              <w:t>1分；</w:t>
            </w:r>
          </w:p>
          <w:p w14:paraId="2D94D86B">
            <w:pPr>
              <w:jc w:val="left"/>
            </w:pPr>
            <w:r>
              <w:rPr>
                <w:rFonts w:hint="eastAsia" w:ascii="宋体" w:hAnsi="宋体"/>
                <w:sz w:val="24"/>
                <w:lang w:val="zh-CN"/>
              </w:rPr>
              <w:t>（</w:t>
            </w:r>
            <w:r>
              <w:rPr>
                <w:rFonts w:hint="eastAsia" w:ascii="宋体" w:hAnsi="宋体"/>
                <w:sz w:val="24"/>
              </w:rPr>
              <w:t>4</w:t>
            </w:r>
            <w:r>
              <w:rPr>
                <w:rFonts w:hint="eastAsia" w:ascii="宋体" w:hAnsi="宋体"/>
                <w:sz w:val="24"/>
                <w:lang w:val="zh-CN"/>
              </w:rPr>
              <w:t>）未提供相关内容不得分</w:t>
            </w:r>
            <w:r>
              <w:rPr>
                <w:rFonts w:hint="eastAsia" w:ascii="宋体" w:hAnsi="宋体"/>
                <w:sz w:val="24"/>
              </w:rPr>
              <w:t>；</w:t>
            </w:r>
          </w:p>
        </w:tc>
      </w:tr>
      <w:tr w14:paraId="47C3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vAlign w:val="center"/>
          </w:tcPr>
          <w:p w14:paraId="0FDEB3F4">
            <w:pPr>
              <w:jc w:val="center"/>
              <w:rPr>
                <w:rFonts w:hint="eastAsia" w:hAnsi="宋体" w:cs="宋体"/>
                <w:color w:val="000000"/>
                <w:sz w:val="24"/>
                <w:szCs w:val="21"/>
              </w:rPr>
            </w:pPr>
          </w:p>
        </w:tc>
        <w:tc>
          <w:tcPr>
            <w:tcW w:w="1520" w:type="dxa"/>
            <w:vMerge w:val="continue"/>
            <w:vAlign w:val="center"/>
          </w:tcPr>
          <w:p w14:paraId="6DAA4B6A">
            <w:pPr>
              <w:jc w:val="center"/>
              <w:rPr>
                <w:rFonts w:hint="eastAsia" w:hAnsi="宋体" w:cs="宋体"/>
                <w:color w:val="000000"/>
                <w:sz w:val="24"/>
                <w:szCs w:val="21"/>
              </w:rPr>
            </w:pPr>
          </w:p>
        </w:tc>
        <w:tc>
          <w:tcPr>
            <w:tcW w:w="755" w:type="dxa"/>
            <w:vAlign w:val="center"/>
          </w:tcPr>
          <w:p w14:paraId="391C0F0E">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5</w:t>
            </w:r>
          </w:p>
        </w:tc>
        <w:tc>
          <w:tcPr>
            <w:tcW w:w="6622" w:type="dxa"/>
            <w:vAlign w:val="center"/>
          </w:tcPr>
          <w:p w14:paraId="047A5525">
            <w:pPr>
              <w:jc w:val="left"/>
              <w:rPr>
                <w:rFonts w:hint="eastAsia" w:hAnsi="宋体"/>
                <w:sz w:val="24"/>
              </w:rPr>
            </w:pPr>
            <w:r>
              <w:rPr>
                <w:rFonts w:hint="eastAsia" w:hAnsi="宋体"/>
                <w:sz w:val="24"/>
              </w:rPr>
              <w:t>是否建立运行保障应急预案，方案对系统实施可能遇到的问题及其应对措施的考虑情况等；是否建立定期巡检制度和系统运行情况报告制度 。</w:t>
            </w:r>
          </w:p>
          <w:p w14:paraId="642123BD">
            <w:pPr>
              <w:jc w:val="left"/>
              <w:rPr>
                <w:rFonts w:hint="eastAsia" w:ascii="宋体" w:hAnsi="宋体"/>
                <w:sz w:val="24"/>
              </w:rPr>
            </w:pPr>
            <w:r>
              <w:rPr>
                <w:rFonts w:hint="eastAsia" w:ascii="宋体" w:hAnsi="宋体"/>
                <w:sz w:val="24"/>
                <w:lang w:val="zh-CN"/>
              </w:rPr>
              <w:t>（</w:t>
            </w:r>
            <w:r>
              <w:rPr>
                <w:rFonts w:hint="eastAsia" w:ascii="宋体" w:hAnsi="宋体"/>
                <w:sz w:val="24"/>
              </w:rPr>
              <w:t>1</w:t>
            </w:r>
            <w:r>
              <w:rPr>
                <w:rFonts w:hint="eastAsia" w:ascii="宋体" w:hAnsi="宋体"/>
                <w:sz w:val="24"/>
                <w:lang w:val="zh-CN"/>
              </w:rPr>
              <w:t>）建立运行保障</w:t>
            </w:r>
            <w:r>
              <w:rPr>
                <w:rFonts w:hint="eastAsia" w:hAnsi="宋体"/>
                <w:sz w:val="24"/>
              </w:rPr>
              <w:t>应急预案，方案对系统实施可能遇到的问题及其应对措施的考虑全面，建立定期巡检制度和系统运行情况报告制度的</w:t>
            </w:r>
            <w:r>
              <w:rPr>
                <w:rFonts w:hint="eastAsia" w:ascii="宋体" w:hAnsi="宋体"/>
                <w:sz w:val="24"/>
                <w:lang w:val="zh-CN"/>
              </w:rPr>
              <w:t>得</w:t>
            </w:r>
            <w:r>
              <w:rPr>
                <w:rFonts w:hint="eastAsia" w:ascii="宋体" w:hAnsi="宋体"/>
                <w:sz w:val="24"/>
                <w:lang w:val="en-US" w:eastAsia="zh-CN"/>
              </w:rPr>
              <w:t>5</w:t>
            </w:r>
            <w:r>
              <w:rPr>
                <w:rFonts w:hint="eastAsia" w:ascii="宋体" w:hAnsi="宋体"/>
                <w:sz w:val="24"/>
              </w:rPr>
              <w:t>分；</w:t>
            </w:r>
          </w:p>
          <w:p w14:paraId="6664E572">
            <w:pPr>
              <w:jc w:val="left"/>
            </w:pPr>
            <w:r>
              <w:rPr>
                <w:rFonts w:hint="eastAsia" w:ascii="宋体" w:hAnsi="宋体"/>
                <w:sz w:val="24"/>
                <w:lang w:val="zh-CN"/>
              </w:rPr>
              <w:t>（</w:t>
            </w:r>
            <w:r>
              <w:rPr>
                <w:rFonts w:hint="eastAsia" w:ascii="宋体" w:hAnsi="宋体"/>
                <w:sz w:val="24"/>
              </w:rPr>
              <w:t>2</w:t>
            </w:r>
            <w:r>
              <w:rPr>
                <w:rFonts w:hint="eastAsia" w:ascii="宋体" w:hAnsi="宋体"/>
                <w:sz w:val="24"/>
                <w:lang w:val="zh-CN"/>
              </w:rPr>
              <w:t>）未提供相关内容不得分</w:t>
            </w:r>
            <w:r>
              <w:rPr>
                <w:rFonts w:hint="eastAsia" w:ascii="宋体" w:hAnsi="宋体"/>
                <w:sz w:val="24"/>
              </w:rPr>
              <w:t>；</w:t>
            </w:r>
          </w:p>
        </w:tc>
      </w:tr>
      <w:tr w14:paraId="1884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vAlign w:val="center"/>
          </w:tcPr>
          <w:p w14:paraId="26A76D88">
            <w:pPr>
              <w:jc w:val="left"/>
              <w:rPr>
                <w:rFonts w:hint="eastAsia" w:hAnsi="宋体" w:cs="宋体"/>
                <w:color w:val="000000"/>
                <w:sz w:val="24"/>
                <w:szCs w:val="21"/>
              </w:rPr>
            </w:pPr>
          </w:p>
        </w:tc>
        <w:tc>
          <w:tcPr>
            <w:tcW w:w="1520" w:type="dxa"/>
            <w:vMerge w:val="continue"/>
            <w:vAlign w:val="center"/>
          </w:tcPr>
          <w:p w14:paraId="0021D260">
            <w:pPr>
              <w:jc w:val="left"/>
              <w:rPr>
                <w:rFonts w:hint="eastAsia" w:hAnsi="宋体" w:cs="宋体"/>
                <w:color w:val="000000"/>
                <w:sz w:val="24"/>
                <w:szCs w:val="21"/>
              </w:rPr>
            </w:pPr>
          </w:p>
        </w:tc>
        <w:tc>
          <w:tcPr>
            <w:tcW w:w="755" w:type="dxa"/>
            <w:vAlign w:val="center"/>
          </w:tcPr>
          <w:p w14:paraId="2C9069CB">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5</w:t>
            </w:r>
          </w:p>
        </w:tc>
        <w:tc>
          <w:tcPr>
            <w:tcW w:w="6622" w:type="dxa"/>
            <w:vAlign w:val="center"/>
          </w:tcPr>
          <w:p w14:paraId="3B375E13">
            <w:pPr>
              <w:jc w:val="left"/>
              <w:rPr>
                <w:rFonts w:hint="eastAsia" w:ascii="宋体" w:hAnsi="宋体"/>
                <w:sz w:val="24"/>
              </w:rPr>
            </w:pPr>
            <w:r>
              <w:rPr>
                <w:rFonts w:hint="eastAsia" w:ascii="宋体" w:hAnsi="宋体"/>
                <w:sz w:val="24"/>
              </w:rPr>
              <w:t>售后服务方案、售后服务承诺的可行性、完整性以及服务承诺落实的保障措施，维护期内外的后续技术支持和维护能力情况等。</w:t>
            </w:r>
          </w:p>
          <w:p w14:paraId="5620D226">
            <w:pPr>
              <w:jc w:val="left"/>
              <w:rPr>
                <w:rFonts w:hint="eastAsia" w:ascii="宋体" w:hAnsi="宋体"/>
                <w:sz w:val="24"/>
              </w:rPr>
            </w:pPr>
            <w:r>
              <w:rPr>
                <w:rFonts w:hint="eastAsia" w:ascii="宋体" w:hAnsi="宋体"/>
                <w:sz w:val="24"/>
                <w:lang w:val="zh-CN"/>
              </w:rPr>
              <w:t>（</w:t>
            </w:r>
            <w:r>
              <w:rPr>
                <w:rFonts w:hint="eastAsia" w:ascii="宋体" w:hAnsi="宋体"/>
                <w:sz w:val="24"/>
              </w:rPr>
              <w:t>1</w:t>
            </w:r>
            <w:r>
              <w:rPr>
                <w:rFonts w:hint="eastAsia" w:ascii="宋体" w:hAnsi="宋体"/>
                <w:sz w:val="24"/>
                <w:lang w:val="zh-CN"/>
              </w:rPr>
              <w:t>）售后方案</w:t>
            </w:r>
            <w:r>
              <w:rPr>
                <w:rFonts w:hint="eastAsia" w:ascii="宋体" w:hAnsi="宋体"/>
                <w:sz w:val="24"/>
              </w:rPr>
              <w:t>、售后服务承诺的可行性高、完整性好，有全面的服务承诺落实的保证措施，维护能力好</w:t>
            </w:r>
            <w:r>
              <w:rPr>
                <w:rFonts w:hint="eastAsia" w:ascii="宋体" w:hAnsi="宋体"/>
                <w:sz w:val="24"/>
                <w:lang w:val="zh-CN"/>
              </w:rPr>
              <w:t>得</w:t>
            </w:r>
            <w:r>
              <w:rPr>
                <w:rFonts w:hint="eastAsia" w:ascii="宋体" w:hAnsi="宋体"/>
                <w:sz w:val="24"/>
                <w:lang w:val="en-US" w:eastAsia="zh-CN"/>
              </w:rPr>
              <w:t>5</w:t>
            </w:r>
            <w:r>
              <w:rPr>
                <w:rFonts w:hint="eastAsia" w:ascii="宋体" w:hAnsi="宋体"/>
                <w:sz w:val="24"/>
              </w:rPr>
              <w:t>分；</w:t>
            </w:r>
          </w:p>
          <w:p w14:paraId="442ACE13">
            <w:pPr>
              <w:jc w:val="left"/>
              <w:rPr>
                <w:rFonts w:hint="eastAsia" w:ascii="宋体" w:hAnsi="宋体"/>
                <w:sz w:val="24"/>
              </w:rPr>
            </w:pPr>
            <w:r>
              <w:rPr>
                <w:rFonts w:hint="eastAsia" w:ascii="宋体" w:hAnsi="宋体"/>
                <w:sz w:val="24"/>
                <w:lang w:val="zh-CN"/>
              </w:rPr>
              <w:t>（</w:t>
            </w:r>
            <w:r>
              <w:rPr>
                <w:rFonts w:hint="eastAsia" w:ascii="宋体" w:hAnsi="宋体"/>
                <w:sz w:val="24"/>
              </w:rPr>
              <w:t>2</w:t>
            </w:r>
            <w:r>
              <w:rPr>
                <w:rFonts w:hint="eastAsia" w:ascii="宋体" w:hAnsi="宋体"/>
                <w:sz w:val="24"/>
                <w:lang w:val="zh-CN"/>
              </w:rPr>
              <w:t>）售后方案</w:t>
            </w:r>
            <w:r>
              <w:rPr>
                <w:rFonts w:hint="eastAsia" w:ascii="宋体" w:hAnsi="宋体"/>
                <w:sz w:val="24"/>
              </w:rPr>
              <w:t>、售后服务承诺的可行性一般、完整性较好，有较全面的服务承诺落实的保证措施，维护能力较好</w:t>
            </w:r>
            <w:r>
              <w:rPr>
                <w:rFonts w:hint="eastAsia" w:ascii="宋体" w:hAnsi="宋体"/>
                <w:sz w:val="24"/>
                <w:lang w:val="zh-CN"/>
              </w:rPr>
              <w:t>得</w:t>
            </w:r>
            <w:r>
              <w:rPr>
                <w:rFonts w:hint="eastAsia" w:ascii="宋体" w:hAnsi="宋体"/>
                <w:sz w:val="24"/>
                <w:lang w:val="en-US" w:eastAsia="zh-CN"/>
              </w:rPr>
              <w:t>3</w:t>
            </w:r>
            <w:r>
              <w:rPr>
                <w:rFonts w:hint="eastAsia" w:ascii="宋体" w:hAnsi="宋体"/>
                <w:sz w:val="24"/>
              </w:rPr>
              <w:t>分；</w:t>
            </w:r>
          </w:p>
          <w:p w14:paraId="393099AD">
            <w:pPr>
              <w:jc w:val="left"/>
            </w:pPr>
            <w:r>
              <w:rPr>
                <w:rFonts w:hint="eastAsia" w:ascii="宋体" w:hAnsi="宋体"/>
                <w:sz w:val="24"/>
                <w:lang w:val="zh-CN"/>
              </w:rPr>
              <w:t>（</w:t>
            </w:r>
            <w:r>
              <w:rPr>
                <w:rFonts w:hint="eastAsia" w:ascii="宋体" w:hAnsi="宋体"/>
                <w:sz w:val="24"/>
              </w:rPr>
              <w:t>3</w:t>
            </w:r>
            <w:r>
              <w:rPr>
                <w:rFonts w:hint="eastAsia" w:ascii="宋体" w:hAnsi="宋体"/>
                <w:sz w:val="24"/>
                <w:lang w:val="zh-CN"/>
              </w:rPr>
              <w:t>）未提供相关内容不得分</w:t>
            </w:r>
            <w:r>
              <w:rPr>
                <w:rFonts w:hint="eastAsia" w:ascii="宋体" w:hAnsi="宋体"/>
                <w:sz w:val="24"/>
              </w:rPr>
              <w:t>；</w:t>
            </w:r>
          </w:p>
        </w:tc>
      </w:tr>
    </w:tbl>
    <w:p w14:paraId="12621FEB">
      <w:pPr>
        <w:pStyle w:val="2"/>
        <w:rPr>
          <w:rFonts w:hint="eastAsia"/>
        </w:rPr>
      </w:pPr>
    </w:p>
    <w:p w14:paraId="396D5670">
      <w:pPr>
        <w:snapToGrid w:val="0"/>
        <w:spacing w:line="420" w:lineRule="exact"/>
        <w:ind w:firstLine="482" w:firstLineChars="200"/>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rPr>
        <w:t>注：供应商需对投标资料的真实性负责，如发现弄虚作假将取消成交资格。</w:t>
      </w:r>
    </w:p>
    <w:p w14:paraId="33CA31AF">
      <w:pPr>
        <w:spacing w:line="420" w:lineRule="exact"/>
        <w:ind w:firstLine="482" w:firstLineChars="200"/>
        <w:rPr>
          <w:rFonts w:ascii="宋体"/>
          <w:b/>
          <w:color w:val="auto"/>
          <w:sz w:val="24"/>
          <w:highlight w:val="none"/>
        </w:rPr>
      </w:pPr>
      <w:r>
        <w:rPr>
          <w:rFonts w:hint="eastAsia" w:ascii="宋体" w:hAnsi="宋体"/>
          <w:b/>
          <w:color w:val="auto"/>
          <w:sz w:val="24"/>
          <w:highlight w:val="none"/>
        </w:rPr>
        <w:t>（三）价格评审（</w:t>
      </w:r>
      <w:r>
        <w:rPr>
          <w:rFonts w:hint="eastAsia" w:ascii="宋体" w:hAnsi="宋体"/>
          <w:b/>
          <w:color w:val="auto"/>
          <w:sz w:val="24"/>
          <w:highlight w:val="none"/>
          <w:lang w:val="en-US" w:eastAsia="zh-CN"/>
        </w:rPr>
        <w:t>30</w:t>
      </w:r>
      <w:r>
        <w:rPr>
          <w:rFonts w:hint="eastAsia" w:ascii="宋体" w:hAnsi="宋体"/>
          <w:b/>
          <w:color w:val="auto"/>
          <w:sz w:val="24"/>
          <w:highlight w:val="none"/>
        </w:rPr>
        <w:t>分）</w:t>
      </w:r>
    </w:p>
    <w:p w14:paraId="652DEA67">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价格分统一采用低价优先法计算，即满足磋商文件要求且最后报价最低的供应商的价格为磋商基准价，其价格分为满分。其他供应商的价格分统一按照下列公式计算（小数点保留两位）：</w:t>
      </w:r>
    </w:p>
    <w:p w14:paraId="2EE66B14">
      <w:pPr>
        <w:snapToGrid w:val="0"/>
        <w:spacing w:line="420" w:lineRule="exact"/>
        <w:ind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磋商报价得分=（磋商基准价/最后磋商报价）×</w:t>
      </w:r>
      <w:r>
        <w:rPr>
          <w:rFonts w:hint="eastAsia" w:ascii="宋体" w:hAnsi="宋体" w:cs="仿宋_GB2312"/>
          <w:color w:val="auto"/>
          <w:sz w:val="24"/>
          <w:highlight w:val="none"/>
          <w:lang w:val="en-US" w:eastAsia="zh-CN"/>
        </w:rPr>
        <w:t>价格权值</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100</w:t>
      </w:r>
    </w:p>
    <w:p w14:paraId="59DA3FF3">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注意：供应商递交最后报价，最后报价不得超过磋商响应文件中的报价。</w:t>
      </w:r>
    </w:p>
    <w:p w14:paraId="1B657B80">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备注：如评标委员会认为</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的报价明显低于其他通过符合性审查</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的报价，有可能影响服务质量或者不能诚信履约的，</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应其在合理的时间内提供书面说明，必要时提交相关证明材料；如不能证明其报价合理性的，将作为无效投标处理。</w:t>
      </w:r>
    </w:p>
    <w:p w14:paraId="724C0813">
      <w:pPr>
        <w:snapToGrid w:val="0"/>
        <w:spacing w:line="420" w:lineRule="exact"/>
        <w:ind w:firstLine="480" w:firstLineChars="200"/>
        <w:rPr>
          <w:rFonts w:hint="eastAsia" w:ascii="宋体" w:hAnsi="宋体" w:cs="仿宋_GB2312"/>
          <w:color w:val="auto"/>
          <w:sz w:val="24"/>
          <w:highlight w:val="none"/>
          <w:lang w:eastAsia="zh-CN"/>
        </w:rPr>
      </w:pPr>
      <w:r>
        <w:rPr>
          <w:rFonts w:hint="eastAsia" w:ascii="宋体" w:hAnsi="宋体" w:cs="仿宋_GB2312"/>
          <w:color w:val="auto"/>
          <w:sz w:val="24"/>
          <w:highlight w:val="none"/>
          <w:lang w:val="en-US" w:eastAsia="zh-CN"/>
        </w:rPr>
        <w:t>（四）</w:t>
      </w:r>
      <w:r>
        <w:rPr>
          <w:rFonts w:hint="eastAsia" w:ascii="宋体" w:hAnsi="宋体" w:cs="仿宋_GB2312"/>
          <w:color w:val="auto"/>
          <w:sz w:val="24"/>
          <w:highlight w:val="none"/>
          <w:lang w:eastAsia="zh-CN"/>
        </w:rPr>
        <w:t>定标</w:t>
      </w:r>
    </w:p>
    <w:p w14:paraId="74467A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1、各投标供应商的商务技术标、价格标得分之和为其总得分（采用四舍五入法保留两位小数）；</w:t>
      </w:r>
    </w:p>
    <w:p w14:paraId="59030CF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2、由评标委员会按照总得分由高到低推荐一名成交候选人。</w:t>
      </w:r>
    </w:p>
    <w:p w14:paraId="3B34861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3、若总得分者有相同时，则商务技术标较高者排名优先，均相同时则通过现场抽签方式随机确定成交候选人。</w:t>
      </w:r>
    </w:p>
    <w:p w14:paraId="5E7DE1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五</w:t>
      </w:r>
      <w:r>
        <w:rPr>
          <w:rFonts w:hint="eastAsia" w:ascii="宋体" w:hAnsi="宋体" w:cs="仿宋_GB2312"/>
          <w:color w:val="auto"/>
          <w:sz w:val="24"/>
          <w:highlight w:val="none"/>
          <w:lang w:eastAsia="zh-CN"/>
        </w:rPr>
        <w:t>）本项目第一</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候选人原则上为</w:t>
      </w:r>
      <w:r>
        <w:rPr>
          <w:rFonts w:hint="eastAsia" w:ascii="宋体" w:hAnsi="宋体" w:cs="仿宋_GB2312"/>
          <w:color w:val="auto"/>
          <w:sz w:val="24"/>
          <w:highlight w:val="none"/>
          <w:lang w:val="en-US" w:eastAsia="zh-CN"/>
        </w:rPr>
        <w:t>成交供应商</w:t>
      </w:r>
      <w:r>
        <w:rPr>
          <w:rFonts w:hint="eastAsia" w:ascii="宋体" w:hAnsi="宋体" w:cs="仿宋_GB2312"/>
          <w:color w:val="auto"/>
          <w:sz w:val="24"/>
          <w:highlight w:val="none"/>
          <w:lang w:eastAsia="zh-CN"/>
        </w:rPr>
        <w:t>。当</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候选人放弃中标、因不可抗力不能履行合同、不按照</w:t>
      </w:r>
      <w:r>
        <w:rPr>
          <w:rFonts w:hint="eastAsia" w:ascii="宋体" w:hAnsi="宋体" w:cs="仿宋_GB2312"/>
          <w:color w:val="auto"/>
          <w:sz w:val="24"/>
          <w:highlight w:val="none"/>
          <w:lang w:val="en-US" w:eastAsia="zh-CN"/>
        </w:rPr>
        <w:t>磋商</w:t>
      </w:r>
      <w:r>
        <w:rPr>
          <w:rFonts w:hint="eastAsia" w:ascii="宋体" w:hAnsi="宋体" w:cs="仿宋_GB2312"/>
          <w:color w:val="auto"/>
          <w:sz w:val="24"/>
          <w:highlight w:val="none"/>
          <w:lang w:eastAsia="zh-CN"/>
        </w:rPr>
        <w:t>文件要求提交履约保证金，或者被查实存在影响中标结果的违法行为等情形，不符合中标条件的，</w:t>
      </w:r>
      <w:r>
        <w:rPr>
          <w:rFonts w:hint="eastAsia" w:ascii="宋体" w:hAnsi="宋体" w:cs="仿宋_GB2312"/>
          <w:color w:val="auto"/>
          <w:sz w:val="24"/>
          <w:highlight w:val="none"/>
          <w:lang w:val="en-US" w:eastAsia="zh-CN"/>
        </w:rPr>
        <w:t>采购人</w:t>
      </w:r>
      <w:r>
        <w:rPr>
          <w:rFonts w:hint="eastAsia" w:ascii="宋体" w:hAnsi="宋体" w:cs="仿宋_GB2312"/>
          <w:color w:val="auto"/>
          <w:sz w:val="24"/>
          <w:highlight w:val="none"/>
          <w:lang w:eastAsia="zh-CN"/>
        </w:rPr>
        <w:t>可以依法重新招标。</w:t>
      </w:r>
    </w:p>
    <w:p w14:paraId="4CEA53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本办法未尽事宜，由评标委员会依据相关法规研究确定。</w:t>
      </w:r>
    </w:p>
    <w:p w14:paraId="1E0815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十八、其他注意事项</w:t>
      </w:r>
    </w:p>
    <w:p w14:paraId="5958314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、在投标开标期间，供应商不得向评委询问情况，不得进行旨在影响评标结果的活动。</w:t>
      </w:r>
    </w:p>
    <w:p w14:paraId="78D3024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、采购单位不退还投标文件。</w:t>
      </w:r>
    </w:p>
    <w:p w14:paraId="2770079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、在投标、评标过程中，如有供应商联合故意抬高报价或其他不正当行为，采购单位有权中止评标。</w:t>
      </w:r>
    </w:p>
    <w:p w14:paraId="7BB142D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、授予合同</w:t>
      </w:r>
    </w:p>
    <w:p w14:paraId="0993ED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⑴中标（成交）通知</w:t>
      </w:r>
    </w:p>
    <w:p w14:paraId="7842AC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成交结果将在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予以公布，公示期为</w:t>
      </w:r>
      <w:r>
        <w:rPr>
          <w:rFonts w:hint="eastAsia" w:ascii="宋体" w:hAnsi="宋体"/>
          <w:color w:val="auto"/>
          <w:sz w:val="24"/>
          <w:highlight w:val="none"/>
          <w:lang w:eastAsia="zh-CN"/>
        </w:rPr>
        <w:t>一</w:t>
      </w:r>
      <w:r>
        <w:rPr>
          <w:rFonts w:hint="eastAsia" w:ascii="宋体" w:hAnsi="宋体"/>
          <w:color w:val="auto"/>
          <w:sz w:val="24"/>
          <w:highlight w:val="none"/>
        </w:rPr>
        <w:t>个工作日，公示期内对成交结果没有异议的，将确定成交候选人为成交供应商，公示期结束后</w:t>
      </w:r>
      <w:r>
        <w:rPr>
          <w:rFonts w:hint="eastAsia" w:ascii="宋体" w:hAnsi="宋体"/>
          <w:color w:val="auto"/>
          <w:sz w:val="24"/>
          <w:highlight w:val="none"/>
          <w:lang w:eastAsia="zh-CN"/>
        </w:rPr>
        <w:t>三</w:t>
      </w:r>
      <w:r>
        <w:rPr>
          <w:rFonts w:hint="eastAsia" w:ascii="宋体" w:hAnsi="宋体"/>
          <w:color w:val="auto"/>
          <w:sz w:val="24"/>
          <w:highlight w:val="none"/>
        </w:rPr>
        <w:t>个工作日内成交供应商至采购单位领取中标（成交）通知书。</w:t>
      </w:r>
    </w:p>
    <w:p w14:paraId="5926CB5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⑵签订合同</w:t>
      </w:r>
    </w:p>
    <w:p w14:paraId="03E5CD74">
      <w:pPr>
        <w:pStyle w:val="60"/>
        <w:keepNext w:val="0"/>
        <w:keepLines w:val="0"/>
        <w:pageBreakBefore w:val="0"/>
        <w:widowControl w:val="0"/>
        <w:numPr>
          <w:ilvl w:val="0"/>
          <w:numId w:val="5"/>
        </w:numPr>
        <w:kinsoku/>
        <w:wordWrap/>
        <w:overflowPunct/>
        <w:topLinePunct w:val="0"/>
        <w:autoSpaceDE/>
        <w:autoSpaceDN/>
        <w:bidi w:val="0"/>
        <w:adjustRightInd/>
        <w:spacing w:line="400" w:lineRule="exact"/>
        <w:ind w:firstLineChars="0"/>
        <w:textAlignment w:val="auto"/>
        <w:rPr>
          <w:rFonts w:ascii="宋体" w:cs="仿宋_GB2312"/>
          <w:bCs/>
          <w:color w:val="auto"/>
          <w:sz w:val="24"/>
          <w:highlight w:val="none"/>
        </w:rPr>
      </w:pPr>
      <w:r>
        <w:rPr>
          <w:rFonts w:hint="eastAsia" w:ascii="宋体" w:hAnsi="宋体"/>
          <w:color w:val="auto"/>
          <w:sz w:val="24"/>
          <w:highlight w:val="none"/>
        </w:rPr>
        <w:t>磋商文件、补充文件及成交供应商的磋商响应文件等均为签订合同的依据</w:t>
      </w:r>
      <w:r>
        <w:rPr>
          <w:rFonts w:hint="eastAsia" w:ascii="宋体" w:hAnsi="宋体" w:cs="仿宋_GB2312"/>
          <w:bCs/>
          <w:color w:val="auto"/>
          <w:sz w:val="24"/>
          <w:highlight w:val="none"/>
        </w:rPr>
        <w:t>。</w:t>
      </w:r>
    </w:p>
    <w:p w14:paraId="3BDD79D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highlight w:val="none"/>
          <w:lang w:eastAsia="zh-CN"/>
        </w:rPr>
      </w:pPr>
      <w:r>
        <w:rPr>
          <w:rFonts w:hint="eastAsia" w:ascii="宋体" w:hAnsi="宋体"/>
          <w:color w:val="auto"/>
          <w:sz w:val="24"/>
          <w:highlight w:val="none"/>
        </w:rPr>
        <w:t>②成交供应商必须在中标（成交）通知书发出之日起</w:t>
      </w:r>
      <w:r>
        <w:rPr>
          <w:rFonts w:hint="eastAsia" w:ascii="宋体" w:hAnsi="宋体"/>
          <w:color w:val="auto"/>
          <w:sz w:val="24"/>
          <w:highlight w:val="none"/>
          <w:lang w:eastAsia="zh-CN"/>
        </w:rPr>
        <w:t>三十</w:t>
      </w:r>
      <w:r>
        <w:rPr>
          <w:rFonts w:hint="eastAsia" w:ascii="宋体" w:hAnsi="宋体"/>
          <w:color w:val="auto"/>
          <w:sz w:val="24"/>
          <w:highlight w:val="none"/>
        </w:rPr>
        <w:t>日内与采购单位签订合同</w:t>
      </w:r>
      <w:r>
        <w:rPr>
          <w:rFonts w:hint="eastAsia" w:ascii="宋体" w:hAnsi="宋体"/>
          <w:color w:val="auto"/>
          <w:sz w:val="24"/>
          <w:highlight w:val="none"/>
          <w:lang w:eastAsia="zh-CN"/>
        </w:rPr>
        <w:t>。</w:t>
      </w:r>
    </w:p>
    <w:p w14:paraId="257D165F">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firstLine="480" w:firstLineChars="200"/>
        <w:textAlignment w:val="auto"/>
        <w:rPr>
          <w:rFonts w:ascii="宋体"/>
          <w:bCs/>
          <w:color w:val="auto"/>
          <w:sz w:val="24"/>
          <w:highlight w:val="none"/>
        </w:rPr>
      </w:pPr>
      <w:r>
        <w:rPr>
          <w:rFonts w:hint="eastAsia" w:ascii="宋体" w:hAnsi="宋体"/>
          <w:bCs/>
          <w:color w:val="auto"/>
          <w:sz w:val="24"/>
          <w:highlight w:val="none"/>
        </w:rPr>
        <w:t>供应商因自身原因不能订立或履行政府采购合同的，取消其中标资格，记入不良信誉。</w:t>
      </w:r>
    </w:p>
    <w:p w14:paraId="75034486">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4AEAE28B">
      <w:pPr>
        <w:jc w:val="center"/>
        <w:rPr>
          <w:rFonts w:ascii="宋体"/>
          <w:color w:val="auto"/>
          <w:sz w:val="28"/>
          <w:szCs w:val="28"/>
          <w:highlight w:val="none"/>
        </w:rPr>
      </w:pPr>
      <w:r>
        <w:rPr>
          <w:rFonts w:hint="eastAsia" w:ascii="宋体" w:hAnsi="宋体"/>
          <w:color w:val="auto"/>
          <w:sz w:val="28"/>
          <w:szCs w:val="28"/>
          <w:highlight w:val="none"/>
        </w:rPr>
        <w:t>第四部分  磋商响应文件格式</w:t>
      </w:r>
    </w:p>
    <w:p w14:paraId="50068187">
      <w:pPr>
        <w:spacing w:line="440" w:lineRule="exact"/>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附件一：磋商承诺书</w:t>
      </w:r>
    </w:p>
    <w:p w14:paraId="3005B088">
      <w:pPr>
        <w:spacing w:line="50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4B736BA0">
      <w:pPr>
        <w:spacing w:line="500" w:lineRule="exact"/>
        <w:ind w:firstLine="480" w:firstLineChars="200"/>
        <w:rPr>
          <w:rFonts w:ascii="宋体"/>
          <w:color w:val="auto"/>
          <w:sz w:val="24"/>
          <w:highlight w:val="none"/>
        </w:rPr>
      </w:pPr>
      <w:r>
        <w:rPr>
          <w:rFonts w:hint="eastAsia" w:ascii="宋体" w:hAnsi="宋体"/>
          <w:color w:val="auto"/>
          <w:sz w:val="24"/>
          <w:highlight w:val="none"/>
        </w:rPr>
        <w:t>（单位名称）授权（姓名）（职务）为全权代表，参加</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r>
        <w:rPr>
          <w:rFonts w:hint="eastAsia" w:ascii="宋体" w:hAnsi="宋体"/>
          <w:color w:val="auto"/>
          <w:sz w:val="24"/>
          <w:highlight w:val="none"/>
        </w:rPr>
        <w:t>招标的有关活动，并宣布同意如下：</w:t>
      </w:r>
    </w:p>
    <w:p w14:paraId="3F36AB22">
      <w:pPr>
        <w:spacing w:line="5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．我方愿意按照磋商文件的全部要求进行投标（投标内容及价格以磋商响应文件为准）。</w:t>
      </w:r>
    </w:p>
    <w:p w14:paraId="236F8A1C">
      <w:pPr>
        <w:spacing w:line="50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．我方完全理解并同意放弃对磋商文件有不明及误解的权利。</w:t>
      </w:r>
    </w:p>
    <w:p w14:paraId="012143A1">
      <w:pPr>
        <w:spacing w:line="50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．我方将按磋商文件的规定履行合同责任和义务。</w:t>
      </w:r>
    </w:p>
    <w:p w14:paraId="15667EDA">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．我方同意提供按照贵方可能要求的与其投标有关的一切数据或资料，理解贵方不一定要选择最低价的投标。</w:t>
      </w:r>
    </w:p>
    <w:p w14:paraId="7CE32799">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．我方的磋商响应文件自开标后</w:t>
      </w:r>
      <w:r>
        <w:rPr>
          <w:rFonts w:ascii="宋体" w:hAnsi="宋体"/>
          <w:color w:val="auto"/>
          <w:sz w:val="24"/>
          <w:highlight w:val="none"/>
        </w:rPr>
        <w:t>30</w:t>
      </w:r>
      <w:r>
        <w:rPr>
          <w:rFonts w:hint="eastAsia" w:ascii="宋体" w:hAnsi="宋体"/>
          <w:color w:val="auto"/>
          <w:sz w:val="24"/>
          <w:highlight w:val="none"/>
        </w:rPr>
        <w:t>天内有效。</w:t>
      </w:r>
    </w:p>
    <w:p w14:paraId="517ADE4E">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．与本投标有关的一切往来通讯请寄：</w:t>
      </w:r>
    </w:p>
    <w:p w14:paraId="42EE4903">
      <w:pPr>
        <w:spacing w:line="500" w:lineRule="exact"/>
        <w:ind w:firstLine="480" w:firstLineChars="200"/>
        <w:rPr>
          <w:rFonts w:ascii="宋体"/>
          <w:color w:val="auto"/>
          <w:sz w:val="24"/>
          <w:highlight w:val="none"/>
        </w:rPr>
      </w:pPr>
      <w:r>
        <w:rPr>
          <w:rFonts w:hint="eastAsia" w:ascii="宋体" w:hAnsi="宋体"/>
          <w:color w:val="auto"/>
          <w:sz w:val="24"/>
          <w:highlight w:val="none"/>
        </w:rPr>
        <w:t>地址：邮编：</w:t>
      </w:r>
    </w:p>
    <w:p w14:paraId="21F4E4AA">
      <w:pPr>
        <w:spacing w:line="500" w:lineRule="exact"/>
        <w:ind w:firstLine="480" w:firstLineChars="200"/>
        <w:rPr>
          <w:rFonts w:ascii="宋体"/>
          <w:color w:val="auto"/>
          <w:sz w:val="24"/>
          <w:highlight w:val="none"/>
        </w:rPr>
      </w:pPr>
      <w:r>
        <w:rPr>
          <w:rFonts w:hint="eastAsia" w:ascii="宋体" w:hAnsi="宋体"/>
          <w:color w:val="auto"/>
          <w:sz w:val="24"/>
          <w:highlight w:val="none"/>
        </w:rPr>
        <w:t>电话：传真：</w:t>
      </w:r>
    </w:p>
    <w:p w14:paraId="05EDA7CA">
      <w:pPr>
        <w:spacing w:line="500" w:lineRule="exact"/>
        <w:ind w:firstLine="480" w:firstLineChars="200"/>
        <w:rPr>
          <w:rFonts w:ascii="宋体"/>
          <w:color w:val="auto"/>
          <w:sz w:val="24"/>
          <w:highlight w:val="none"/>
        </w:rPr>
      </w:pPr>
      <w:r>
        <w:rPr>
          <w:rFonts w:hint="eastAsia" w:ascii="宋体" w:hAnsi="宋体"/>
          <w:color w:val="auto"/>
          <w:sz w:val="24"/>
          <w:highlight w:val="none"/>
        </w:rPr>
        <w:t>投标方代表姓名：职务：</w:t>
      </w:r>
    </w:p>
    <w:p w14:paraId="77CC6936">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名称：（加盖单位公章）</w:t>
      </w:r>
    </w:p>
    <w:p w14:paraId="6A36A66D">
      <w:pPr>
        <w:spacing w:line="500" w:lineRule="exact"/>
        <w:ind w:firstLine="3360" w:firstLineChars="1400"/>
        <w:rPr>
          <w:rFonts w:ascii="宋体"/>
          <w:color w:val="auto"/>
          <w:sz w:val="24"/>
          <w:highlight w:val="none"/>
        </w:rPr>
      </w:pPr>
    </w:p>
    <w:p w14:paraId="30AA4A0A">
      <w:pPr>
        <w:spacing w:line="500" w:lineRule="exact"/>
        <w:ind w:firstLine="5040" w:firstLineChars="210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316F2E4">
      <w:pPr>
        <w:spacing w:line="500" w:lineRule="exact"/>
        <w:rPr>
          <w:rFonts w:ascii="宋体"/>
          <w:color w:val="auto"/>
          <w:sz w:val="24"/>
          <w:highlight w:val="none"/>
        </w:rPr>
      </w:pPr>
    </w:p>
    <w:p w14:paraId="1C6FE948">
      <w:pPr>
        <w:spacing w:line="500" w:lineRule="exact"/>
        <w:rPr>
          <w:rFonts w:ascii="宋体"/>
          <w:color w:val="auto"/>
          <w:sz w:val="24"/>
          <w:highlight w:val="none"/>
        </w:rPr>
      </w:pPr>
    </w:p>
    <w:p w14:paraId="1046FE79">
      <w:pPr>
        <w:spacing w:line="500" w:lineRule="exact"/>
        <w:rPr>
          <w:rFonts w:ascii="宋体"/>
          <w:color w:val="auto"/>
          <w:sz w:val="24"/>
          <w:highlight w:val="none"/>
        </w:rPr>
      </w:pPr>
    </w:p>
    <w:p w14:paraId="2E337332">
      <w:pPr>
        <w:spacing w:line="500" w:lineRule="exact"/>
        <w:rPr>
          <w:rFonts w:ascii="宋体"/>
          <w:color w:val="auto"/>
          <w:sz w:val="24"/>
          <w:highlight w:val="none"/>
        </w:rPr>
      </w:pPr>
    </w:p>
    <w:p w14:paraId="1578A0A1">
      <w:pPr>
        <w:spacing w:line="500" w:lineRule="exact"/>
        <w:rPr>
          <w:rFonts w:ascii="宋体"/>
          <w:color w:val="auto"/>
          <w:sz w:val="24"/>
          <w:highlight w:val="none"/>
        </w:rPr>
      </w:pPr>
    </w:p>
    <w:p w14:paraId="7612B48B">
      <w:pPr>
        <w:spacing w:line="500" w:lineRule="exact"/>
        <w:rPr>
          <w:rFonts w:ascii="宋体"/>
          <w:color w:val="auto"/>
          <w:sz w:val="24"/>
          <w:highlight w:val="none"/>
        </w:rPr>
      </w:pPr>
    </w:p>
    <w:p w14:paraId="60FEC691">
      <w:pPr>
        <w:spacing w:line="500" w:lineRule="exact"/>
        <w:rPr>
          <w:rFonts w:ascii="宋体"/>
          <w:color w:val="auto"/>
          <w:sz w:val="24"/>
          <w:highlight w:val="none"/>
        </w:rPr>
      </w:pPr>
    </w:p>
    <w:p w14:paraId="7AC61359">
      <w:pPr>
        <w:spacing w:line="440" w:lineRule="exact"/>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textWrapping"/>
      </w:r>
    </w:p>
    <w:p w14:paraId="1EEC64F4">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5A1DC913">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二</w:t>
      </w:r>
      <w:r>
        <w:rPr>
          <w:rFonts w:hint="eastAsia" w:asciiTheme="minorEastAsia" w:hAnsiTheme="minorEastAsia" w:eastAsiaTheme="minorEastAsia"/>
          <w:b/>
          <w:sz w:val="28"/>
          <w:highlight w:val="none"/>
        </w:rPr>
        <w:t>：</w:t>
      </w:r>
    </w:p>
    <w:p w14:paraId="18A4F918">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商务部分正负偏离表</w:t>
      </w:r>
    </w:p>
    <w:p w14:paraId="3BE47E3C">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0AE25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80FF38C">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ACD7F94">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0E3657B">
            <w:pPr>
              <w:spacing w:line="340" w:lineRule="exact"/>
              <w:jc w:val="center"/>
              <w:rPr>
                <w:rFonts w:ascii="宋体" w:hAnsi="宋体"/>
                <w:sz w:val="24"/>
                <w:highlight w:val="none"/>
              </w:rPr>
            </w:pPr>
            <w:r>
              <w:rPr>
                <w:rFonts w:hint="eastAsia" w:ascii="宋体" w:hAnsi="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D571937">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C5DE69C">
            <w:pPr>
              <w:spacing w:line="340" w:lineRule="exact"/>
              <w:jc w:val="center"/>
              <w:rPr>
                <w:rFonts w:ascii="宋体" w:hAnsi="宋体"/>
                <w:sz w:val="24"/>
                <w:highlight w:val="none"/>
              </w:rPr>
            </w:pPr>
          </w:p>
          <w:p w14:paraId="5039AC22">
            <w:pPr>
              <w:spacing w:line="340" w:lineRule="exact"/>
              <w:jc w:val="center"/>
              <w:rPr>
                <w:rFonts w:ascii="宋体" w:hAnsi="宋体"/>
                <w:sz w:val="24"/>
                <w:highlight w:val="none"/>
              </w:rPr>
            </w:pPr>
            <w:r>
              <w:rPr>
                <w:rFonts w:hint="eastAsia" w:ascii="宋体" w:hAnsi="宋体"/>
                <w:sz w:val="24"/>
                <w:highlight w:val="none"/>
              </w:rPr>
              <w:t>偏离说明</w:t>
            </w:r>
          </w:p>
        </w:tc>
      </w:tr>
      <w:tr w14:paraId="09E61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538A69">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BE0CF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A3FB48D">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BDEC79C">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D494664">
            <w:pPr>
              <w:spacing w:line="340" w:lineRule="exact"/>
              <w:jc w:val="left"/>
              <w:rPr>
                <w:sz w:val="24"/>
                <w:highlight w:val="none"/>
              </w:rPr>
            </w:pPr>
          </w:p>
        </w:tc>
      </w:tr>
      <w:tr w14:paraId="64A4D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B539BA7">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806D03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C1EF450">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B260E30">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B71D0C6">
            <w:pPr>
              <w:spacing w:line="340" w:lineRule="exact"/>
              <w:jc w:val="left"/>
              <w:rPr>
                <w:sz w:val="24"/>
                <w:highlight w:val="none"/>
              </w:rPr>
            </w:pPr>
          </w:p>
        </w:tc>
      </w:tr>
      <w:tr w14:paraId="31168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29601B4">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19E31FB">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F8706C4">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EADAB8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8A1F6A0">
            <w:pPr>
              <w:spacing w:line="340" w:lineRule="exact"/>
              <w:jc w:val="left"/>
              <w:rPr>
                <w:sz w:val="24"/>
                <w:highlight w:val="none"/>
              </w:rPr>
            </w:pPr>
          </w:p>
        </w:tc>
      </w:tr>
      <w:tr w14:paraId="5DF8B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69AAE0D">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F9B25E1">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CA8C5A">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9505C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4A1258A">
            <w:pPr>
              <w:spacing w:line="340" w:lineRule="exact"/>
              <w:jc w:val="left"/>
              <w:rPr>
                <w:sz w:val="24"/>
                <w:highlight w:val="none"/>
              </w:rPr>
            </w:pPr>
          </w:p>
        </w:tc>
      </w:tr>
    </w:tbl>
    <w:p w14:paraId="44E6C9F0">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2D6D3678">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1.供应商提交的响应文件中与磋商文件第三部分“项目需求”中的商务部分的要求，应逐条填列在偏离表中。</w:t>
      </w:r>
    </w:p>
    <w:p w14:paraId="5DE5170D">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596F91E4">
      <w:pPr>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53D12A5A">
      <w:pPr>
        <w:rPr>
          <w:rFonts w:hint="eastAsia" w:ascii="宋体" w:hAnsi="宋体"/>
          <w:bCs/>
          <w:sz w:val="24"/>
          <w:highlight w:val="yellow"/>
        </w:rPr>
      </w:pPr>
    </w:p>
    <w:p w14:paraId="56819EE5">
      <w:pP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0E7D6BAB">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三</w:t>
      </w:r>
      <w:r>
        <w:rPr>
          <w:rFonts w:hint="eastAsia" w:asciiTheme="minorEastAsia" w:hAnsiTheme="minorEastAsia" w:eastAsiaTheme="minorEastAsia"/>
          <w:b/>
          <w:sz w:val="28"/>
          <w:highlight w:val="none"/>
        </w:rPr>
        <w:t>：</w:t>
      </w:r>
    </w:p>
    <w:p w14:paraId="0D35453E">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技术部分正负偏离表</w:t>
      </w:r>
    </w:p>
    <w:p w14:paraId="3E00E32F">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3A210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02E9A9EF">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9557052">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65C6A53">
            <w:pPr>
              <w:spacing w:line="340" w:lineRule="exact"/>
              <w:jc w:val="center"/>
              <w:rPr>
                <w:rFonts w:ascii="宋体" w:hAnsi="宋体"/>
                <w:sz w:val="24"/>
                <w:highlight w:val="none"/>
              </w:rPr>
            </w:pPr>
            <w:r>
              <w:rPr>
                <w:rFonts w:hint="eastAsia" w:ascii="宋体" w:hAnsi="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AA2B01D">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E0FB9DE">
            <w:pPr>
              <w:spacing w:line="340" w:lineRule="exact"/>
              <w:jc w:val="center"/>
              <w:rPr>
                <w:rFonts w:ascii="宋体" w:hAnsi="宋体"/>
                <w:sz w:val="24"/>
                <w:highlight w:val="none"/>
              </w:rPr>
            </w:pPr>
          </w:p>
          <w:p w14:paraId="3722EF60">
            <w:pPr>
              <w:spacing w:line="340" w:lineRule="exact"/>
              <w:jc w:val="center"/>
              <w:rPr>
                <w:rFonts w:ascii="宋体" w:hAnsi="宋体"/>
                <w:sz w:val="24"/>
                <w:highlight w:val="none"/>
              </w:rPr>
            </w:pPr>
            <w:r>
              <w:rPr>
                <w:rFonts w:hint="eastAsia" w:ascii="宋体" w:hAnsi="宋体"/>
                <w:sz w:val="24"/>
                <w:highlight w:val="none"/>
              </w:rPr>
              <w:t>偏离说明</w:t>
            </w:r>
          </w:p>
        </w:tc>
      </w:tr>
      <w:tr w14:paraId="67278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DA354A5">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DD986D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A92FBB6">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D3B01FA">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3AC9715">
            <w:pPr>
              <w:spacing w:line="340" w:lineRule="exact"/>
              <w:jc w:val="left"/>
              <w:rPr>
                <w:sz w:val="24"/>
                <w:highlight w:val="none"/>
              </w:rPr>
            </w:pPr>
          </w:p>
        </w:tc>
      </w:tr>
      <w:tr w14:paraId="53502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9C0F43">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B762B6F">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2CF97FF">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264B092">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CB62E15">
            <w:pPr>
              <w:spacing w:line="340" w:lineRule="exact"/>
              <w:jc w:val="left"/>
              <w:rPr>
                <w:sz w:val="24"/>
                <w:highlight w:val="none"/>
              </w:rPr>
            </w:pPr>
          </w:p>
        </w:tc>
      </w:tr>
      <w:tr w14:paraId="1362E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12871EC">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FD4B9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E41829F">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A9AA197">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DA1E01F">
            <w:pPr>
              <w:spacing w:line="340" w:lineRule="exact"/>
              <w:jc w:val="left"/>
              <w:rPr>
                <w:sz w:val="24"/>
                <w:highlight w:val="none"/>
              </w:rPr>
            </w:pPr>
          </w:p>
        </w:tc>
      </w:tr>
      <w:tr w14:paraId="10D3A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54C8DB3">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D53EF04">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E89E409">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69B6348">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46848FB">
            <w:pPr>
              <w:spacing w:line="340" w:lineRule="exact"/>
              <w:jc w:val="left"/>
              <w:rPr>
                <w:sz w:val="24"/>
                <w:highlight w:val="none"/>
              </w:rPr>
            </w:pPr>
          </w:p>
        </w:tc>
      </w:tr>
    </w:tbl>
    <w:p w14:paraId="12AAFD92">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48B8C065">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1.供应商提交的响应文件中与磋商文件第三部分“项目需求”中的技术部分的要求，应逐条填列在偏离表中。</w:t>
      </w:r>
    </w:p>
    <w:p w14:paraId="440E121B">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25C45839">
      <w:pPr>
        <w:snapToGrid w:val="0"/>
        <w:spacing w:line="300" w:lineRule="auto"/>
        <w:ind w:firstLine="480" w:firstLineChars="200"/>
        <w:contextualSpacing/>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5F8CFCDF">
      <w:pPr>
        <w:spacing w:line="500" w:lineRule="exact"/>
        <w:rPr>
          <w:rFonts w:hint="eastAsia" w:ascii="宋体" w:hAnsi="宋体"/>
          <w:color w:val="auto"/>
          <w:sz w:val="24"/>
          <w:highlight w:val="none"/>
        </w:rPr>
      </w:pPr>
    </w:p>
    <w:p w14:paraId="39F3D438">
      <w:pPr>
        <w:spacing w:line="500" w:lineRule="exact"/>
        <w:rPr>
          <w:rFonts w:hint="eastAsia" w:ascii="宋体" w:hAnsi="宋体"/>
          <w:color w:val="auto"/>
          <w:sz w:val="24"/>
          <w:highlight w:val="none"/>
        </w:rPr>
      </w:pPr>
    </w:p>
    <w:p w14:paraId="3FB74087">
      <w:pPr>
        <w:spacing w:line="500" w:lineRule="exact"/>
        <w:rPr>
          <w:rFonts w:hint="eastAsia" w:ascii="宋体" w:hAnsi="宋体"/>
          <w:color w:val="auto"/>
          <w:sz w:val="24"/>
          <w:highlight w:val="none"/>
        </w:rPr>
      </w:pPr>
    </w:p>
    <w:p w14:paraId="7E6B7CA3">
      <w:pPr>
        <w:spacing w:line="500" w:lineRule="exact"/>
        <w:rPr>
          <w:rFonts w:hint="eastAsia" w:ascii="宋体" w:hAnsi="宋体"/>
          <w:color w:val="auto"/>
          <w:sz w:val="24"/>
          <w:highlight w:val="none"/>
        </w:rPr>
      </w:pPr>
      <w:bookmarkStart w:id="2" w:name="_GoBack"/>
      <w:bookmarkEnd w:id="2"/>
    </w:p>
    <w:p w14:paraId="7C821CF0">
      <w:pPr>
        <w:spacing w:line="500" w:lineRule="exact"/>
        <w:rPr>
          <w:rFonts w:hint="eastAsia" w:ascii="宋体" w:hAnsi="宋体"/>
          <w:color w:val="auto"/>
          <w:sz w:val="24"/>
          <w:highlight w:val="none"/>
        </w:rPr>
      </w:pPr>
    </w:p>
    <w:p w14:paraId="30BA9092">
      <w:pPr>
        <w:spacing w:line="500" w:lineRule="exact"/>
        <w:rPr>
          <w:rFonts w:hint="eastAsia" w:ascii="宋体" w:hAnsi="宋体"/>
          <w:color w:val="auto"/>
          <w:sz w:val="24"/>
          <w:highlight w:val="none"/>
        </w:rPr>
      </w:pPr>
    </w:p>
    <w:p w14:paraId="54893FB6">
      <w:pPr>
        <w:spacing w:line="500" w:lineRule="exact"/>
        <w:rPr>
          <w:rFonts w:hint="eastAsia" w:ascii="宋体" w:hAnsi="宋体"/>
          <w:color w:val="auto"/>
          <w:sz w:val="24"/>
          <w:highlight w:val="none"/>
        </w:rPr>
      </w:pPr>
    </w:p>
    <w:p w14:paraId="493C1E00">
      <w:pPr>
        <w:spacing w:line="500" w:lineRule="exact"/>
        <w:rPr>
          <w:rFonts w:hint="eastAsia" w:ascii="宋体" w:hAnsi="宋体"/>
          <w:color w:val="auto"/>
          <w:sz w:val="24"/>
          <w:highlight w:val="none"/>
        </w:rPr>
      </w:pPr>
    </w:p>
    <w:p w14:paraId="74A6BFBD">
      <w:pPr>
        <w:spacing w:line="500" w:lineRule="exact"/>
        <w:rPr>
          <w:rFonts w:hint="eastAsia" w:ascii="宋体" w:hAnsi="宋体"/>
          <w:color w:val="auto"/>
          <w:sz w:val="24"/>
          <w:highlight w:val="none"/>
        </w:rPr>
      </w:pPr>
    </w:p>
    <w:p w14:paraId="6AF137A5">
      <w:pPr>
        <w:spacing w:line="500" w:lineRule="exact"/>
        <w:rPr>
          <w:rFonts w:hint="eastAsia" w:ascii="宋体" w:hAnsi="宋体"/>
          <w:color w:val="auto"/>
          <w:sz w:val="24"/>
          <w:highlight w:val="none"/>
        </w:rPr>
      </w:pPr>
    </w:p>
    <w:p w14:paraId="2901FEE4">
      <w:pPr>
        <w:spacing w:line="500" w:lineRule="exact"/>
        <w:rPr>
          <w:rFonts w:hint="eastAsia" w:ascii="宋体" w:hAnsi="宋体"/>
          <w:color w:val="auto"/>
          <w:sz w:val="24"/>
          <w:highlight w:val="none"/>
        </w:rPr>
      </w:pPr>
    </w:p>
    <w:p w14:paraId="70AFBAF2">
      <w:pPr>
        <w:spacing w:line="500" w:lineRule="exact"/>
        <w:rPr>
          <w:rFonts w:hint="eastAsia" w:ascii="宋体" w:hAnsi="宋体"/>
          <w:color w:val="auto"/>
          <w:sz w:val="24"/>
          <w:highlight w:val="none"/>
        </w:rPr>
      </w:pPr>
    </w:p>
    <w:p w14:paraId="757319F2">
      <w:pPr>
        <w:spacing w:line="500" w:lineRule="exact"/>
        <w:rPr>
          <w:rFonts w:hint="eastAsia" w:ascii="宋体" w:hAnsi="宋体"/>
          <w:color w:val="auto"/>
          <w:sz w:val="24"/>
          <w:highlight w:val="none"/>
        </w:rPr>
      </w:pPr>
    </w:p>
    <w:p w14:paraId="36513F14">
      <w:pPr>
        <w:spacing w:line="500" w:lineRule="exact"/>
        <w:rPr>
          <w:rFonts w:hint="eastAsia" w:ascii="宋体" w:hAnsi="宋体"/>
          <w:color w:val="auto"/>
          <w:sz w:val="24"/>
          <w:highlight w:val="none"/>
        </w:rPr>
      </w:pPr>
    </w:p>
    <w:p w14:paraId="73F2BC22">
      <w:pPr>
        <w:spacing w:line="500" w:lineRule="exact"/>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四</w:t>
      </w:r>
      <w:r>
        <w:rPr>
          <w:rFonts w:hint="eastAsia" w:ascii="宋体" w:hAnsi="宋体"/>
          <w:color w:val="auto"/>
          <w:sz w:val="24"/>
          <w:highlight w:val="none"/>
        </w:rPr>
        <w:t>：</w:t>
      </w:r>
    </w:p>
    <w:p w14:paraId="7E680758">
      <w:pPr>
        <w:tabs>
          <w:tab w:val="left" w:pos="855"/>
        </w:tabs>
        <w:spacing w:line="500" w:lineRule="exact"/>
        <w:ind w:left="855"/>
        <w:jc w:val="center"/>
        <w:rPr>
          <w:rFonts w:ascii="宋体"/>
          <w:color w:val="auto"/>
          <w:sz w:val="24"/>
          <w:highlight w:val="none"/>
        </w:rPr>
      </w:pPr>
      <w:r>
        <w:rPr>
          <w:rFonts w:hint="eastAsia" w:ascii="宋体" w:hAnsi="宋体"/>
          <w:b/>
          <w:color w:val="auto"/>
          <w:sz w:val="24"/>
          <w:highlight w:val="none"/>
        </w:rPr>
        <w:t>法定代表人授权委托书</w:t>
      </w:r>
    </w:p>
    <w:p w14:paraId="3BA90A7A">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80CEB58">
      <w:pPr>
        <w:spacing w:line="500" w:lineRule="exact"/>
        <w:ind w:left="210" w:leftChars="100" w:firstLine="240" w:firstLineChars="100"/>
        <w:rPr>
          <w:rFonts w:ascii="宋体"/>
          <w:color w:val="auto"/>
          <w:sz w:val="24"/>
          <w:highlight w:val="none"/>
        </w:rPr>
      </w:pPr>
      <w:r>
        <w:rPr>
          <w:rFonts w:hint="eastAsia" w:ascii="宋体" w:hAnsi="宋体"/>
          <w:color w:val="auto"/>
          <w:sz w:val="24"/>
          <w:highlight w:val="none"/>
          <w:u w:val="single"/>
        </w:rPr>
        <w:t>（单位名称）</w:t>
      </w:r>
      <w:r>
        <w:rPr>
          <w:rFonts w:hint="eastAsia" w:ascii="宋体" w:hAnsi="宋体"/>
          <w:color w:val="auto"/>
          <w:sz w:val="24"/>
          <w:highlight w:val="none"/>
        </w:rPr>
        <w:t>系中华人民共和国合法企业（单位），法定地址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特授权代表我公司全权办理针对</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r>
        <w:rPr>
          <w:rFonts w:hint="eastAsia" w:ascii="宋体" w:hAnsi="宋体"/>
          <w:color w:val="auto"/>
          <w:sz w:val="24"/>
          <w:highlight w:val="none"/>
        </w:rPr>
        <w:t>的投标，并签署全部有关文件、协议及合同。</w:t>
      </w:r>
    </w:p>
    <w:p w14:paraId="014FCA4E">
      <w:pPr>
        <w:spacing w:line="500" w:lineRule="exact"/>
        <w:ind w:firstLine="480" w:firstLineChars="200"/>
        <w:rPr>
          <w:rFonts w:ascii="宋体"/>
          <w:color w:val="auto"/>
          <w:sz w:val="24"/>
          <w:highlight w:val="none"/>
        </w:rPr>
      </w:pPr>
      <w:r>
        <w:rPr>
          <w:rFonts w:hint="eastAsia" w:ascii="宋体" w:hAnsi="宋体"/>
          <w:color w:val="auto"/>
          <w:sz w:val="24"/>
          <w:highlight w:val="none"/>
        </w:rPr>
        <w:t>我单位对被授权人签名的所有文件负全部责任。</w:t>
      </w:r>
    </w:p>
    <w:p w14:paraId="7F41E83E">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被授权人签署的所有文件（在授权书有效期内签署的）不因授权的撤销而失效，本授权书的有效期自投标开始至合同履行完毕止。</w:t>
      </w:r>
    </w:p>
    <w:p w14:paraId="30D2B589">
      <w:pPr>
        <w:spacing w:line="500" w:lineRule="exact"/>
        <w:ind w:firstLine="480" w:firstLineChars="200"/>
        <w:rPr>
          <w:rFonts w:ascii="宋体"/>
          <w:color w:val="auto"/>
          <w:sz w:val="24"/>
          <w:highlight w:val="none"/>
        </w:rPr>
      </w:pPr>
    </w:p>
    <w:p w14:paraId="1A04C87C">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被授权人（签字或盖章）：性别：年龄：职务：</w:t>
      </w:r>
    </w:p>
    <w:p w14:paraId="24D4348C">
      <w:pPr>
        <w:spacing w:line="500" w:lineRule="exact"/>
        <w:ind w:firstLine="480" w:firstLineChars="200"/>
        <w:rPr>
          <w:rFonts w:ascii="宋体"/>
          <w:color w:val="auto"/>
          <w:sz w:val="24"/>
          <w:highlight w:val="none"/>
        </w:rPr>
      </w:pPr>
      <w:r>
        <w:rPr>
          <w:rFonts w:hint="eastAsia" w:ascii="宋体" w:hAnsi="宋体"/>
          <w:color w:val="auto"/>
          <w:sz w:val="24"/>
          <w:highlight w:val="none"/>
        </w:rPr>
        <w:t>身份证号码：</w:t>
      </w:r>
    </w:p>
    <w:p w14:paraId="3E712A45">
      <w:pPr>
        <w:spacing w:line="500" w:lineRule="exact"/>
        <w:ind w:firstLine="480" w:firstLineChars="200"/>
        <w:rPr>
          <w:rFonts w:ascii="宋体"/>
          <w:color w:val="auto"/>
          <w:sz w:val="24"/>
          <w:highlight w:val="none"/>
        </w:rPr>
      </w:pPr>
      <w:r>
        <w:rPr>
          <w:rFonts w:hint="eastAsia" w:ascii="宋体" w:hAnsi="宋体"/>
          <w:color w:val="auto"/>
          <w:sz w:val="24"/>
          <w:highlight w:val="none"/>
        </w:rPr>
        <w:t>通讯地址：</w:t>
      </w:r>
    </w:p>
    <w:p w14:paraId="5CA5917A">
      <w:pPr>
        <w:spacing w:line="500" w:lineRule="exact"/>
        <w:ind w:firstLine="480" w:firstLineChars="200"/>
        <w:rPr>
          <w:rFonts w:ascii="宋体"/>
          <w:color w:val="auto"/>
          <w:sz w:val="24"/>
          <w:highlight w:val="none"/>
        </w:rPr>
      </w:pPr>
      <w:r>
        <w:rPr>
          <w:rFonts w:hint="eastAsia" w:ascii="宋体" w:hAnsi="宋体"/>
          <w:color w:val="auto"/>
          <w:sz w:val="24"/>
          <w:highlight w:val="none"/>
        </w:rPr>
        <w:t>联系电话：</w:t>
      </w:r>
    </w:p>
    <w:p w14:paraId="4B94F805">
      <w:pPr>
        <w:spacing w:line="500" w:lineRule="exact"/>
        <w:ind w:firstLine="480" w:firstLineChars="200"/>
        <w:rPr>
          <w:rFonts w:ascii="宋体"/>
          <w:color w:val="auto"/>
          <w:sz w:val="24"/>
          <w:highlight w:val="none"/>
        </w:rPr>
      </w:pPr>
      <w:r>
        <w:rPr>
          <w:rFonts w:hint="eastAsia" w:ascii="宋体" w:hAnsi="宋体"/>
          <w:color w:val="auto"/>
          <w:sz w:val="24"/>
          <w:highlight w:val="none"/>
        </w:rPr>
        <w:t>法定代表人（签字或盖章）：</w:t>
      </w:r>
    </w:p>
    <w:p w14:paraId="67EF1A4C">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41465584">
      <w:pPr>
        <w:spacing w:line="500" w:lineRule="exact"/>
        <w:ind w:firstLine="480" w:firstLineChars="200"/>
        <w:rPr>
          <w:rFonts w:ascii="宋体"/>
          <w:color w:val="auto"/>
          <w:sz w:val="24"/>
          <w:highlight w:val="none"/>
        </w:rPr>
      </w:pPr>
    </w:p>
    <w:p w14:paraId="6B655D1E">
      <w:pPr>
        <w:spacing w:line="500" w:lineRule="exact"/>
        <w:ind w:firstLine="480" w:firstLineChars="200"/>
        <w:rPr>
          <w:rFonts w:ascii="宋体"/>
          <w:color w:val="auto"/>
          <w:sz w:val="24"/>
          <w:highlight w:val="none"/>
        </w:rPr>
      </w:pPr>
    </w:p>
    <w:p w14:paraId="53CEED77">
      <w:pPr>
        <w:spacing w:line="500" w:lineRule="exact"/>
        <w:ind w:firstLine="5520" w:firstLineChars="2300"/>
        <w:rPr>
          <w:rFonts w:asci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747963EE">
      <w:pPr>
        <w:spacing w:line="500" w:lineRule="exact"/>
        <w:ind w:firstLine="3240" w:firstLineChars="1350"/>
        <w:rPr>
          <w:rFonts w:ascii="宋体"/>
          <w:color w:val="auto"/>
          <w:sz w:val="24"/>
          <w:highlight w:val="none"/>
        </w:rPr>
      </w:pPr>
    </w:p>
    <w:p w14:paraId="2D95695A">
      <w:pPr>
        <w:spacing w:line="500" w:lineRule="exact"/>
        <w:ind w:firstLine="3240" w:firstLineChars="1350"/>
        <w:rPr>
          <w:rFonts w:ascii="宋体"/>
          <w:color w:val="auto"/>
          <w:sz w:val="24"/>
          <w:highlight w:val="none"/>
        </w:rPr>
      </w:pPr>
    </w:p>
    <w:p w14:paraId="0CA29600">
      <w:pPr>
        <w:spacing w:line="500" w:lineRule="exact"/>
        <w:ind w:firstLine="3240" w:firstLineChars="1350"/>
        <w:rPr>
          <w:rFonts w:ascii="宋体"/>
          <w:color w:val="auto"/>
          <w:sz w:val="24"/>
          <w:highlight w:val="none"/>
        </w:rPr>
      </w:pPr>
    </w:p>
    <w:p w14:paraId="7F1AA681">
      <w:pPr>
        <w:spacing w:line="500" w:lineRule="exact"/>
        <w:ind w:firstLine="3240" w:firstLineChars="1350"/>
        <w:rPr>
          <w:rFonts w:ascii="宋体"/>
          <w:color w:val="auto"/>
          <w:sz w:val="24"/>
          <w:highlight w:val="none"/>
        </w:rPr>
      </w:pPr>
    </w:p>
    <w:p w14:paraId="03F0D8A9">
      <w:pPr>
        <w:spacing w:line="500" w:lineRule="exact"/>
        <w:ind w:firstLine="3240" w:firstLineChars="1350"/>
        <w:rPr>
          <w:rFonts w:ascii="宋体"/>
          <w:color w:val="auto"/>
          <w:sz w:val="24"/>
          <w:highlight w:val="none"/>
        </w:rPr>
      </w:pPr>
    </w:p>
    <w:p w14:paraId="4D9D33D9">
      <w:pPr>
        <w:spacing w:line="500" w:lineRule="exact"/>
        <w:ind w:firstLine="3240" w:firstLineChars="1350"/>
        <w:rPr>
          <w:rFonts w:ascii="宋体"/>
          <w:color w:val="auto"/>
          <w:sz w:val="24"/>
          <w:highlight w:val="none"/>
        </w:rPr>
      </w:pPr>
    </w:p>
    <w:p w14:paraId="0C6D6C1A">
      <w:pPr>
        <w:spacing w:line="500" w:lineRule="exact"/>
        <w:ind w:firstLine="3240" w:firstLineChars="1350"/>
        <w:rPr>
          <w:rFonts w:ascii="宋体"/>
          <w:color w:val="auto"/>
          <w:sz w:val="24"/>
          <w:highlight w:val="none"/>
        </w:rPr>
      </w:pPr>
    </w:p>
    <w:p w14:paraId="1771522E">
      <w:pPr>
        <w:spacing w:line="500" w:lineRule="exact"/>
        <w:ind w:firstLine="3240" w:firstLineChars="1350"/>
        <w:rPr>
          <w:rFonts w:ascii="宋体"/>
          <w:color w:val="auto"/>
          <w:sz w:val="24"/>
          <w:highlight w:val="none"/>
        </w:rPr>
      </w:pPr>
    </w:p>
    <w:p w14:paraId="18AEF594">
      <w:pPr>
        <w:pStyle w:val="61"/>
        <w:spacing w:line="360" w:lineRule="auto"/>
        <w:jc w:val="left"/>
        <w:rPr>
          <w:rFonts w:hAnsi="宋体" w:cs="仿宋_GB2312"/>
          <w:bCs/>
          <w:color w:val="auto"/>
          <w:highlight w:val="none"/>
        </w:rPr>
      </w:pPr>
    </w:p>
    <w:p w14:paraId="0A432FCD">
      <w:pPr>
        <w:pStyle w:val="61"/>
        <w:spacing w:line="360" w:lineRule="auto"/>
        <w:jc w:val="left"/>
        <w:rPr>
          <w:rFonts w:hAnsi="宋体" w:cs="仿宋_GB2312"/>
          <w:bCs/>
          <w:color w:val="auto"/>
          <w:highlight w:val="none"/>
        </w:rPr>
      </w:pPr>
      <w:r>
        <w:rPr>
          <w:rFonts w:hint="eastAsia" w:hAnsi="宋体" w:cs="仿宋_GB2312"/>
          <w:bCs/>
          <w:color w:val="auto"/>
          <w:highlight w:val="none"/>
        </w:rPr>
        <w:t>附件</w:t>
      </w:r>
      <w:r>
        <w:rPr>
          <w:rFonts w:hint="eastAsia" w:hAnsi="宋体" w:cs="仿宋_GB2312"/>
          <w:bCs/>
          <w:color w:val="auto"/>
          <w:highlight w:val="none"/>
          <w:lang w:val="en-US" w:eastAsia="zh-CN"/>
        </w:rPr>
        <w:t>五</w:t>
      </w:r>
      <w:r>
        <w:rPr>
          <w:rFonts w:hint="eastAsia" w:hAnsi="宋体" w:cs="仿宋_GB2312"/>
          <w:bCs/>
          <w:color w:val="auto"/>
          <w:highlight w:val="none"/>
        </w:rPr>
        <w:t>：</w:t>
      </w:r>
    </w:p>
    <w:p w14:paraId="5F945082">
      <w:pPr>
        <w:spacing w:line="500" w:lineRule="exact"/>
        <w:jc w:val="center"/>
        <w:rPr>
          <w:rFonts w:ascii="宋体"/>
          <w:b/>
          <w:color w:val="auto"/>
          <w:sz w:val="24"/>
          <w:highlight w:val="none"/>
        </w:rPr>
      </w:pPr>
      <w:r>
        <w:rPr>
          <w:rFonts w:hint="eastAsia" w:ascii="宋体" w:hAnsi="宋体"/>
          <w:b/>
          <w:color w:val="auto"/>
          <w:sz w:val="24"/>
          <w:highlight w:val="none"/>
        </w:rPr>
        <w:t>参加采购活动前三年内在经营活动中没有重大违法记录的书面声明</w:t>
      </w:r>
    </w:p>
    <w:p w14:paraId="6C0486C9">
      <w:pPr>
        <w:pStyle w:val="61"/>
        <w:spacing w:line="360" w:lineRule="auto"/>
        <w:jc w:val="left"/>
        <w:rPr>
          <w:rFonts w:hAnsi="宋体" w:cs="仿宋_GB2312"/>
          <w:bCs/>
          <w:color w:val="auto"/>
          <w:highlight w:val="none"/>
        </w:rPr>
      </w:pPr>
    </w:p>
    <w:p w14:paraId="518B61E6">
      <w:pPr>
        <w:pStyle w:val="61"/>
        <w:spacing w:line="360" w:lineRule="auto"/>
        <w:jc w:val="left"/>
        <w:rPr>
          <w:rFonts w:hAnsi="宋体" w:cs="仿宋_GB2312"/>
          <w:bCs/>
          <w:color w:val="auto"/>
          <w:highlight w:val="none"/>
        </w:rPr>
      </w:pPr>
      <w:r>
        <w:rPr>
          <w:rFonts w:hint="eastAsia" w:hAnsi="宋体"/>
          <w:color w:val="auto"/>
          <w:highlight w:val="none"/>
          <w:lang w:eastAsia="zh-CN"/>
        </w:rPr>
        <w:t>启东市妇幼保健院</w:t>
      </w:r>
      <w:r>
        <w:rPr>
          <w:rFonts w:hint="eastAsia" w:hAnsi="宋体" w:cs="仿宋_GB2312"/>
          <w:bCs/>
          <w:color w:val="auto"/>
          <w:highlight w:val="none"/>
        </w:rPr>
        <w:t>：</w:t>
      </w:r>
    </w:p>
    <w:p w14:paraId="1CB2FF74">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我单位在参加本次</w:t>
      </w:r>
      <w:r>
        <w:rPr>
          <w:rFonts w:hint="eastAsia" w:ascii="宋体" w:hAnsi="宋体"/>
          <w:color w:val="auto"/>
          <w:sz w:val="24"/>
          <w:highlight w:val="none"/>
          <w:lang w:eastAsia="zh-CN"/>
        </w:rPr>
        <w:t>启东市妇幼保健院</w:t>
      </w:r>
      <w:r>
        <w:rPr>
          <w:rFonts w:hint="eastAsia" w:hAnsi="宋体"/>
          <w:color w:val="auto"/>
          <w:sz w:val="24"/>
          <w:highlight w:val="none"/>
          <w:lang w:val="en-US" w:eastAsia="zh-CN"/>
        </w:rPr>
        <w:t>复旦大学附属儿科医院数据互联互通对接</w:t>
      </w:r>
      <w:r>
        <w:rPr>
          <w:rFonts w:hint="eastAsia" w:ascii="宋体" w:hAnsi="宋体"/>
          <w:color w:val="auto"/>
          <w:sz w:val="24"/>
          <w:highlight w:val="none"/>
          <w:lang w:val="en-US" w:eastAsia="zh-CN"/>
        </w:rPr>
        <w:t>服务项目</w:t>
      </w:r>
      <w:r>
        <w:rPr>
          <w:rFonts w:hint="eastAsia" w:hAnsi="宋体" w:cs="仿宋_GB2312"/>
          <w:bCs/>
          <w:color w:val="auto"/>
          <w:highlight w:val="none"/>
        </w:rPr>
        <w:t>采购活动前三年内在经营活动中没有重大违法记录，特此承诺。</w:t>
      </w:r>
    </w:p>
    <w:p w14:paraId="52F65EC8">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若采购单位或采购代理机构在本项目采购过程中发现我单位近三年内在经营活动中有重大违法记录，我单位将无条件地退出本项目的招标，并承担因此引起的一切后果。</w:t>
      </w:r>
    </w:p>
    <w:p w14:paraId="5D291E1C">
      <w:pPr>
        <w:pStyle w:val="61"/>
        <w:spacing w:line="360" w:lineRule="auto"/>
        <w:ind w:firstLine="560"/>
        <w:jc w:val="left"/>
        <w:rPr>
          <w:rFonts w:hAnsi="宋体" w:cs="仿宋_GB2312"/>
          <w:bCs/>
          <w:color w:val="auto"/>
          <w:highlight w:val="none"/>
        </w:rPr>
      </w:pPr>
    </w:p>
    <w:p w14:paraId="671485D0">
      <w:pPr>
        <w:spacing w:line="440" w:lineRule="exact"/>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6994FEEA">
      <w:pPr>
        <w:spacing w:line="440" w:lineRule="exact"/>
        <w:rPr>
          <w:rFonts w:ascii="宋体"/>
          <w:color w:val="auto"/>
          <w:sz w:val="24"/>
          <w:highlight w:val="none"/>
        </w:rPr>
      </w:pPr>
    </w:p>
    <w:p w14:paraId="1DE293BC">
      <w:pPr>
        <w:spacing w:line="440" w:lineRule="exact"/>
        <w:rPr>
          <w:rFonts w:ascii="宋体"/>
          <w:color w:val="auto"/>
          <w:sz w:val="24"/>
          <w:highlight w:val="none"/>
        </w:rPr>
      </w:pPr>
      <w:r>
        <w:rPr>
          <w:rFonts w:hint="eastAsia" w:ascii="宋体" w:hAnsi="宋体"/>
          <w:color w:val="auto"/>
          <w:sz w:val="24"/>
          <w:highlight w:val="none"/>
        </w:rPr>
        <w:t>法定代表人或被授权人（签字或盖章）：</w:t>
      </w:r>
    </w:p>
    <w:p w14:paraId="5285F60C">
      <w:pPr>
        <w:spacing w:line="440" w:lineRule="exact"/>
        <w:rPr>
          <w:rFonts w:ascii="宋体"/>
          <w:color w:val="auto"/>
          <w:sz w:val="24"/>
          <w:highlight w:val="none"/>
        </w:rPr>
      </w:pPr>
    </w:p>
    <w:p w14:paraId="293C4A7A">
      <w:pPr>
        <w:wordWrap w:val="0"/>
        <w:spacing w:line="440" w:lineRule="exact"/>
        <w:ind w:right="480"/>
        <w:jc w:val="right"/>
        <w:rPr>
          <w:rFonts w:ascii="宋体" w:hAnsi="宋体"/>
          <w:color w:val="auto"/>
          <w:sz w:val="24"/>
          <w:highlight w:val="none"/>
        </w:rPr>
      </w:pPr>
      <w:r>
        <w:rPr>
          <w:rFonts w:hint="eastAsia" w:ascii="宋体" w:hAnsi="宋体"/>
          <w:color w:val="auto"/>
          <w:sz w:val="24"/>
          <w:highlight w:val="none"/>
        </w:rPr>
        <w:t xml:space="preserve">年 </w:t>
      </w:r>
      <w:r>
        <w:rPr>
          <w:rFonts w:ascii="宋体" w:hAnsi="宋体"/>
          <w:color w:val="auto"/>
          <w:sz w:val="24"/>
          <w:highlight w:val="none"/>
        </w:rPr>
        <w:t xml:space="preserve"> </w:t>
      </w:r>
      <w:r>
        <w:rPr>
          <w:rFonts w:hint="eastAsia" w:ascii="宋体" w:hAnsi="宋体"/>
          <w:color w:val="auto"/>
          <w:sz w:val="24"/>
          <w:highlight w:val="none"/>
        </w:rPr>
        <w:t xml:space="preserve">月 </w:t>
      </w:r>
      <w:r>
        <w:rPr>
          <w:rFonts w:ascii="宋体" w:hAnsi="宋体"/>
          <w:color w:val="auto"/>
          <w:sz w:val="24"/>
          <w:highlight w:val="none"/>
        </w:rPr>
        <w:t xml:space="preserve"> </w:t>
      </w:r>
      <w:r>
        <w:rPr>
          <w:rFonts w:hint="eastAsia" w:ascii="宋体" w:hAnsi="宋体"/>
          <w:color w:val="auto"/>
          <w:sz w:val="24"/>
          <w:highlight w:val="none"/>
        </w:rPr>
        <w:t>日</w:t>
      </w:r>
    </w:p>
    <w:p w14:paraId="4860EF1E">
      <w:pPr>
        <w:pStyle w:val="61"/>
        <w:spacing w:line="360" w:lineRule="auto"/>
        <w:jc w:val="left"/>
        <w:rPr>
          <w:rFonts w:hAnsi="宋体" w:cs="仿宋_GB2312"/>
          <w:b/>
          <w:color w:val="auto"/>
          <w:highlight w:val="none"/>
        </w:rPr>
      </w:pPr>
    </w:p>
    <w:p w14:paraId="62D85EBC">
      <w:pPr>
        <w:pStyle w:val="61"/>
        <w:spacing w:line="360" w:lineRule="auto"/>
        <w:jc w:val="left"/>
        <w:rPr>
          <w:rFonts w:hAnsi="宋体" w:cs="仿宋_GB2312"/>
          <w:b/>
          <w:color w:val="auto"/>
          <w:highlight w:val="none"/>
        </w:rPr>
      </w:pPr>
    </w:p>
    <w:p w14:paraId="280D3F41">
      <w:pPr>
        <w:pStyle w:val="61"/>
        <w:spacing w:line="360" w:lineRule="auto"/>
        <w:jc w:val="left"/>
        <w:rPr>
          <w:rFonts w:hAnsi="宋体" w:cs="仿宋_GB2312"/>
          <w:b/>
          <w:color w:val="auto"/>
          <w:highlight w:val="none"/>
        </w:rPr>
      </w:pPr>
    </w:p>
    <w:p w14:paraId="611F9687">
      <w:pPr>
        <w:pStyle w:val="61"/>
        <w:spacing w:line="360" w:lineRule="auto"/>
        <w:jc w:val="left"/>
        <w:rPr>
          <w:rFonts w:hAnsi="宋体" w:cs="仿宋_GB2312"/>
          <w:b/>
          <w:color w:val="auto"/>
          <w:highlight w:val="none"/>
        </w:rPr>
      </w:pPr>
    </w:p>
    <w:p w14:paraId="39C9837A">
      <w:pPr>
        <w:pStyle w:val="61"/>
        <w:spacing w:line="360" w:lineRule="auto"/>
        <w:jc w:val="left"/>
        <w:rPr>
          <w:rFonts w:hAnsi="宋体" w:cs="仿宋_GB2312"/>
          <w:bCs/>
          <w:color w:val="auto"/>
          <w:highlight w:val="none"/>
        </w:rPr>
      </w:pPr>
    </w:p>
    <w:p w14:paraId="75A4D08E">
      <w:pPr>
        <w:spacing w:line="500" w:lineRule="exact"/>
        <w:outlineLvl w:val="2"/>
        <w:rPr>
          <w:rFonts w:ascii="宋体"/>
          <w:color w:val="auto"/>
          <w:sz w:val="24"/>
          <w:highlight w:val="none"/>
        </w:rPr>
      </w:pPr>
    </w:p>
    <w:p w14:paraId="44193A3A">
      <w:pPr>
        <w:spacing w:line="380" w:lineRule="exact"/>
        <w:jc w:val="left"/>
        <w:rPr>
          <w:rFonts w:ascii="宋体"/>
          <w:color w:val="auto"/>
          <w:sz w:val="24"/>
          <w:highlight w:val="none"/>
        </w:rPr>
      </w:pPr>
    </w:p>
    <w:p w14:paraId="06A547C2">
      <w:pPr>
        <w:spacing w:line="380" w:lineRule="exact"/>
        <w:jc w:val="left"/>
        <w:rPr>
          <w:rFonts w:ascii="宋体"/>
          <w:color w:val="auto"/>
          <w:sz w:val="24"/>
          <w:highlight w:val="none"/>
        </w:rPr>
      </w:pPr>
    </w:p>
    <w:p w14:paraId="410782CD">
      <w:pPr>
        <w:spacing w:line="380" w:lineRule="exact"/>
        <w:jc w:val="left"/>
        <w:rPr>
          <w:rFonts w:ascii="宋体"/>
          <w:color w:val="auto"/>
          <w:sz w:val="24"/>
          <w:highlight w:val="none"/>
        </w:rPr>
      </w:pPr>
    </w:p>
    <w:p w14:paraId="63684E32">
      <w:pPr>
        <w:spacing w:line="380" w:lineRule="exact"/>
        <w:jc w:val="left"/>
        <w:rPr>
          <w:rFonts w:ascii="宋体"/>
          <w:color w:val="auto"/>
          <w:sz w:val="24"/>
          <w:highlight w:val="none"/>
        </w:rPr>
      </w:pPr>
    </w:p>
    <w:p w14:paraId="2F0BEFE7">
      <w:pPr>
        <w:spacing w:line="380" w:lineRule="exact"/>
        <w:jc w:val="left"/>
        <w:rPr>
          <w:rFonts w:ascii="宋体"/>
          <w:color w:val="auto"/>
          <w:sz w:val="24"/>
          <w:highlight w:val="none"/>
        </w:rPr>
      </w:pPr>
    </w:p>
    <w:p w14:paraId="57751439">
      <w:pPr>
        <w:spacing w:line="380" w:lineRule="exact"/>
        <w:jc w:val="left"/>
        <w:rPr>
          <w:rFonts w:ascii="宋体"/>
          <w:color w:val="auto"/>
          <w:sz w:val="24"/>
          <w:highlight w:val="none"/>
        </w:rPr>
      </w:pPr>
    </w:p>
    <w:p w14:paraId="559AEF3B">
      <w:pPr>
        <w:spacing w:line="380" w:lineRule="exact"/>
        <w:jc w:val="left"/>
        <w:rPr>
          <w:rFonts w:ascii="宋体"/>
          <w:color w:val="auto"/>
          <w:sz w:val="24"/>
          <w:highlight w:val="none"/>
        </w:rPr>
      </w:pPr>
    </w:p>
    <w:p w14:paraId="0848D73F">
      <w:pPr>
        <w:spacing w:line="380" w:lineRule="exact"/>
        <w:jc w:val="left"/>
        <w:rPr>
          <w:rFonts w:ascii="宋体"/>
          <w:color w:val="auto"/>
          <w:sz w:val="24"/>
          <w:highlight w:val="none"/>
        </w:rPr>
      </w:pPr>
    </w:p>
    <w:p w14:paraId="399192A1">
      <w:pPr>
        <w:spacing w:line="380" w:lineRule="exact"/>
        <w:jc w:val="left"/>
        <w:rPr>
          <w:rFonts w:ascii="宋体"/>
          <w:color w:val="auto"/>
          <w:sz w:val="24"/>
          <w:highlight w:val="none"/>
        </w:rPr>
      </w:pPr>
    </w:p>
    <w:p w14:paraId="0F8D9770">
      <w:pPr>
        <w:spacing w:line="600" w:lineRule="exact"/>
        <w:ind w:left="6660" w:firstLine="480" w:firstLineChars="200"/>
        <w:jc w:val="left"/>
        <w:rPr>
          <w:rFonts w:hint="eastAsia" w:ascii="宋体" w:hAnsi="宋体" w:cs="宋体"/>
          <w:color w:val="auto"/>
          <w:sz w:val="24"/>
          <w:highlight w:val="none"/>
        </w:rPr>
      </w:pPr>
    </w:p>
    <w:p w14:paraId="6F27BA81">
      <w:pPr>
        <w:spacing w:line="600" w:lineRule="exact"/>
        <w:ind w:left="6660" w:firstLine="480" w:firstLineChars="200"/>
        <w:jc w:val="left"/>
        <w:rPr>
          <w:rFonts w:hint="eastAsia" w:ascii="宋体" w:hAnsi="宋体" w:cs="宋体"/>
          <w:color w:val="auto"/>
          <w:sz w:val="24"/>
          <w:highlight w:val="none"/>
        </w:rPr>
      </w:pPr>
    </w:p>
    <w:p w14:paraId="687AE1A8">
      <w:pPr>
        <w:spacing w:line="600" w:lineRule="exact"/>
        <w:jc w:val="left"/>
        <w:rPr>
          <w:rFonts w:hAnsi="宋体"/>
          <w:b/>
          <w:color w:val="auto"/>
          <w:sz w:val="28"/>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w:t>
      </w:r>
      <w:r>
        <w:rPr>
          <w:rFonts w:hint="eastAsia" w:ascii="宋体" w:hAnsi="宋体" w:cs="宋体"/>
          <w:color w:val="auto"/>
          <w:sz w:val="24"/>
          <w:highlight w:val="none"/>
          <w:lang w:eastAsia="zh-CN"/>
        </w:rPr>
        <w:t>磋商报价表</w:t>
      </w:r>
      <w:r>
        <w:rPr>
          <w:rFonts w:hint="eastAsia" w:ascii="宋体" w:hAnsi="宋体" w:cs="宋体"/>
          <w:color w:val="auto"/>
          <w:sz w:val="24"/>
          <w:highlight w:val="none"/>
        </w:rPr>
        <w:t>格式</w:t>
      </w:r>
    </w:p>
    <w:p w14:paraId="37AE9A1E">
      <w:pPr>
        <w:spacing w:line="380" w:lineRule="exact"/>
        <w:jc w:val="center"/>
        <w:rPr>
          <w:rFonts w:ascii="宋体" w:cs="宋体"/>
          <w:b/>
          <w:color w:val="auto"/>
          <w:sz w:val="24"/>
          <w:highlight w:val="none"/>
        </w:rPr>
      </w:pPr>
      <w:r>
        <w:rPr>
          <w:rFonts w:hint="eastAsia" w:ascii="宋体" w:hAnsi="宋体" w:cs="宋体"/>
          <w:b/>
          <w:color w:val="auto"/>
          <w:sz w:val="24"/>
          <w:highlight w:val="none"/>
          <w:lang w:eastAsia="zh-CN"/>
        </w:rPr>
        <w:t>磋商报价</w:t>
      </w:r>
      <w:r>
        <w:rPr>
          <w:rFonts w:hint="eastAsia" w:ascii="宋体" w:hAnsi="宋体" w:cs="宋体"/>
          <w:b/>
          <w:color w:val="auto"/>
          <w:sz w:val="24"/>
          <w:highlight w:val="none"/>
        </w:rPr>
        <w:t>表</w:t>
      </w:r>
    </w:p>
    <w:p w14:paraId="74443D87">
      <w:pPr>
        <w:pStyle w:val="2"/>
        <w:jc w:val="center"/>
        <w:rPr>
          <w:rFonts w:hint="eastAsia" w:ascii="宋体" w:hAnsi="宋体" w:cs="Times New Roman"/>
          <w:color w:val="auto"/>
          <w:sz w:val="24"/>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3586"/>
        <w:gridCol w:w="2000"/>
      </w:tblGrid>
      <w:tr w14:paraId="717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1" w:type="pct"/>
            <w:noWrap w:val="0"/>
            <w:vAlign w:val="center"/>
          </w:tcPr>
          <w:p w14:paraId="537FB201">
            <w:pPr>
              <w:shd w:val="clear" w:color="auto" w:fill="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p>
        </w:tc>
        <w:tc>
          <w:tcPr>
            <w:tcW w:w="1906" w:type="pct"/>
            <w:noWrap w:val="0"/>
            <w:vAlign w:val="center"/>
          </w:tcPr>
          <w:p w14:paraId="18079E93">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投标报价</w:t>
            </w:r>
          </w:p>
        </w:tc>
        <w:tc>
          <w:tcPr>
            <w:tcW w:w="1061" w:type="pct"/>
            <w:noWrap w:val="0"/>
            <w:vAlign w:val="center"/>
          </w:tcPr>
          <w:p w14:paraId="509179B9">
            <w:pPr>
              <w:widowControl/>
              <w:shd w:val="clear" w:color="auto" w:fill="auto"/>
              <w:jc w:val="center"/>
              <w:textAlignment w:val="baseline"/>
              <w:rPr>
                <w:rFonts w:hint="eastAsia" w:ascii="宋体" w:hAnsi="宋体" w:eastAsia="宋体" w:cs="宋体"/>
                <w:color w:val="auto"/>
                <w:sz w:val="28"/>
                <w:szCs w:val="28"/>
                <w:highlight w:val="none"/>
                <w:lang w:eastAsia="zh-CN"/>
              </w:rPr>
            </w:pPr>
            <w:r>
              <w:rPr>
                <w:rStyle w:val="65"/>
                <w:rFonts w:hint="eastAsia" w:ascii="宋体" w:hAnsi="宋体" w:cs="宋体"/>
                <w:color w:val="auto"/>
                <w:sz w:val="28"/>
                <w:szCs w:val="28"/>
                <w:highlight w:val="none"/>
              </w:rPr>
              <w:t>备注</w:t>
            </w:r>
          </w:p>
        </w:tc>
      </w:tr>
      <w:tr w14:paraId="5FB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1" w:type="pct"/>
            <w:noWrap w:val="0"/>
            <w:vAlign w:val="center"/>
          </w:tcPr>
          <w:p w14:paraId="632D1018">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p>
        </w:tc>
        <w:tc>
          <w:tcPr>
            <w:tcW w:w="1906" w:type="pct"/>
            <w:noWrap w:val="0"/>
            <w:vAlign w:val="center"/>
          </w:tcPr>
          <w:p w14:paraId="3F00EB5A">
            <w:pPr>
              <w:shd w:val="clear" w:color="auto" w:fill="auto"/>
              <w:rPr>
                <w:rFonts w:hint="eastAsia" w:ascii="宋体" w:hAnsi="宋体" w:eastAsia="宋体" w:cs="宋体"/>
                <w:color w:val="auto"/>
                <w:sz w:val="24"/>
                <w:szCs w:val="24"/>
                <w:highlight w:val="none"/>
              </w:rPr>
            </w:pPr>
          </w:p>
        </w:tc>
        <w:tc>
          <w:tcPr>
            <w:tcW w:w="1061" w:type="pct"/>
            <w:noWrap w:val="0"/>
            <w:vAlign w:val="center"/>
          </w:tcPr>
          <w:p w14:paraId="1A8E70CE">
            <w:pPr>
              <w:widowControl/>
              <w:shd w:val="clear" w:color="auto" w:fill="auto"/>
              <w:jc w:val="center"/>
              <w:textAlignment w:val="baseline"/>
              <w:rPr>
                <w:rFonts w:hint="eastAsia" w:ascii="宋体" w:hAnsi="宋体" w:eastAsia="宋体" w:cs="宋体"/>
                <w:color w:val="auto"/>
                <w:sz w:val="24"/>
                <w:szCs w:val="24"/>
                <w:highlight w:val="none"/>
                <w:lang w:val="en-US" w:eastAsia="zh-CN"/>
              </w:rPr>
            </w:pPr>
            <w:r>
              <w:rPr>
                <w:rStyle w:val="65"/>
                <w:rFonts w:hint="eastAsia" w:ascii="宋体" w:hAnsi="宋体" w:cs="宋体"/>
                <w:color w:val="auto"/>
                <w:sz w:val="24"/>
                <w:highlight w:val="none"/>
              </w:rPr>
              <w:t>完全响应磋商文件要求</w:t>
            </w:r>
          </w:p>
        </w:tc>
      </w:tr>
      <w:tr w14:paraId="006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74574BDD">
            <w:pPr>
              <w:shd w:val="clear" w:color="auto" w:fill="auto"/>
              <w:jc w:val="both"/>
              <w:rPr>
                <w:rFonts w:ascii="宋体" w:hAnsi="宋体" w:eastAsia="宋体" w:cs="宋体"/>
                <w:color w:val="auto"/>
                <w:sz w:val="24"/>
                <w:szCs w:val="24"/>
                <w:highlight w:val="none"/>
              </w:rPr>
            </w:pP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大写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小写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p>
        </w:tc>
      </w:tr>
    </w:tbl>
    <w:p w14:paraId="5A2176FB">
      <w:pPr>
        <w:pStyle w:val="64"/>
        <w:rPr>
          <w:rFonts w:hint="eastAsia"/>
          <w:color w:val="auto"/>
          <w:highlight w:val="none"/>
          <w:lang w:eastAsia="zh-CN"/>
        </w:rPr>
      </w:pPr>
    </w:p>
    <w:p w14:paraId="40949F42">
      <w:pPr>
        <w:spacing w:line="380" w:lineRule="exact"/>
        <w:jc w:val="left"/>
        <w:rPr>
          <w:rFonts w:ascii="宋体" w:cs="宋体"/>
          <w:color w:val="auto"/>
          <w:sz w:val="24"/>
          <w:highlight w:val="none"/>
          <w:u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none"/>
        </w:rPr>
        <w:t>盖公章）：</w:t>
      </w:r>
    </w:p>
    <w:p w14:paraId="32CBB932">
      <w:pPr>
        <w:spacing w:line="380" w:lineRule="exact"/>
        <w:jc w:val="left"/>
        <w:rPr>
          <w:rFonts w:ascii="宋体" w:cs="宋体"/>
          <w:color w:val="auto"/>
          <w:sz w:val="24"/>
          <w:highlight w:val="none"/>
          <w:u w:val="none"/>
        </w:rPr>
      </w:pPr>
      <w:r>
        <w:rPr>
          <w:rFonts w:hint="eastAsia" w:ascii="宋体" w:hAnsi="宋体" w:cs="宋体"/>
          <w:color w:val="auto"/>
          <w:sz w:val="24"/>
          <w:highlight w:val="none"/>
          <w:u w:val="none"/>
        </w:rPr>
        <w:t>法定代表人或被授权人（签字或盖章）：</w:t>
      </w:r>
    </w:p>
    <w:p w14:paraId="74B08309">
      <w:pPr>
        <w:spacing w:line="380" w:lineRule="exact"/>
        <w:jc w:val="left"/>
        <w:rPr>
          <w:rFonts w:ascii="宋体" w:cs="宋体"/>
          <w:color w:val="auto"/>
          <w:sz w:val="24"/>
          <w:highlight w:val="none"/>
        </w:rPr>
      </w:pPr>
      <w:r>
        <w:rPr>
          <w:rFonts w:hint="eastAsia" w:ascii="宋体" w:hAnsi="宋体" w:cs="宋体"/>
          <w:color w:val="auto"/>
          <w:sz w:val="24"/>
          <w:highlight w:val="none"/>
          <w:u w:val="none"/>
        </w:rPr>
        <w:t>日期：</w:t>
      </w:r>
    </w:p>
    <w:p w14:paraId="33A00548">
      <w:pPr>
        <w:jc w:val="left"/>
        <w:rPr>
          <w:rFonts w:ascii="宋体" w:cs="宋体"/>
          <w:color w:val="auto"/>
          <w:sz w:val="24"/>
          <w:highlight w:val="none"/>
        </w:rPr>
      </w:pPr>
    </w:p>
    <w:p w14:paraId="6DA93D3F">
      <w:pPr>
        <w:jc w:val="left"/>
        <w:rPr>
          <w:rFonts w:ascii="宋体" w:cs="宋体"/>
          <w:color w:val="auto"/>
          <w:sz w:val="24"/>
          <w:highlight w:val="none"/>
        </w:rPr>
      </w:pPr>
    </w:p>
    <w:p w14:paraId="4945EB4B">
      <w:pPr>
        <w:rPr>
          <w:rFonts w:hint="eastAsia" w:ascii="宋体" w:hAnsi="宋体" w:cs="宋体"/>
          <w:color w:val="auto"/>
          <w:sz w:val="24"/>
          <w:highlight w:val="none"/>
        </w:rPr>
      </w:pPr>
      <w:r>
        <w:rPr>
          <w:rFonts w:hint="eastAsia" w:ascii="宋体" w:hAnsi="宋体" w:cs="宋体"/>
          <w:color w:val="auto"/>
          <w:sz w:val="24"/>
          <w:highlight w:val="none"/>
        </w:rPr>
        <w:br w:type="page"/>
      </w:r>
    </w:p>
    <w:p w14:paraId="42D402D5">
      <w:pPr>
        <w:jc w:val="left"/>
        <w:rPr>
          <w:rFonts w:asci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p w14:paraId="15EB8912">
      <w:pPr>
        <w:pStyle w:val="2"/>
        <w:rPr>
          <w:rFonts w:ascii="宋体"/>
          <w:color w:val="auto"/>
          <w:sz w:val="24"/>
          <w:highlight w:val="none"/>
        </w:rPr>
      </w:pPr>
    </w:p>
    <w:p w14:paraId="67D731AE">
      <w:pPr>
        <w:spacing w:line="380" w:lineRule="exact"/>
        <w:jc w:val="center"/>
        <w:rPr>
          <w:rFonts w:ascii="宋体" w:cs="宋体"/>
          <w:b/>
          <w:color w:val="auto"/>
          <w:sz w:val="24"/>
          <w:highlight w:val="none"/>
        </w:rPr>
      </w:pPr>
      <w:r>
        <w:rPr>
          <w:rFonts w:hint="eastAsia" w:ascii="宋体" w:hAnsi="宋体" w:cs="宋体"/>
          <w:b/>
          <w:color w:val="auto"/>
          <w:sz w:val="24"/>
          <w:highlight w:val="none"/>
        </w:rPr>
        <w:t>最后报价一览表</w:t>
      </w:r>
    </w:p>
    <w:p w14:paraId="0D3DF5E0">
      <w:pPr>
        <w:pStyle w:val="2"/>
        <w:spacing w:line="42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9798814">
      <w:pPr>
        <w:pStyle w:val="2"/>
        <w:spacing w:line="420" w:lineRule="exact"/>
        <w:ind w:firstLine="480" w:firstLineChars="200"/>
        <w:rPr>
          <w:rFonts w:ascii="宋体" w:hAnsi="宋体"/>
          <w:color w:val="auto"/>
          <w:sz w:val="24"/>
          <w:highlight w:val="none"/>
        </w:rPr>
      </w:pPr>
      <w:r>
        <w:rPr>
          <w:rFonts w:hint="eastAsia" w:ascii="宋体" w:hAnsi="宋体"/>
          <w:color w:val="auto"/>
          <w:sz w:val="24"/>
          <w:highlight w:val="none"/>
        </w:rPr>
        <w:t>根据磋商文件上明确的各项要求，本人经请示单位领导同意并代表本单位对</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r>
        <w:rPr>
          <w:rFonts w:hint="eastAsia" w:ascii="宋体" w:hAnsi="宋体"/>
          <w:color w:val="auto"/>
          <w:sz w:val="24"/>
          <w:highlight w:val="none"/>
        </w:rPr>
        <w:t>做出最后报价如下：</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3586"/>
        <w:gridCol w:w="2000"/>
      </w:tblGrid>
      <w:tr w14:paraId="0C39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1" w:type="pct"/>
            <w:noWrap w:val="0"/>
            <w:vAlign w:val="center"/>
          </w:tcPr>
          <w:p w14:paraId="07DF23D0">
            <w:pPr>
              <w:shd w:val="clear" w:color="auto" w:fill="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p>
        </w:tc>
        <w:tc>
          <w:tcPr>
            <w:tcW w:w="1906" w:type="pct"/>
            <w:noWrap w:val="0"/>
            <w:vAlign w:val="center"/>
          </w:tcPr>
          <w:p w14:paraId="3DAFF5CE">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投标报价</w:t>
            </w:r>
          </w:p>
        </w:tc>
        <w:tc>
          <w:tcPr>
            <w:tcW w:w="1061" w:type="pct"/>
            <w:noWrap w:val="0"/>
            <w:vAlign w:val="center"/>
          </w:tcPr>
          <w:p w14:paraId="06ECBACD">
            <w:pPr>
              <w:widowControl/>
              <w:shd w:val="clear" w:color="auto" w:fill="auto"/>
              <w:jc w:val="center"/>
              <w:textAlignment w:val="baseline"/>
              <w:rPr>
                <w:rFonts w:hint="eastAsia" w:ascii="宋体" w:hAnsi="宋体" w:eastAsia="宋体" w:cs="宋体"/>
                <w:color w:val="auto"/>
                <w:sz w:val="28"/>
                <w:szCs w:val="28"/>
                <w:highlight w:val="none"/>
                <w:lang w:eastAsia="zh-CN"/>
              </w:rPr>
            </w:pPr>
            <w:r>
              <w:rPr>
                <w:rStyle w:val="65"/>
                <w:rFonts w:hint="eastAsia" w:ascii="宋体" w:hAnsi="宋体" w:cs="宋体"/>
                <w:color w:val="auto"/>
                <w:sz w:val="28"/>
                <w:szCs w:val="28"/>
                <w:highlight w:val="none"/>
              </w:rPr>
              <w:t>备注</w:t>
            </w:r>
          </w:p>
        </w:tc>
      </w:tr>
      <w:tr w14:paraId="7F5C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1" w:type="pct"/>
            <w:noWrap w:val="0"/>
            <w:vAlign w:val="center"/>
          </w:tcPr>
          <w:p w14:paraId="451B088B">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复旦大学附属儿科医院数据互联互通对接服务项目</w:t>
            </w:r>
          </w:p>
        </w:tc>
        <w:tc>
          <w:tcPr>
            <w:tcW w:w="1906" w:type="pct"/>
            <w:noWrap w:val="0"/>
            <w:vAlign w:val="center"/>
          </w:tcPr>
          <w:p w14:paraId="3DCB04BC">
            <w:pPr>
              <w:shd w:val="clear" w:color="auto" w:fill="auto"/>
              <w:rPr>
                <w:rFonts w:hint="eastAsia" w:ascii="宋体" w:hAnsi="宋体" w:eastAsia="宋体" w:cs="宋体"/>
                <w:color w:val="auto"/>
                <w:sz w:val="24"/>
                <w:szCs w:val="24"/>
                <w:highlight w:val="none"/>
              </w:rPr>
            </w:pPr>
          </w:p>
        </w:tc>
        <w:tc>
          <w:tcPr>
            <w:tcW w:w="1061" w:type="pct"/>
            <w:noWrap w:val="0"/>
            <w:vAlign w:val="center"/>
          </w:tcPr>
          <w:p w14:paraId="64B1B0EE">
            <w:pPr>
              <w:widowControl/>
              <w:shd w:val="clear" w:color="auto" w:fill="auto"/>
              <w:jc w:val="center"/>
              <w:textAlignment w:val="baseline"/>
              <w:rPr>
                <w:rFonts w:hint="eastAsia" w:ascii="宋体" w:hAnsi="宋体" w:eastAsia="宋体" w:cs="宋体"/>
                <w:color w:val="auto"/>
                <w:sz w:val="24"/>
                <w:szCs w:val="24"/>
                <w:highlight w:val="none"/>
                <w:lang w:val="en-US" w:eastAsia="zh-CN"/>
              </w:rPr>
            </w:pPr>
            <w:r>
              <w:rPr>
                <w:rStyle w:val="65"/>
                <w:rFonts w:hint="eastAsia" w:ascii="宋体" w:hAnsi="宋体" w:cs="宋体"/>
                <w:color w:val="auto"/>
                <w:sz w:val="24"/>
                <w:highlight w:val="none"/>
              </w:rPr>
              <w:t>完全响应磋商文件要求</w:t>
            </w:r>
          </w:p>
        </w:tc>
      </w:tr>
      <w:tr w14:paraId="1162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683BFD7A">
            <w:pPr>
              <w:shd w:val="clear" w:color="auto" w:fill="auto"/>
              <w:jc w:val="both"/>
              <w:rPr>
                <w:rFonts w:ascii="宋体" w:hAnsi="宋体" w:eastAsia="宋体" w:cs="宋体"/>
                <w:color w:val="auto"/>
                <w:sz w:val="24"/>
                <w:szCs w:val="24"/>
                <w:highlight w:val="none"/>
              </w:rPr>
            </w:pP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大写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小写：</w:t>
            </w:r>
            <w:r>
              <w:rPr>
                <w:rFonts w:hint="eastAsia" w:ascii="宋体" w:hAnsi="宋体" w:cs="宋体"/>
                <w:color w:val="auto"/>
                <w:kern w:val="0"/>
                <w:sz w:val="28"/>
                <w:szCs w:val="28"/>
                <w:highlight w:val="none"/>
                <w:lang w:val="en-US" w:eastAsia="zh-CN"/>
              </w:rPr>
              <w:t xml:space="preserve">           </w:t>
            </w:r>
          </w:p>
        </w:tc>
      </w:tr>
    </w:tbl>
    <w:p w14:paraId="1FF50265">
      <w:pPr>
        <w:pStyle w:val="2"/>
        <w:spacing w:line="420" w:lineRule="exact"/>
        <w:ind w:firstLine="480" w:firstLineChars="200"/>
        <w:rPr>
          <w:rFonts w:ascii="宋体"/>
          <w:color w:val="auto"/>
          <w:sz w:val="24"/>
          <w:highlight w:val="none"/>
        </w:rPr>
      </w:pPr>
    </w:p>
    <w:p w14:paraId="1E252E84">
      <w:pPr>
        <w:pStyle w:val="2"/>
        <w:spacing w:line="420" w:lineRule="exact"/>
        <w:ind w:firstLine="480" w:firstLineChars="200"/>
        <w:rPr>
          <w:rFonts w:ascii="宋体"/>
          <w:color w:val="auto"/>
          <w:sz w:val="24"/>
          <w:highlight w:val="none"/>
        </w:rPr>
      </w:pPr>
    </w:p>
    <w:p w14:paraId="4B528E1D">
      <w:pPr>
        <w:pStyle w:val="2"/>
        <w:spacing w:line="420" w:lineRule="exact"/>
        <w:ind w:firstLine="480" w:firstLineChars="200"/>
        <w:rPr>
          <w:rFonts w:ascii="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olor w:val="auto"/>
          <w:sz w:val="24"/>
          <w:highlight w:val="none"/>
        </w:rPr>
        <w:t>（全称并加盖公章）：</w:t>
      </w:r>
    </w:p>
    <w:p w14:paraId="22F90D57">
      <w:pPr>
        <w:pStyle w:val="2"/>
        <w:spacing w:line="420" w:lineRule="exact"/>
        <w:ind w:firstLine="480" w:firstLineChars="200"/>
        <w:rPr>
          <w:rFonts w:ascii="宋体"/>
          <w:color w:val="auto"/>
          <w:sz w:val="24"/>
          <w:highlight w:val="none"/>
        </w:rPr>
      </w:pPr>
      <w:r>
        <w:rPr>
          <w:rFonts w:hint="eastAsia" w:ascii="宋体" w:hAnsi="宋体"/>
          <w:color w:val="auto"/>
          <w:sz w:val="24"/>
          <w:highlight w:val="none"/>
        </w:rPr>
        <w:t>法定代表人或被授权人（签字）：</w:t>
      </w:r>
    </w:p>
    <w:p w14:paraId="4CF7A6B3">
      <w:pPr>
        <w:pStyle w:val="2"/>
        <w:spacing w:line="420" w:lineRule="exact"/>
        <w:ind w:firstLine="480" w:firstLineChars="200"/>
        <w:rPr>
          <w:rFonts w:ascii="宋体"/>
          <w:color w:val="auto"/>
          <w:sz w:val="24"/>
          <w:highlight w:val="none"/>
        </w:rPr>
      </w:pPr>
      <w:r>
        <w:rPr>
          <w:rFonts w:hint="eastAsia" w:ascii="宋体" w:hAnsi="宋体"/>
          <w:color w:val="auto"/>
          <w:sz w:val="24"/>
          <w:highlight w:val="none"/>
        </w:rPr>
        <w:t>日期：</w:t>
      </w:r>
    </w:p>
    <w:p w14:paraId="20DA9C96">
      <w:pPr>
        <w:pStyle w:val="2"/>
        <w:spacing w:line="420" w:lineRule="exact"/>
        <w:ind w:firstLine="480" w:firstLineChars="200"/>
        <w:rPr>
          <w:rFonts w:hint="eastAsia" w:ascii="宋体" w:hAnsi="宋体"/>
          <w:color w:val="auto"/>
          <w:sz w:val="24"/>
          <w:highlight w:val="none"/>
        </w:rPr>
      </w:pPr>
    </w:p>
    <w:p w14:paraId="579E9A85">
      <w:pPr>
        <w:pStyle w:val="2"/>
        <w:spacing w:line="420" w:lineRule="exact"/>
        <w:ind w:firstLine="480" w:firstLineChars="200"/>
        <w:rPr>
          <w:rFonts w:hint="eastAsia" w:ascii="宋体" w:hAnsi="宋体"/>
          <w:color w:val="auto"/>
          <w:sz w:val="24"/>
          <w:highlight w:val="none"/>
        </w:rPr>
      </w:pPr>
    </w:p>
    <w:p w14:paraId="0C439EA3">
      <w:pPr>
        <w:pStyle w:val="2"/>
        <w:spacing w:line="420" w:lineRule="exact"/>
        <w:ind w:firstLine="480" w:firstLineChars="200"/>
        <w:rPr>
          <w:rFonts w:ascii="宋体"/>
          <w:color w:val="auto"/>
          <w:sz w:val="24"/>
          <w:highlight w:val="none"/>
        </w:rPr>
      </w:pPr>
      <w:r>
        <w:rPr>
          <w:rFonts w:hint="eastAsia" w:ascii="宋体" w:hAnsi="宋体"/>
          <w:color w:val="auto"/>
          <w:sz w:val="24"/>
          <w:highlight w:val="none"/>
        </w:rPr>
        <w:t>（说明：投标单位可按以上格式制作“最后报价一览表”，签字并加盖单位公章后密封在价格标密封袋内，在开标现场填写，供最后报价时使用。）</w:t>
      </w:r>
    </w:p>
    <w:p w14:paraId="679D9EA2">
      <w:pPr>
        <w:pStyle w:val="2"/>
        <w:spacing w:line="420" w:lineRule="exact"/>
        <w:ind w:firstLine="480" w:firstLineChars="200"/>
        <w:rPr>
          <w:rFonts w:ascii="宋体"/>
          <w:color w:val="auto"/>
          <w:sz w:val="24"/>
          <w:highlight w:val="none"/>
        </w:rPr>
      </w:pPr>
    </w:p>
    <w:p w14:paraId="4238C5C2">
      <w:pPr>
        <w:pStyle w:val="2"/>
        <w:ind w:firstLine="480" w:firstLineChars="200"/>
        <w:rPr>
          <w:rFonts w:ascii="宋体"/>
          <w:color w:val="auto"/>
          <w:sz w:val="24"/>
          <w:highlight w:val="none"/>
        </w:rPr>
      </w:pPr>
    </w:p>
    <w:p w14:paraId="4BCC6E50">
      <w:pPr>
        <w:jc w:val="left"/>
        <w:rPr>
          <w:rFonts w:ascii="宋体" w:cs="宋体"/>
          <w:color w:val="auto"/>
          <w:sz w:val="24"/>
          <w:highlight w:val="none"/>
        </w:rPr>
      </w:pPr>
    </w:p>
    <w:p w14:paraId="0C8D919D">
      <w:pPr>
        <w:spacing w:line="500" w:lineRule="exact"/>
        <w:outlineLvl w:val="2"/>
        <w:rPr>
          <w:rFonts w:ascii="宋体" w:cs="宋体"/>
          <w:color w:val="auto"/>
          <w:sz w:val="24"/>
          <w:highlight w:val="none"/>
        </w:rPr>
      </w:pPr>
    </w:p>
    <w:p w14:paraId="47E7108F">
      <w:pPr>
        <w:spacing w:line="360" w:lineRule="exact"/>
        <w:rPr>
          <w:rFonts w:ascii="宋体"/>
          <w:b/>
          <w:color w:val="auto"/>
          <w:sz w:val="24"/>
          <w:highlight w:val="none"/>
        </w:rPr>
      </w:pPr>
    </w:p>
    <w:p w14:paraId="427959C1">
      <w:pPr>
        <w:spacing w:line="500" w:lineRule="exact"/>
        <w:jc w:val="both"/>
        <w:rPr>
          <w:rFonts w:ascii="宋体"/>
          <w:color w:val="auto"/>
          <w:sz w:val="24"/>
          <w:highlight w:val="none"/>
        </w:rPr>
      </w:pPr>
    </w:p>
    <w:sectPr>
      <w:headerReference r:id="rId3" w:type="default"/>
      <w:footerReference r:id="rId4" w:type="default"/>
      <w:footerReference r:id="rId5" w:type="even"/>
      <w:pgSz w:w="11906" w:h="16838"/>
      <w:pgMar w:top="1304" w:right="1531" w:bottom="153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4446">
    <w:pPr>
      <w:pStyle w:val="16"/>
      <w:framePr w:w="799" w:wrap="around" w:vAnchor="text" w:hAnchor="margin" w:xAlign="center" w:y="7"/>
      <w:jc w:val="center"/>
      <w:rPr>
        <w:rStyle w:val="28"/>
      </w:rPr>
    </w:pPr>
    <w:r>
      <w:rPr>
        <w:rStyle w:val="28"/>
      </w:rPr>
      <w:t xml:space="preserve">— </w:t>
    </w:r>
    <w:r>
      <w:rPr>
        <w:rStyle w:val="28"/>
        <w:sz w:val="24"/>
        <w:szCs w:val="24"/>
      </w:rPr>
      <w:fldChar w:fldCharType="begin"/>
    </w:r>
    <w:r>
      <w:rPr>
        <w:rStyle w:val="28"/>
        <w:sz w:val="24"/>
        <w:szCs w:val="24"/>
      </w:rPr>
      <w:instrText xml:space="preserve">PAGE  </w:instrText>
    </w:r>
    <w:r>
      <w:rPr>
        <w:rStyle w:val="28"/>
        <w:sz w:val="24"/>
        <w:szCs w:val="24"/>
      </w:rPr>
      <w:fldChar w:fldCharType="separate"/>
    </w:r>
    <w:r>
      <w:rPr>
        <w:rStyle w:val="28"/>
        <w:sz w:val="24"/>
        <w:szCs w:val="24"/>
      </w:rPr>
      <w:t>20</w:t>
    </w:r>
    <w:r>
      <w:rPr>
        <w:rStyle w:val="28"/>
        <w:sz w:val="24"/>
        <w:szCs w:val="24"/>
      </w:rPr>
      <w:fldChar w:fldCharType="end"/>
    </w:r>
    <w:r>
      <w:rPr>
        <w:rStyle w:val="28"/>
      </w:rPr>
      <w:t xml:space="preserve"> —</w:t>
    </w:r>
  </w:p>
  <w:p w14:paraId="56B598A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D417">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1E3BD41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0EC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6E49C"/>
    <w:multiLevelType w:val="singleLevel"/>
    <w:tmpl w:val="B376E49C"/>
    <w:lvl w:ilvl="0" w:tentative="0">
      <w:start w:val="5"/>
      <w:numFmt w:val="decimal"/>
      <w:suff w:val="nothing"/>
      <w:lvlText w:val="%1、"/>
      <w:lvlJc w:val="left"/>
      <w:rPr>
        <w:rFonts w:cs="Times New Roman"/>
      </w:rPr>
    </w:lvl>
  </w:abstractNum>
  <w:abstractNum w:abstractNumId="1">
    <w:nsid w:val="E896B781"/>
    <w:multiLevelType w:val="singleLevel"/>
    <w:tmpl w:val="E896B781"/>
    <w:lvl w:ilvl="0" w:tentative="0">
      <w:start w:val="2"/>
      <w:numFmt w:val="chineseCounting"/>
      <w:suff w:val="nothing"/>
      <w:lvlText w:val="（%1）"/>
      <w:lvlJc w:val="left"/>
      <w:rPr>
        <w:rFonts w:hint="eastAsia"/>
      </w:rPr>
    </w:lvl>
  </w:abstractNum>
  <w:abstractNum w:abstractNumId="2">
    <w:nsid w:val="0DC15AE4"/>
    <w:multiLevelType w:val="multilevel"/>
    <w:tmpl w:val="0DC15AE4"/>
    <w:lvl w:ilvl="0" w:tentative="0">
      <w:start w:val="1"/>
      <w:numFmt w:val="decimalEnclosedCircle"/>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1B5B622C"/>
    <w:multiLevelType w:val="singleLevel"/>
    <w:tmpl w:val="1B5B622C"/>
    <w:lvl w:ilvl="0" w:tentative="0">
      <w:start w:val="2"/>
      <w:numFmt w:val="chineseCounting"/>
      <w:suff w:val="space"/>
      <w:lvlText w:val="第%1部分"/>
      <w:lvlJc w:val="left"/>
      <w:rPr>
        <w:rFonts w:hint="eastAsia"/>
      </w:rPr>
    </w:lvl>
  </w:abstractNum>
  <w:abstractNum w:abstractNumId="4">
    <w:nsid w:val="66561777"/>
    <w:multiLevelType w:val="singleLevel"/>
    <w:tmpl w:val="66561777"/>
    <w:lvl w:ilvl="0" w:tentative="0">
      <w:start w:val="3"/>
      <w:numFmt w:val="chineseCounting"/>
      <w:suff w:val="nothing"/>
      <w:lvlText w:val="%1、"/>
      <w:lvlJc w:val="left"/>
      <w:rPr>
        <w:rFonts w:hint="eastAsia"/>
      </w:rPr>
    </w:lvl>
  </w:abstractNum>
  <w:abstractNum w:abstractNumId="5">
    <w:nsid w:val="6B22C0FC"/>
    <w:multiLevelType w:val="singleLevel"/>
    <w:tmpl w:val="6B22C0FC"/>
    <w:lvl w:ilvl="0" w:tentative="0">
      <w:start w:val="1"/>
      <w:numFmt w:val="decimal"/>
      <w:pStyle w:val="12"/>
      <w:lvlText w:val="%1."/>
      <w:lvlJc w:val="left"/>
      <w:pPr>
        <w:tabs>
          <w:tab w:val="left" w:pos="2040"/>
        </w:tabs>
        <w:ind w:left="2040" w:hanging="36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TVlY2Y1MTNiNzYyZjQxMDZmOGVlMjM2NTMzMTkifQ=="/>
  </w:docVars>
  <w:rsids>
    <w:rsidRoot w:val="00D9766A"/>
    <w:rsid w:val="00001340"/>
    <w:rsid w:val="00001B70"/>
    <w:rsid w:val="00004A6D"/>
    <w:rsid w:val="00004BA9"/>
    <w:rsid w:val="00005EF6"/>
    <w:rsid w:val="000115E2"/>
    <w:rsid w:val="0001292B"/>
    <w:rsid w:val="000147C2"/>
    <w:rsid w:val="00016BE5"/>
    <w:rsid w:val="00017B30"/>
    <w:rsid w:val="00022B98"/>
    <w:rsid w:val="00023AE8"/>
    <w:rsid w:val="00027911"/>
    <w:rsid w:val="00030F9F"/>
    <w:rsid w:val="00035028"/>
    <w:rsid w:val="00035F60"/>
    <w:rsid w:val="00037A4F"/>
    <w:rsid w:val="00040047"/>
    <w:rsid w:val="00040EA0"/>
    <w:rsid w:val="000413BA"/>
    <w:rsid w:val="000420DC"/>
    <w:rsid w:val="0004233F"/>
    <w:rsid w:val="000450A4"/>
    <w:rsid w:val="00053D3C"/>
    <w:rsid w:val="00055E38"/>
    <w:rsid w:val="00057A41"/>
    <w:rsid w:val="000625F5"/>
    <w:rsid w:val="00067828"/>
    <w:rsid w:val="000704F1"/>
    <w:rsid w:val="00070E5F"/>
    <w:rsid w:val="00071C0D"/>
    <w:rsid w:val="00072AD1"/>
    <w:rsid w:val="00073057"/>
    <w:rsid w:val="00081004"/>
    <w:rsid w:val="000812F2"/>
    <w:rsid w:val="000846D2"/>
    <w:rsid w:val="00087999"/>
    <w:rsid w:val="00087B0C"/>
    <w:rsid w:val="00090DD3"/>
    <w:rsid w:val="0009161A"/>
    <w:rsid w:val="00092527"/>
    <w:rsid w:val="000929A5"/>
    <w:rsid w:val="000962CD"/>
    <w:rsid w:val="00096394"/>
    <w:rsid w:val="00096728"/>
    <w:rsid w:val="000A1C42"/>
    <w:rsid w:val="000A4506"/>
    <w:rsid w:val="000A5AFB"/>
    <w:rsid w:val="000A6FE5"/>
    <w:rsid w:val="000A704A"/>
    <w:rsid w:val="000B232B"/>
    <w:rsid w:val="000B34F4"/>
    <w:rsid w:val="000B42FF"/>
    <w:rsid w:val="000B4367"/>
    <w:rsid w:val="000B5328"/>
    <w:rsid w:val="000C0EC2"/>
    <w:rsid w:val="000C0F1E"/>
    <w:rsid w:val="000C3042"/>
    <w:rsid w:val="000C342D"/>
    <w:rsid w:val="000C3992"/>
    <w:rsid w:val="000C3DB2"/>
    <w:rsid w:val="000C4B21"/>
    <w:rsid w:val="000C54FD"/>
    <w:rsid w:val="000D0749"/>
    <w:rsid w:val="000D081E"/>
    <w:rsid w:val="000D0C6F"/>
    <w:rsid w:val="000D3ADD"/>
    <w:rsid w:val="000E046F"/>
    <w:rsid w:val="000E0A36"/>
    <w:rsid w:val="000E0A8E"/>
    <w:rsid w:val="000E13F7"/>
    <w:rsid w:val="000E2563"/>
    <w:rsid w:val="000E4A26"/>
    <w:rsid w:val="000F309E"/>
    <w:rsid w:val="000F533D"/>
    <w:rsid w:val="000F7016"/>
    <w:rsid w:val="000F7247"/>
    <w:rsid w:val="000F7756"/>
    <w:rsid w:val="0010301A"/>
    <w:rsid w:val="001049AC"/>
    <w:rsid w:val="0010635D"/>
    <w:rsid w:val="00106808"/>
    <w:rsid w:val="00110779"/>
    <w:rsid w:val="00114F11"/>
    <w:rsid w:val="00116ADB"/>
    <w:rsid w:val="001170A2"/>
    <w:rsid w:val="0012020A"/>
    <w:rsid w:val="00122502"/>
    <w:rsid w:val="001246D0"/>
    <w:rsid w:val="0012503B"/>
    <w:rsid w:val="001256E9"/>
    <w:rsid w:val="00125EEC"/>
    <w:rsid w:val="00133678"/>
    <w:rsid w:val="00134BA9"/>
    <w:rsid w:val="00135818"/>
    <w:rsid w:val="00135DB2"/>
    <w:rsid w:val="00136061"/>
    <w:rsid w:val="001361F0"/>
    <w:rsid w:val="00137130"/>
    <w:rsid w:val="00137B75"/>
    <w:rsid w:val="001406BF"/>
    <w:rsid w:val="00140C19"/>
    <w:rsid w:val="00140FA6"/>
    <w:rsid w:val="00141364"/>
    <w:rsid w:val="00142580"/>
    <w:rsid w:val="0015359A"/>
    <w:rsid w:val="00154D04"/>
    <w:rsid w:val="00160127"/>
    <w:rsid w:val="00160EA8"/>
    <w:rsid w:val="001642B7"/>
    <w:rsid w:val="00173A52"/>
    <w:rsid w:val="0017549F"/>
    <w:rsid w:val="00175857"/>
    <w:rsid w:val="001770B0"/>
    <w:rsid w:val="001771EF"/>
    <w:rsid w:val="00180DA7"/>
    <w:rsid w:val="00181BFB"/>
    <w:rsid w:val="00182CD3"/>
    <w:rsid w:val="00183462"/>
    <w:rsid w:val="00185287"/>
    <w:rsid w:val="001865ED"/>
    <w:rsid w:val="00187ABE"/>
    <w:rsid w:val="00194207"/>
    <w:rsid w:val="0019479B"/>
    <w:rsid w:val="00195818"/>
    <w:rsid w:val="00195E7F"/>
    <w:rsid w:val="001A07C9"/>
    <w:rsid w:val="001A1470"/>
    <w:rsid w:val="001A24FB"/>
    <w:rsid w:val="001A2834"/>
    <w:rsid w:val="001A4123"/>
    <w:rsid w:val="001A5077"/>
    <w:rsid w:val="001B188A"/>
    <w:rsid w:val="001B19FE"/>
    <w:rsid w:val="001B310C"/>
    <w:rsid w:val="001B3592"/>
    <w:rsid w:val="001B35DF"/>
    <w:rsid w:val="001C05D9"/>
    <w:rsid w:val="001C2ED8"/>
    <w:rsid w:val="001C31B3"/>
    <w:rsid w:val="001C3D24"/>
    <w:rsid w:val="001C4FA0"/>
    <w:rsid w:val="001C6174"/>
    <w:rsid w:val="001C7037"/>
    <w:rsid w:val="001C7892"/>
    <w:rsid w:val="001D180A"/>
    <w:rsid w:val="001D2563"/>
    <w:rsid w:val="001D6328"/>
    <w:rsid w:val="001E021E"/>
    <w:rsid w:val="001E2370"/>
    <w:rsid w:val="001E2F2C"/>
    <w:rsid w:val="001E528C"/>
    <w:rsid w:val="001E6DDC"/>
    <w:rsid w:val="001E76C0"/>
    <w:rsid w:val="001E7B6D"/>
    <w:rsid w:val="001F0221"/>
    <w:rsid w:val="001F06B9"/>
    <w:rsid w:val="001F1E9E"/>
    <w:rsid w:val="001F42EE"/>
    <w:rsid w:val="001F6E4A"/>
    <w:rsid w:val="001F77C8"/>
    <w:rsid w:val="00202448"/>
    <w:rsid w:val="00203F61"/>
    <w:rsid w:val="00204655"/>
    <w:rsid w:val="00205666"/>
    <w:rsid w:val="00206665"/>
    <w:rsid w:val="0020690E"/>
    <w:rsid w:val="00206BA7"/>
    <w:rsid w:val="0021088C"/>
    <w:rsid w:val="00210F13"/>
    <w:rsid w:val="00214307"/>
    <w:rsid w:val="00214BC2"/>
    <w:rsid w:val="0021517C"/>
    <w:rsid w:val="00216135"/>
    <w:rsid w:val="0021677F"/>
    <w:rsid w:val="00217750"/>
    <w:rsid w:val="00221700"/>
    <w:rsid w:val="00224497"/>
    <w:rsid w:val="002274A4"/>
    <w:rsid w:val="00230040"/>
    <w:rsid w:val="00230CDD"/>
    <w:rsid w:val="002321BA"/>
    <w:rsid w:val="00234110"/>
    <w:rsid w:val="00234632"/>
    <w:rsid w:val="00235E28"/>
    <w:rsid w:val="00236858"/>
    <w:rsid w:val="00237C7B"/>
    <w:rsid w:val="0024008C"/>
    <w:rsid w:val="00241546"/>
    <w:rsid w:val="00241810"/>
    <w:rsid w:val="0024197C"/>
    <w:rsid w:val="00242015"/>
    <w:rsid w:val="00242197"/>
    <w:rsid w:val="0024258B"/>
    <w:rsid w:val="00243400"/>
    <w:rsid w:val="00244CFB"/>
    <w:rsid w:val="002471EA"/>
    <w:rsid w:val="00252D31"/>
    <w:rsid w:val="00253356"/>
    <w:rsid w:val="00254D3F"/>
    <w:rsid w:val="002565ED"/>
    <w:rsid w:val="00256B74"/>
    <w:rsid w:val="0025744E"/>
    <w:rsid w:val="00260384"/>
    <w:rsid w:val="0026048C"/>
    <w:rsid w:val="0026090A"/>
    <w:rsid w:val="00261E8A"/>
    <w:rsid w:val="00262669"/>
    <w:rsid w:val="002628A5"/>
    <w:rsid w:val="00266C53"/>
    <w:rsid w:val="0027026F"/>
    <w:rsid w:val="00270781"/>
    <w:rsid w:val="00272A4A"/>
    <w:rsid w:val="00273B40"/>
    <w:rsid w:val="00274017"/>
    <w:rsid w:val="00274A51"/>
    <w:rsid w:val="00276CE1"/>
    <w:rsid w:val="00276FE9"/>
    <w:rsid w:val="002827A8"/>
    <w:rsid w:val="00283E12"/>
    <w:rsid w:val="00284B61"/>
    <w:rsid w:val="00284BE6"/>
    <w:rsid w:val="00284FE9"/>
    <w:rsid w:val="00285694"/>
    <w:rsid w:val="00294541"/>
    <w:rsid w:val="00294B69"/>
    <w:rsid w:val="00294D70"/>
    <w:rsid w:val="00295AA1"/>
    <w:rsid w:val="0029651E"/>
    <w:rsid w:val="002A07E7"/>
    <w:rsid w:val="002A0D3B"/>
    <w:rsid w:val="002A20A0"/>
    <w:rsid w:val="002A23AD"/>
    <w:rsid w:val="002A4187"/>
    <w:rsid w:val="002B0937"/>
    <w:rsid w:val="002B0CE3"/>
    <w:rsid w:val="002B1A0A"/>
    <w:rsid w:val="002B25D0"/>
    <w:rsid w:val="002B27B4"/>
    <w:rsid w:val="002B2DE8"/>
    <w:rsid w:val="002B35B7"/>
    <w:rsid w:val="002B39AA"/>
    <w:rsid w:val="002B441A"/>
    <w:rsid w:val="002B5ACA"/>
    <w:rsid w:val="002B6757"/>
    <w:rsid w:val="002C04D6"/>
    <w:rsid w:val="002C0B53"/>
    <w:rsid w:val="002C224E"/>
    <w:rsid w:val="002C3A6B"/>
    <w:rsid w:val="002C799B"/>
    <w:rsid w:val="002D006D"/>
    <w:rsid w:val="002D04F8"/>
    <w:rsid w:val="002D0BA3"/>
    <w:rsid w:val="002D11F3"/>
    <w:rsid w:val="002D2E01"/>
    <w:rsid w:val="002D6585"/>
    <w:rsid w:val="002E13D2"/>
    <w:rsid w:val="002E4D52"/>
    <w:rsid w:val="002E50F2"/>
    <w:rsid w:val="002E70B6"/>
    <w:rsid w:val="002E7403"/>
    <w:rsid w:val="002F255C"/>
    <w:rsid w:val="002F607B"/>
    <w:rsid w:val="002F6DE0"/>
    <w:rsid w:val="0030089D"/>
    <w:rsid w:val="00306CE8"/>
    <w:rsid w:val="00313BEC"/>
    <w:rsid w:val="0031429E"/>
    <w:rsid w:val="00314B6A"/>
    <w:rsid w:val="0031516A"/>
    <w:rsid w:val="00316E16"/>
    <w:rsid w:val="00316F9D"/>
    <w:rsid w:val="00321018"/>
    <w:rsid w:val="00321D20"/>
    <w:rsid w:val="003226CE"/>
    <w:rsid w:val="0032706C"/>
    <w:rsid w:val="003273CA"/>
    <w:rsid w:val="00327BA5"/>
    <w:rsid w:val="003300C1"/>
    <w:rsid w:val="003309BA"/>
    <w:rsid w:val="00332173"/>
    <w:rsid w:val="0033293F"/>
    <w:rsid w:val="003342A0"/>
    <w:rsid w:val="00335793"/>
    <w:rsid w:val="00335A7B"/>
    <w:rsid w:val="00335BC8"/>
    <w:rsid w:val="0033726A"/>
    <w:rsid w:val="0034387A"/>
    <w:rsid w:val="00344685"/>
    <w:rsid w:val="00344978"/>
    <w:rsid w:val="00345840"/>
    <w:rsid w:val="00345B1D"/>
    <w:rsid w:val="003476CA"/>
    <w:rsid w:val="003503FE"/>
    <w:rsid w:val="00350472"/>
    <w:rsid w:val="003523AD"/>
    <w:rsid w:val="003523C8"/>
    <w:rsid w:val="0035257B"/>
    <w:rsid w:val="003529EB"/>
    <w:rsid w:val="00354B23"/>
    <w:rsid w:val="00355924"/>
    <w:rsid w:val="00361A05"/>
    <w:rsid w:val="00361D50"/>
    <w:rsid w:val="00364C29"/>
    <w:rsid w:val="00366DD1"/>
    <w:rsid w:val="00372951"/>
    <w:rsid w:val="00373989"/>
    <w:rsid w:val="003764F9"/>
    <w:rsid w:val="00380276"/>
    <w:rsid w:val="0038116D"/>
    <w:rsid w:val="0038214A"/>
    <w:rsid w:val="0038249E"/>
    <w:rsid w:val="00382E41"/>
    <w:rsid w:val="003835D9"/>
    <w:rsid w:val="00386291"/>
    <w:rsid w:val="00392108"/>
    <w:rsid w:val="00393935"/>
    <w:rsid w:val="003942B1"/>
    <w:rsid w:val="00394D98"/>
    <w:rsid w:val="0039579C"/>
    <w:rsid w:val="00397891"/>
    <w:rsid w:val="00397C56"/>
    <w:rsid w:val="00397EA7"/>
    <w:rsid w:val="003A3E69"/>
    <w:rsid w:val="003A640B"/>
    <w:rsid w:val="003A7D28"/>
    <w:rsid w:val="003B0FC7"/>
    <w:rsid w:val="003C05F8"/>
    <w:rsid w:val="003C2BB4"/>
    <w:rsid w:val="003C5F58"/>
    <w:rsid w:val="003C6B1A"/>
    <w:rsid w:val="003C7512"/>
    <w:rsid w:val="003D0749"/>
    <w:rsid w:val="003D0E80"/>
    <w:rsid w:val="003D3BF6"/>
    <w:rsid w:val="003D4C27"/>
    <w:rsid w:val="003D6A36"/>
    <w:rsid w:val="003D7013"/>
    <w:rsid w:val="003E1ED7"/>
    <w:rsid w:val="003E44C7"/>
    <w:rsid w:val="003E5A21"/>
    <w:rsid w:val="003E6D73"/>
    <w:rsid w:val="003E72D4"/>
    <w:rsid w:val="003E7688"/>
    <w:rsid w:val="003E7B21"/>
    <w:rsid w:val="003F0170"/>
    <w:rsid w:val="003F1433"/>
    <w:rsid w:val="003F16AA"/>
    <w:rsid w:val="003F192F"/>
    <w:rsid w:val="003F1DD2"/>
    <w:rsid w:val="003F40EA"/>
    <w:rsid w:val="003F4D6B"/>
    <w:rsid w:val="003F561A"/>
    <w:rsid w:val="003F64F7"/>
    <w:rsid w:val="003F77F3"/>
    <w:rsid w:val="003F7ECC"/>
    <w:rsid w:val="00401791"/>
    <w:rsid w:val="00402C3C"/>
    <w:rsid w:val="00404E66"/>
    <w:rsid w:val="004132AB"/>
    <w:rsid w:val="00413901"/>
    <w:rsid w:val="00414508"/>
    <w:rsid w:val="00416817"/>
    <w:rsid w:val="00420B08"/>
    <w:rsid w:val="00421A32"/>
    <w:rsid w:val="00421F22"/>
    <w:rsid w:val="004220F2"/>
    <w:rsid w:val="00423220"/>
    <w:rsid w:val="004268DD"/>
    <w:rsid w:val="00426FD2"/>
    <w:rsid w:val="0042742F"/>
    <w:rsid w:val="0043186F"/>
    <w:rsid w:val="00433136"/>
    <w:rsid w:val="004333DD"/>
    <w:rsid w:val="00434713"/>
    <w:rsid w:val="00441B2F"/>
    <w:rsid w:val="0044337D"/>
    <w:rsid w:val="00444155"/>
    <w:rsid w:val="0044452B"/>
    <w:rsid w:val="00445174"/>
    <w:rsid w:val="00445307"/>
    <w:rsid w:val="004469A4"/>
    <w:rsid w:val="00446D15"/>
    <w:rsid w:val="00446F2A"/>
    <w:rsid w:val="004475D6"/>
    <w:rsid w:val="0045063A"/>
    <w:rsid w:val="00450AE8"/>
    <w:rsid w:val="004515A2"/>
    <w:rsid w:val="00451E6D"/>
    <w:rsid w:val="00452B1D"/>
    <w:rsid w:val="00456BE1"/>
    <w:rsid w:val="00457308"/>
    <w:rsid w:val="00457739"/>
    <w:rsid w:val="00460D9C"/>
    <w:rsid w:val="00462AB8"/>
    <w:rsid w:val="00463A37"/>
    <w:rsid w:val="00464114"/>
    <w:rsid w:val="0046694B"/>
    <w:rsid w:val="00467EF3"/>
    <w:rsid w:val="0047079C"/>
    <w:rsid w:val="0047192E"/>
    <w:rsid w:val="00472F77"/>
    <w:rsid w:val="00475655"/>
    <w:rsid w:val="004761D9"/>
    <w:rsid w:val="00480365"/>
    <w:rsid w:val="004813C0"/>
    <w:rsid w:val="004815AC"/>
    <w:rsid w:val="004818F4"/>
    <w:rsid w:val="0048239F"/>
    <w:rsid w:val="00483EFD"/>
    <w:rsid w:val="004A1DFE"/>
    <w:rsid w:val="004A5761"/>
    <w:rsid w:val="004B4D05"/>
    <w:rsid w:val="004B4D74"/>
    <w:rsid w:val="004C02D6"/>
    <w:rsid w:val="004C24EB"/>
    <w:rsid w:val="004C3598"/>
    <w:rsid w:val="004C44EA"/>
    <w:rsid w:val="004D0744"/>
    <w:rsid w:val="004D172D"/>
    <w:rsid w:val="004D2D76"/>
    <w:rsid w:val="004D2F9A"/>
    <w:rsid w:val="004D6A77"/>
    <w:rsid w:val="004D6D79"/>
    <w:rsid w:val="004E1651"/>
    <w:rsid w:val="004E6F2F"/>
    <w:rsid w:val="004E7D38"/>
    <w:rsid w:val="004F3B99"/>
    <w:rsid w:val="004F6752"/>
    <w:rsid w:val="004F67B8"/>
    <w:rsid w:val="004F6A93"/>
    <w:rsid w:val="004F712A"/>
    <w:rsid w:val="004F71E8"/>
    <w:rsid w:val="004F74D2"/>
    <w:rsid w:val="00500203"/>
    <w:rsid w:val="00502AA0"/>
    <w:rsid w:val="0050418F"/>
    <w:rsid w:val="005042D4"/>
    <w:rsid w:val="005063E6"/>
    <w:rsid w:val="0051006C"/>
    <w:rsid w:val="00512408"/>
    <w:rsid w:val="00513079"/>
    <w:rsid w:val="00513C1F"/>
    <w:rsid w:val="00514C8A"/>
    <w:rsid w:val="005155AB"/>
    <w:rsid w:val="00515CDE"/>
    <w:rsid w:val="00516153"/>
    <w:rsid w:val="005205DC"/>
    <w:rsid w:val="005233D2"/>
    <w:rsid w:val="00527F40"/>
    <w:rsid w:val="0053055B"/>
    <w:rsid w:val="0053096A"/>
    <w:rsid w:val="00533B8A"/>
    <w:rsid w:val="005341BF"/>
    <w:rsid w:val="0053707C"/>
    <w:rsid w:val="0054074B"/>
    <w:rsid w:val="005433B6"/>
    <w:rsid w:val="00543A56"/>
    <w:rsid w:val="00543F07"/>
    <w:rsid w:val="00544F58"/>
    <w:rsid w:val="00547321"/>
    <w:rsid w:val="00551A8F"/>
    <w:rsid w:val="00551CF5"/>
    <w:rsid w:val="0055253D"/>
    <w:rsid w:val="005537A5"/>
    <w:rsid w:val="005577D8"/>
    <w:rsid w:val="005608B7"/>
    <w:rsid w:val="00562BFD"/>
    <w:rsid w:val="005651F0"/>
    <w:rsid w:val="005665DF"/>
    <w:rsid w:val="00567763"/>
    <w:rsid w:val="0057032B"/>
    <w:rsid w:val="0057204B"/>
    <w:rsid w:val="00573E05"/>
    <w:rsid w:val="005769DC"/>
    <w:rsid w:val="00580DCE"/>
    <w:rsid w:val="00580FAB"/>
    <w:rsid w:val="0058159F"/>
    <w:rsid w:val="005828F3"/>
    <w:rsid w:val="00584BF0"/>
    <w:rsid w:val="0058510C"/>
    <w:rsid w:val="00587B89"/>
    <w:rsid w:val="00587EEB"/>
    <w:rsid w:val="00591A8B"/>
    <w:rsid w:val="005978EE"/>
    <w:rsid w:val="005A0A8F"/>
    <w:rsid w:val="005A1111"/>
    <w:rsid w:val="005A67B2"/>
    <w:rsid w:val="005A6DE2"/>
    <w:rsid w:val="005A6FB7"/>
    <w:rsid w:val="005A7695"/>
    <w:rsid w:val="005B0D98"/>
    <w:rsid w:val="005B119D"/>
    <w:rsid w:val="005B437D"/>
    <w:rsid w:val="005B4A39"/>
    <w:rsid w:val="005B63FF"/>
    <w:rsid w:val="005B6B36"/>
    <w:rsid w:val="005B7601"/>
    <w:rsid w:val="005C0090"/>
    <w:rsid w:val="005C242C"/>
    <w:rsid w:val="005C5116"/>
    <w:rsid w:val="005C5A87"/>
    <w:rsid w:val="005D0B36"/>
    <w:rsid w:val="005D0FD1"/>
    <w:rsid w:val="005D17DA"/>
    <w:rsid w:val="005D274D"/>
    <w:rsid w:val="005D2899"/>
    <w:rsid w:val="005D30D1"/>
    <w:rsid w:val="005D61B5"/>
    <w:rsid w:val="005E1BBC"/>
    <w:rsid w:val="005E29B5"/>
    <w:rsid w:val="005E4D4D"/>
    <w:rsid w:val="005E6EF2"/>
    <w:rsid w:val="005F0EE6"/>
    <w:rsid w:val="005F2D7E"/>
    <w:rsid w:val="005F7085"/>
    <w:rsid w:val="00604015"/>
    <w:rsid w:val="00604D27"/>
    <w:rsid w:val="00606451"/>
    <w:rsid w:val="00607224"/>
    <w:rsid w:val="00607D28"/>
    <w:rsid w:val="00610157"/>
    <w:rsid w:val="00615700"/>
    <w:rsid w:val="006168A1"/>
    <w:rsid w:val="00617216"/>
    <w:rsid w:val="00617232"/>
    <w:rsid w:val="00617D38"/>
    <w:rsid w:val="00620985"/>
    <w:rsid w:val="006220D2"/>
    <w:rsid w:val="0062213C"/>
    <w:rsid w:val="00624D22"/>
    <w:rsid w:val="00624F1A"/>
    <w:rsid w:val="0062673F"/>
    <w:rsid w:val="00630646"/>
    <w:rsid w:val="00630851"/>
    <w:rsid w:val="00630910"/>
    <w:rsid w:val="00630ADC"/>
    <w:rsid w:val="00631190"/>
    <w:rsid w:val="006314BE"/>
    <w:rsid w:val="0063150B"/>
    <w:rsid w:val="006320C4"/>
    <w:rsid w:val="006323DA"/>
    <w:rsid w:val="0063534C"/>
    <w:rsid w:val="00635647"/>
    <w:rsid w:val="00642CE7"/>
    <w:rsid w:val="0064474C"/>
    <w:rsid w:val="006464C9"/>
    <w:rsid w:val="00647CCB"/>
    <w:rsid w:val="00650DAE"/>
    <w:rsid w:val="0065142C"/>
    <w:rsid w:val="00655977"/>
    <w:rsid w:val="00655F3E"/>
    <w:rsid w:val="00657252"/>
    <w:rsid w:val="006612BB"/>
    <w:rsid w:val="00661B96"/>
    <w:rsid w:val="006620F1"/>
    <w:rsid w:val="00663AE2"/>
    <w:rsid w:val="006670C3"/>
    <w:rsid w:val="0067118E"/>
    <w:rsid w:val="006719C4"/>
    <w:rsid w:val="00672E69"/>
    <w:rsid w:val="00676262"/>
    <w:rsid w:val="00677C22"/>
    <w:rsid w:val="00682305"/>
    <w:rsid w:val="00683B02"/>
    <w:rsid w:val="006842A1"/>
    <w:rsid w:val="00684972"/>
    <w:rsid w:val="006862C6"/>
    <w:rsid w:val="00692FA0"/>
    <w:rsid w:val="006A2008"/>
    <w:rsid w:val="006A3073"/>
    <w:rsid w:val="006B0066"/>
    <w:rsid w:val="006B0CE6"/>
    <w:rsid w:val="006B115E"/>
    <w:rsid w:val="006B1441"/>
    <w:rsid w:val="006B1D68"/>
    <w:rsid w:val="006B3078"/>
    <w:rsid w:val="006B4CB2"/>
    <w:rsid w:val="006B4E61"/>
    <w:rsid w:val="006B5BAC"/>
    <w:rsid w:val="006B6349"/>
    <w:rsid w:val="006B6F95"/>
    <w:rsid w:val="006B74ED"/>
    <w:rsid w:val="006C06BA"/>
    <w:rsid w:val="006C1F8E"/>
    <w:rsid w:val="006C30F5"/>
    <w:rsid w:val="006C6A0E"/>
    <w:rsid w:val="006D0A2D"/>
    <w:rsid w:val="006D1607"/>
    <w:rsid w:val="006D45F9"/>
    <w:rsid w:val="006D5602"/>
    <w:rsid w:val="006E0869"/>
    <w:rsid w:val="006E0BE5"/>
    <w:rsid w:val="006E132F"/>
    <w:rsid w:val="006E4F73"/>
    <w:rsid w:val="006E55DB"/>
    <w:rsid w:val="006E76BC"/>
    <w:rsid w:val="006F172A"/>
    <w:rsid w:val="006F25A9"/>
    <w:rsid w:val="006F262B"/>
    <w:rsid w:val="006F386B"/>
    <w:rsid w:val="006F4E31"/>
    <w:rsid w:val="006F69A9"/>
    <w:rsid w:val="00701656"/>
    <w:rsid w:val="00702E7C"/>
    <w:rsid w:val="00703B4C"/>
    <w:rsid w:val="00706133"/>
    <w:rsid w:val="00710311"/>
    <w:rsid w:val="007104A7"/>
    <w:rsid w:val="00716C73"/>
    <w:rsid w:val="00716EE5"/>
    <w:rsid w:val="00717AE3"/>
    <w:rsid w:val="007200A5"/>
    <w:rsid w:val="00720AE5"/>
    <w:rsid w:val="00721E67"/>
    <w:rsid w:val="00722154"/>
    <w:rsid w:val="00722AF8"/>
    <w:rsid w:val="00722FFB"/>
    <w:rsid w:val="00723F9B"/>
    <w:rsid w:val="00724862"/>
    <w:rsid w:val="00726866"/>
    <w:rsid w:val="007307BD"/>
    <w:rsid w:val="0073114C"/>
    <w:rsid w:val="0073676E"/>
    <w:rsid w:val="0073765D"/>
    <w:rsid w:val="007404A4"/>
    <w:rsid w:val="00741C3E"/>
    <w:rsid w:val="0074364E"/>
    <w:rsid w:val="007443A5"/>
    <w:rsid w:val="00746B03"/>
    <w:rsid w:val="00747069"/>
    <w:rsid w:val="00747EB8"/>
    <w:rsid w:val="00753E2B"/>
    <w:rsid w:val="0075455B"/>
    <w:rsid w:val="007550AF"/>
    <w:rsid w:val="00757177"/>
    <w:rsid w:val="00763959"/>
    <w:rsid w:val="007646DE"/>
    <w:rsid w:val="00765EC3"/>
    <w:rsid w:val="0076731A"/>
    <w:rsid w:val="00767DCF"/>
    <w:rsid w:val="007701E0"/>
    <w:rsid w:val="007702AE"/>
    <w:rsid w:val="00771030"/>
    <w:rsid w:val="00776F73"/>
    <w:rsid w:val="007771AD"/>
    <w:rsid w:val="00780722"/>
    <w:rsid w:val="0078267E"/>
    <w:rsid w:val="00785A4A"/>
    <w:rsid w:val="00786620"/>
    <w:rsid w:val="00787D04"/>
    <w:rsid w:val="00790A40"/>
    <w:rsid w:val="00790BD9"/>
    <w:rsid w:val="00794B49"/>
    <w:rsid w:val="007956BA"/>
    <w:rsid w:val="007956FD"/>
    <w:rsid w:val="00795F81"/>
    <w:rsid w:val="007975AD"/>
    <w:rsid w:val="0079787A"/>
    <w:rsid w:val="00797B68"/>
    <w:rsid w:val="00797BCF"/>
    <w:rsid w:val="007A0079"/>
    <w:rsid w:val="007A0C49"/>
    <w:rsid w:val="007A2001"/>
    <w:rsid w:val="007A27CC"/>
    <w:rsid w:val="007A31B9"/>
    <w:rsid w:val="007A34AD"/>
    <w:rsid w:val="007A4911"/>
    <w:rsid w:val="007A57CA"/>
    <w:rsid w:val="007A610E"/>
    <w:rsid w:val="007A660C"/>
    <w:rsid w:val="007A6B92"/>
    <w:rsid w:val="007A7A1C"/>
    <w:rsid w:val="007B068C"/>
    <w:rsid w:val="007B113A"/>
    <w:rsid w:val="007B11B5"/>
    <w:rsid w:val="007B2682"/>
    <w:rsid w:val="007B2DC1"/>
    <w:rsid w:val="007B3911"/>
    <w:rsid w:val="007B6D59"/>
    <w:rsid w:val="007C175B"/>
    <w:rsid w:val="007D00F1"/>
    <w:rsid w:val="007D1DEF"/>
    <w:rsid w:val="007D2FFF"/>
    <w:rsid w:val="007D7092"/>
    <w:rsid w:val="007D71B4"/>
    <w:rsid w:val="007E005D"/>
    <w:rsid w:val="007E0EA4"/>
    <w:rsid w:val="007E154D"/>
    <w:rsid w:val="007E2725"/>
    <w:rsid w:val="007E3007"/>
    <w:rsid w:val="007E3357"/>
    <w:rsid w:val="007E56E4"/>
    <w:rsid w:val="007F0961"/>
    <w:rsid w:val="007F38AD"/>
    <w:rsid w:val="007F6E4A"/>
    <w:rsid w:val="007F6FB7"/>
    <w:rsid w:val="00800ABC"/>
    <w:rsid w:val="00802BE8"/>
    <w:rsid w:val="00804E8B"/>
    <w:rsid w:val="00806C8D"/>
    <w:rsid w:val="0080703D"/>
    <w:rsid w:val="0080751D"/>
    <w:rsid w:val="008112D2"/>
    <w:rsid w:val="00812866"/>
    <w:rsid w:val="00813855"/>
    <w:rsid w:val="00816172"/>
    <w:rsid w:val="00816446"/>
    <w:rsid w:val="008167CB"/>
    <w:rsid w:val="00820E5E"/>
    <w:rsid w:val="00821A04"/>
    <w:rsid w:val="00821B33"/>
    <w:rsid w:val="00821DBD"/>
    <w:rsid w:val="008253B1"/>
    <w:rsid w:val="0082783B"/>
    <w:rsid w:val="00830B65"/>
    <w:rsid w:val="0083195F"/>
    <w:rsid w:val="008361CD"/>
    <w:rsid w:val="00837548"/>
    <w:rsid w:val="00841D3E"/>
    <w:rsid w:val="008439F3"/>
    <w:rsid w:val="00843D4D"/>
    <w:rsid w:val="00845047"/>
    <w:rsid w:val="0085582C"/>
    <w:rsid w:val="008565F6"/>
    <w:rsid w:val="00860915"/>
    <w:rsid w:val="00860A64"/>
    <w:rsid w:val="00860EF9"/>
    <w:rsid w:val="0086162E"/>
    <w:rsid w:val="00862EB6"/>
    <w:rsid w:val="00863040"/>
    <w:rsid w:val="00864422"/>
    <w:rsid w:val="0086463D"/>
    <w:rsid w:val="00866291"/>
    <w:rsid w:val="0086653E"/>
    <w:rsid w:val="008705DE"/>
    <w:rsid w:val="008719A8"/>
    <w:rsid w:val="00871E36"/>
    <w:rsid w:val="00872D95"/>
    <w:rsid w:val="0087310B"/>
    <w:rsid w:val="0087577B"/>
    <w:rsid w:val="008765C6"/>
    <w:rsid w:val="008802EA"/>
    <w:rsid w:val="00882D12"/>
    <w:rsid w:val="00883891"/>
    <w:rsid w:val="008843BE"/>
    <w:rsid w:val="0088698B"/>
    <w:rsid w:val="00886B03"/>
    <w:rsid w:val="008902DA"/>
    <w:rsid w:val="008904F7"/>
    <w:rsid w:val="0089052B"/>
    <w:rsid w:val="008909FB"/>
    <w:rsid w:val="00890DD7"/>
    <w:rsid w:val="00896B25"/>
    <w:rsid w:val="008A3584"/>
    <w:rsid w:val="008A3746"/>
    <w:rsid w:val="008B2221"/>
    <w:rsid w:val="008B309A"/>
    <w:rsid w:val="008B322F"/>
    <w:rsid w:val="008B4471"/>
    <w:rsid w:val="008B4E64"/>
    <w:rsid w:val="008B5720"/>
    <w:rsid w:val="008B6B29"/>
    <w:rsid w:val="008B7FEF"/>
    <w:rsid w:val="008C47CF"/>
    <w:rsid w:val="008C4C2B"/>
    <w:rsid w:val="008C4C70"/>
    <w:rsid w:val="008D296E"/>
    <w:rsid w:val="008D4F57"/>
    <w:rsid w:val="008D5270"/>
    <w:rsid w:val="008D54AA"/>
    <w:rsid w:val="008D5716"/>
    <w:rsid w:val="008D7BAC"/>
    <w:rsid w:val="008E0ACC"/>
    <w:rsid w:val="008E17EA"/>
    <w:rsid w:val="008E7274"/>
    <w:rsid w:val="008F02C6"/>
    <w:rsid w:val="008F2FC1"/>
    <w:rsid w:val="008F3E26"/>
    <w:rsid w:val="008F442A"/>
    <w:rsid w:val="008F52BA"/>
    <w:rsid w:val="008F5353"/>
    <w:rsid w:val="008F64A3"/>
    <w:rsid w:val="008F67ED"/>
    <w:rsid w:val="00902507"/>
    <w:rsid w:val="00906DEE"/>
    <w:rsid w:val="009073FD"/>
    <w:rsid w:val="009102FE"/>
    <w:rsid w:val="00910E21"/>
    <w:rsid w:val="00910FAD"/>
    <w:rsid w:val="009124FE"/>
    <w:rsid w:val="00912A85"/>
    <w:rsid w:val="00915393"/>
    <w:rsid w:val="00917603"/>
    <w:rsid w:val="00917F8F"/>
    <w:rsid w:val="0092055A"/>
    <w:rsid w:val="00925B55"/>
    <w:rsid w:val="00927155"/>
    <w:rsid w:val="00927492"/>
    <w:rsid w:val="00927902"/>
    <w:rsid w:val="00930B7A"/>
    <w:rsid w:val="009333B7"/>
    <w:rsid w:val="009340C6"/>
    <w:rsid w:val="009354B5"/>
    <w:rsid w:val="00936533"/>
    <w:rsid w:val="00940F94"/>
    <w:rsid w:val="00941AF3"/>
    <w:rsid w:val="009440A5"/>
    <w:rsid w:val="00947B65"/>
    <w:rsid w:val="009504AF"/>
    <w:rsid w:val="009505A1"/>
    <w:rsid w:val="00953A80"/>
    <w:rsid w:val="0095694D"/>
    <w:rsid w:val="00956C95"/>
    <w:rsid w:val="009576CE"/>
    <w:rsid w:val="00962DCE"/>
    <w:rsid w:val="00965303"/>
    <w:rsid w:val="00965345"/>
    <w:rsid w:val="009661B0"/>
    <w:rsid w:val="00966321"/>
    <w:rsid w:val="0097227D"/>
    <w:rsid w:val="00972B99"/>
    <w:rsid w:val="0097378E"/>
    <w:rsid w:val="00974432"/>
    <w:rsid w:val="00981907"/>
    <w:rsid w:val="00981EE2"/>
    <w:rsid w:val="0098243F"/>
    <w:rsid w:val="009825DC"/>
    <w:rsid w:val="00983CB9"/>
    <w:rsid w:val="00985480"/>
    <w:rsid w:val="00985D98"/>
    <w:rsid w:val="009861FD"/>
    <w:rsid w:val="00986C95"/>
    <w:rsid w:val="00992685"/>
    <w:rsid w:val="009927EB"/>
    <w:rsid w:val="00993CBD"/>
    <w:rsid w:val="00995B85"/>
    <w:rsid w:val="009967F2"/>
    <w:rsid w:val="00997C2D"/>
    <w:rsid w:val="009A01AA"/>
    <w:rsid w:val="009A049F"/>
    <w:rsid w:val="009A10A0"/>
    <w:rsid w:val="009A4751"/>
    <w:rsid w:val="009A5AD0"/>
    <w:rsid w:val="009A5BFD"/>
    <w:rsid w:val="009B0097"/>
    <w:rsid w:val="009B2957"/>
    <w:rsid w:val="009B65A5"/>
    <w:rsid w:val="009B675C"/>
    <w:rsid w:val="009C0EE9"/>
    <w:rsid w:val="009C1F5D"/>
    <w:rsid w:val="009C2937"/>
    <w:rsid w:val="009C2E3C"/>
    <w:rsid w:val="009C44C5"/>
    <w:rsid w:val="009C4B28"/>
    <w:rsid w:val="009C509A"/>
    <w:rsid w:val="009C6708"/>
    <w:rsid w:val="009D0393"/>
    <w:rsid w:val="009D0720"/>
    <w:rsid w:val="009D222E"/>
    <w:rsid w:val="009D3609"/>
    <w:rsid w:val="009D4046"/>
    <w:rsid w:val="009D479F"/>
    <w:rsid w:val="009D6B6E"/>
    <w:rsid w:val="009E10BA"/>
    <w:rsid w:val="009E10CE"/>
    <w:rsid w:val="009F6BFD"/>
    <w:rsid w:val="00A01316"/>
    <w:rsid w:val="00A03539"/>
    <w:rsid w:val="00A039EE"/>
    <w:rsid w:val="00A04D85"/>
    <w:rsid w:val="00A112CF"/>
    <w:rsid w:val="00A13112"/>
    <w:rsid w:val="00A13ADC"/>
    <w:rsid w:val="00A157B0"/>
    <w:rsid w:val="00A158A2"/>
    <w:rsid w:val="00A15EF2"/>
    <w:rsid w:val="00A209E2"/>
    <w:rsid w:val="00A21499"/>
    <w:rsid w:val="00A238A4"/>
    <w:rsid w:val="00A2434E"/>
    <w:rsid w:val="00A24C2E"/>
    <w:rsid w:val="00A2526C"/>
    <w:rsid w:val="00A25B5A"/>
    <w:rsid w:val="00A27135"/>
    <w:rsid w:val="00A27690"/>
    <w:rsid w:val="00A279D7"/>
    <w:rsid w:val="00A31588"/>
    <w:rsid w:val="00A31C26"/>
    <w:rsid w:val="00A32D4F"/>
    <w:rsid w:val="00A368ED"/>
    <w:rsid w:val="00A36A5C"/>
    <w:rsid w:val="00A40DEE"/>
    <w:rsid w:val="00A44459"/>
    <w:rsid w:val="00A4458F"/>
    <w:rsid w:val="00A446E2"/>
    <w:rsid w:val="00A473DD"/>
    <w:rsid w:val="00A505AE"/>
    <w:rsid w:val="00A508E1"/>
    <w:rsid w:val="00A51FBA"/>
    <w:rsid w:val="00A5225F"/>
    <w:rsid w:val="00A53493"/>
    <w:rsid w:val="00A567CB"/>
    <w:rsid w:val="00A6025E"/>
    <w:rsid w:val="00A61BF2"/>
    <w:rsid w:val="00A644D3"/>
    <w:rsid w:val="00A6552B"/>
    <w:rsid w:val="00A6584D"/>
    <w:rsid w:val="00A66E00"/>
    <w:rsid w:val="00A72673"/>
    <w:rsid w:val="00A74858"/>
    <w:rsid w:val="00A75483"/>
    <w:rsid w:val="00A76893"/>
    <w:rsid w:val="00A82D56"/>
    <w:rsid w:val="00A83295"/>
    <w:rsid w:val="00A853CD"/>
    <w:rsid w:val="00A85A8E"/>
    <w:rsid w:val="00A86B58"/>
    <w:rsid w:val="00A937A9"/>
    <w:rsid w:val="00A9402F"/>
    <w:rsid w:val="00A95AE1"/>
    <w:rsid w:val="00A961A4"/>
    <w:rsid w:val="00A96B7A"/>
    <w:rsid w:val="00A96E2F"/>
    <w:rsid w:val="00A96FA9"/>
    <w:rsid w:val="00AA3904"/>
    <w:rsid w:val="00AA45FD"/>
    <w:rsid w:val="00AA6F7C"/>
    <w:rsid w:val="00AB0EBB"/>
    <w:rsid w:val="00AB2F11"/>
    <w:rsid w:val="00AB4105"/>
    <w:rsid w:val="00AB44E9"/>
    <w:rsid w:val="00AB4713"/>
    <w:rsid w:val="00AB63F2"/>
    <w:rsid w:val="00AC089F"/>
    <w:rsid w:val="00AC69F4"/>
    <w:rsid w:val="00AC770D"/>
    <w:rsid w:val="00AD103A"/>
    <w:rsid w:val="00AD11A1"/>
    <w:rsid w:val="00AD134D"/>
    <w:rsid w:val="00AD16AC"/>
    <w:rsid w:val="00AD1B82"/>
    <w:rsid w:val="00AD66C9"/>
    <w:rsid w:val="00AD7242"/>
    <w:rsid w:val="00AE0B9B"/>
    <w:rsid w:val="00AE0FDE"/>
    <w:rsid w:val="00AE1812"/>
    <w:rsid w:val="00AE24FD"/>
    <w:rsid w:val="00AE5E9F"/>
    <w:rsid w:val="00AE7E55"/>
    <w:rsid w:val="00AF0B8D"/>
    <w:rsid w:val="00AF0D0C"/>
    <w:rsid w:val="00AF5981"/>
    <w:rsid w:val="00AF6743"/>
    <w:rsid w:val="00B01075"/>
    <w:rsid w:val="00B030B6"/>
    <w:rsid w:val="00B03563"/>
    <w:rsid w:val="00B04693"/>
    <w:rsid w:val="00B0534D"/>
    <w:rsid w:val="00B10127"/>
    <w:rsid w:val="00B116EE"/>
    <w:rsid w:val="00B15A0E"/>
    <w:rsid w:val="00B15B2E"/>
    <w:rsid w:val="00B2177D"/>
    <w:rsid w:val="00B2385D"/>
    <w:rsid w:val="00B26262"/>
    <w:rsid w:val="00B264F4"/>
    <w:rsid w:val="00B27ADB"/>
    <w:rsid w:val="00B27CA3"/>
    <w:rsid w:val="00B304FD"/>
    <w:rsid w:val="00B30A0A"/>
    <w:rsid w:val="00B31216"/>
    <w:rsid w:val="00B348E0"/>
    <w:rsid w:val="00B34FF2"/>
    <w:rsid w:val="00B35F78"/>
    <w:rsid w:val="00B36142"/>
    <w:rsid w:val="00B36397"/>
    <w:rsid w:val="00B36D58"/>
    <w:rsid w:val="00B40BCE"/>
    <w:rsid w:val="00B43A55"/>
    <w:rsid w:val="00B45405"/>
    <w:rsid w:val="00B4739E"/>
    <w:rsid w:val="00B50661"/>
    <w:rsid w:val="00B5336C"/>
    <w:rsid w:val="00B54089"/>
    <w:rsid w:val="00B547D6"/>
    <w:rsid w:val="00B55BCE"/>
    <w:rsid w:val="00B57354"/>
    <w:rsid w:val="00B60175"/>
    <w:rsid w:val="00B65416"/>
    <w:rsid w:val="00B66A45"/>
    <w:rsid w:val="00B66CA5"/>
    <w:rsid w:val="00B66DB5"/>
    <w:rsid w:val="00B72B09"/>
    <w:rsid w:val="00B75A96"/>
    <w:rsid w:val="00B75C26"/>
    <w:rsid w:val="00B8223B"/>
    <w:rsid w:val="00B8419D"/>
    <w:rsid w:val="00B86C69"/>
    <w:rsid w:val="00BA0C0E"/>
    <w:rsid w:val="00BA145A"/>
    <w:rsid w:val="00BB03C7"/>
    <w:rsid w:val="00BB14EE"/>
    <w:rsid w:val="00BC2316"/>
    <w:rsid w:val="00BC3189"/>
    <w:rsid w:val="00BC44A8"/>
    <w:rsid w:val="00BC4640"/>
    <w:rsid w:val="00BC4C16"/>
    <w:rsid w:val="00BC7EE0"/>
    <w:rsid w:val="00BD0295"/>
    <w:rsid w:val="00BD0367"/>
    <w:rsid w:val="00BD14BA"/>
    <w:rsid w:val="00BD4211"/>
    <w:rsid w:val="00BD70F2"/>
    <w:rsid w:val="00BE0AAB"/>
    <w:rsid w:val="00BE4997"/>
    <w:rsid w:val="00BE62D2"/>
    <w:rsid w:val="00BE6FC3"/>
    <w:rsid w:val="00BF3A2F"/>
    <w:rsid w:val="00BF3B03"/>
    <w:rsid w:val="00BF419F"/>
    <w:rsid w:val="00BF5423"/>
    <w:rsid w:val="00C00B9A"/>
    <w:rsid w:val="00C01CBF"/>
    <w:rsid w:val="00C023D6"/>
    <w:rsid w:val="00C0301A"/>
    <w:rsid w:val="00C03382"/>
    <w:rsid w:val="00C056AB"/>
    <w:rsid w:val="00C125E1"/>
    <w:rsid w:val="00C126A3"/>
    <w:rsid w:val="00C12F2A"/>
    <w:rsid w:val="00C1606E"/>
    <w:rsid w:val="00C16441"/>
    <w:rsid w:val="00C175CF"/>
    <w:rsid w:val="00C21ED4"/>
    <w:rsid w:val="00C23194"/>
    <w:rsid w:val="00C244DE"/>
    <w:rsid w:val="00C254AD"/>
    <w:rsid w:val="00C27020"/>
    <w:rsid w:val="00C303A1"/>
    <w:rsid w:val="00C3106C"/>
    <w:rsid w:val="00C320D5"/>
    <w:rsid w:val="00C331EC"/>
    <w:rsid w:val="00C335F1"/>
    <w:rsid w:val="00C33F9E"/>
    <w:rsid w:val="00C34BAA"/>
    <w:rsid w:val="00C3504C"/>
    <w:rsid w:val="00C35A6A"/>
    <w:rsid w:val="00C35A83"/>
    <w:rsid w:val="00C362F0"/>
    <w:rsid w:val="00C4353A"/>
    <w:rsid w:val="00C46906"/>
    <w:rsid w:val="00C4731E"/>
    <w:rsid w:val="00C47CBA"/>
    <w:rsid w:val="00C51187"/>
    <w:rsid w:val="00C538D7"/>
    <w:rsid w:val="00C53EFA"/>
    <w:rsid w:val="00C54DAE"/>
    <w:rsid w:val="00C61D6A"/>
    <w:rsid w:val="00C623E5"/>
    <w:rsid w:val="00C711DC"/>
    <w:rsid w:val="00C76ADA"/>
    <w:rsid w:val="00C76CE4"/>
    <w:rsid w:val="00C7794A"/>
    <w:rsid w:val="00C82320"/>
    <w:rsid w:val="00C875F8"/>
    <w:rsid w:val="00C905DC"/>
    <w:rsid w:val="00C91651"/>
    <w:rsid w:val="00C91DD8"/>
    <w:rsid w:val="00C94F95"/>
    <w:rsid w:val="00C95699"/>
    <w:rsid w:val="00C97F85"/>
    <w:rsid w:val="00CA0323"/>
    <w:rsid w:val="00CA1628"/>
    <w:rsid w:val="00CA3CE8"/>
    <w:rsid w:val="00CA41D4"/>
    <w:rsid w:val="00CA5C58"/>
    <w:rsid w:val="00CA6041"/>
    <w:rsid w:val="00CA6AD2"/>
    <w:rsid w:val="00CA7A89"/>
    <w:rsid w:val="00CB07DB"/>
    <w:rsid w:val="00CB3579"/>
    <w:rsid w:val="00CB4DC1"/>
    <w:rsid w:val="00CB7837"/>
    <w:rsid w:val="00CC1FA4"/>
    <w:rsid w:val="00CC3159"/>
    <w:rsid w:val="00CC4988"/>
    <w:rsid w:val="00CC4AD0"/>
    <w:rsid w:val="00CC4FF0"/>
    <w:rsid w:val="00CC7408"/>
    <w:rsid w:val="00CD26E1"/>
    <w:rsid w:val="00CD2848"/>
    <w:rsid w:val="00CD4213"/>
    <w:rsid w:val="00CD730B"/>
    <w:rsid w:val="00CD7CFC"/>
    <w:rsid w:val="00CD7E37"/>
    <w:rsid w:val="00CE086A"/>
    <w:rsid w:val="00CE2E27"/>
    <w:rsid w:val="00CE5A6B"/>
    <w:rsid w:val="00CE63F6"/>
    <w:rsid w:val="00CE6F29"/>
    <w:rsid w:val="00CF019E"/>
    <w:rsid w:val="00CF1001"/>
    <w:rsid w:val="00CF2BD2"/>
    <w:rsid w:val="00CF46C4"/>
    <w:rsid w:val="00CF4E17"/>
    <w:rsid w:val="00CF620F"/>
    <w:rsid w:val="00D01DE3"/>
    <w:rsid w:val="00D0224D"/>
    <w:rsid w:val="00D04C34"/>
    <w:rsid w:val="00D05234"/>
    <w:rsid w:val="00D07C12"/>
    <w:rsid w:val="00D13DC1"/>
    <w:rsid w:val="00D14459"/>
    <w:rsid w:val="00D17BF8"/>
    <w:rsid w:val="00D23A87"/>
    <w:rsid w:val="00D3036D"/>
    <w:rsid w:val="00D30B3B"/>
    <w:rsid w:val="00D3261E"/>
    <w:rsid w:val="00D3441A"/>
    <w:rsid w:val="00D37555"/>
    <w:rsid w:val="00D5452D"/>
    <w:rsid w:val="00D546B8"/>
    <w:rsid w:val="00D627EB"/>
    <w:rsid w:val="00D650C5"/>
    <w:rsid w:val="00D6525F"/>
    <w:rsid w:val="00D660A1"/>
    <w:rsid w:val="00D66795"/>
    <w:rsid w:val="00D67539"/>
    <w:rsid w:val="00D67D23"/>
    <w:rsid w:val="00D743DE"/>
    <w:rsid w:val="00D74D5F"/>
    <w:rsid w:val="00D75D20"/>
    <w:rsid w:val="00D765E6"/>
    <w:rsid w:val="00D819F6"/>
    <w:rsid w:val="00D82473"/>
    <w:rsid w:val="00D84C63"/>
    <w:rsid w:val="00D85C1B"/>
    <w:rsid w:val="00D864CF"/>
    <w:rsid w:val="00D911F3"/>
    <w:rsid w:val="00D914FF"/>
    <w:rsid w:val="00D92F7D"/>
    <w:rsid w:val="00D945A6"/>
    <w:rsid w:val="00D95F62"/>
    <w:rsid w:val="00D9766A"/>
    <w:rsid w:val="00DA0814"/>
    <w:rsid w:val="00DA0D56"/>
    <w:rsid w:val="00DA100A"/>
    <w:rsid w:val="00DA1309"/>
    <w:rsid w:val="00DA1B63"/>
    <w:rsid w:val="00DA241E"/>
    <w:rsid w:val="00DA4F20"/>
    <w:rsid w:val="00DA722B"/>
    <w:rsid w:val="00DB08B9"/>
    <w:rsid w:val="00DB3D93"/>
    <w:rsid w:val="00DB650F"/>
    <w:rsid w:val="00DC0A74"/>
    <w:rsid w:val="00DC3AE0"/>
    <w:rsid w:val="00DC4CDB"/>
    <w:rsid w:val="00DC5698"/>
    <w:rsid w:val="00DD1383"/>
    <w:rsid w:val="00DD5AB8"/>
    <w:rsid w:val="00DE2729"/>
    <w:rsid w:val="00DE2997"/>
    <w:rsid w:val="00DE4C42"/>
    <w:rsid w:val="00DE54D2"/>
    <w:rsid w:val="00DF0DC5"/>
    <w:rsid w:val="00DF3109"/>
    <w:rsid w:val="00DF3779"/>
    <w:rsid w:val="00DF5449"/>
    <w:rsid w:val="00DF5E95"/>
    <w:rsid w:val="00DF6B97"/>
    <w:rsid w:val="00DF7B03"/>
    <w:rsid w:val="00E0030E"/>
    <w:rsid w:val="00E03FE7"/>
    <w:rsid w:val="00E063E0"/>
    <w:rsid w:val="00E06A4A"/>
    <w:rsid w:val="00E078A0"/>
    <w:rsid w:val="00E108D1"/>
    <w:rsid w:val="00E124BD"/>
    <w:rsid w:val="00E12780"/>
    <w:rsid w:val="00E13540"/>
    <w:rsid w:val="00E13BF9"/>
    <w:rsid w:val="00E14075"/>
    <w:rsid w:val="00E163A0"/>
    <w:rsid w:val="00E2159D"/>
    <w:rsid w:val="00E226E9"/>
    <w:rsid w:val="00E24015"/>
    <w:rsid w:val="00E2622E"/>
    <w:rsid w:val="00E2764D"/>
    <w:rsid w:val="00E3055C"/>
    <w:rsid w:val="00E31846"/>
    <w:rsid w:val="00E318C8"/>
    <w:rsid w:val="00E33056"/>
    <w:rsid w:val="00E338A5"/>
    <w:rsid w:val="00E355B8"/>
    <w:rsid w:val="00E37615"/>
    <w:rsid w:val="00E3790E"/>
    <w:rsid w:val="00E43EAD"/>
    <w:rsid w:val="00E4423B"/>
    <w:rsid w:val="00E4470B"/>
    <w:rsid w:val="00E45DA7"/>
    <w:rsid w:val="00E50D4A"/>
    <w:rsid w:val="00E50ECE"/>
    <w:rsid w:val="00E51D5B"/>
    <w:rsid w:val="00E5342B"/>
    <w:rsid w:val="00E5533C"/>
    <w:rsid w:val="00E55A36"/>
    <w:rsid w:val="00E55FD2"/>
    <w:rsid w:val="00E5740D"/>
    <w:rsid w:val="00E575B5"/>
    <w:rsid w:val="00E6014A"/>
    <w:rsid w:val="00E603D5"/>
    <w:rsid w:val="00E60B07"/>
    <w:rsid w:val="00E60F56"/>
    <w:rsid w:val="00E6311C"/>
    <w:rsid w:val="00E67678"/>
    <w:rsid w:val="00E705A4"/>
    <w:rsid w:val="00E72824"/>
    <w:rsid w:val="00E74004"/>
    <w:rsid w:val="00E756A2"/>
    <w:rsid w:val="00E7608C"/>
    <w:rsid w:val="00E765AB"/>
    <w:rsid w:val="00E80DF9"/>
    <w:rsid w:val="00E842A6"/>
    <w:rsid w:val="00E842F2"/>
    <w:rsid w:val="00E8453D"/>
    <w:rsid w:val="00E851AC"/>
    <w:rsid w:val="00E85E18"/>
    <w:rsid w:val="00E8614C"/>
    <w:rsid w:val="00E862DD"/>
    <w:rsid w:val="00E8775E"/>
    <w:rsid w:val="00E87962"/>
    <w:rsid w:val="00E905ED"/>
    <w:rsid w:val="00E913CE"/>
    <w:rsid w:val="00E941C1"/>
    <w:rsid w:val="00E94A8E"/>
    <w:rsid w:val="00E96661"/>
    <w:rsid w:val="00E97924"/>
    <w:rsid w:val="00E97E5B"/>
    <w:rsid w:val="00EA3655"/>
    <w:rsid w:val="00EA47C5"/>
    <w:rsid w:val="00EA4F3F"/>
    <w:rsid w:val="00EB3B77"/>
    <w:rsid w:val="00EB3E92"/>
    <w:rsid w:val="00EB45AB"/>
    <w:rsid w:val="00EB4B3E"/>
    <w:rsid w:val="00EB4C2F"/>
    <w:rsid w:val="00EB5941"/>
    <w:rsid w:val="00EB6ED5"/>
    <w:rsid w:val="00EB74F0"/>
    <w:rsid w:val="00EC0B44"/>
    <w:rsid w:val="00EC36D6"/>
    <w:rsid w:val="00EC435D"/>
    <w:rsid w:val="00EC4525"/>
    <w:rsid w:val="00EC4664"/>
    <w:rsid w:val="00ED12E8"/>
    <w:rsid w:val="00ED1FEA"/>
    <w:rsid w:val="00ED79EE"/>
    <w:rsid w:val="00EE09EF"/>
    <w:rsid w:val="00EE0C20"/>
    <w:rsid w:val="00EE0C4D"/>
    <w:rsid w:val="00EE13BA"/>
    <w:rsid w:val="00EE23E3"/>
    <w:rsid w:val="00EE410B"/>
    <w:rsid w:val="00EE6C97"/>
    <w:rsid w:val="00EE705B"/>
    <w:rsid w:val="00EE7CE1"/>
    <w:rsid w:val="00EF04BF"/>
    <w:rsid w:val="00EF25D5"/>
    <w:rsid w:val="00EF3EFF"/>
    <w:rsid w:val="00EF57B0"/>
    <w:rsid w:val="00EF5C39"/>
    <w:rsid w:val="00EF6316"/>
    <w:rsid w:val="00EF65DF"/>
    <w:rsid w:val="00EF7747"/>
    <w:rsid w:val="00F010AA"/>
    <w:rsid w:val="00F01C39"/>
    <w:rsid w:val="00F02823"/>
    <w:rsid w:val="00F03A5E"/>
    <w:rsid w:val="00F04100"/>
    <w:rsid w:val="00F041DE"/>
    <w:rsid w:val="00F044F2"/>
    <w:rsid w:val="00F04CE7"/>
    <w:rsid w:val="00F06FC1"/>
    <w:rsid w:val="00F07878"/>
    <w:rsid w:val="00F10A50"/>
    <w:rsid w:val="00F1201A"/>
    <w:rsid w:val="00F166CD"/>
    <w:rsid w:val="00F20708"/>
    <w:rsid w:val="00F20FB3"/>
    <w:rsid w:val="00F21D02"/>
    <w:rsid w:val="00F22B3A"/>
    <w:rsid w:val="00F23F81"/>
    <w:rsid w:val="00F25A59"/>
    <w:rsid w:val="00F2691A"/>
    <w:rsid w:val="00F31CBD"/>
    <w:rsid w:val="00F32E4C"/>
    <w:rsid w:val="00F3393A"/>
    <w:rsid w:val="00F33E15"/>
    <w:rsid w:val="00F35196"/>
    <w:rsid w:val="00F353CA"/>
    <w:rsid w:val="00F377B4"/>
    <w:rsid w:val="00F41FDD"/>
    <w:rsid w:val="00F4209E"/>
    <w:rsid w:val="00F42DBE"/>
    <w:rsid w:val="00F43069"/>
    <w:rsid w:val="00F441C6"/>
    <w:rsid w:val="00F453FD"/>
    <w:rsid w:val="00F460FE"/>
    <w:rsid w:val="00F468F3"/>
    <w:rsid w:val="00F47624"/>
    <w:rsid w:val="00F50763"/>
    <w:rsid w:val="00F53A88"/>
    <w:rsid w:val="00F54322"/>
    <w:rsid w:val="00F5550C"/>
    <w:rsid w:val="00F5612C"/>
    <w:rsid w:val="00F60A0D"/>
    <w:rsid w:val="00F62549"/>
    <w:rsid w:val="00F62EAF"/>
    <w:rsid w:val="00F62F75"/>
    <w:rsid w:val="00F62FAE"/>
    <w:rsid w:val="00F650EB"/>
    <w:rsid w:val="00F65EF9"/>
    <w:rsid w:val="00F67707"/>
    <w:rsid w:val="00F71E33"/>
    <w:rsid w:val="00F767BA"/>
    <w:rsid w:val="00F8027D"/>
    <w:rsid w:val="00F808CC"/>
    <w:rsid w:val="00F80A24"/>
    <w:rsid w:val="00F860B4"/>
    <w:rsid w:val="00F875FB"/>
    <w:rsid w:val="00F90D67"/>
    <w:rsid w:val="00F91C01"/>
    <w:rsid w:val="00F92A1C"/>
    <w:rsid w:val="00F96BB6"/>
    <w:rsid w:val="00FA13D8"/>
    <w:rsid w:val="00FA15D3"/>
    <w:rsid w:val="00FA2E1F"/>
    <w:rsid w:val="00FA3008"/>
    <w:rsid w:val="00FA422D"/>
    <w:rsid w:val="00FA50D7"/>
    <w:rsid w:val="00FA59C0"/>
    <w:rsid w:val="00FB1F13"/>
    <w:rsid w:val="00FB3E32"/>
    <w:rsid w:val="00FB5683"/>
    <w:rsid w:val="00FB5D73"/>
    <w:rsid w:val="00FB69AF"/>
    <w:rsid w:val="00FB7C9F"/>
    <w:rsid w:val="00FC4A3C"/>
    <w:rsid w:val="00FD0209"/>
    <w:rsid w:val="00FD2D42"/>
    <w:rsid w:val="00FD4CDB"/>
    <w:rsid w:val="00FD53B5"/>
    <w:rsid w:val="00FD573B"/>
    <w:rsid w:val="00FD64DE"/>
    <w:rsid w:val="00FD698B"/>
    <w:rsid w:val="00FD6F93"/>
    <w:rsid w:val="00FD7BFB"/>
    <w:rsid w:val="00FD7FD8"/>
    <w:rsid w:val="00FE0E3F"/>
    <w:rsid w:val="00FE1F34"/>
    <w:rsid w:val="00FE3BCD"/>
    <w:rsid w:val="00FE4BAA"/>
    <w:rsid w:val="00FF12EE"/>
    <w:rsid w:val="00FF1391"/>
    <w:rsid w:val="00FF78B1"/>
    <w:rsid w:val="00FF7903"/>
    <w:rsid w:val="010B5923"/>
    <w:rsid w:val="0127022C"/>
    <w:rsid w:val="01FE2A4F"/>
    <w:rsid w:val="0269315F"/>
    <w:rsid w:val="028B7A38"/>
    <w:rsid w:val="02FF77A8"/>
    <w:rsid w:val="03DE1785"/>
    <w:rsid w:val="04A86E8C"/>
    <w:rsid w:val="06DA64E2"/>
    <w:rsid w:val="08233EFD"/>
    <w:rsid w:val="0A9B4B66"/>
    <w:rsid w:val="0D650342"/>
    <w:rsid w:val="0F27388D"/>
    <w:rsid w:val="109220A6"/>
    <w:rsid w:val="10C442D9"/>
    <w:rsid w:val="11195352"/>
    <w:rsid w:val="116F522A"/>
    <w:rsid w:val="11BA2BC8"/>
    <w:rsid w:val="12410524"/>
    <w:rsid w:val="1275242B"/>
    <w:rsid w:val="134D25D2"/>
    <w:rsid w:val="16C611DB"/>
    <w:rsid w:val="19777FF1"/>
    <w:rsid w:val="1DF51D74"/>
    <w:rsid w:val="1E9E6C97"/>
    <w:rsid w:val="1F0D3D74"/>
    <w:rsid w:val="1F5B7517"/>
    <w:rsid w:val="202509B3"/>
    <w:rsid w:val="21CC3A18"/>
    <w:rsid w:val="224D482F"/>
    <w:rsid w:val="23A06262"/>
    <w:rsid w:val="24B55E58"/>
    <w:rsid w:val="252D3F18"/>
    <w:rsid w:val="2563651D"/>
    <w:rsid w:val="25E67EF4"/>
    <w:rsid w:val="287A1B35"/>
    <w:rsid w:val="28812933"/>
    <w:rsid w:val="2A354EE0"/>
    <w:rsid w:val="2A8E0652"/>
    <w:rsid w:val="2ABF64B7"/>
    <w:rsid w:val="2BDD04E6"/>
    <w:rsid w:val="2C184CA4"/>
    <w:rsid w:val="2CDA32AE"/>
    <w:rsid w:val="2D3B11E2"/>
    <w:rsid w:val="2D6E1AB6"/>
    <w:rsid w:val="2D9C13E5"/>
    <w:rsid w:val="2E2111E7"/>
    <w:rsid w:val="2E475D5C"/>
    <w:rsid w:val="2EDA76F5"/>
    <w:rsid w:val="2EF0530A"/>
    <w:rsid w:val="2F4619DD"/>
    <w:rsid w:val="2F7C59E4"/>
    <w:rsid w:val="2FA256A5"/>
    <w:rsid w:val="30A916FB"/>
    <w:rsid w:val="32E875FA"/>
    <w:rsid w:val="33DF6B01"/>
    <w:rsid w:val="34844C49"/>
    <w:rsid w:val="34B426D9"/>
    <w:rsid w:val="35C33A4E"/>
    <w:rsid w:val="36DB4970"/>
    <w:rsid w:val="378C0C03"/>
    <w:rsid w:val="378E4AC6"/>
    <w:rsid w:val="38BD7D75"/>
    <w:rsid w:val="3A3A5696"/>
    <w:rsid w:val="3BDE314B"/>
    <w:rsid w:val="3D396B2D"/>
    <w:rsid w:val="3E051D5E"/>
    <w:rsid w:val="3EF36434"/>
    <w:rsid w:val="3F105741"/>
    <w:rsid w:val="3F344E60"/>
    <w:rsid w:val="3F486C7F"/>
    <w:rsid w:val="3F7E31CF"/>
    <w:rsid w:val="405E54D1"/>
    <w:rsid w:val="408A245C"/>
    <w:rsid w:val="40B344C1"/>
    <w:rsid w:val="43175CDC"/>
    <w:rsid w:val="43A47528"/>
    <w:rsid w:val="4493580F"/>
    <w:rsid w:val="45C91E32"/>
    <w:rsid w:val="461830C7"/>
    <w:rsid w:val="46BE5637"/>
    <w:rsid w:val="47A860A9"/>
    <w:rsid w:val="47D20688"/>
    <w:rsid w:val="48530408"/>
    <w:rsid w:val="490734D3"/>
    <w:rsid w:val="4B291EC2"/>
    <w:rsid w:val="4C3D67E7"/>
    <w:rsid w:val="4CF71F40"/>
    <w:rsid w:val="4F602F45"/>
    <w:rsid w:val="4FEB2426"/>
    <w:rsid w:val="51CA13E2"/>
    <w:rsid w:val="52176180"/>
    <w:rsid w:val="526A1BEA"/>
    <w:rsid w:val="54BE38B2"/>
    <w:rsid w:val="55F50F12"/>
    <w:rsid w:val="5640614D"/>
    <w:rsid w:val="56E51723"/>
    <w:rsid w:val="57172D4E"/>
    <w:rsid w:val="58240106"/>
    <w:rsid w:val="588B3BA1"/>
    <w:rsid w:val="58A07971"/>
    <w:rsid w:val="5AA85B8B"/>
    <w:rsid w:val="5AE10BA2"/>
    <w:rsid w:val="5B013545"/>
    <w:rsid w:val="5B552C12"/>
    <w:rsid w:val="5BA279AF"/>
    <w:rsid w:val="5D3E14DA"/>
    <w:rsid w:val="5F232FD1"/>
    <w:rsid w:val="5F9E593F"/>
    <w:rsid w:val="603A24D6"/>
    <w:rsid w:val="616E64E9"/>
    <w:rsid w:val="61F71B24"/>
    <w:rsid w:val="657A390B"/>
    <w:rsid w:val="67725C26"/>
    <w:rsid w:val="680331E3"/>
    <w:rsid w:val="69793468"/>
    <w:rsid w:val="6B1A0E2D"/>
    <w:rsid w:val="6D995611"/>
    <w:rsid w:val="6DE25242"/>
    <w:rsid w:val="6DFC1966"/>
    <w:rsid w:val="6EB824A1"/>
    <w:rsid w:val="6EF1046B"/>
    <w:rsid w:val="700D3B7C"/>
    <w:rsid w:val="7086394C"/>
    <w:rsid w:val="70A46F77"/>
    <w:rsid w:val="70B07EB4"/>
    <w:rsid w:val="72006849"/>
    <w:rsid w:val="7222782D"/>
    <w:rsid w:val="729B12DF"/>
    <w:rsid w:val="746739D3"/>
    <w:rsid w:val="74E640ED"/>
    <w:rsid w:val="758D6A51"/>
    <w:rsid w:val="76AD22A4"/>
    <w:rsid w:val="77170212"/>
    <w:rsid w:val="77863234"/>
    <w:rsid w:val="77E62936"/>
    <w:rsid w:val="7848160D"/>
    <w:rsid w:val="78673732"/>
    <w:rsid w:val="794A66D8"/>
    <w:rsid w:val="7A517E9F"/>
    <w:rsid w:val="7B4A6AA4"/>
    <w:rsid w:val="7C206DA5"/>
    <w:rsid w:val="7C3F1514"/>
    <w:rsid w:val="7CD232CF"/>
    <w:rsid w:val="7E425B87"/>
    <w:rsid w:val="7E986788"/>
    <w:rsid w:val="7FA60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autoRedefine/>
    <w:qFormat/>
    <w:uiPriority w:val="99"/>
    <w:pPr>
      <w:widowControl/>
      <w:spacing w:before="100" w:beforeAutospacing="1" w:after="100" w:afterAutospacing="1"/>
      <w:jc w:val="left"/>
      <w:outlineLvl w:val="0"/>
    </w:pPr>
    <w:rPr>
      <w:rFonts w:ascii="宋体" w:hAnsi="宋体" w:cs="宋体"/>
      <w:b/>
      <w:bCs/>
      <w:kern w:val="36"/>
      <w:sz w:val="24"/>
    </w:rPr>
  </w:style>
  <w:style w:type="paragraph" w:styleId="4">
    <w:name w:val="heading 2"/>
    <w:basedOn w:val="1"/>
    <w:next w:val="1"/>
    <w:link w:val="34"/>
    <w:autoRedefine/>
    <w:qFormat/>
    <w:locked/>
    <w:uiPriority w:val="99"/>
    <w:pPr>
      <w:keepNext/>
      <w:keepLines/>
      <w:spacing w:before="260" w:after="260" w:line="416" w:lineRule="auto"/>
      <w:outlineLvl w:val="1"/>
    </w:pPr>
    <w:rPr>
      <w:rFonts w:ascii="Cambria" w:hAnsi="Cambria"/>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99"/>
    <w:pPr>
      <w:spacing w:after="120"/>
    </w:pPr>
  </w:style>
  <w:style w:type="paragraph" w:styleId="5">
    <w:name w:val="Normal Indent"/>
    <w:basedOn w:val="1"/>
    <w:autoRedefine/>
    <w:qFormat/>
    <w:uiPriority w:val="99"/>
    <w:pPr>
      <w:adjustRightInd w:val="0"/>
      <w:spacing w:line="360" w:lineRule="atLeast"/>
      <w:ind w:firstLine="482"/>
      <w:textAlignment w:val="baseline"/>
    </w:pPr>
    <w:rPr>
      <w:kern w:val="0"/>
      <w:sz w:val="24"/>
      <w:szCs w:val="20"/>
    </w:rPr>
  </w:style>
  <w:style w:type="paragraph" w:styleId="6">
    <w:name w:val="Document Map"/>
    <w:basedOn w:val="1"/>
    <w:link w:val="36"/>
    <w:autoRedefine/>
    <w:qFormat/>
    <w:uiPriority w:val="99"/>
    <w:rPr>
      <w:rFonts w:ascii="宋体"/>
      <w:sz w:val="18"/>
      <w:szCs w:val="18"/>
    </w:rPr>
  </w:style>
  <w:style w:type="paragraph" w:styleId="7">
    <w:name w:val="annotation text"/>
    <w:basedOn w:val="1"/>
    <w:link w:val="37"/>
    <w:autoRedefine/>
    <w:semiHidden/>
    <w:qFormat/>
    <w:uiPriority w:val="99"/>
    <w:pPr>
      <w:jc w:val="left"/>
    </w:pPr>
  </w:style>
  <w:style w:type="paragraph" w:styleId="8">
    <w:name w:val="Body Text Indent"/>
    <w:basedOn w:val="1"/>
    <w:next w:val="9"/>
    <w:link w:val="38"/>
    <w:autoRedefine/>
    <w:qFormat/>
    <w:uiPriority w:val="99"/>
    <w:pPr>
      <w:ind w:left="480"/>
    </w:pPr>
    <w:rPr>
      <w:sz w:val="24"/>
    </w:rPr>
  </w:style>
  <w:style w:type="paragraph" w:styleId="9">
    <w:name w:val="envelope return"/>
    <w:basedOn w:val="1"/>
    <w:autoRedefine/>
    <w:semiHidden/>
    <w:unhideWhenUsed/>
    <w:qFormat/>
    <w:locked/>
    <w:uiPriority w:val="99"/>
    <w:pPr>
      <w:snapToGrid w:val="0"/>
    </w:pPr>
    <w:rPr>
      <w:rFonts w:ascii="Cambria" w:hAnsi="Cambria" w:eastAsia="宋体" w:cs="Times New Roman"/>
    </w:rPr>
  </w:style>
  <w:style w:type="paragraph" w:styleId="10">
    <w:name w:val="index 4"/>
    <w:basedOn w:val="1"/>
    <w:next w:val="1"/>
    <w:autoRedefine/>
    <w:semiHidden/>
    <w:qFormat/>
    <w:locked/>
    <w:uiPriority w:val="0"/>
    <w:pPr>
      <w:ind w:left="1260"/>
    </w:pPr>
  </w:style>
  <w:style w:type="paragraph" w:styleId="11">
    <w:name w:val="Plain Text"/>
    <w:basedOn w:val="1"/>
    <w:next w:val="12"/>
    <w:link w:val="39"/>
    <w:autoRedefine/>
    <w:qFormat/>
    <w:uiPriority w:val="99"/>
    <w:rPr>
      <w:rFonts w:ascii="宋体" w:hAnsi="Courier New"/>
      <w:szCs w:val="20"/>
    </w:rPr>
  </w:style>
  <w:style w:type="paragraph" w:styleId="12">
    <w:name w:val="List Number 5"/>
    <w:basedOn w:val="1"/>
    <w:autoRedefine/>
    <w:semiHidden/>
    <w:unhideWhenUsed/>
    <w:qFormat/>
    <w:locked/>
    <w:uiPriority w:val="99"/>
    <w:pPr>
      <w:numPr>
        <w:ilvl w:val="0"/>
        <w:numId w:val="1"/>
      </w:numPr>
    </w:pPr>
  </w:style>
  <w:style w:type="paragraph" w:styleId="13">
    <w:name w:val="Date"/>
    <w:basedOn w:val="1"/>
    <w:next w:val="1"/>
    <w:link w:val="40"/>
    <w:autoRedefine/>
    <w:qFormat/>
    <w:uiPriority w:val="99"/>
    <w:pPr>
      <w:ind w:left="100" w:leftChars="2500"/>
    </w:pPr>
    <w:rPr>
      <w:sz w:val="24"/>
    </w:rPr>
  </w:style>
  <w:style w:type="paragraph" w:styleId="14">
    <w:name w:val="Body Text Indent 2"/>
    <w:basedOn w:val="1"/>
    <w:link w:val="41"/>
    <w:autoRedefine/>
    <w:qFormat/>
    <w:uiPriority w:val="99"/>
    <w:pPr>
      <w:ind w:firstLine="420" w:firstLineChars="200"/>
    </w:pPr>
  </w:style>
  <w:style w:type="paragraph" w:styleId="15">
    <w:name w:val="Balloon Text"/>
    <w:basedOn w:val="1"/>
    <w:link w:val="42"/>
    <w:autoRedefine/>
    <w:semiHidden/>
    <w:qFormat/>
    <w:uiPriority w:val="99"/>
    <w:rPr>
      <w:sz w:val="18"/>
      <w:szCs w:val="18"/>
    </w:rPr>
  </w:style>
  <w:style w:type="paragraph" w:styleId="16">
    <w:name w:val="footer"/>
    <w:basedOn w:val="1"/>
    <w:link w:val="43"/>
    <w:autoRedefine/>
    <w:qFormat/>
    <w:uiPriority w:val="99"/>
    <w:pPr>
      <w:tabs>
        <w:tab w:val="center" w:pos="4153"/>
        <w:tab w:val="right" w:pos="8306"/>
      </w:tabs>
      <w:snapToGrid w:val="0"/>
      <w:jc w:val="left"/>
    </w:pPr>
    <w:rPr>
      <w:sz w:val="18"/>
      <w:szCs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5"/>
    <w:autoRedefine/>
    <w:qFormat/>
    <w:uiPriority w:val="99"/>
    <w:pPr>
      <w:spacing w:line="480" w:lineRule="exact"/>
      <w:ind w:firstLine="560" w:firstLineChars="200"/>
    </w:pPr>
    <w:rPr>
      <w:rFonts w:ascii="仿宋_GB2312" w:hAnsi="宋体" w:eastAsia="仿宋_GB2312"/>
      <w:bCs/>
      <w:sz w:val="28"/>
      <w:szCs w:val="28"/>
    </w:rPr>
  </w:style>
  <w:style w:type="paragraph" w:styleId="19">
    <w:name w:val="Body Text 2"/>
    <w:basedOn w:val="1"/>
    <w:link w:val="46"/>
    <w:autoRedefine/>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link w:val="47"/>
    <w:autoRedefine/>
    <w:qFormat/>
    <w:uiPriority w:val="99"/>
    <w:pPr>
      <w:spacing w:before="240" w:after="60"/>
      <w:jc w:val="center"/>
      <w:outlineLvl w:val="0"/>
    </w:pPr>
    <w:rPr>
      <w:rFonts w:ascii="Arial" w:hAnsi="Arial" w:eastAsia="华文中宋" w:cs="Arial"/>
      <w:b/>
      <w:bCs/>
      <w:sz w:val="44"/>
      <w:szCs w:val="32"/>
    </w:rPr>
  </w:style>
  <w:style w:type="paragraph" w:styleId="22">
    <w:name w:val="annotation subject"/>
    <w:basedOn w:val="7"/>
    <w:next w:val="7"/>
    <w:link w:val="48"/>
    <w:autoRedefine/>
    <w:semiHidden/>
    <w:qFormat/>
    <w:uiPriority w:val="99"/>
    <w:rPr>
      <w:b/>
      <w:bCs/>
    </w:rPr>
  </w:style>
  <w:style w:type="paragraph" w:styleId="23">
    <w:name w:val="Body Text First Indent 2"/>
    <w:basedOn w:val="8"/>
    <w:next w:val="11"/>
    <w:autoRedefine/>
    <w:unhideWhenUsed/>
    <w:qFormat/>
    <w:locked/>
    <w:uiPriority w:val="99"/>
    <w:pPr>
      <w:ind w:firstLine="420" w:firstLineChars="20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99"/>
    <w:rPr>
      <w:rFonts w:cs="Times New Roman"/>
      <w:b/>
    </w:rPr>
  </w:style>
  <w:style w:type="character" w:styleId="28">
    <w:name w:val="page number"/>
    <w:autoRedefine/>
    <w:qFormat/>
    <w:uiPriority w:val="99"/>
    <w:rPr>
      <w:rFonts w:cs="Times New Roman"/>
    </w:rPr>
  </w:style>
  <w:style w:type="character" w:styleId="29">
    <w:name w:val="FollowedHyperlink"/>
    <w:autoRedefine/>
    <w:qFormat/>
    <w:uiPriority w:val="99"/>
    <w:rPr>
      <w:rFonts w:cs="Times New Roman"/>
      <w:color w:val="800080"/>
      <w:u w:val="single"/>
    </w:rPr>
  </w:style>
  <w:style w:type="character" w:styleId="30">
    <w:name w:val="Hyperlink"/>
    <w:autoRedefine/>
    <w:qFormat/>
    <w:uiPriority w:val="99"/>
    <w:rPr>
      <w:rFonts w:cs="Times New Roman"/>
      <w:color w:val="5F5F5F"/>
      <w:sz w:val="18"/>
      <w:u w:val="none"/>
    </w:rPr>
  </w:style>
  <w:style w:type="character" w:styleId="31">
    <w:name w:val="annotation reference"/>
    <w:autoRedefine/>
    <w:semiHidden/>
    <w:qFormat/>
    <w:uiPriority w:val="99"/>
    <w:rPr>
      <w:rFonts w:cs="Times New Roman"/>
      <w:sz w:val="21"/>
    </w:rPr>
  </w:style>
  <w:style w:type="paragraph" w:customStyle="1" w:styleId="32">
    <w:name w:val="首行缩进"/>
    <w:basedOn w:val="1"/>
    <w:autoRedefine/>
    <w:qFormat/>
    <w:uiPriority w:val="0"/>
    <w:pPr>
      <w:spacing w:line="360" w:lineRule="auto"/>
      <w:ind w:firstLine="480" w:firstLineChars="200"/>
      <w:jc w:val="left"/>
    </w:pPr>
    <w:rPr>
      <w:rFonts w:ascii="宋体" w:hAnsi="宋体"/>
      <w:sz w:val="24"/>
    </w:rPr>
  </w:style>
  <w:style w:type="character" w:customStyle="1" w:styleId="33">
    <w:name w:val="标题 1 Char"/>
    <w:link w:val="3"/>
    <w:autoRedefine/>
    <w:qFormat/>
    <w:locked/>
    <w:uiPriority w:val="99"/>
    <w:rPr>
      <w:rFonts w:cs="Times New Roman"/>
      <w:b/>
      <w:bCs/>
      <w:kern w:val="44"/>
      <w:sz w:val="44"/>
      <w:szCs w:val="44"/>
    </w:rPr>
  </w:style>
  <w:style w:type="character" w:customStyle="1" w:styleId="34">
    <w:name w:val="标题 2 Char"/>
    <w:link w:val="4"/>
    <w:autoRedefine/>
    <w:qFormat/>
    <w:locked/>
    <w:uiPriority w:val="99"/>
    <w:rPr>
      <w:rFonts w:ascii="Cambria" w:hAnsi="Cambria" w:cs="Times New Roman"/>
      <w:b/>
      <w:bCs/>
      <w:kern w:val="2"/>
      <w:sz w:val="32"/>
      <w:szCs w:val="32"/>
    </w:rPr>
  </w:style>
  <w:style w:type="character" w:customStyle="1" w:styleId="35">
    <w:name w:val="正文文本 Char"/>
    <w:link w:val="2"/>
    <w:autoRedefine/>
    <w:semiHidden/>
    <w:qFormat/>
    <w:locked/>
    <w:uiPriority w:val="99"/>
    <w:rPr>
      <w:rFonts w:cs="Times New Roman"/>
      <w:sz w:val="24"/>
      <w:szCs w:val="24"/>
    </w:rPr>
  </w:style>
  <w:style w:type="character" w:customStyle="1" w:styleId="36">
    <w:name w:val="文档结构图 Char"/>
    <w:link w:val="6"/>
    <w:autoRedefine/>
    <w:qFormat/>
    <w:locked/>
    <w:uiPriority w:val="99"/>
    <w:rPr>
      <w:rFonts w:ascii="宋体" w:cs="Times New Roman"/>
      <w:kern w:val="2"/>
      <w:sz w:val="18"/>
      <w:szCs w:val="18"/>
    </w:rPr>
  </w:style>
  <w:style w:type="character" w:customStyle="1" w:styleId="37">
    <w:name w:val="批注文字 Char"/>
    <w:link w:val="7"/>
    <w:autoRedefine/>
    <w:semiHidden/>
    <w:qFormat/>
    <w:locked/>
    <w:uiPriority w:val="99"/>
    <w:rPr>
      <w:rFonts w:cs="Times New Roman"/>
      <w:sz w:val="24"/>
      <w:szCs w:val="24"/>
    </w:rPr>
  </w:style>
  <w:style w:type="character" w:customStyle="1" w:styleId="38">
    <w:name w:val="正文文本缩进 Char"/>
    <w:link w:val="8"/>
    <w:autoRedefine/>
    <w:semiHidden/>
    <w:qFormat/>
    <w:locked/>
    <w:uiPriority w:val="99"/>
    <w:rPr>
      <w:rFonts w:cs="Times New Roman"/>
      <w:sz w:val="24"/>
      <w:szCs w:val="24"/>
    </w:rPr>
  </w:style>
  <w:style w:type="character" w:customStyle="1" w:styleId="39">
    <w:name w:val="纯文本 Char"/>
    <w:link w:val="11"/>
    <w:autoRedefine/>
    <w:qFormat/>
    <w:locked/>
    <w:uiPriority w:val="99"/>
    <w:rPr>
      <w:rFonts w:ascii="宋体" w:hAnsi="Courier New" w:cs="Courier New"/>
      <w:sz w:val="21"/>
      <w:szCs w:val="21"/>
    </w:rPr>
  </w:style>
  <w:style w:type="character" w:customStyle="1" w:styleId="40">
    <w:name w:val="日期 Char"/>
    <w:link w:val="13"/>
    <w:autoRedefine/>
    <w:semiHidden/>
    <w:qFormat/>
    <w:locked/>
    <w:uiPriority w:val="99"/>
    <w:rPr>
      <w:rFonts w:cs="Times New Roman"/>
      <w:sz w:val="24"/>
      <w:szCs w:val="24"/>
    </w:rPr>
  </w:style>
  <w:style w:type="character" w:customStyle="1" w:styleId="41">
    <w:name w:val="正文文本缩进 2 Char"/>
    <w:link w:val="14"/>
    <w:autoRedefine/>
    <w:semiHidden/>
    <w:qFormat/>
    <w:locked/>
    <w:uiPriority w:val="99"/>
    <w:rPr>
      <w:rFonts w:cs="Times New Roman"/>
      <w:sz w:val="24"/>
      <w:szCs w:val="24"/>
    </w:rPr>
  </w:style>
  <w:style w:type="character" w:customStyle="1" w:styleId="42">
    <w:name w:val="批注框文本 Char"/>
    <w:link w:val="15"/>
    <w:autoRedefine/>
    <w:semiHidden/>
    <w:qFormat/>
    <w:locked/>
    <w:uiPriority w:val="99"/>
    <w:rPr>
      <w:rFonts w:cs="Times New Roman"/>
      <w:sz w:val="2"/>
    </w:rPr>
  </w:style>
  <w:style w:type="character" w:customStyle="1" w:styleId="43">
    <w:name w:val="页脚 Char"/>
    <w:link w:val="16"/>
    <w:autoRedefine/>
    <w:semiHidden/>
    <w:qFormat/>
    <w:locked/>
    <w:uiPriority w:val="99"/>
    <w:rPr>
      <w:rFonts w:cs="Times New Roman"/>
      <w:sz w:val="18"/>
      <w:szCs w:val="18"/>
    </w:rPr>
  </w:style>
  <w:style w:type="character" w:customStyle="1" w:styleId="44">
    <w:name w:val="页眉 Char"/>
    <w:link w:val="17"/>
    <w:autoRedefine/>
    <w:semiHidden/>
    <w:qFormat/>
    <w:locked/>
    <w:uiPriority w:val="99"/>
    <w:rPr>
      <w:rFonts w:cs="Times New Roman"/>
      <w:sz w:val="18"/>
      <w:szCs w:val="18"/>
    </w:rPr>
  </w:style>
  <w:style w:type="character" w:customStyle="1" w:styleId="45">
    <w:name w:val="正文文本缩进 3 Char"/>
    <w:link w:val="18"/>
    <w:autoRedefine/>
    <w:semiHidden/>
    <w:qFormat/>
    <w:locked/>
    <w:uiPriority w:val="99"/>
    <w:rPr>
      <w:rFonts w:cs="Times New Roman"/>
      <w:sz w:val="16"/>
      <w:szCs w:val="16"/>
    </w:rPr>
  </w:style>
  <w:style w:type="character" w:customStyle="1" w:styleId="46">
    <w:name w:val="正文文本 2 Char"/>
    <w:link w:val="19"/>
    <w:autoRedefine/>
    <w:semiHidden/>
    <w:qFormat/>
    <w:locked/>
    <w:uiPriority w:val="99"/>
    <w:rPr>
      <w:rFonts w:cs="Times New Roman"/>
      <w:sz w:val="24"/>
      <w:szCs w:val="24"/>
    </w:rPr>
  </w:style>
  <w:style w:type="character" w:customStyle="1" w:styleId="47">
    <w:name w:val="标题 Char"/>
    <w:link w:val="21"/>
    <w:autoRedefine/>
    <w:qFormat/>
    <w:locked/>
    <w:uiPriority w:val="99"/>
    <w:rPr>
      <w:rFonts w:ascii="Cambria" w:hAnsi="Cambria" w:cs="Times New Roman"/>
      <w:b/>
      <w:bCs/>
      <w:sz w:val="32"/>
      <w:szCs w:val="32"/>
    </w:rPr>
  </w:style>
  <w:style w:type="character" w:customStyle="1" w:styleId="48">
    <w:name w:val="批注主题 Char"/>
    <w:link w:val="22"/>
    <w:autoRedefine/>
    <w:semiHidden/>
    <w:qFormat/>
    <w:locked/>
    <w:uiPriority w:val="99"/>
    <w:rPr>
      <w:rFonts w:cs="Times New Roman"/>
      <w:b/>
      <w:bCs/>
      <w:sz w:val="24"/>
      <w:szCs w:val="24"/>
    </w:rPr>
  </w:style>
  <w:style w:type="character" w:customStyle="1" w:styleId="49">
    <w:name w:val="f12"/>
    <w:autoRedefine/>
    <w:qFormat/>
    <w:uiPriority w:val="99"/>
    <w:rPr>
      <w:rFonts w:cs="Times New Roman"/>
    </w:rPr>
  </w:style>
  <w:style w:type="paragraph" w:customStyle="1" w:styleId="50">
    <w:name w:val="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1">
    <w:name w:val="Char"/>
    <w:basedOn w:val="1"/>
    <w:autoRedefine/>
    <w:qFormat/>
    <w:uiPriority w:val="99"/>
    <w:pPr>
      <w:autoSpaceDE w:val="0"/>
      <w:autoSpaceDN w:val="0"/>
      <w:adjustRightInd w:val="0"/>
      <w:jc w:val="left"/>
      <w:textAlignment w:val="baseline"/>
    </w:pPr>
    <w:rPr>
      <w:rFonts w:ascii="宋体"/>
      <w:kern w:val="0"/>
      <w:sz w:val="34"/>
      <w:szCs w:val="20"/>
    </w:rPr>
  </w:style>
  <w:style w:type="character" w:customStyle="1" w:styleId="52">
    <w:name w:val="para_small1"/>
    <w:autoRedefine/>
    <w:qFormat/>
    <w:uiPriority w:val="99"/>
    <w:rPr>
      <w:rFonts w:ascii="Arial" w:hAnsi="Arial"/>
      <w:sz w:val="18"/>
    </w:rPr>
  </w:style>
  <w:style w:type="paragraph" w:customStyle="1" w:styleId="53">
    <w:name w:val="Table Text"/>
    <w:basedOn w:val="1"/>
    <w:autoRedefine/>
    <w:qFormat/>
    <w:uiPriority w:val="99"/>
    <w:pPr>
      <w:widowControl/>
      <w:spacing w:before="60" w:after="60"/>
      <w:jc w:val="left"/>
    </w:pPr>
    <w:rPr>
      <w:kern w:val="0"/>
    </w:rPr>
  </w:style>
  <w:style w:type="character" w:customStyle="1" w:styleId="54">
    <w:name w:val="theme1"/>
    <w:autoRedefine/>
    <w:qFormat/>
    <w:uiPriority w:val="99"/>
    <w:rPr>
      <w:rFonts w:ascii="Verdana" w:hAnsi="Verdana"/>
      <w:color w:val="666666"/>
      <w:spacing w:val="0"/>
      <w:sz w:val="18"/>
    </w:rPr>
  </w:style>
  <w:style w:type="character" w:customStyle="1" w:styleId="55">
    <w:name w:val="style21"/>
    <w:autoRedefine/>
    <w:qFormat/>
    <w:uiPriority w:val="99"/>
    <w:rPr>
      <w:color w:val="FFFFFF"/>
    </w:rPr>
  </w:style>
  <w:style w:type="paragraph" w:customStyle="1" w:styleId="56">
    <w:name w:val="Char1"/>
    <w:basedOn w:val="1"/>
    <w:autoRedefine/>
    <w:qFormat/>
    <w:uiPriority w:val="99"/>
    <w:pPr>
      <w:autoSpaceDE w:val="0"/>
      <w:autoSpaceDN w:val="0"/>
      <w:adjustRightInd w:val="0"/>
      <w:jc w:val="left"/>
    </w:pPr>
    <w:rPr>
      <w:rFonts w:ascii="宋体"/>
      <w:kern w:val="0"/>
      <w:sz w:val="34"/>
      <w:szCs w:val="20"/>
    </w:rPr>
  </w:style>
  <w:style w:type="paragraph" w:customStyle="1" w:styleId="57">
    <w:name w:val="a"/>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58">
    <w:name w:val="style1"/>
    <w:autoRedefine/>
    <w:qFormat/>
    <w:uiPriority w:val="99"/>
  </w:style>
  <w:style w:type="paragraph" w:customStyle="1" w:styleId="59">
    <w:name w:val="Char Char Char1 Char Char Char Char"/>
    <w:basedOn w:val="1"/>
    <w:autoRedefine/>
    <w:qFormat/>
    <w:uiPriority w:val="99"/>
    <w:rPr>
      <w:rFonts w:ascii="Wingdings 2" w:hAnsi="Wingdings 2"/>
    </w:rPr>
  </w:style>
  <w:style w:type="paragraph" w:styleId="60">
    <w:name w:val="List Paragraph"/>
    <w:basedOn w:val="1"/>
    <w:autoRedefine/>
    <w:qFormat/>
    <w:uiPriority w:val="99"/>
    <w:pPr>
      <w:ind w:firstLine="420" w:firstLineChars="200"/>
    </w:pPr>
  </w:style>
  <w:style w:type="paragraph" w:customStyle="1" w:styleId="61">
    <w:name w:val="样式5"/>
    <w:basedOn w:val="1"/>
    <w:autoRedefine/>
    <w:qFormat/>
    <w:uiPriority w:val="99"/>
    <w:rPr>
      <w:rFonts w:ascii="宋体" w:cs="宋体"/>
      <w:sz w:val="24"/>
    </w:rPr>
  </w:style>
  <w:style w:type="paragraph" w:customStyle="1" w:styleId="62">
    <w:name w:val="CM13"/>
    <w:basedOn w:val="1"/>
    <w:next w:val="1"/>
    <w:autoRedefine/>
    <w:qFormat/>
    <w:uiPriority w:val="99"/>
    <w:pPr>
      <w:autoSpaceDE w:val="0"/>
      <w:autoSpaceDN w:val="0"/>
      <w:spacing w:after="170"/>
      <w:jc w:val="left"/>
    </w:pPr>
    <w:rPr>
      <w:rFonts w:ascii="华文细黑" w:eastAsia="华文细黑"/>
      <w:sz w:val="24"/>
    </w:rPr>
  </w:style>
  <w:style w:type="paragraph" w:customStyle="1" w:styleId="6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hfdz</Company>
  <Pages>20</Pages>
  <Words>10419</Words>
  <Characters>11479</Characters>
  <Lines>77</Lines>
  <Paragraphs>21</Paragraphs>
  <TotalTime>0</TotalTime>
  <ScaleCrop>false</ScaleCrop>
  <LinksUpToDate>false</LinksUpToDate>
  <CharactersWithSpaces>11571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2020-07-01T00:12:00Z</dcterms:created>
  <dc:creator>tr</dc:creator>
  <cp:lastModifiedBy>吸一口氧</cp:lastModifiedBy>
  <cp:lastPrinted>2025-08-22T06:40:59Z</cp:lastPrinted>
  <dcterms:modified xsi:type="dcterms:W3CDTF">2025-08-22T06:41:06Z</dcterms:modified>
  <dc:title>政府采购招标书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9334E350052A4C8EA97FAC66BA31D6FD_13</vt:lpwstr>
  </property>
  <property fmtid="{D5CDD505-2E9C-101B-9397-08002B2CF9AE}" pid="4" name="KSOTemplateDocerSaveRecord">
    <vt:lpwstr>eyJoZGlkIjoiMmVmYzg3ZmFkNmExZmI3Y2VjOWQ3MTRkMDI5MDk1YTYiLCJ1c2VySWQiOiIxMjM5ODYwMDYzIn0=</vt:lpwstr>
  </property>
</Properties>
</file>