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39" w:rsidRDefault="004F2403">
      <w:pPr>
        <w:pStyle w:val="CharCharCharChar"/>
        <w:spacing w:line="560" w:lineRule="exact"/>
        <w:jc w:val="center"/>
        <w:rPr>
          <w:rFonts w:eastAsia="方正小标宋_GBK"/>
          <w:sz w:val="44"/>
          <w:szCs w:val="44"/>
        </w:rPr>
      </w:pPr>
      <w:r>
        <w:rPr>
          <w:rFonts w:eastAsia="方正小标宋_GBK"/>
          <w:sz w:val="44"/>
          <w:szCs w:val="44"/>
        </w:rPr>
        <w:t>启东市工业企业资源集约利用综合评价办法</w:t>
      </w:r>
    </w:p>
    <w:p w:rsidR="006E5539" w:rsidRDefault="006E5539">
      <w:pPr>
        <w:pStyle w:val="CharCharCharChar"/>
        <w:spacing w:line="560" w:lineRule="exact"/>
        <w:rPr>
          <w:rFonts w:eastAsia="方正仿宋_GBK"/>
          <w:sz w:val="32"/>
          <w:szCs w:val="20"/>
        </w:rPr>
      </w:pPr>
    </w:p>
    <w:p w:rsidR="006E5539" w:rsidRDefault="004F2403">
      <w:pPr>
        <w:pStyle w:val="CharCharCharChar"/>
        <w:spacing w:line="560" w:lineRule="exact"/>
        <w:ind w:firstLineChars="200" w:firstLine="640"/>
        <w:rPr>
          <w:sz w:val="32"/>
          <w:szCs w:val="20"/>
        </w:rPr>
      </w:pPr>
      <w:r>
        <w:rPr>
          <w:sz w:val="32"/>
          <w:szCs w:val="20"/>
        </w:rPr>
        <w:t>为进一步深化供给侧结构性改革，科学评价我市工业企业资源利用水平，完善资源要素差别化配置政策，健全我市工业企业提高单位资源产出效益的正向激励、反向倒逼机制，</w:t>
      </w:r>
      <w:r>
        <w:rPr>
          <w:sz w:val="32"/>
          <w:szCs w:val="20"/>
        </w:rPr>
        <w:t>加快低效闲置产业用地再开发，</w:t>
      </w:r>
      <w:r>
        <w:rPr>
          <w:sz w:val="32"/>
          <w:szCs w:val="20"/>
        </w:rPr>
        <w:t>促进企业提质增效，推进产业结构调整和转型升级，</w:t>
      </w:r>
      <w:r>
        <w:rPr>
          <w:sz w:val="32"/>
          <w:szCs w:val="20"/>
        </w:rPr>
        <w:t>实现工业经济持续高质量发展，特修订出台</w:t>
      </w:r>
      <w:r>
        <w:rPr>
          <w:sz w:val="32"/>
          <w:szCs w:val="20"/>
        </w:rPr>
        <w:t>本评价办法。</w:t>
      </w:r>
    </w:p>
    <w:p w:rsidR="006E5539" w:rsidRDefault="004F2403">
      <w:pPr>
        <w:numPr>
          <w:ilvl w:val="0"/>
          <w:numId w:val="1"/>
        </w:numPr>
        <w:spacing w:line="560" w:lineRule="exact"/>
        <w:ind w:left="0" w:firstLineChars="200" w:firstLine="640"/>
        <w:rPr>
          <w:rFonts w:eastAsia="黑体"/>
        </w:rPr>
      </w:pPr>
      <w:r>
        <w:rPr>
          <w:rFonts w:eastAsia="黑体"/>
        </w:rPr>
        <w:t>总体要求</w:t>
      </w:r>
    </w:p>
    <w:p w:rsidR="006E5539" w:rsidRDefault="004F2403">
      <w:pPr>
        <w:numPr>
          <w:ilvl w:val="0"/>
          <w:numId w:val="2"/>
        </w:numPr>
        <w:spacing w:line="560" w:lineRule="exact"/>
        <w:ind w:firstLineChars="200" w:firstLine="640"/>
        <w:rPr>
          <w:rFonts w:eastAsia="楷体_GB2312"/>
        </w:rPr>
      </w:pPr>
      <w:r>
        <w:rPr>
          <w:rFonts w:eastAsia="楷体_GB2312"/>
        </w:rPr>
        <w:t>指导思想</w:t>
      </w:r>
    </w:p>
    <w:p w:rsidR="006E5539" w:rsidRDefault="004F2403">
      <w:pPr>
        <w:pStyle w:val="CharCharCharChar"/>
        <w:spacing w:line="560" w:lineRule="exact"/>
        <w:ind w:firstLineChars="200" w:firstLine="640"/>
        <w:rPr>
          <w:sz w:val="32"/>
          <w:szCs w:val="20"/>
        </w:rPr>
      </w:pPr>
      <w:r>
        <w:rPr>
          <w:sz w:val="32"/>
          <w:szCs w:val="32"/>
        </w:rPr>
        <w:t>以习近平新时代中国特色社会主义思想为指引，完整准确全面贯彻新发展理念，</w:t>
      </w:r>
      <w:r>
        <w:rPr>
          <w:sz w:val="32"/>
          <w:szCs w:val="20"/>
        </w:rPr>
        <w:t>坚持</w:t>
      </w:r>
      <w:r>
        <w:rPr>
          <w:sz w:val="32"/>
          <w:szCs w:val="20"/>
        </w:rPr>
        <w:t>“</w:t>
      </w:r>
      <w:r>
        <w:rPr>
          <w:sz w:val="32"/>
          <w:szCs w:val="20"/>
        </w:rPr>
        <w:t>亩均论英雄</w:t>
      </w:r>
      <w:r>
        <w:rPr>
          <w:sz w:val="32"/>
          <w:szCs w:val="20"/>
        </w:rPr>
        <w:t>”“</w:t>
      </w:r>
      <w:r>
        <w:rPr>
          <w:sz w:val="32"/>
          <w:szCs w:val="20"/>
        </w:rPr>
        <w:t>创新论英雄</w:t>
      </w:r>
      <w:r>
        <w:rPr>
          <w:sz w:val="32"/>
          <w:szCs w:val="20"/>
        </w:rPr>
        <w:t>”“</w:t>
      </w:r>
      <w:r>
        <w:rPr>
          <w:sz w:val="32"/>
          <w:szCs w:val="20"/>
        </w:rPr>
        <w:t>绿色论英雄</w:t>
      </w:r>
      <w:r>
        <w:rPr>
          <w:sz w:val="32"/>
          <w:szCs w:val="20"/>
        </w:rPr>
        <w:t>”</w:t>
      </w:r>
      <w:r>
        <w:rPr>
          <w:sz w:val="32"/>
          <w:szCs w:val="20"/>
        </w:rPr>
        <w:t>导向，深入推进全市工业企业资源集约利用综合评价工作。以</w:t>
      </w:r>
      <w:r>
        <w:rPr>
          <w:sz w:val="32"/>
          <w:szCs w:val="20"/>
        </w:rPr>
        <w:t>集约发展</w:t>
      </w:r>
      <w:r>
        <w:rPr>
          <w:sz w:val="32"/>
          <w:szCs w:val="20"/>
        </w:rPr>
        <w:t>、科技创新、绿色安全等为主要评价内容，建立科学合理的综合评价机制</w:t>
      </w:r>
      <w:r>
        <w:rPr>
          <w:sz w:val="32"/>
          <w:szCs w:val="20"/>
        </w:rPr>
        <w:t>，</w:t>
      </w:r>
      <w:r>
        <w:rPr>
          <w:sz w:val="32"/>
          <w:szCs w:val="20"/>
        </w:rPr>
        <w:t>出台差别化政策，实施资源差别化配置，淘汰低端低效产能，破解资源环境制约，促进工业企业提质增效，推动我市制造业向中高端攀升。</w:t>
      </w:r>
    </w:p>
    <w:p w:rsidR="006E5539" w:rsidRDefault="004F2403">
      <w:pPr>
        <w:numPr>
          <w:ilvl w:val="0"/>
          <w:numId w:val="2"/>
        </w:numPr>
        <w:spacing w:line="560" w:lineRule="exact"/>
        <w:ind w:firstLineChars="200" w:firstLine="640"/>
        <w:rPr>
          <w:rFonts w:eastAsia="楷体_GB2312"/>
        </w:rPr>
      </w:pPr>
      <w:r>
        <w:rPr>
          <w:rFonts w:eastAsia="楷体_GB2312"/>
        </w:rPr>
        <w:t>基本原则</w:t>
      </w:r>
    </w:p>
    <w:p w:rsidR="006E5539" w:rsidRDefault="004F2403">
      <w:pPr>
        <w:numPr>
          <w:ilvl w:val="0"/>
          <w:numId w:val="3"/>
        </w:numPr>
        <w:spacing w:line="560" w:lineRule="exact"/>
        <w:ind w:firstLineChars="200" w:firstLine="643"/>
        <w:rPr>
          <w:rFonts w:eastAsia="仿宋_GB2312"/>
          <w:snapToGrid/>
          <w:kern w:val="2"/>
        </w:rPr>
      </w:pPr>
      <w:r>
        <w:rPr>
          <w:rFonts w:eastAsia="仿宋_GB2312"/>
          <w:b/>
          <w:bCs/>
        </w:rPr>
        <w:t>客观公正</w:t>
      </w:r>
      <w:r>
        <w:rPr>
          <w:rFonts w:eastAsia="仿宋_GB2312"/>
          <w:b/>
          <w:bCs/>
          <w:szCs w:val="32"/>
        </w:rPr>
        <w:t>。</w:t>
      </w:r>
      <w:r>
        <w:rPr>
          <w:rFonts w:eastAsia="仿宋_GB2312"/>
          <w:snapToGrid/>
          <w:kern w:val="2"/>
        </w:rPr>
        <w:t>统一评价指标体系，统一评价结果分类，统一评价系统平台，注重评价采集数据的原始性。</w:t>
      </w:r>
    </w:p>
    <w:p w:rsidR="006E5539" w:rsidRDefault="004F2403">
      <w:pPr>
        <w:numPr>
          <w:ilvl w:val="0"/>
          <w:numId w:val="3"/>
        </w:numPr>
        <w:spacing w:line="560" w:lineRule="exact"/>
        <w:ind w:firstLineChars="200" w:firstLine="643"/>
        <w:rPr>
          <w:rFonts w:eastAsia="仿宋_GB2312"/>
          <w:snapToGrid/>
          <w:kern w:val="2"/>
        </w:rPr>
      </w:pPr>
      <w:r>
        <w:rPr>
          <w:rFonts w:eastAsia="仿宋_GB2312"/>
          <w:b/>
          <w:bCs/>
        </w:rPr>
        <w:t>效益优先。</w:t>
      </w:r>
      <w:r>
        <w:rPr>
          <w:rFonts w:eastAsia="仿宋_GB2312"/>
          <w:snapToGrid/>
          <w:kern w:val="2"/>
        </w:rPr>
        <w:t>评价指标体系以亩均效益为核心，安全生产、环境保护为门槛，注重企业综合素质的提升。</w:t>
      </w:r>
    </w:p>
    <w:p w:rsidR="006E5539" w:rsidRDefault="004F2403">
      <w:pPr>
        <w:numPr>
          <w:ilvl w:val="0"/>
          <w:numId w:val="3"/>
        </w:numPr>
        <w:spacing w:line="560" w:lineRule="exact"/>
        <w:ind w:firstLineChars="200" w:firstLine="643"/>
        <w:rPr>
          <w:rFonts w:eastAsia="仿宋_GB2312"/>
          <w:snapToGrid/>
          <w:kern w:val="2"/>
        </w:rPr>
      </w:pPr>
      <w:r>
        <w:rPr>
          <w:rFonts w:eastAsia="仿宋_GB2312"/>
          <w:b/>
          <w:bCs/>
        </w:rPr>
        <w:t>分类施策。</w:t>
      </w:r>
      <w:r>
        <w:rPr>
          <w:rFonts w:eastAsia="仿宋_GB2312"/>
          <w:snapToGrid/>
          <w:kern w:val="2"/>
        </w:rPr>
        <w:t>根据评价结果，制定差别化政策，有步骤、</w:t>
      </w:r>
      <w:r>
        <w:rPr>
          <w:rFonts w:eastAsia="仿宋_GB2312"/>
          <w:snapToGrid/>
          <w:kern w:val="2"/>
        </w:rPr>
        <w:lastRenderedPageBreak/>
        <w:t>分阶段地实施运用，推动资源向高效益、高产出、高技术、高成长性企业集聚，倒</w:t>
      </w:r>
      <w:proofErr w:type="gramStart"/>
      <w:r>
        <w:rPr>
          <w:rFonts w:eastAsia="仿宋_GB2312"/>
          <w:snapToGrid/>
          <w:kern w:val="2"/>
        </w:rPr>
        <w:t>逼落后</w:t>
      </w:r>
      <w:proofErr w:type="gramEnd"/>
      <w:r>
        <w:rPr>
          <w:rFonts w:eastAsia="仿宋_GB2312"/>
          <w:snapToGrid/>
          <w:kern w:val="2"/>
        </w:rPr>
        <w:t>和严重过剩产能退出、低效企业转型。</w:t>
      </w:r>
    </w:p>
    <w:p w:rsidR="006E5539" w:rsidRDefault="004F2403">
      <w:pPr>
        <w:numPr>
          <w:ilvl w:val="0"/>
          <w:numId w:val="2"/>
        </w:numPr>
        <w:spacing w:line="560" w:lineRule="exact"/>
        <w:ind w:firstLineChars="200" w:firstLine="640"/>
        <w:rPr>
          <w:rFonts w:eastAsia="楷体_GB2312"/>
        </w:rPr>
      </w:pPr>
      <w:r>
        <w:rPr>
          <w:rFonts w:eastAsia="楷体_GB2312"/>
        </w:rPr>
        <w:t>工作目标</w:t>
      </w:r>
    </w:p>
    <w:p w:rsidR="006E5539" w:rsidRDefault="004F2403">
      <w:pPr>
        <w:pStyle w:val="CharCharCharChar"/>
        <w:spacing w:line="560" w:lineRule="exact"/>
        <w:ind w:firstLineChars="200" w:firstLine="640"/>
        <w:rPr>
          <w:sz w:val="32"/>
          <w:szCs w:val="20"/>
        </w:rPr>
      </w:pPr>
      <w:r>
        <w:rPr>
          <w:sz w:val="32"/>
          <w:szCs w:val="20"/>
        </w:rPr>
        <w:t>通过三年持续对全市应税销售</w:t>
      </w:r>
      <w:r>
        <w:rPr>
          <w:sz w:val="32"/>
          <w:szCs w:val="20"/>
        </w:rPr>
        <w:t>500</w:t>
      </w:r>
      <w:r>
        <w:rPr>
          <w:sz w:val="32"/>
          <w:szCs w:val="20"/>
        </w:rPr>
        <w:t>万元及以上的工业企业开展资源集约利用综合评价，并创新完善资源要素差别化配置政策，加强正向激励和反向倒逼，引导资源要素向先进生产力集聚。计划到</w:t>
      </w:r>
      <w:r>
        <w:rPr>
          <w:sz w:val="32"/>
          <w:szCs w:val="20"/>
        </w:rPr>
        <w:t>2024</w:t>
      </w:r>
      <w:r>
        <w:rPr>
          <w:sz w:val="32"/>
          <w:szCs w:val="20"/>
        </w:rPr>
        <w:t>年末，全面完成对近</w:t>
      </w:r>
      <w:r>
        <w:rPr>
          <w:sz w:val="32"/>
          <w:szCs w:val="20"/>
        </w:rPr>
        <w:t>3</w:t>
      </w:r>
      <w:r>
        <w:rPr>
          <w:sz w:val="32"/>
          <w:szCs w:val="20"/>
        </w:rPr>
        <w:t>年亩均税收</w:t>
      </w:r>
      <w:r>
        <w:rPr>
          <w:sz w:val="32"/>
          <w:szCs w:val="20"/>
        </w:rPr>
        <w:t>1</w:t>
      </w:r>
      <w:r>
        <w:rPr>
          <w:sz w:val="32"/>
          <w:szCs w:val="20"/>
        </w:rPr>
        <w:t>万元以下低端低效工业企业的改造提升和处置淘汰，省级以上开发园区改造提升和处置淘汰的门槛提升至亩均税收</w:t>
      </w:r>
      <w:r>
        <w:rPr>
          <w:sz w:val="32"/>
          <w:szCs w:val="20"/>
        </w:rPr>
        <w:t>3</w:t>
      </w:r>
      <w:r>
        <w:rPr>
          <w:sz w:val="32"/>
          <w:szCs w:val="20"/>
        </w:rPr>
        <w:t>万元；全市所有工业企业实现亩均销售超</w:t>
      </w:r>
      <w:r>
        <w:rPr>
          <w:sz w:val="32"/>
          <w:szCs w:val="20"/>
        </w:rPr>
        <w:t>500</w:t>
      </w:r>
      <w:r>
        <w:rPr>
          <w:sz w:val="32"/>
          <w:szCs w:val="20"/>
        </w:rPr>
        <w:t>万元、亩均税收超</w:t>
      </w:r>
      <w:r>
        <w:rPr>
          <w:sz w:val="32"/>
          <w:szCs w:val="20"/>
        </w:rPr>
        <w:t>13</w:t>
      </w:r>
      <w:r>
        <w:rPr>
          <w:sz w:val="32"/>
          <w:szCs w:val="20"/>
        </w:rPr>
        <w:t>万元；全市</w:t>
      </w:r>
      <w:proofErr w:type="gramStart"/>
      <w:r>
        <w:rPr>
          <w:sz w:val="32"/>
          <w:szCs w:val="20"/>
        </w:rPr>
        <w:t>规</w:t>
      </w:r>
      <w:proofErr w:type="gramEnd"/>
      <w:r>
        <w:rPr>
          <w:sz w:val="32"/>
          <w:szCs w:val="20"/>
        </w:rPr>
        <w:t>上工业企业实现亩均销售超</w:t>
      </w:r>
      <w:r>
        <w:rPr>
          <w:sz w:val="32"/>
          <w:szCs w:val="20"/>
        </w:rPr>
        <w:t>600</w:t>
      </w:r>
      <w:r>
        <w:rPr>
          <w:sz w:val="32"/>
          <w:szCs w:val="20"/>
        </w:rPr>
        <w:t>万元、亩均税收超</w:t>
      </w:r>
      <w:r>
        <w:rPr>
          <w:sz w:val="32"/>
          <w:szCs w:val="20"/>
        </w:rPr>
        <w:t>15</w:t>
      </w:r>
      <w:r>
        <w:rPr>
          <w:sz w:val="32"/>
          <w:szCs w:val="20"/>
        </w:rPr>
        <w:t>万元，资源集约利用程度明显提高，经济发展质量效益明显提升，创新能力强、生产效率高、资源消耗少的现代产业体系初步形成。</w:t>
      </w:r>
    </w:p>
    <w:p w:rsidR="006E5539" w:rsidRDefault="004F2403">
      <w:pPr>
        <w:numPr>
          <w:ilvl w:val="0"/>
          <w:numId w:val="1"/>
        </w:numPr>
        <w:spacing w:line="560" w:lineRule="exact"/>
        <w:ind w:left="0" w:firstLineChars="200" w:firstLine="640"/>
        <w:rPr>
          <w:rFonts w:eastAsia="黑体"/>
        </w:rPr>
      </w:pPr>
      <w:r>
        <w:rPr>
          <w:rFonts w:eastAsia="黑体"/>
        </w:rPr>
        <w:t>评价主体</w:t>
      </w:r>
    </w:p>
    <w:p w:rsidR="006E5539" w:rsidRDefault="004F2403">
      <w:pPr>
        <w:pStyle w:val="CharCharCharChar"/>
        <w:spacing w:line="560" w:lineRule="exact"/>
        <w:ind w:firstLineChars="200" w:firstLine="640"/>
        <w:rPr>
          <w:sz w:val="32"/>
          <w:szCs w:val="20"/>
        </w:rPr>
      </w:pPr>
      <w:r>
        <w:rPr>
          <w:sz w:val="32"/>
          <w:szCs w:val="20"/>
        </w:rPr>
        <w:t>市工业企业资源集约利用综合评价工作领导小组办公室。</w:t>
      </w:r>
    </w:p>
    <w:p w:rsidR="006E5539" w:rsidRDefault="004F2403">
      <w:pPr>
        <w:numPr>
          <w:ilvl w:val="0"/>
          <w:numId w:val="1"/>
        </w:numPr>
        <w:spacing w:line="560" w:lineRule="exact"/>
        <w:ind w:left="0" w:firstLineChars="200" w:firstLine="640"/>
        <w:rPr>
          <w:rFonts w:eastAsia="黑体"/>
        </w:rPr>
      </w:pPr>
      <w:r>
        <w:rPr>
          <w:rFonts w:eastAsia="黑体"/>
        </w:rPr>
        <w:t>评价对象</w:t>
      </w:r>
    </w:p>
    <w:p w:rsidR="006E5539" w:rsidRDefault="004F2403">
      <w:pPr>
        <w:spacing w:line="560" w:lineRule="exact"/>
        <w:ind w:firstLineChars="200" w:firstLine="640"/>
        <w:rPr>
          <w:rFonts w:eastAsia="仿宋_GB2312"/>
          <w:snapToGrid/>
          <w:kern w:val="2"/>
        </w:rPr>
      </w:pPr>
      <w:r>
        <w:rPr>
          <w:rFonts w:eastAsia="仿宋_GB2312"/>
          <w:snapToGrid/>
          <w:kern w:val="2"/>
        </w:rPr>
        <w:t>全市应税销售</w:t>
      </w:r>
      <w:r>
        <w:rPr>
          <w:rFonts w:eastAsia="仿宋_GB2312"/>
          <w:snapToGrid/>
          <w:kern w:val="2"/>
        </w:rPr>
        <w:t>500</w:t>
      </w:r>
      <w:r>
        <w:rPr>
          <w:rFonts w:eastAsia="仿宋_GB2312"/>
          <w:snapToGrid/>
          <w:kern w:val="2"/>
        </w:rPr>
        <w:t>万元及以上的工业企业（电力、热力、燃气及水的生产和供应业企业除外）需参加评价。由税务部门提供</w:t>
      </w:r>
      <w:r>
        <w:rPr>
          <w:rFonts w:eastAsia="仿宋_GB2312"/>
          <w:snapToGrid/>
          <w:kern w:val="2"/>
        </w:rPr>
        <w:t>2020</w:t>
      </w:r>
      <w:r>
        <w:rPr>
          <w:rFonts w:eastAsia="仿宋_GB2312"/>
          <w:snapToGrid/>
          <w:kern w:val="2"/>
        </w:rPr>
        <w:t>年和</w:t>
      </w:r>
      <w:r>
        <w:rPr>
          <w:rFonts w:eastAsia="仿宋_GB2312"/>
          <w:snapToGrid/>
          <w:kern w:val="2"/>
        </w:rPr>
        <w:t>2021</w:t>
      </w:r>
      <w:r>
        <w:rPr>
          <w:rFonts w:eastAsia="仿宋_GB2312"/>
          <w:snapToGrid/>
          <w:kern w:val="2"/>
        </w:rPr>
        <w:t>年年度应税销售</w:t>
      </w:r>
      <w:r>
        <w:rPr>
          <w:rFonts w:eastAsia="仿宋_GB2312"/>
          <w:snapToGrid/>
          <w:kern w:val="2"/>
        </w:rPr>
        <w:t>500</w:t>
      </w:r>
      <w:r>
        <w:rPr>
          <w:rFonts w:eastAsia="仿宋_GB2312"/>
          <w:snapToGrid/>
          <w:kern w:val="2"/>
        </w:rPr>
        <w:t>万元及以上工业企业名单，市发展改革委梳理并确定评价企业范围。</w:t>
      </w:r>
    </w:p>
    <w:p w:rsidR="006E5539" w:rsidRDefault="004F2403">
      <w:pPr>
        <w:numPr>
          <w:ilvl w:val="0"/>
          <w:numId w:val="4"/>
        </w:numPr>
        <w:spacing w:line="560" w:lineRule="exact"/>
        <w:ind w:firstLineChars="200" w:firstLine="640"/>
        <w:rPr>
          <w:rFonts w:eastAsia="仿宋_GB2312"/>
          <w:szCs w:val="32"/>
        </w:rPr>
      </w:pPr>
      <w:r>
        <w:rPr>
          <w:rFonts w:eastAsia="仿宋_GB2312"/>
          <w:szCs w:val="32"/>
        </w:rPr>
        <w:t>独立占地企业（含出租企</w:t>
      </w:r>
      <w:r>
        <w:rPr>
          <w:rFonts w:eastAsia="仿宋_GB2312"/>
          <w:szCs w:val="32"/>
        </w:rPr>
        <w:t>业）按法人主体进行评价，租用厂房企业按宗地进行评价。宗地内所有租用厂房土地的企业相</w:t>
      </w:r>
      <w:r>
        <w:rPr>
          <w:rFonts w:eastAsia="仿宋_GB2312"/>
          <w:szCs w:val="32"/>
        </w:rPr>
        <w:lastRenderedPageBreak/>
        <w:t>关数据计和处理用于评价，宗地评价结果即为地块内所有企业的评价结果。</w:t>
      </w:r>
      <w:r>
        <w:rPr>
          <w:rFonts w:eastAsia="仿宋_GB2312"/>
          <w:szCs w:val="32"/>
        </w:rPr>
        <w:t xml:space="preserve"> </w:t>
      </w:r>
    </w:p>
    <w:p w:rsidR="006E5539" w:rsidRDefault="004F2403">
      <w:pPr>
        <w:numPr>
          <w:ilvl w:val="0"/>
          <w:numId w:val="4"/>
        </w:numPr>
        <w:spacing w:line="560" w:lineRule="exact"/>
        <w:ind w:firstLineChars="200" w:firstLine="640"/>
        <w:rPr>
          <w:rFonts w:eastAsia="仿宋_GB2312"/>
          <w:szCs w:val="32"/>
        </w:rPr>
      </w:pPr>
      <w:r>
        <w:rPr>
          <w:rFonts w:eastAsia="仿宋_GB2312"/>
          <w:szCs w:val="32"/>
        </w:rPr>
        <w:t>新供地未满三年的企业、初创期科技型企业原则上不参与评价，以宗地评价时扣除相应的评价数据。</w:t>
      </w:r>
    </w:p>
    <w:p w:rsidR="006E5539" w:rsidRDefault="004F2403">
      <w:pPr>
        <w:numPr>
          <w:ilvl w:val="0"/>
          <w:numId w:val="1"/>
        </w:numPr>
        <w:spacing w:line="560" w:lineRule="exact"/>
        <w:ind w:left="0" w:firstLineChars="200" w:firstLine="640"/>
        <w:rPr>
          <w:rFonts w:eastAsia="黑体"/>
        </w:rPr>
      </w:pPr>
      <w:r>
        <w:rPr>
          <w:rFonts w:eastAsia="黑体"/>
        </w:rPr>
        <w:t>评价指标</w:t>
      </w:r>
    </w:p>
    <w:p w:rsidR="006E5539" w:rsidRDefault="004F2403">
      <w:pPr>
        <w:spacing w:line="560" w:lineRule="exact"/>
        <w:ind w:firstLine="615"/>
        <w:rPr>
          <w:rFonts w:eastAsia="仿宋_GB2312"/>
          <w:szCs w:val="32"/>
        </w:rPr>
      </w:pPr>
      <w:r>
        <w:rPr>
          <w:rFonts w:eastAsia="仿宋_GB2312"/>
          <w:szCs w:val="32"/>
        </w:rPr>
        <w:t>评价满分为</w:t>
      </w:r>
      <w:r>
        <w:rPr>
          <w:rFonts w:eastAsia="仿宋_GB2312"/>
          <w:szCs w:val="32"/>
        </w:rPr>
        <w:t>100</w:t>
      </w:r>
      <w:r>
        <w:rPr>
          <w:rFonts w:eastAsia="仿宋_GB2312"/>
          <w:szCs w:val="32"/>
        </w:rPr>
        <w:t>分，评价指标共分三大项，权重分值分别为：集约发展指标</w:t>
      </w:r>
      <w:r>
        <w:rPr>
          <w:rFonts w:eastAsia="仿宋_GB2312"/>
          <w:szCs w:val="32"/>
        </w:rPr>
        <w:t>65</w:t>
      </w:r>
      <w:r>
        <w:rPr>
          <w:rFonts w:eastAsia="仿宋_GB2312"/>
          <w:szCs w:val="32"/>
        </w:rPr>
        <w:t>分、科技创新指标</w:t>
      </w:r>
      <w:r>
        <w:rPr>
          <w:rFonts w:eastAsia="仿宋_GB2312"/>
          <w:szCs w:val="32"/>
        </w:rPr>
        <w:t>20</w:t>
      </w:r>
      <w:r>
        <w:rPr>
          <w:rFonts w:eastAsia="仿宋_GB2312"/>
          <w:szCs w:val="32"/>
        </w:rPr>
        <w:t>分、绿色安全指标</w:t>
      </w:r>
      <w:r>
        <w:rPr>
          <w:rFonts w:eastAsia="仿宋_GB2312"/>
          <w:szCs w:val="32"/>
        </w:rPr>
        <w:t>15</w:t>
      </w:r>
      <w:r>
        <w:rPr>
          <w:rFonts w:eastAsia="仿宋_GB2312"/>
          <w:szCs w:val="32"/>
        </w:rPr>
        <w:t>分。</w:t>
      </w:r>
    </w:p>
    <w:p w:rsidR="006E5539" w:rsidRDefault="004F2403">
      <w:pPr>
        <w:numPr>
          <w:ilvl w:val="0"/>
          <w:numId w:val="5"/>
        </w:numPr>
        <w:spacing w:line="560" w:lineRule="exact"/>
        <w:ind w:left="0" w:firstLine="640"/>
        <w:rPr>
          <w:rFonts w:eastAsia="仿宋_GB2312"/>
          <w:szCs w:val="32"/>
        </w:rPr>
      </w:pPr>
      <w:r>
        <w:rPr>
          <w:rFonts w:eastAsia="仿宋_GB2312"/>
          <w:szCs w:val="32"/>
        </w:rPr>
        <w:t>集约发展指标主要评价企业资源集约利用水平，分为两个二级指标：亩均税收权重分值为</w:t>
      </w:r>
      <w:r>
        <w:rPr>
          <w:rFonts w:eastAsia="仿宋_GB2312"/>
          <w:szCs w:val="32"/>
        </w:rPr>
        <w:t>45</w:t>
      </w:r>
      <w:r>
        <w:rPr>
          <w:rFonts w:eastAsia="仿宋_GB2312"/>
          <w:szCs w:val="32"/>
        </w:rPr>
        <w:t>分、亩均销售权重分值为</w:t>
      </w:r>
      <w:r>
        <w:rPr>
          <w:rFonts w:eastAsia="仿宋_GB2312"/>
          <w:szCs w:val="32"/>
        </w:rPr>
        <w:t>20</w:t>
      </w:r>
      <w:r>
        <w:rPr>
          <w:rFonts w:eastAsia="仿宋_GB2312"/>
          <w:szCs w:val="32"/>
        </w:rPr>
        <w:t>分。</w:t>
      </w:r>
    </w:p>
    <w:p w:rsidR="006E5539" w:rsidRDefault="004F2403">
      <w:pPr>
        <w:numPr>
          <w:ilvl w:val="0"/>
          <w:numId w:val="5"/>
        </w:numPr>
        <w:spacing w:line="560" w:lineRule="exact"/>
        <w:ind w:left="0" w:firstLine="640"/>
        <w:rPr>
          <w:rFonts w:eastAsia="仿宋_GB2312"/>
          <w:szCs w:val="32"/>
        </w:rPr>
      </w:pPr>
      <w:r>
        <w:rPr>
          <w:rFonts w:eastAsia="仿宋_GB2312"/>
          <w:szCs w:val="32"/>
        </w:rPr>
        <w:t>科技创新指标主要评价企业科技创新水平，权重分值为</w:t>
      </w:r>
      <w:r>
        <w:rPr>
          <w:rFonts w:eastAsia="仿宋_GB2312"/>
          <w:szCs w:val="32"/>
        </w:rPr>
        <w:t>20</w:t>
      </w:r>
      <w:r>
        <w:rPr>
          <w:rFonts w:eastAsia="仿宋_GB2312"/>
          <w:szCs w:val="32"/>
        </w:rPr>
        <w:t>分。企业该单项指标计分办法如下：</w:t>
      </w:r>
    </w:p>
    <w:p w:rsidR="006E5539" w:rsidRDefault="004F2403">
      <w:pPr>
        <w:spacing w:line="300" w:lineRule="exact"/>
        <w:ind w:firstLine="0"/>
        <w:rPr>
          <w:szCs w:val="32"/>
        </w:rPr>
      </w:pPr>
      <w:r>
        <w:rPr>
          <w:szCs w:val="32"/>
        </w:rPr>
        <w:t xml:space="preserve"> </w:t>
      </w:r>
    </w:p>
    <w:tbl>
      <w:tblPr>
        <w:tblStyle w:val="a6"/>
        <w:tblW w:w="8578" w:type="dxa"/>
        <w:tblInd w:w="244" w:type="dxa"/>
        <w:tblLook w:val="04A0" w:firstRow="1" w:lastRow="0" w:firstColumn="1" w:lastColumn="0" w:noHBand="0" w:noVBand="1"/>
      </w:tblPr>
      <w:tblGrid>
        <w:gridCol w:w="696"/>
        <w:gridCol w:w="4959"/>
        <w:gridCol w:w="1650"/>
        <w:gridCol w:w="1273"/>
      </w:tblGrid>
      <w:tr w:rsidR="006E5539">
        <w:trPr>
          <w:trHeight w:val="303"/>
          <w:tblHeader/>
        </w:trPr>
        <w:tc>
          <w:tcPr>
            <w:tcW w:w="696" w:type="dxa"/>
            <w:vAlign w:val="center"/>
          </w:tcPr>
          <w:p w:rsidR="006E5539" w:rsidRDefault="004F2403">
            <w:pPr>
              <w:autoSpaceDE/>
              <w:autoSpaceDN/>
              <w:snapToGrid/>
              <w:spacing w:line="240" w:lineRule="exact"/>
              <w:ind w:firstLine="0"/>
              <w:jc w:val="center"/>
              <w:rPr>
                <w:rFonts w:ascii="黑体" w:eastAsia="黑体" w:hAnsi="黑体" w:cs="黑体"/>
                <w:snapToGrid/>
                <w:sz w:val="21"/>
                <w:szCs w:val="21"/>
              </w:rPr>
            </w:pPr>
            <w:r>
              <w:rPr>
                <w:rFonts w:ascii="黑体" w:eastAsia="黑体" w:hAnsi="黑体" w:cs="黑体" w:hint="eastAsia"/>
                <w:snapToGrid/>
                <w:sz w:val="21"/>
                <w:szCs w:val="21"/>
              </w:rPr>
              <w:t>分类</w:t>
            </w:r>
          </w:p>
        </w:tc>
        <w:tc>
          <w:tcPr>
            <w:tcW w:w="4959" w:type="dxa"/>
            <w:vAlign w:val="center"/>
          </w:tcPr>
          <w:p w:rsidR="006E5539" w:rsidRDefault="004F2403">
            <w:pPr>
              <w:autoSpaceDE/>
              <w:autoSpaceDN/>
              <w:snapToGrid/>
              <w:spacing w:line="240" w:lineRule="exact"/>
              <w:ind w:firstLine="0"/>
              <w:jc w:val="center"/>
              <w:rPr>
                <w:rFonts w:ascii="黑体" w:eastAsia="黑体" w:hAnsi="黑体" w:cs="黑体"/>
                <w:snapToGrid/>
                <w:sz w:val="21"/>
                <w:szCs w:val="21"/>
              </w:rPr>
            </w:pPr>
            <w:r>
              <w:rPr>
                <w:rFonts w:ascii="黑体" w:eastAsia="黑体" w:hAnsi="黑体" w:cs="黑体" w:hint="eastAsia"/>
                <w:snapToGrid/>
                <w:sz w:val="21"/>
                <w:szCs w:val="21"/>
              </w:rPr>
              <w:t>计分项目</w:t>
            </w:r>
          </w:p>
        </w:tc>
        <w:tc>
          <w:tcPr>
            <w:tcW w:w="1650" w:type="dxa"/>
            <w:vAlign w:val="center"/>
          </w:tcPr>
          <w:p w:rsidR="006E5539" w:rsidRDefault="004F2403">
            <w:pPr>
              <w:autoSpaceDE/>
              <w:autoSpaceDN/>
              <w:snapToGrid/>
              <w:spacing w:line="240" w:lineRule="exact"/>
              <w:ind w:firstLine="0"/>
              <w:jc w:val="center"/>
              <w:rPr>
                <w:rFonts w:ascii="黑体" w:eastAsia="黑体" w:hAnsi="黑体" w:cs="黑体"/>
                <w:snapToGrid/>
                <w:sz w:val="21"/>
                <w:szCs w:val="21"/>
              </w:rPr>
            </w:pPr>
            <w:r>
              <w:rPr>
                <w:rFonts w:ascii="黑体" w:eastAsia="黑体" w:hAnsi="黑体" w:cs="黑体" w:hint="eastAsia"/>
                <w:snapToGrid/>
                <w:sz w:val="21"/>
                <w:szCs w:val="21"/>
              </w:rPr>
              <w:t>分值</w:t>
            </w:r>
          </w:p>
        </w:tc>
        <w:tc>
          <w:tcPr>
            <w:tcW w:w="1273" w:type="dxa"/>
            <w:vAlign w:val="center"/>
          </w:tcPr>
          <w:p w:rsidR="006E5539" w:rsidRDefault="004F2403">
            <w:pPr>
              <w:autoSpaceDE/>
              <w:autoSpaceDN/>
              <w:snapToGrid/>
              <w:spacing w:line="240" w:lineRule="exact"/>
              <w:ind w:firstLine="0"/>
              <w:jc w:val="center"/>
              <w:rPr>
                <w:rFonts w:ascii="黑体" w:eastAsia="黑体" w:hAnsi="黑体" w:cs="黑体"/>
                <w:snapToGrid/>
                <w:sz w:val="21"/>
                <w:szCs w:val="21"/>
              </w:rPr>
            </w:pPr>
            <w:r>
              <w:rPr>
                <w:rFonts w:ascii="黑体" w:eastAsia="黑体" w:hAnsi="黑体" w:cs="黑体" w:hint="eastAsia"/>
                <w:snapToGrid/>
                <w:sz w:val="21"/>
                <w:szCs w:val="21"/>
              </w:rPr>
              <w:t>备注</w:t>
            </w:r>
          </w:p>
        </w:tc>
      </w:tr>
      <w:tr w:rsidR="006E5539">
        <w:trPr>
          <w:trHeight w:val="90"/>
        </w:trPr>
        <w:tc>
          <w:tcPr>
            <w:tcW w:w="696"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行业标杆</w:t>
            </w: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中国工业大奖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snapToGrid/>
                <w:sz w:val="21"/>
                <w:szCs w:val="21"/>
              </w:rPr>
              <w:t>中国制造企业</w:t>
            </w:r>
            <w:r>
              <w:rPr>
                <w:snapToGrid/>
                <w:sz w:val="21"/>
                <w:szCs w:val="21"/>
              </w:rPr>
              <w:t>500</w:t>
            </w:r>
            <w:r>
              <w:rPr>
                <w:snapToGrid/>
                <w:sz w:val="21"/>
                <w:szCs w:val="21"/>
              </w:rPr>
              <w:t>强</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300"/>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全国制造业单项冠军企业或获单项冠军产品的企业</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293"/>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专精特新</w:t>
            </w:r>
            <w:r>
              <w:rPr>
                <w:rFonts w:hint="eastAsia"/>
                <w:snapToGrid/>
                <w:sz w:val="21"/>
                <w:szCs w:val="21"/>
              </w:rPr>
              <w:t>“</w:t>
            </w:r>
            <w:r>
              <w:rPr>
                <w:rFonts w:hint="eastAsia"/>
                <w:snapToGrid/>
                <w:sz w:val="21"/>
                <w:szCs w:val="21"/>
              </w:rPr>
              <w:t>小巨人</w:t>
            </w:r>
            <w:r>
              <w:rPr>
                <w:rFonts w:hint="eastAsia"/>
                <w:snapToGrid/>
                <w:sz w:val="21"/>
                <w:szCs w:val="21"/>
              </w:rPr>
              <w:t>”企业或获专精特新产品的企业</w:t>
            </w:r>
          </w:p>
        </w:tc>
        <w:tc>
          <w:tcPr>
            <w:tcW w:w="1650"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国家级</w:t>
            </w:r>
            <w:r>
              <w:rPr>
                <w:rFonts w:hint="eastAsia"/>
                <w:snapToGrid/>
                <w:sz w:val="21"/>
                <w:szCs w:val="21"/>
              </w:rPr>
              <w:t>2</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省级</w:t>
            </w:r>
            <w:r>
              <w:rPr>
                <w:rFonts w:hint="eastAsia"/>
                <w:snapToGrid/>
                <w:sz w:val="21"/>
                <w:szCs w:val="21"/>
              </w:rPr>
              <w:t>1</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0.5</w:t>
            </w:r>
            <w:r>
              <w:rPr>
                <w:rFonts w:hint="eastAsia"/>
                <w:snapToGrid/>
                <w:sz w:val="21"/>
                <w:szCs w:val="21"/>
              </w:rPr>
              <w:t>分</w:t>
            </w:r>
          </w:p>
        </w:tc>
        <w:tc>
          <w:tcPr>
            <w:tcW w:w="1273" w:type="dxa"/>
            <w:vMerge w:val="restart"/>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90"/>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服务型制造示范企业</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rPr>
                <w:snapToGrid/>
                <w:sz w:val="21"/>
                <w:szCs w:val="21"/>
              </w:rPr>
            </w:pPr>
          </w:p>
        </w:tc>
      </w:tr>
      <w:tr w:rsidR="006E5539">
        <w:trPr>
          <w:trHeight w:val="90"/>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工业设计中心</w:t>
            </w:r>
            <w:r>
              <w:rPr>
                <w:rFonts w:hint="eastAsia"/>
                <w:snapToGrid/>
                <w:sz w:val="21"/>
                <w:szCs w:val="21"/>
              </w:rPr>
              <w:t>或工业设计示范企业</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jc w:val="center"/>
              <w:rPr>
                <w:snapToGrid/>
                <w:sz w:val="21"/>
                <w:szCs w:val="21"/>
              </w:rPr>
            </w:pPr>
          </w:p>
        </w:tc>
      </w:tr>
      <w:tr w:rsidR="006E5539">
        <w:trPr>
          <w:trHeight w:val="246"/>
        </w:trPr>
        <w:tc>
          <w:tcPr>
            <w:tcW w:w="696" w:type="dxa"/>
            <w:vMerge/>
            <w:vAlign w:val="center"/>
          </w:tcPr>
          <w:p w:rsidR="006E5539" w:rsidRDefault="006E5539">
            <w:pPr>
              <w:autoSpaceDE/>
              <w:autoSpaceDN/>
              <w:snapToGrid/>
              <w:spacing w:line="240" w:lineRule="exact"/>
              <w:ind w:firstLine="0"/>
              <w:rPr>
                <w:snapToGrid/>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江苏制造突出贡献奖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208"/>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主板上市企业</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262"/>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“新三板”挂牌企业</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Align w:val="center"/>
          </w:tcPr>
          <w:p w:rsidR="006E5539" w:rsidRDefault="006E5539">
            <w:pPr>
              <w:autoSpaceDE/>
              <w:autoSpaceDN/>
              <w:snapToGrid/>
              <w:spacing w:line="240" w:lineRule="exact"/>
              <w:ind w:firstLine="0"/>
              <w:rPr>
                <w:snapToGrid/>
                <w:sz w:val="21"/>
                <w:szCs w:val="21"/>
              </w:rPr>
            </w:pPr>
          </w:p>
        </w:tc>
      </w:tr>
      <w:tr w:rsidR="006E5539">
        <w:trPr>
          <w:trHeight w:val="90"/>
        </w:trPr>
        <w:tc>
          <w:tcPr>
            <w:tcW w:w="696" w:type="dxa"/>
            <w:vMerge w:val="restart"/>
            <w:vAlign w:val="center"/>
          </w:tcPr>
          <w:p w:rsidR="006E5539" w:rsidRDefault="004F2403">
            <w:pPr>
              <w:autoSpaceDE/>
              <w:autoSpaceDN/>
              <w:snapToGrid/>
              <w:spacing w:line="240" w:lineRule="exact"/>
              <w:ind w:firstLine="0"/>
              <w:jc w:val="center"/>
              <w:rPr>
                <w:sz w:val="21"/>
                <w:szCs w:val="21"/>
              </w:rPr>
            </w:pPr>
            <w:r>
              <w:rPr>
                <w:rFonts w:hint="eastAsia"/>
                <w:sz w:val="21"/>
                <w:szCs w:val="21"/>
              </w:rPr>
              <w:t>科技创新</w:t>
            </w: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承担国家级、省级、南通市级科技项目</w:t>
            </w:r>
          </w:p>
        </w:tc>
        <w:tc>
          <w:tcPr>
            <w:tcW w:w="1650"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国家级</w:t>
            </w:r>
            <w:r>
              <w:rPr>
                <w:rFonts w:hint="eastAsia"/>
                <w:snapToGrid/>
                <w:sz w:val="21"/>
                <w:szCs w:val="21"/>
              </w:rPr>
              <w:t>3</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省级</w:t>
            </w:r>
            <w:r>
              <w:rPr>
                <w:rFonts w:hint="eastAsia"/>
                <w:snapToGrid/>
                <w:sz w:val="21"/>
                <w:szCs w:val="21"/>
              </w:rPr>
              <w:t>2</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1</w:t>
            </w:r>
            <w:r>
              <w:rPr>
                <w:rFonts w:hint="eastAsia"/>
                <w:snapToGrid/>
                <w:sz w:val="21"/>
                <w:szCs w:val="21"/>
              </w:rPr>
              <w:t>分</w:t>
            </w:r>
          </w:p>
        </w:tc>
        <w:tc>
          <w:tcPr>
            <w:tcW w:w="1273" w:type="dxa"/>
            <w:vMerge w:val="restart"/>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237"/>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获国家级、省级、</w:t>
            </w:r>
            <w:r>
              <w:rPr>
                <w:rFonts w:hint="eastAsia"/>
                <w:snapToGrid/>
                <w:sz w:val="21"/>
                <w:szCs w:val="21"/>
              </w:rPr>
              <w:t>南通市级</w:t>
            </w:r>
            <w:r>
              <w:rPr>
                <w:rFonts w:hint="eastAsia"/>
                <w:snapToGrid/>
                <w:sz w:val="21"/>
                <w:szCs w:val="21"/>
              </w:rPr>
              <w:t>荣誉称号或奖励</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jc w:val="center"/>
              <w:rPr>
                <w:snapToGrid/>
                <w:sz w:val="21"/>
                <w:szCs w:val="21"/>
              </w:rPr>
            </w:pPr>
          </w:p>
        </w:tc>
      </w:tr>
      <w:tr w:rsidR="006E5539">
        <w:trPr>
          <w:trHeight w:val="277"/>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创建国家级、省级、</w:t>
            </w:r>
            <w:r>
              <w:rPr>
                <w:rFonts w:hint="eastAsia"/>
                <w:snapToGrid/>
                <w:sz w:val="21"/>
                <w:szCs w:val="21"/>
              </w:rPr>
              <w:t>南通市级</w:t>
            </w:r>
            <w:r>
              <w:rPr>
                <w:rFonts w:hint="eastAsia"/>
                <w:snapToGrid/>
                <w:sz w:val="21"/>
                <w:szCs w:val="21"/>
              </w:rPr>
              <w:t>研发平台或创新平台</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jc w:val="center"/>
              <w:rPr>
                <w:snapToGrid/>
                <w:sz w:val="21"/>
                <w:szCs w:val="21"/>
              </w:rPr>
            </w:pPr>
          </w:p>
        </w:tc>
      </w:tr>
      <w:tr w:rsidR="006E5539">
        <w:trPr>
          <w:trHeight w:val="277"/>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新增入选国家级、省级、南通市级人才计划</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jc w:val="center"/>
              <w:rPr>
                <w:snapToGrid/>
                <w:sz w:val="21"/>
                <w:szCs w:val="21"/>
              </w:rPr>
            </w:pPr>
          </w:p>
        </w:tc>
      </w:tr>
      <w:tr w:rsidR="006E5539">
        <w:trPr>
          <w:trHeight w:val="518"/>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获评省级、南通市级科技企业家</w:t>
            </w:r>
          </w:p>
        </w:tc>
        <w:tc>
          <w:tcPr>
            <w:tcW w:w="1650" w:type="dxa"/>
            <w:vAlign w:val="center"/>
          </w:tcPr>
          <w:p w:rsidR="006E5539" w:rsidRDefault="004F2403">
            <w:pPr>
              <w:autoSpaceDE/>
              <w:autoSpaceDN/>
              <w:snapToGrid/>
              <w:spacing w:line="300" w:lineRule="exact"/>
              <w:ind w:firstLine="0"/>
              <w:jc w:val="center"/>
              <w:rPr>
                <w:snapToGrid/>
                <w:sz w:val="21"/>
                <w:szCs w:val="21"/>
              </w:rPr>
            </w:pPr>
            <w:r>
              <w:rPr>
                <w:rFonts w:hint="eastAsia"/>
                <w:snapToGrid/>
                <w:sz w:val="21"/>
                <w:szCs w:val="21"/>
              </w:rPr>
              <w:t>省级</w:t>
            </w:r>
            <w:r>
              <w:rPr>
                <w:rFonts w:hint="eastAsia"/>
                <w:snapToGrid/>
                <w:sz w:val="21"/>
                <w:szCs w:val="21"/>
              </w:rPr>
              <w:t>1</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0.5</w:t>
            </w:r>
            <w:r>
              <w:rPr>
                <w:rFonts w:hint="eastAsia"/>
                <w:snapToGrid/>
                <w:sz w:val="21"/>
                <w:szCs w:val="21"/>
              </w:rPr>
              <w:t>分</w:t>
            </w:r>
          </w:p>
        </w:tc>
        <w:tc>
          <w:tcPr>
            <w:tcW w:w="1273" w:type="dxa"/>
            <w:vMerge/>
          </w:tcPr>
          <w:p w:rsidR="006E5539" w:rsidRDefault="006E5539">
            <w:pPr>
              <w:autoSpaceDE/>
              <w:autoSpaceDN/>
              <w:snapToGrid/>
              <w:spacing w:line="240" w:lineRule="exact"/>
              <w:ind w:firstLine="0"/>
              <w:rPr>
                <w:snapToGrid/>
                <w:sz w:val="21"/>
                <w:szCs w:val="21"/>
              </w:rPr>
            </w:pPr>
          </w:p>
        </w:tc>
      </w:tr>
      <w:tr w:rsidR="006E5539">
        <w:trPr>
          <w:trHeight w:val="271"/>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获国家高新技术企业认定</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442"/>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获南通市产业“揭榜挂帅”攻坚计划项目、重大科技成果转化项目</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restart"/>
            <w:vAlign w:val="center"/>
          </w:tcPr>
          <w:p w:rsidR="006E5539" w:rsidRDefault="004F2403">
            <w:pPr>
              <w:autoSpaceDE/>
              <w:autoSpaceDN/>
              <w:snapToGrid/>
              <w:spacing w:line="240" w:lineRule="exact"/>
              <w:ind w:firstLine="0"/>
              <w:jc w:val="center"/>
              <w:rPr>
                <w:snapToGrid/>
                <w:color w:val="FF0000"/>
                <w:sz w:val="21"/>
                <w:szCs w:val="21"/>
              </w:rPr>
            </w:pPr>
            <w:r>
              <w:rPr>
                <w:rFonts w:hint="eastAsia"/>
                <w:sz w:val="21"/>
                <w:szCs w:val="21"/>
              </w:rPr>
              <w:t>品牌质量</w:t>
            </w: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江苏省省长质量奖（提名奖）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以最高等级作为计分项</w:t>
            </w: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南通市市长质量奖（提名奖）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1.5</w:t>
            </w:r>
          </w:p>
        </w:tc>
        <w:tc>
          <w:tcPr>
            <w:tcW w:w="1273" w:type="dxa"/>
            <w:vMerge/>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启东市市长质量奖</w:t>
            </w:r>
            <w:r>
              <w:rPr>
                <w:rFonts w:hint="eastAsia"/>
                <w:snapToGrid/>
                <w:sz w:val="21"/>
                <w:szCs w:val="21"/>
              </w:rPr>
              <w:t>（提名奖）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0.5</w:t>
            </w:r>
          </w:p>
        </w:tc>
        <w:tc>
          <w:tcPr>
            <w:tcW w:w="1273" w:type="dxa"/>
            <w:vMerge/>
            <w:vAlign w:val="center"/>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江苏精品认证</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江苏省质量信用评价</w:t>
            </w:r>
            <w:r>
              <w:rPr>
                <w:rFonts w:hint="eastAsia"/>
                <w:snapToGrid/>
                <w:sz w:val="21"/>
                <w:szCs w:val="21"/>
              </w:rPr>
              <w:t>AA</w:t>
            </w:r>
            <w:r>
              <w:rPr>
                <w:rFonts w:hint="eastAsia"/>
                <w:snapToGrid/>
                <w:sz w:val="21"/>
                <w:szCs w:val="21"/>
              </w:rPr>
              <w:t>及以上</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南通市级以上</w:t>
            </w:r>
            <w:r>
              <w:rPr>
                <w:rFonts w:hint="eastAsia"/>
                <w:snapToGrid/>
                <w:sz w:val="21"/>
                <w:szCs w:val="21"/>
              </w:rPr>
              <w:t>QC</w:t>
            </w:r>
            <w:r>
              <w:rPr>
                <w:rFonts w:hint="eastAsia"/>
                <w:snapToGrid/>
                <w:sz w:val="21"/>
                <w:szCs w:val="21"/>
              </w:rPr>
              <w:t>发布赛获奖</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0.5</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上年度</w:t>
            </w:r>
            <w:r>
              <w:rPr>
                <w:rFonts w:hint="eastAsia"/>
                <w:snapToGrid/>
                <w:sz w:val="21"/>
                <w:szCs w:val="21"/>
              </w:rPr>
              <w:t>获有效发明专利</w:t>
            </w:r>
            <w:r>
              <w:rPr>
                <w:rFonts w:hint="eastAsia"/>
                <w:snapToGrid/>
                <w:sz w:val="21"/>
                <w:szCs w:val="21"/>
              </w:rPr>
              <w:t>4</w:t>
            </w:r>
            <w:r>
              <w:rPr>
                <w:rFonts w:hint="eastAsia"/>
                <w:snapToGrid/>
                <w:sz w:val="21"/>
                <w:szCs w:val="21"/>
              </w:rPr>
              <w:t>个</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主导或参与国际标准制修订</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tcPr>
          <w:p w:rsidR="006E5539" w:rsidRDefault="006E5539">
            <w:pPr>
              <w:autoSpaceDE/>
              <w:autoSpaceDN/>
              <w:snapToGrid/>
              <w:spacing w:line="240" w:lineRule="exact"/>
              <w:ind w:firstLine="0"/>
              <w:rPr>
                <w:snapToGrid/>
                <w:color w:val="FF0000"/>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主导或参与国家标准、行业标准制修订</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348"/>
        </w:trPr>
        <w:tc>
          <w:tcPr>
            <w:tcW w:w="696"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z w:val="21"/>
                <w:szCs w:val="21"/>
              </w:rPr>
              <w:t>两化融合</w:t>
            </w: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工业互联网标杆工厂</w:t>
            </w:r>
          </w:p>
        </w:tc>
        <w:tc>
          <w:tcPr>
            <w:tcW w:w="1650"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国家级</w:t>
            </w:r>
            <w:r>
              <w:rPr>
                <w:rFonts w:hint="eastAsia"/>
                <w:snapToGrid/>
                <w:sz w:val="21"/>
                <w:szCs w:val="21"/>
              </w:rPr>
              <w:t>3</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省级</w:t>
            </w:r>
            <w:r>
              <w:rPr>
                <w:rFonts w:hint="eastAsia"/>
                <w:snapToGrid/>
                <w:sz w:val="21"/>
                <w:szCs w:val="21"/>
              </w:rPr>
              <w:t>2</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1</w:t>
            </w:r>
            <w:r>
              <w:rPr>
                <w:rFonts w:hint="eastAsia"/>
                <w:snapToGrid/>
                <w:sz w:val="21"/>
                <w:szCs w:val="21"/>
              </w:rPr>
              <w:t>分</w:t>
            </w:r>
          </w:p>
        </w:tc>
        <w:tc>
          <w:tcPr>
            <w:tcW w:w="1273" w:type="dxa"/>
            <w:vMerge w:val="restart"/>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324"/>
        </w:trPr>
        <w:tc>
          <w:tcPr>
            <w:tcW w:w="696" w:type="dxa"/>
            <w:vMerge/>
            <w:vAlign w:val="center"/>
          </w:tcPr>
          <w:p w:rsidR="006E5539" w:rsidRDefault="006E5539">
            <w:pPr>
              <w:autoSpaceDE/>
              <w:autoSpaceDN/>
              <w:snapToGrid/>
              <w:spacing w:line="240" w:lineRule="exact"/>
              <w:ind w:firstLine="0"/>
              <w:jc w:val="center"/>
              <w:rPr>
                <w:sz w:val="21"/>
                <w:szCs w:val="21"/>
              </w:rPr>
            </w:pPr>
          </w:p>
        </w:tc>
        <w:tc>
          <w:tcPr>
            <w:tcW w:w="4959" w:type="dxa"/>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工业互联网融合创新试点示范</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vAlign w:val="center"/>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省级</w:t>
            </w:r>
            <w:r>
              <w:rPr>
                <w:rFonts w:hint="eastAsia"/>
                <w:snapToGrid/>
                <w:sz w:val="21"/>
                <w:szCs w:val="21"/>
              </w:rPr>
              <w:t>智能工厂</w:t>
            </w:r>
            <w:r>
              <w:rPr>
                <w:rFonts w:hint="eastAsia"/>
                <w:snapToGrid/>
                <w:sz w:val="21"/>
                <w:szCs w:val="21"/>
              </w:rPr>
              <w:t xml:space="preserve"> </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智能车间</w:t>
            </w:r>
          </w:p>
        </w:tc>
        <w:tc>
          <w:tcPr>
            <w:tcW w:w="1650" w:type="dxa"/>
            <w:vMerge w:val="restart"/>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省级</w:t>
            </w:r>
            <w:r>
              <w:rPr>
                <w:rFonts w:hint="eastAsia"/>
                <w:snapToGrid/>
                <w:sz w:val="21"/>
                <w:szCs w:val="21"/>
              </w:rPr>
              <w:t>2</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1</w:t>
            </w:r>
            <w:r>
              <w:rPr>
                <w:rFonts w:hint="eastAsia"/>
                <w:snapToGrid/>
                <w:sz w:val="21"/>
                <w:szCs w:val="21"/>
              </w:rPr>
              <w:t>分</w:t>
            </w:r>
          </w:p>
        </w:tc>
        <w:tc>
          <w:tcPr>
            <w:tcW w:w="1273" w:type="dxa"/>
            <w:vMerge w:val="restart"/>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工业互联网平台</w:t>
            </w:r>
          </w:p>
        </w:tc>
        <w:tc>
          <w:tcPr>
            <w:tcW w:w="1650" w:type="dxa"/>
            <w:vMerge/>
            <w:vAlign w:val="center"/>
          </w:tcPr>
          <w:p w:rsidR="006E5539" w:rsidRDefault="006E5539">
            <w:pPr>
              <w:autoSpaceDE/>
              <w:autoSpaceDN/>
              <w:snapToGrid/>
              <w:spacing w:line="240" w:lineRule="exact"/>
              <w:ind w:firstLine="0"/>
              <w:jc w:val="center"/>
              <w:rPr>
                <w:snapToGrid/>
                <w:sz w:val="21"/>
                <w:szCs w:val="21"/>
              </w:rPr>
            </w:pPr>
          </w:p>
        </w:tc>
        <w:tc>
          <w:tcPr>
            <w:tcW w:w="1273" w:type="dxa"/>
            <w:vMerge/>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5</w:t>
            </w:r>
            <w:r>
              <w:rPr>
                <w:rFonts w:hint="eastAsia"/>
                <w:snapToGrid/>
                <w:sz w:val="21"/>
                <w:szCs w:val="21"/>
              </w:rPr>
              <w:t>星级上</w:t>
            </w:r>
            <w:proofErr w:type="gramStart"/>
            <w:r>
              <w:rPr>
                <w:rFonts w:hint="eastAsia"/>
                <w:snapToGrid/>
                <w:sz w:val="21"/>
                <w:szCs w:val="21"/>
              </w:rPr>
              <w:t>云</w:t>
            </w:r>
            <w:r>
              <w:rPr>
                <w:rFonts w:hint="eastAsia"/>
                <w:snapToGrid/>
                <w:sz w:val="21"/>
                <w:szCs w:val="21"/>
              </w:rPr>
              <w:t>企业</w:t>
            </w:r>
            <w:proofErr w:type="gramEnd"/>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Merge w:val="restart"/>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4</w:t>
            </w:r>
            <w:r>
              <w:rPr>
                <w:rFonts w:hint="eastAsia"/>
                <w:snapToGrid/>
                <w:sz w:val="21"/>
                <w:szCs w:val="21"/>
              </w:rPr>
              <w:t>星级上</w:t>
            </w:r>
            <w:proofErr w:type="gramStart"/>
            <w:r>
              <w:rPr>
                <w:rFonts w:hint="eastAsia"/>
                <w:snapToGrid/>
                <w:sz w:val="21"/>
                <w:szCs w:val="21"/>
              </w:rPr>
              <w:t>云</w:t>
            </w:r>
            <w:r>
              <w:rPr>
                <w:rFonts w:hint="eastAsia"/>
                <w:snapToGrid/>
                <w:sz w:val="21"/>
                <w:szCs w:val="21"/>
              </w:rPr>
              <w:t>企业</w:t>
            </w:r>
            <w:proofErr w:type="gramEnd"/>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vMerge/>
            <w:vAlign w:val="center"/>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3</w:t>
            </w:r>
            <w:r>
              <w:rPr>
                <w:rFonts w:hint="eastAsia"/>
                <w:snapToGrid/>
                <w:sz w:val="21"/>
                <w:szCs w:val="21"/>
              </w:rPr>
              <w:t>星级上</w:t>
            </w:r>
            <w:proofErr w:type="gramStart"/>
            <w:r>
              <w:rPr>
                <w:rFonts w:hint="eastAsia"/>
                <w:snapToGrid/>
                <w:sz w:val="21"/>
                <w:szCs w:val="21"/>
              </w:rPr>
              <w:t>云</w:t>
            </w:r>
            <w:r>
              <w:rPr>
                <w:rFonts w:hint="eastAsia"/>
                <w:snapToGrid/>
                <w:sz w:val="21"/>
                <w:szCs w:val="21"/>
              </w:rPr>
              <w:t>企业</w:t>
            </w:r>
            <w:proofErr w:type="gramEnd"/>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0.5</w:t>
            </w:r>
          </w:p>
        </w:tc>
        <w:tc>
          <w:tcPr>
            <w:tcW w:w="1273" w:type="dxa"/>
            <w:vMerge/>
            <w:vAlign w:val="center"/>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两化融合</w:t>
            </w:r>
            <w:r>
              <w:rPr>
                <w:rFonts w:hint="eastAsia"/>
                <w:snapToGrid/>
                <w:sz w:val="21"/>
                <w:szCs w:val="21"/>
              </w:rPr>
              <w:t>管理</w:t>
            </w:r>
            <w:r>
              <w:rPr>
                <w:rFonts w:hint="eastAsia"/>
                <w:snapToGrid/>
                <w:sz w:val="21"/>
                <w:szCs w:val="21"/>
              </w:rPr>
              <w:t>体系贯标</w:t>
            </w:r>
            <w:r>
              <w:rPr>
                <w:rFonts w:hint="eastAsia"/>
                <w:snapToGrid/>
                <w:sz w:val="21"/>
                <w:szCs w:val="21"/>
              </w:rPr>
              <w:t>认证（</w:t>
            </w:r>
            <w:r>
              <w:rPr>
                <w:rFonts w:hint="eastAsia"/>
                <w:snapToGrid/>
                <w:sz w:val="21"/>
                <w:szCs w:val="21"/>
              </w:rPr>
              <w:t>3A</w:t>
            </w:r>
            <w:r>
              <w:rPr>
                <w:rFonts w:hint="eastAsia"/>
                <w:snapToGrid/>
                <w:sz w:val="21"/>
                <w:szCs w:val="21"/>
              </w:rPr>
              <w:t>）</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2</w:t>
            </w:r>
          </w:p>
        </w:tc>
        <w:tc>
          <w:tcPr>
            <w:tcW w:w="1273" w:type="dxa"/>
            <w:vMerge w:val="restart"/>
            <w:vAlign w:val="center"/>
          </w:tcPr>
          <w:p w:rsidR="006E5539" w:rsidRDefault="004F2403">
            <w:pPr>
              <w:autoSpaceDE/>
              <w:autoSpaceDN/>
              <w:snapToGrid/>
              <w:spacing w:line="240" w:lineRule="exact"/>
              <w:ind w:firstLine="0"/>
              <w:rPr>
                <w:snapToGrid/>
                <w:sz w:val="21"/>
                <w:szCs w:val="21"/>
              </w:rPr>
            </w:pPr>
            <w:r>
              <w:rPr>
                <w:rFonts w:hint="eastAsia"/>
                <w:snapToGrid/>
                <w:sz w:val="21"/>
                <w:szCs w:val="21"/>
              </w:rPr>
              <w:t>以最高等级作为计分项</w:t>
            </w: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两化融合</w:t>
            </w:r>
            <w:r>
              <w:rPr>
                <w:rFonts w:hint="eastAsia"/>
                <w:snapToGrid/>
                <w:sz w:val="21"/>
                <w:szCs w:val="21"/>
              </w:rPr>
              <w:t>管理</w:t>
            </w:r>
            <w:r>
              <w:rPr>
                <w:rFonts w:hint="eastAsia"/>
                <w:snapToGrid/>
                <w:sz w:val="21"/>
                <w:szCs w:val="21"/>
              </w:rPr>
              <w:t>体系贯标</w:t>
            </w:r>
            <w:r>
              <w:rPr>
                <w:rFonts w:hint="eastAsia"/>
                <w:snapToGrid/>
                <w:sz w:val="21"/>
                <w:szCs w:val="21"/>
              </w:rPr>
              <w:t>认证（</w:t>
            </w:r>
            <w:r>
              <w:rPr>
                <w:rFonts w:hint="eastAsia"/>
                <w:snapToGrid/>
                <w:sz w:val="21"/>
                <w:szCs w:val="21"/>
              </w:rPr>
              <w:t>2A</w:t>
            </w:r>
            <w:r>
              <w:rPr>
                <w:rFonts w:hint="eastAsia"/>
                <w:snapToGrid/>
                <w:sz w:val="21"/>
                <w:szCs w:val="21"/>
              </w:rPr>
              <w:t>）</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1</w:t>
            </w:r>
          </w:p>
        </w:tc>
        <w:tc>
          <w:tcPr>
            <w:tcW w:w="1273" w:type="dxa"/>
            <w:vMerge/>
          </w:tcPr>
          <w:p w:rsidR="006E5539" w:rsidRDefault="006E5539">
            <w:pPr>
              <w:autoSpaceDE/>
              <w:autoSpaceDN/>
              <w:snapToGrid/>
              <w:spacing w:line="240" w:lineRule="exact"/>
              <w:ind w:firstLine="0"/>
              <w:rPr>
                <w:snapToGrid/>
                <w:sz w:val="21"/>
                <w:szCs w:val="21"/>
              </w:rPr>
            </w:pPr>
          </w:p>
        </w:tc>
      </w:tr>
      <w:tr w:rsidR="006E5539">
        <w:trPr>
          <w:trHeight w:val="255"/>
        </w:trPr>
        <w:tc>
          <w:tcPr>
            <w:tcW w:w="696" w:type="dxa"/>
            <w:vMerge/>
            <w:vAlign w:val="center"/>
          </w:tcPr>
          <w:p w:rsidR="006E5539" w:rsidRDefault="006E5539">
            <w:pPr>
              <w:autoSpaceDE/>
              <w:autoSpaceDN/>
              <w:snapToGrid/>
              <w:spacing w:line="240" w:lineRule="exact"/>
              <w:ind w:firstLine="0"/>
              <w:jc w:val="center"/>
              <w:rPr>
                <w:snapToGrid/>
                <w:sz w:val="21"/>
                <w:szCs w:val="21"/>
              </w:rPr>
            </w:pPr>
          </w:p>
        </w:tc>
        <w:tc>
          <w:tcPr>
            <w:tcW w:w="4959" w:type="dxa"/>
          </w:tcPr>
          <w:p w:rsidR="006E5539" w:rsidRDefault="004F2403">
            <w:pPr>
              <w:autoSpaceDE/>
              <w:autoSpaceDN/>
              <w:snapToGrid/>
              <w:spacing w:line="240" w:lineRule="exact"/>
              <w:ind w:firstLine="0"/>
              <w:rPr>
                <w:snapToGrid/>
                <w:sz w:val="21"/>
                <w:szCs w:val="21"/>
              </w:rPr>
            </w:pPr>
            <w:r>
              <w:rPr>
                <w:rFonts w:hint="eastAsia"/>
                <w:snapToGrid/>
                <w:sz w:val="21"/>
                <w:szCs w:val="21"/>
              </w:rPr>
              <w:t>两化融合</w:t>
            </w:r>
            <w:r>
              <w:rPr>
                <w:rFonts w:hint="eastAsia"/>
                <w:snapToGrid/>
                <w:sz w:val="21"/>
                <w:szCs w:val="21"/>
              </w:rPr>
              <w:t>管理</w:t>
            </w:r>
            <w:r>
              <w:rPr>
                <w:rFonts w:hint="eastAsia"/>
                <w:snapToGrid/>
                <w:sz w:val="21"/>
                <w:szCs w:val="21"/>
              </w:rPr>
              <w:t>体系贯标</w:t>
            </w:r>
            <w:r>
              <w:rPr>
                <w:rFonts w:hint="eastAsia"/>
                <w:snapToGrid/>
                <w:sz w:val="21"/>
                <w:szCs w:val="21"/>
              </w:rPr>
              <w:t>认证（</w:t>
            </w:r>
            <w:r>
              <w:rPr>
                <w:rFonts w:hint="eastAsia"/>
                <w:snapToGrid/>
                <w:sz w:val="21"/>
                <w:szCs w:val="21"/>
              </w:rPr>
              <w:t>1A</w:t>
            </w:r>
            <w:r>
              <w:rPr>
                <w:rFonts w:hint="eastAsia"/>
                <w:snapToGrid/>
                <w:sz w:val="21"/>
                <w:szCs w:val="21"/>
              </w:rPr>
              <w:t>）</w:t>
            </w:r>
          </w:p>
        </w:tc>
        <w:tc>
          <w:tcPr>
            <w:tcW w:w="1650" w:type="dxa"/>
            <w:vAlign w:val="center"/>
          </w:tcPr>
          <w:p w:rsidR="006E5539" w:rsidRDefault="004F2403">
            <w:pPr>
              <w:autoSpaceDE/>
              <w:autoSpaceDN/>
              <w:snapToGrid/>
              <w:spacing w:line="240" w:lineRule="exact"/>
              <w:ind w:firstLine="0"/>
              <w:jc w:val="center"/>
              <w:rPr>
                <w:snapToGrid/>
                <w:sz w:val="21"/>
                <w:szCs w:val="21"/>
              </w:rPr>
            </w:pPr>
            <w:r>
              <w:rPr>
                <w:rFonts w:hint="eastAsia"/>
                <w:snapToGrid/>
                <w:sz w:val="21"/>
                <w:szCs w:val="21"/>
              </w:rPr>
              <w:t>0.5</w:t>
            </w:r>
          </w:p>
        </w:tc>
        <w:tc>
          <w:tcPr>
            <w:tcW w:w="1273" w:type="dxa"/>
            <w:vMerge/>
          </w:tcPr>
          <w:p w:rsidR="006E5539" w:rsidRDefault="006E5539">
            <w:pPr>
              <w:autoSpaceDE/>
              <w:autoSpaceDN/>
              <w:snapToGrid/>
              <w:spacing w:line="240" w:lineRule="exact"/>
              <w:ind w:firstLine="0"/>
              <w:rPr>
                <w:snapToGrid/>
                <w:sz w:val="21"/>
                <w:szCs w:val="21"/>
              </w:rPr>
            </w:pPr>
          </w:p>
        </w:tc>
      </w:tr>
    </w:tbl>
    <w:p w:rsidR="006E5539" w:rsidRDefault="004F2403">
      <w:pPr>
        <w:numPr>
          <w:ilvl w:val="0"/>
          <w:numId w:val="5"/>
        </w:numPr>
        <w:spacing w:line="500" w:lineRule="exact"/>
        <w:ind w:left="0" w:firstLineChars="200" w:firstLine="640"/>
        <w:rPr>
          <w:rFonts w:eastAsia="仿宋_GB2312"/>
          <w:szCs w:val="32"/>
        </w:rPr>
      </w:pPr>
      <w:r>
        <w:rPr>
          <w:rFonts w:eastAsia="仿宋_GB2312"/>
          <w:szCs w:val="32"/>
        </w:rPr>
        <w:t>绿色安全指标主要评价企业绿色发展和安全生产情况，权重分值</w:t>
      </w:r>
      <w:r>
        <w:rPr>
          <w:rFonts w:eastAsia="仿宋_GB2312"/>
          <w:szCs w:val="32"/>
        </w:rPr>
        <w:t>15</w:t>
      </w:r>
      <w:r>
        <w:rPr>
          <w:rFonts w:eastAsia="仿宋_GB2312"/>
          <w:szCs w:val="32"/>
        </w:rPr>
        <w:t>分。企业该单项指标计分办法如下：</w:t>
      </w:r>
    </w:p>
    <w:tbl>
      <w:tblPr>
        <w:tblStyle w:val="a6"/>
        <w:tblW w:w="0" w:type="auto"/>
        <w:jc w:val="center"/>
        <w:tblInd w:w="0" w:type="dxa"/>
        <w:tblLook w:val="04A0" w:firstRow="1" w:lastRow="0" w:firstColumn="1" w:lastColumn="0" w:noHBand="0" w:noVBand="1"/>
      </w:tblPr>
      <w:tblGrid>
        <w:gridCol w:w="655"/>
        <w:gridCol w:w="4966"/>
        <w:gridCol w:w="1611"/>
        <w:gridCol w:w="1270"/>
      </w:tblGrid>
      <w:tr w:rsidR="006E5539">
        <w:trPr>
          <w:jc w:val="center"/>
        </w:trPr>
        <w:tc>
          <w:tcPr>
            <w:tcW w:w="655" w:type="dxa"/>
            <w:vAlign w:val="center"/>
          </w:tcPr>
          <w:p w:rsidR="006E5539" w:rsidRDefault="004F2403">
            <w:pPr>
              <w:spacing w:line="240" w:lineRule="exact"/>
              <w:ind w:firstLine="0"/>
              <w:jc w:val="center"/>
              <w:rPr>
                <w:rFonts w:ascii="黑体" w:eastAsia="黑体" w:hAnsi="黑体" w:cs="黑体"/>
                <w:sz w:val="21"/>
                <w:szCs w:val="21"/>
              </w:rPr>
            </w:pPr>
            <w:r>
              <w:rPr>
                <w:rFonts w:ascii="黑体" w:eastAsia="黑体" w:hAnsi="黑体" w:cs="黑体" w:hint="eastAsia"/>
                <w:sz w:val="21"/>
                <w:szCs w:val="21"/>
              </w:rPr>
              <w:t>分类</w:t>
            </w:r>
          </w:p>
        </w:tc>
        <w:tc>
          <w:tcPr>
            <w:tcW w:w="4966" w:type="dxa"/>
            <w:vAlign w:val="center"/>
          </w:tcPr>
          <w:p w:rsidR="006E5539" w:rsidRDefault="004F2403">
            <w:pPr>
              <w:spacing w:line="240" w:lineRule="exact"/>
              <w:ind w:firstLine="0"/>
              <w:jc w:val="center"/>
              <w:rPr>
                <w:rFonts w:ascii="黑体" w:eastAsia="黑体" w:hAnsi="黑体" w:cs="黑体"/>
                <w:sz w:val="21"/>
                <w:szCs w:val="21"/>
              </w:rPr>
            </w:pPr>
            <w:r>
              <w:rPr>
                <w:rFonts w:ascii="黑体" w:eastAsia="黑体" w:hAnsi="黑体" w:cs="黑体" w:hint="eastAsia"/>
                <w:sz w:val="21"/>
                <w:szCs w:val="21"/>
              </w:rPr>
              <w:t>计分项目</w:t>
            </w:r>
          </w:p>
        </w:tc>
        <w:tc>
          <w:tcPr>
            <w:tcW w:w="1611" w:type="dxa"/>
            <w:vAlign w:val="center"/>
          </w:tcPr>
          <w:p w:rsidR="006E5539" w:rsidRDefault="004F2403">
            <w:pPr>
              <w:spacing w:line="240" w:lineRule="exact"/>
              <w:ind w:firstLine="0"/>
              <w:jc w:val="center"/>
              <w:rPr>
                <w:rFonts w:ascii="黑体" w:eastAsia="黑体" w:hAnsi="黑体" w:cs="黑体"/>
                <w:sz w:val="21"/>
                <w:szCs w:val="21"/>
              </w:rPr>
            </w:pPr>
            <w:r>
              <w:rPr>
                <w:rFonts w:ascii="黑体" w:eastAsia="黑体" w:hAnsi="黑体" w:cs="黑体" w:hint="eastAsia"/>
                <w:sz w:val="21"/>
                <w:szCs w:val="21"/>
              </w:rPr>
              <w:t>分值</w:t>
            </w:r>
          </w:p>
        </w:tc>
        <w:tc>
          <w:tcPr>
            <w:tcW w:w="1270" w:type="dxa"/>
            <w:vAlign w:val="center"/>
          </w:tcPr>
          <w:p w:rsidR="006E5539" w:rsidRDefault="004F2403">
            <w:pPr>
              <w:spacing w:line="240" w:lineRule="exact"/>
              <w:ind w:firstLine="0"/>
              <w:jc w:val="center"/>
              <w:rPr>
                <w:rFonts w:ascii="黑体" w:eastAsia="黑体" w:hAnsi="黑体" w:cs="黑体"/>
                <w:sz w:val="21"/>
                <w:szCs w:val="21"/>
              </w:rPr>
            </w:pPr>
            <w:r>
              <w:rPr>
                <w:rFonts w:ascii="黑体" w:eastAsia="黑体" w:hAnsi="黑体" w:cs="黑体" w:hint="eastAsia"/>
                <w:sz w:val="21"/>
                <w:szCs w:val="21"/>
              </w:rPr>
              <w:t>备注</w:t>
            </w:r>
          </w:p>
        </w:tc>
      </w:tr>
      <w:tr w:rsidR="006E5539">
        <w:trPr>
          <w:trHeight w:val="245"/>
          <w:jc w:val="center"/>
        </w:trPr>
        <w:tc>
          <w:tcPr>
            <w:tcW w:w="655" w:type="dxa"/>
            <w:vMerge w:val="restart"/>
            <w:vAlign w:val="center"/>
          </w:tcPr>
          <w:p w:rsidR="006E5539" w:rsidRDefault="004F2403">
            <w:pPr>
              <w:spacing w:line="240" w:lineRule="exact"/>
              <w:ind w:firstLine="0"/>
              <w:jc w:val="center"/>
              <w:rPr>
                <w:sz w:val="21"/>
                <w:szCs w:val="21"/>
              </w:rPr>
            </w:pPr>
            <w:r>
              <w:rPr>
                <w:rFonts w:hint="eastAsia"/>
                <w:sz w:val="21"/>
                <w:szCs w:val="21"/>
              </w:rPr>
              <w:t>能耗</w:t>
            </w:r>
          </w:p>
        </w:tc>
        <w:tc>
          <w:tcPr>
            <w:tcW w:w="4966" w:type="dxa"/>
          </w:tcPr>
          <w:p w:rsidR="006E5539" w:rsidRDefault="004F2403">
            <w:pPr>
              <w:spacing w:line="240" w:lineRule="exact"/>
              <w:ind w:firstLine="0"/>
              <w:rPr>
                <w:sz w:val="21"/>
                <w:szCs w:val="21"/>
              </w:rPr>
            </w:pPr>
            <w:r>
              <w:rPr>
                <w:rFonts w:hint="eastAsia"/>
                <w:sz w:val="21"/>
                <w:szCs w:val="21"/>
              </w:rPr>
              <w:t>单位能耗税收</w:t>
            </w:r>
          </w:p>
        </w:tc>
        <w:tc>
          <w:tcPr>
            <w:tcW w:w="1611" w:type="dxa"/>
          </w:tcPr>
          <w:p w:rsidR="006E5539" w:rsidRDefault="004F2403">
            <w:pPr>
              <w:spacing w:line="240" w:lineRule="exact"/>
              <w:rPr>
                <w:sz w:val="21"/>
                <w:szCs w:val="21"/>
              </w:rPr>
            </w:pPr>
            <w:r>
              <w:rPr>
                <w:rFonts w:hint="eastAsia"/>
                <w:sz w:val="21"/>
                <w:szCs w:val="21"/>
              </w:rPr>
              <w:t>3</w:t>
            </w:r>
          </w:p>
        </w:tc>
        <w:tc>
          <w:tcPr>
            <w:tcW w:w="1270" w:type="dxa"/>
          </w:tcPr>
          <w:p w:rsidR="006E5539" w:rsidRDefault="006E5539">
            <w:pPr>
              <w:spacing w:line="240" w:lineRule="exact"/>
              <w:rPr>
                <w:sz w:val="21"/>
                <w:szCs w:val="21"/>
              </w:rPr>
            </w:pPr>
          </w:p>
        </w:tc>
      </w:tr>
      <w:tr w:rsidR="006E5539">
        <w:trPr>
          <w:trHeight w:val="198"/>
          <w:jc w:val="center"/>
        </w:trPr>
        <w:tc>
          <w:tcPr>
            <w:tcW w:w="655" w:type="dxa"/>
            <w:vMerge/>
            <w:vAlign w:val="center"/>
          </w:tcPr>
          <w:p w:rsidR="006E5539" w:rsidRDefault="006E5539">
            <w:pPr>
              <w:spacing w:line="240" w:lineRule="exact"/>
              <w:jc w:val="center"/>
              <w:rPr>
                <w:sz w:val="21"/>
                <w:szCs w:val="21"/>
              </w:rPr>
            </w:pPr>
          </w:p>
        </w:tc>
        <w:tc>
          <w:tcPr>
            <w:tcW w:w="4966" w:type="dxa"/>
          </w:tcPr>
          <w:p w:rsidR="006E5539" w:rsidRDefault="004F2403">
            <w:pPr>
              <w:spacing w:line="240" w:lineRule="exact"/>
              <w:ind w:firstLine="0"/>
              <w:rPr>
                <w:sz w:val="21"/>
                <w:szCs w:val="21"/>
              </w:rPr>
            </w:pPr>
            <w:r>
              <w:rPr>
                <w:rFonts w:hint="eastAsia"/>
                <w:sz w:val="21"/>
                <w:szCs w:val="21"/>
              </w:rPr>
              <w:t>单位能耗应税销售</w:t>
            </w:r>
          </w:p>
        </w:tc>
        <w:tc>
          <w:tcPr>
            <w:tcW w:w="1611" w:type="dxa"/>
          </w:tcPr>
          <w:p w:rsidR="006E5539" w:rsidRDefault="004F2403">
            <w:pPr>
              <w:spacing w:line="240" w:lineRule="exact"/>
              <w:rPr>
                <w:sz w:val="21"/>
                <w:szCs w:val="21"/>
              </w:rPr>
            </w:pPr>
            <w:r>
              <w:rPr>
                <w:rFonts w:hint="eastAsia"/>
                <w:sz w:val="21"/>
                <w:szCs w:val="21"/>
              </w:rPr>
              <w:t>3</w:t>
            </w:r>
          </w:p>
        </w:tc>
        <w:tc>
          <w:tcPr>
            <w:tcW w:w="1270" w:type="dxa"/>
          </w:tcPr>
          <w:p w:rsidR="006E5539" w:rsidRDefault="006E5539">
            <w:pPr>
              <w:spacing w:line="240" w:lineRule="exact"/>
              <w:rPr>
                <w:sz w:val="21"/>
                <w:szCs w:val="21"/>
              </w:rPr>
            </w:pPr>
          </w:p>
        </w:tc>
      </w:tr>
      <w:tr w:rsidR="006E5539">
        <w:trPr>
          <w:trHeight w:val="199"/>
          <w:jc w:val="center"/>
        </w:trPr>
        <w:tc>
          <w:tcPr>
            <w:tcW w:w="655" w:type="dxa"/>
            <w:vMerge/>
            <w:vAlign w:val="center"/>
          </w:tcPr>
          <w:p w:rsidR="006E5539" w:rsidRDefault="006E5539">
            <w:pPr>
              <w:spacing w:line="240" w:lineRule="exact"/>
              <w:ind w:firstLine="0"/>
              <w:rPr>
                <w:sz w:val="21"/>
                <w:szCs w:val="21"/>
              </w:rPr>
            </w:pPr>
          </w:p>
        </w:tc>
        <w:tc>
          <w:tcPr>
            <w:tcW w:w="4966" w:type="dxa"/>
            <w:vAlign w:val="center"/>
          </w:tcPr>
          <w:p w:rsidR="006E5539" w:rsidRDefault="004F2403">
            <w:pPr>
              <w:spacing w:line="240" w:lineRule="exact"/>
              <w:ind w:firstLine="0"/>
              <w:rPr>
                <w:sz w:val="21"/>
                <w:szCs w:val="21"/>
              </w:rPr>
            </w:pPr>
            <w:r>
              <w:rPr>
                <w:rFonts w:hint="eastAsia"/>
                <w:sz w:val="21"/>
                <w:szCs w:val="21"/>
              </w:rPr>
              <w:t>单位主要污染物税收</w:t>
            </w:r>
          </w:p>
        </w:tc>
        <w:tc>
          <w:tcPr>
            <w:tcW w:w="1611" w:type="dxa"/>
            <w:vAlign w:val="center"/>
          </w:tcPr>
          <w:p w:rsidR="006E5539" w:rsidRDefault="004F2403">
            <w:pPr>
              <w:spacing w:line="240" w:lineRule="exact"/>
              <w:rPr>
                <w:sz w:val="21"/>
                <w:szCs w:val="21"/>
              </w:rPr>
            </w:pPr>
            <w:r>
              <w:rPr>
                <w:rFonts w:hint="eastAsia"/>
                <w:sz w:val="21"/>
                <w:szCs w:val="21"/>
              </w:rPr>
              <w:t>3</w:t>
            </w:r>
          </w:p>
        </w:tc>
        <w:tc>
          <w:tcPr>
            <w:tcW w:w="1270" w:type="dxa"/>
            <w:vAlign w:val="center"/>
          </w:tcPr>
          <w:p w:rsidR="006E5539" w:rsidRDefault="006E5539">
            <w:pPr>
              <w:spacing w:line="240" w:lineRule="exact"/>
              <w:rPr>
                <w:sz w:val="21"/>
                <w:szCs w:val="21"/>
              </w:rPr>
            </w:pPr>
          </w:p>
        </w:tc>
      </w:tr>
      <w:tr w:rsidR="006E5539">
        <w:trPr>
          <w:trHeight w:val="189"/>
          <w:jc w:val="center"/>
        </w:trPr>
        <w:tc>
          <w:tcPr>
            <w:tcW w:w="655" w:type="dxa"/>
            <w:vMerge w:val="restart"/>
            <w:vAlign w:val="center"/>
          </w:tcPr>
          <w:p w:rsidR="006E5539" w:rsidRDefault="004F2403">
            <w:pPr>
              <w:spacing w:line="240" w:lineRule="exact"/>
              <w:ind w:firstLine="0"/>
              <w:jc w:val="center"/>
              <w:rPr>
                <w:sz w:val="21"/>
                <w:szCs w:val="21"/>
              </w:rPr>
            </w:pPr>
            <w:r>
              <w:rPr>
                <w:rFonts w:hint="eastAsia"/>
                <w:sz w:val="21"/>
                <w:szCs w:val="21"/>
              </w:rPr>
              <w:t>环保</w:t>
            </w:r>
          </w:p>
        </w:tc>
        <w:tc>
          <w:tcPr>
            <w:tcW w:w="4966" w:type="dxa"/>
          </w:tcPr>
          <w:p w:rsidR="006E5539" w:rsidRDefault="004F2403">
            <w:pPr>
              <w:spacing w:line="240" w:lineRule="exact"/>
              <w:ind w:firstLine="0"/>
              <w:rPr>
                <w:sz w:val="21"/>
                <w:szCs w:val="21"/>
              </w:rPr>
            </w:pPr>
            <w:r>
              <w:rPr>
                <w:rFonts w:hint="eastAsia"/>
                <w:sz w:val="21"/>
                <w:szCs w:val="21"/>
              </w:rPr>
              <w:t>国家级绿色产品</w:t>
            </w:r>
          </w:p>
        </w:tc>
        <w:tc>
          <w:tcPr>
            <w:tcW w:w="1611" w:type="dxa"/>
          </w:tcPr>
          <w:p w:rsidR="006E5539" w:rsidRDefault="004F2403">
            <w:pPr>
              <w:spacing w:line="240" w:lineRule="exact"/>
              <w:rPr>
                <w:sz w:val="21"/>
                <w:szCs w:val="21"/>
              </w:rPr>
            </w:pPr>
            <w:r>
              <w:rPr>
                <w:rFonts w:hint="eastAsia"/>
                <w:sz w:val="21"/>
                <w:szCs w:val="21"/>
              </w:rPr>
              <w:t>2</w:t>
            </w:r>
          </w:p>
        </w:tc>
        <w:tc>
          <w:tcPr>
            <w:tcW w:w="1270" w:type="dxa"/>
          </w:tcPr>
          <w:p w:rsidR="006E5539" w:rsidRDefault="006E5539">
            <w:pPr>
              <w:spacing w:line="240" w:lineRule="exact"/>
              <w:rPr>
                <w:sz w:val="21"/>
                <w:szCs w:val="21"/>
              </w:rPr>
            </w:pPr>
          </w:p>
        </w:tc>
      </w:tr>
      <w:tr w:rsidR="006E5539">
        <w:trPr>
          <w:trHeight w:val="198"/>
          <w:jc w:val="center"/>
        </w:trPr>
        <w:tc>
          <w:tcPr>
            <w:tcW w:w="655" w:type="dxa"/>
            <w:vMerge/>
            <w:vAlign w:val="center"/>
          </w:tcPr>
          <w:p w:rsidR="006E5539" w:rsidRDefault="006E5539">
            <w:pPr>
              <w:spacing w:line="240" w:lineRule="exact"/>
              <w:jc w:val="center"/>
              <w:rPr>
                <w:sz w:val="21"/>
                <w:szCs w:val="21"/>
              </w:rPr>
            </w:pPr>
          </w:p>
        </w:tc>
        <w:tc>
          <w:tcPr>
            <w:tcW w:w="4966" w:type="dxa"/>
          </w:tcPr>
          <w:p w:rsidR="006E5539" w:rsidRDefault="004F2403">
            <w:pPr>
              <w:spacing w:line="240" w:lineRule="exact"/>
              <w:ind w:firstLine="0"/>
              <w:rPr>
                <w:sz w:val="21"/>
                <w:szCs w:val="21"/>
              </w:rPr>
            </w:pPr>
            <w:r>
              <w:rPr>
                <w:rFonts w:hint="eastAsia"/>
                <w:sz w:val="21"/>
                <w:szCs w:val="21"/>
              </w:rPr>
              <w:t>国家级能效领跑者</w:t>
            </w:r>
          </w:p>
        </w:tc>
        <w:tc>
          <w:tcPr>
            <w:tcW w:w="1611" w:type="dxa"/>
          </w:tcPr>
          <w:p w:rsidR="006E5539" w:rsidRDefault="004F2403">
            <w:pPr>
              <w:spacing w:line="240" w:lineRule="exact"/>
              <w:rPr>
                <w:sz w:val="21"/>
                <w:szCs w:val="21"/>
              </w:rPr>
            </w:pPr>
            <w:r>
              <w:rPr>
                <w:rFonts w:hint="eastAsia"/>
                <w:sz w:val="21"/>
                <w:szCs w:val="21"/>
              </w:rPr>
              <w:t>2</w:t>
            </w:r>
          </w:p>
        </w:tc>
        <w:tc>
          <w:tcPr>
            <w:tcW w:w="1270" w:type="dxa"/>
          </w:tcPr>
          <w:p w:rsidR="006E5539" w:rsidRDefault="006E5539">
            <w:pPr>
              <w:spacing w:line="240" w:lineRule="exact"/>
              <w:rPr>
                <w:sz w:val="21"/>
                <w:szCs w:val="21"/>
              </w:rPr>
            </w:pPr>
          </w:p>
        </w:tc>
      </w:tr>
      <w:tr w:rsidR="006E5539">
        <w:trPr>
          <w:trHeight w:val="437"/>
          <w:jc w:val="center"/>
        </w:trPr>
        <w:tc>
          <w:tcPr>
            <w:tcW w:w="655" w:type="dxa"/>
            <w:vMerge/>
            <w:vAlign w:val="center"/>
          </w:tcPr>
          <w:p w:rsidR="006E5539" w:rsidRDefault="006E5539">
            <w:pPr>
              <w:spacing w:line="240" w:lineRule="exact"/>
              <w:jc w:val="center"/>
              <w:rPr>
                <w:sz w:val="21"/>
                <w:szCs w:val="21"/>
              </w:rPr>
            </w:pPr>
          </w:p>
        </w:tc>
        <w:tc>
          <w:tcPr>
            <w:tcW w:w="4966" w:type="dxa"/>
            <w:vAlign w:val="center"/>
          </w:tcPr>
          <w:p w:rsidR="006E5539" w:rsidRDefault="004F2403">
            <w:pPr>
              <w:spacing w:line="240" w:lineRule="exact"/>
              <w:ind w:firstLine="0"/>
              <w:rPr>
                <w:sz w:val="21"/>
                <w:szCs w:val="21"/>
              </w:rPr>
            </w:pPr>
            <w:r>
              <w:rPr>
                <w:rFonts w:hint="eastAsia"/>
                <w:sz w:val="21"/>
                <w:szCs w:val="21"/>
              </w:rPr>
              <w:t>绿色工厂</w:t>
            </w:r>
          </w:p>
        </w:tc>
        <w:tc>
          <w:tcPr>
            <w:tcW w:w="1611" w:type="dxa"/>
          </w:tcPr>
          <w:p w:rsidR="006E5539" w:rsidRDefault="004F2403">
            <w:pPr>
              <w:autoSpaceDE/>
              <w:autoSpaceDN/>
              <w:snapToGrid/>
              <w:spacing w:line="240" w:lineRule="exact"/>
              <w:ind w:firstLine="0"/>
              <w:jc w:val="center"/>
              <w:rPr>
                <w:snapToGrid/>
                <w:sz w:val="21"/>
                <w:szCs w:val="21"/>
              </w:rPr>
            </w:pPr>
            <w:r>
              <w:rPr>
                <w:rFonts w:hint="eastAsia"/>
                <w:snapToGrid/>
                <w:sz w:val="21"/>
                <w:szCs w:val="21"/>
              </w:rPr>
              <w:t>国家级</w:t>
            </w:r>
            <w:r>
              <w:rPr>
                <w:rFonts w:hint="eastAsia"/>
                <w:snapToGrid/>
                <w:sz w:val="21"/>
                <w:szCs w:val="21"/>
              </w:rPr>
              <w:t>2</w:t>
            </w:r>
            <w:r>
              <w:rPr>
                <w:rFonts w:hint="eastAsia"/>
                <w:snapToGrid/>
                <w:sz w:val="21"/>
                <w:szCs w:val="21"/>
              </w:rPr>
              <w:t>分</w:t>
            </w:r>
          </w:p>
          <w:p w:rsidR="006E5539" w:rsidRDefault="004F2403">
            <w:pPr>
              <w:spacing w:line="240" w:lineRule="exact"/>
              <w:ind w:firstLine="0"/>
              <w:jc w:val="center"/>
              <w:rPr>
                <w:sz w:val="21"/>
                <w:szCs w:val="21"/>
              </w:rPr>
            </w:pPr>
            <w:r>
              <w:rPr>
                <w:rFonts w:hint="eastAsia"/>
                <w:snapToGrid/>
                <w:sz w:val="21"/>
                <w:szCs w:val="21"/>
              </w:rPr>
              <w:t>省级</w:t>
            </w:r>
            <w:r>
              <w:rPr>
                <w:rFonts w:hint="eastAsia"/>
                <w:snapToGrid/>
                <w:sz w:val="21"/>
                <w:szCs w:val="21"/>
              </w:rPr>
              <w:t>1</w:t>
            </w:r>
            <w:r>
              <w:rPr>
                <w:rFonts w:hint="eastAsia"/>
                <w:snapToGrid/>
                <w:sz w:val="21"/>
                <w:szCs w:val="21"/>
              </w:rPr>
              <w:t>分</w:t>
            </w:r>
          </w:p>
        </w:tc>
        <w:tc>
          <w:tcPr>
            <w:tcW w:w="1270" w:type="dxa"/>
            <w:vMerge w:val="restart"/>
            <w:vAlign w:val="center"/>
          </w:tcPr>
          <w:p w:rsidR="006E5539" w:rsidRDefault="004F2403">
            <w:pPr>
              <w:spacing w:line="240" w:lineRule="exact"/>
              <w:ind w:firstLine="0"/>
              <w:jc w:val="left"/>
              <w:rPr>
                <w:sz w:val="21"/>
                <w:szCs w:val="21"/>
              </w:rPr>
            </w:pPr>
            <w:r>
              <w:rPr>
                <w:rFonts w:hint="eastAsia"/>
                <w:snapToGrid/>
                <w:sz w:val="21"/>
                <w:szCs w:val="21"/>
              </w:rPr>
              <w:t>以最高等级作为计分项</w:t>
            </w:r>
          </w:p>
        </w:tc>
      </w:tr>
      <w:tr w:rsidR="006E5539">
        <w:trPr>
          <w:trHeight w:val="366"/>
          <w:jc w:val="center"/>
        </w:trPr>
        <w:tc>
          <w:tcPr>
            <w:tcW w:w="655" w:type="dxa"/>
            <w:vMerge/>
            <w:vAlign w:val="center"/>
          </w:tcPr>
          <w:p w:rsidR="006E5539" w:rsidRDefault="006E5539">
            <w:pPr>
              <w:spacing w:line="240" w:lineRule="exact"/>
              <w:ind w:firstLine="0"/>
              <w:jc w:val="center"/>
              <w:rPr>
                <w:sz w:val="21"/>
                <w:szCs w:val="21"/>
              </w:rPr>
            </w:pPr>
          </w:p>
        </w:tc>
        <w:tc>
          <w:tcPr>
            <w:tcW w:w="4966" w:type="dxa"/>
            <w:vAlign w:val="center"/>
          </w:tcPr>
          <w:p w:rsidR="006E5539" w:rsidRDefault="004F2403">
            <w:pPr>
              <w:spacing w:line="240" w:lineRule="exact"/>
              <w:ind w:firstLine="0"/>
              <w:rPr>
                <w:sz w:val="21"/>
                <w:szCs w:val="21"/>
              </w:rPr>
            </w:pPr>
            <w:r>
              <w:rPr>
                <w:rFonts w:hint="eastAsia"/>
                <w:sz w:val="21"/>
                <w:szCs w:val="21"/>
              </w:rPr>
              <w:t>绿色发展领军企业</w:t>
            </w:r>
          </w:p>
        </w:tc>
        <w:tc>
          <w:tcPr>
            <w:tcW w:w="1611" w:type="dxa"/>
          </w:tcPr>
          <w:p w:rsidR="006E5539" w:rsidRDefault="004F2403">
            <w:pPr>
              <w:autoSpaceDE/>
              <w:autoSpaceDN/>
              <w:snapToGrid/>
              <w:spacing w:line="240" w:lineRule="exact"/>
              <w:ind w:firstLine="0"/>
              <w:jc w:val="center"/>
              <w:rPr>
                <w:snapToGrid/>
                <w:sz w:val="21"/>
                <w:szCs w:val="21"/>
              </w:rPr>
            </w:pPr>
            <w:r>
              <w:rPr>
                <w:rFonts w:hint="eastAsia"/>
                <w:snapToGrid/>
                <w:sz w:val="21"/>
                <w:szCs w:val="21"/>
              </w:rPr>
              <w:t>省级</w:t>
            </w:r>
            <w:r>
              <w:rPr>
                <w:rFonts w:hint="eastAsia"/>
                <w:snapToGrid/>
                <w:sz w:val="21"/>
                <w:szCs w:val="21"/>
              </w:rPr>
              <w:t>1</w:t>
            </w:r>
            <w:r>
              <w:rPr>
                <w:rFonts w:hint="eastAsia"/>
                <w:snapToGrid/>
                <w:sz w:val="21"/>
                <w:szCs w:val="21"/>
              </w:rPr>
              <w:t>分</w:t>
            </w:r>
          </w:p>
          <w:p w:rsidR="006E5539" w:rsidRDefault="004F2403">
            <w:pPr>
              <w:autoSpaceDE/>
              <w:autoSpaceDN/>
              <w:snapToGrid/>
              <w:spacing w:line="240" w:lineRule="exact"/>
              <w:ind w:firstLine="0"/>
              <w:jc w:val="center"/>
              <w:rPr>
                <w:snapToGrid/>
                <w:sz w:val="21"/>
                <w:szCs w:val="21"/>
              </w:rPr>
            </w:pPr>
            <w:r>
              <w:rPr>
                <w:rFonts w:hint="eastAsia"/>
                <w:snapToGrid/>
                <w:sz w:val="21"/>
                <w:szCs w:val="21"/>
              </w:rPr>
              <w:t>南通市级</w:t>
            </w:r>
            <w:r>
              <w:rPr>
                <w:rFonts w:hint="eastAsia"/>
                <w:snapToGrid/>
                <w:sz w:val="21"/>
                <w:szCs w:val="21"/>
              </w:rPr>
              <w:t>0.5</w:t>
            </w:r>
            <w:r>
              <w:rPr>
                <w:rFonts w:hint="eastAsia"/>
                <w:snapToGrid/>
                <w:sz w:val="21"/>
                <w:szCs w:val="21"/>
              </w:rPr>
              <w:t>分</w:t>
            </w:r>
          </w:p>
        </w:tc>
        <w:tc>
          <w:tcPr>
            <w:tcW w:w="1270" w:type="dxa"/>
            <w:vMerge/>
          </w:tcPr>
          <w:p w:rsidR="006E5539" w:rsidRDefault="006E5539">
            <w:pPr>
              <w:spacing w:line="240" w:lineRule="exact"/>
              <w:rPr>
                <w:sz w:val="21"/>
                <w:szCs w:val="21"/>
              </w:rPr>
            </w:pPr>
          </w:p>
        </w:tc>
      </w:tr>
      <w:tr w:rsidR="006E5539">
        <w:trPr>
          <w:trHeight w:val="209"/>
          <w:jc w:val="center"/>
        </w:trPr>
        <w:tc>
          <w:tcPr>
            <w:tcW w:w="655" w:type="dxa"/>
            <w:vMerge/>
            <w:vAlign w:val="center"/>
          </w:tcPr>
          <w:p w:rsidR="006E5539" w:rsidRDefault="006E5539">
            <w:pPr>
              <w:spacing w:line="240" w:lineRule="exact"/>
              <w:ind w:firstLine="0"/>
              <w:jc w:val="center"/>
              <w:rPr>
                <w:sz w:val="21"/>
                <w:szCs w:val="21"/>
              </w:rPr>
            </w:pPr>
          </w:p>
        </w:tc>
        <w:tc>
          <w:tcPr>
            <w:tcW w:w="4966" w:type="dxa"/>
          </w:tcPr>
          <w:p w:rsidR="006E5539" w:rsidRDefault="004F2403">
            <w:pPr>
              <w:spacing w:line="240" w:lineRule="exact"/>
              <w:ind w:firstLine="0"/>
              <w:rPr>
                <w:sz w:val="21"/>
                <w:szCs w:val="21"/>
              </w:rPr>
            </w:pPr>
            <w:r>
              <w:rPr>
                <w:rFonts w:hint="eastAsia"/>
                <w:sz w:val="21"/>
                <w:szCs w:val="21"/>
              </w:rPr>
              <w:t>达到行业超低排放标准</w:t>
            </w:r>
          </w:p>
        </w:tc>
        <w:tc>
          <w:tcPr>
            <w:tcW w:w="1611" w:type="dxa"/>
          </w:tcPr>
          <w:p w:rsidR="006E5539" w:rsidRDefault="004F2403">
            <w:pPr>
              <w:spacing w:line="240" w:lineRule="exact"/>
              <w:rPr>
                <w:sz w:val="21"/>
                <w:szCs w:val="21"/>
              </w:rPr>
            </w:pPr>
            <w:r>
              <w:rPr>
                <w:rFonts w:hint="eastAsia"/>
                <w:sz w:val="21"/>
                <w:szCs w:val="21"/>
              </w:rPr>
              <w:t>1</w:t>
            </w:r>
          </w:p>
        </w:tc>
        <w:tc>
          <w:tcPr>
            <w:tcW w:w="1270" w:type="dxa"/>
          </w:tcPr>
          <w:p w:rsidR="006E5539" w:rsidRDefault="006E5539">
            <w:pPr>
              <w:spacing w:line="240" w:lineRule="exact"/>
              <w:rPr>
                <w:sz w:val="21"/>
                <w:szCs w:val="21"/>
              </w:rPr>
            </w:pPr>
          </w:p>
        </w:tc>
      </w:tr>
      <w:tr w:rsidR="006E5539">
        <w:trPr>
          <w:trHeight w:val="181"/>
          <w:jc w:val="center"/>
        </w:trPr>
        <w:tc>
          <w:tcPr>
            <w:tcW w:w="655" w:type="dxa"/>
            <w:vMerge w:val="restart"/>
            <w:vAlign w:val="center"/>
          </w:tcPr>
          <w:p w:rsidR="006E5539" w:rsidRDefault="004F2403">
            <w:pPr>
              <w:spacing w:line="240" w:lineRule="exact"/>
              <w:ind w:firstLine="0"/>
              <w:jc w:val="center"/>
              <w:rPr>
                <w:sz w:val="21"/>
                <w:szCs w:val="21"/>
              </w:rPr>
            </w:pPr>
            <w:r>
              <w:rPr>
                <w:rFonts w:hint="eastAsia"/>
                <w:sz w:val="21"/>
                <w:szCs w:val="21"/>
              </w:rPr>
              <w:t>安全</w:t>
            </w:r>
          </w:p>
        </w:tc>
        <w:tc>
          <w:tcPr>
            <w:tcW w:w="4966" w:type="dxa"/>
          </w:tcPr>
          <w:p w:rsidR="006E5539" w:rsidRDefault="004F2403">
            <w:pPr>
              <w:spacing w:line="240" w:lineRule="exact"/>
              <w:ind w:firstLine="0"/>
              <w:rPr>
                <w:sz w:val="21"/>
                <w:szCs w:val="21"/>
              </w:rPr>
            </w:pPr>
            <w:r>
              <w:rPr>
                <w:rFonts w:hint="eastAsia"/>
                <w:sz w:val="21"/>
                <w:szCs w:val="21"/>
              </w:rPr>
              <w:t>安全生产标准化一级达标企业</w:t>
            </w:r>
          </w:p>
        </w:tc>
        <w:tc>
          <w:tcPr>
            <w:tcW w:w="1611" w:type="dxa"/>
          </w:tcPr>
          <w:p w:rsidR="006E5539" w:rsidRDefault="004F2403">
            <w:pPr>
              <w:spacing w:line="240" w:lineRule="exact"/>
              <w:rPr>
                <w:sz w:val="21"/>
                <w:szCs w:val="21"/>
              </w:rPr>
            </w:pPr>
            <w:r>
              <w:rPr>
                <w:rFonts w:hint="eastAsia"/>
                <w:sz w:val="21"/>
                <w:szCs w:val="21"/>
              </w:rPr>
              <w:t>3</w:t>
            </w:r>
          </w:p>
        </w:tc>
        <w:tc>
          <w:tcPr>
            <w:tcW w:w="1270" w:type="dxa"/>
            <w:vMerge w:val="restart"/>
            <w:vAlign w:val="center"/>
          </w:tcPr>
          <w:p w:rsidR="006E5539" w:rsidRDefault="004F2403">
            <w:pPr>
              <w:spacing w:line="240" w:lineRule="exact"/>
              <w:ind w:firstLine="0"/>
              <w:rPr>
                <w:sz w:val="21"/>
                <w:szCs w:val="21"/>
              </w:rPr>
            </w:pPr>
            <w:r>
              <w:rPr>
                <w:rFonts w:hint="eastAsia"/>
                <w:snapToGrid/>
                <w:sz w:val="21"/>
                <w:szCs w:val="21"/>
              </w:rPr>
              <w:t>以最高等级作为计分项</w:t>
            </w:r>
          </w:p>
        </w:tc>
      </w:tr>
      <w:tr w:rsidR="006E5539">
        <w:trPr>
          <w:trHeight w:val="208"/>
          <w:jc w:val="center"/>
        </w:trPr>
        <w:tc>
          <w:tcPr>
            <w:tcW w:w="655" w:type="dxa"/>
            <w:vMerge/>
          </w:tcPr>
          <w:p w:rsidR="006E5539" w:rsidRDefault="006E5539">
            <w:pPr>
              <w:spacing w:line="240" w:lineRule="exact"/>
              <w:rPr>
                <w:sz w:val="21"/>
                <w:szCs w:val="21"/>
              </w:rPr>
            </w:pPr>
          </w:p>
        </w:tc>
        <w:tc>
          <w:tcPr>
            <w:tcW w:w="4966" w:type="dxa"/>
          </w:tcPr>
          <w:p w:rsidR="006E5539" w:rsidRDefault="004F2403">
            <w:pPr>
              <w:spacing w:line="240" w:lineRule="exact"/>
              <w:ind w:firstLine="0"/>
              <w:rPr>
                <w:sz w:val="21"/>
                <w:szCs w:val="21"/>
              </w:rPr>
            </w:pPr>
            <w:r>
              <w:rPr>
                <w:rFonts w:hint="eastAsia"/>
                <w:sz w:val="21"/>
                <w:szCs w:val="21"/>
              </w:rPr>
              <w:t>安全生产标准化二级达标企业</w:t>
            </w:r>
          </w:p>
        </w:tc>
        <w:tc>
          <w:tcPr>
            <w:tcW w:w="1611" w:type="dxa"/>
          </w:tcPr>
          <w:p w:rsidR="006E5539" w:rsidRDefault="004F2403">
            <w:pPr>
              <w:spacing w:line="240" w:lineRule="exact"/>
              <w:rPr>
                <w:sz w:val="21"/>
                <w:szCs w:val="21"/>
              </w:rPr>
            </w:pPr>
            <w:r>
              <w:rPr>
                <w:rFonts w:hint="eastAsia"/>
                <w:sz w:val="21"/>
                <w:szCs w:val="21"/>
              </w:rPr>
              <w:t>2</w:t>
            </w:r>
          </w:p>
        </w:tc>
        <w:tc>
          <w:tcPr>
            <w:tcW w:w="1270" w:type="dxa"/>
            <w:vMerge/>
          </w:tcPr>
          <w:p w:rsidR="006E5539" w:rsidRDefault="006E5539">
            <w:pPr>
              <w:spacing w:line="240" w:lineRule="exact"/>
              <w:rPr>
                <w:sz w:val="21"/>
                <w:szCs w:val="21"/>
              </w:rPr>
            </w:pPr>
          </w:p>
        </w:tc>
      </w:tr>
      <w:tr w:rsidR="006E5539">
        <w:trPr>
          <w:trHeight w:val="209"/>
          <w:jc w:val="center"/>
        </w:trPr>
        <w:tc>
          <w:tcPr>
            <w:tcW w:w="655" w:type="dxa"/>
            <w:vMerge/>
          </w:tcPr>
          <w:p w:rsidR="006E5539" w:rsidRDefault="006E5539">
            <w:pPr>
              <w:spacing w:line="240" w:lineRule="exact"/>
              <w:rPr>
                <w:sz w:val="21"/>
                <w:szCs w:val="21"/>
              </w:rPr>
            </w:pPr>
          </w:p>
        </w:tc>
        <w:tc>
          <w:tcPr>
            <w:tcW w:w="4966" w:type="dxa"/>
          </w:tcPr>
          <w:p w:rsidR="006E5539" w:rsidRDefault="004F2403">
            <w:pPr>
              <w:spacing w:line="240" w:lineRule="exact"/>
              <w:ind w:firstLine="0"/>
              <w:rPr>
                <w:sz w:val="21"/>
                <w:szCs w:val="21"/>
              </w:rPr>
            </w:pPr>
            <w:r>
              <w:rPr>
                <w:rFonts w:hint="eastAsia"/>
                <w:sz w:val="21"/>
                <w:szCs w:val="21"/>
              </w:rPr>
              <w:t>安全生产标准化三级达标企业</w:t>
            </w:r>
          </w:p>
        </w:tc>
        <w:tc>
          <w:tcPr>
            <w:tcW w:w="1611" w:type="dxa"/>
          </w:tcPr>
          <w:p w:rsidR="006E5539" w:rsidRDefault="004F2403">
            <w:pPr>
              <w:spacing w:line="240" w:lineRule="exact"/>
              <w:rPr>
                <w:sz w:val="21"/>
                <w:szCs w:val="21"/>
              </w:rPr>
            </w:pPr>
            <w:r>
              <w:rPr>
                <w:rFonts w:hint="eastAsia"/>
                <w:sz w:val="21"/>
                <w:szCs w:val="21"/>
              </w:rPr>
              <w:t>1</w:t>
            </w:r>
          </w:p>
        </w:tc>
        <w:tc>
          <w:tcPr>
            <w:tcW w:w="1270" w:type="dxa"/>
            <w:vMerge/>
          </w:tcPr>
          <w:p w:rsidR="006E5539" w:rsidRDefault="006E5539">
            <w:pPr>
              <w:spacing w:line="240" w:lineRule="exact"/>
              <w:rPr>
                <w:sz w:val="21"/>
                <w:szCs w:val="21"/>
              </w:rPr>
            </w:pPr>
          </w:p>
        </w:tc>
      </w:tr>
    </w:tbl>
    <w:p w:rsidR="006E5539" w:rsidRDefault="004F2403">
      <w:pPr>
        <w:numPr>
          <w:ilvl w:val="0"/>
          <w:numId w:val="1"/>
        </w:numPr>
        <w:spacing w:line="560" w:lineRule="exact"/>
        <w:rPr>
          <w:rFonts w:eastAsia="黑体"/>
        </w:rPr>
      </w:pPr>
      <w:r>
        <w:rPr>
          <w:rFonts w:eastAsia="黑体"/>
        </w:rPr>
        <w:t>计分方法</w:t>
      </w:r>
    </w:p>
    <w:p w:rsidR="006E5539" w:rsidRDefault="004F2403">
      <w:pPr>
        <w:numPr>
          <w:ilvl w:val="0"/>
          <w:numId w:val="6"/>
        </w:numPr>
        <w:spacing w:line="560" w:lineRule="exact"/>
        <w:ind w:firstLineChars="200" w:firstLine="640"/>
        <w:rPr>
          <w:rFonts w:eastAsia="楷体_GB2312"/>
        </w:rPr>
      </w:pPr>
      <w:r>
        <w:rPr>
          <w:rFonts w:eastAsia="楷体_GB2312"/>
        </w:rPr>
        <w:t>总公式</w:t>
      </w:r>
    </w:p>
    <w:p w:rsidR="006E5539" w:rsidRDefault="004F2403" w:rsidP="00D616ED">
      <w:pPr>
        <w:ind w:firstLineChars="200" w:firstLine="640"/>
        <w:jc w:val="left"/>
        <w:rPr>
          <w:rFonts w:eastAsia="仿宋_GB2312"/>
          <w:sz w:val="28"/>
          <w:szCs w:val="28"/>
        </w:rPr>
      </w:pPr>
      <w:r>
        <w:rPr>
          <w:rFonts w:eastAsia="仿宋_GB2312"/>
          <w:szCs w:val="32"/>
        </w:rPr>
        <w:t>各单项指标均采取</w:t>
      </w:r>
      <w:r>
        <w:rPr>
          <w:rFonts w:eastAsia="仿宋_GB2312"/>
          <w:szCs w:val="32"/>
        </w:rPr>
        <w:t>“</w:t>
      </w:r>
      <w:r>
        <w:rPr>
          <w:rFonts w:eastAsia="仿宋_GB2312"/>
          <w:szCs w:val="32"/>
        </w:rPr>
        <w:t>基准值参考</w:t>
      </w:r>
      <w:r>
        <w:rPr>
          <w:rFonts w:eastAsia="仿宋_GB2312"/>
          <w:szCs w:val="32"/>
        </w:rPr>
        <w:t>”</w:t>
      </w:r>
      <w:r>
        <w:rPr>
          <w:rFonts w:eastAsia="仿宋_GB2312"/>
          <w:szCs w:val="32"/>
        </w:rPr>
        <w:t>计分法</w:t>
      </w:r>
      <w:r>
        <w:rPr>
          <w:rFonts w:eastAsia="仿宋_GB2312"/>
          <w:szCs w:val="32"/>
        </w:rPr>
        <w:t>，</w:t>
      </w:r>
      <m:oMath>
        <m:r>
          <m:rPr>
            <m:sty m:val="p"/>
          </m:rPr>
          <w:rPr>
            <w:rFonts w:ascii="Cambria Math" w:eastAsia="仿宋_GB2312" w:hAnsi="Cambria Math"/>
            <w:spacing w:val="-10"/>
            <w:szCs w:val="32"/>
          </w:rPr>
          <m:t>单项指标得分</m:t>
        </m:r>
        <m:r>
          <m:rPr>
            <m:sty m:val="p"/>
          </m:rPr>
          <w:rPr>
            <w:rFonts w:ascii="Cambria Math" w:eastAsia="仿宋_GB2312" w:hAnsi="Cambria Math"/>
            <w:spacing w:val="-10"/>
            <w:szCs w:val="32"/>
          </w:rPr>
          <m:t>=</m:t>
        </m:r>
        <m:f>
          <m:fPr>
            <m:ctrlPr>
              <w:rPr>
                <w:rFonts w:ascii="Cambria Math" w:eastAsia="仿宋_GB2312" w:hAnsi="Cambria Math"/>
                <w:spacing w:val="-10"/>
                <w:szCs w:val="32"/>
              </w:rPr>
            </m:ctrlPr>
          </m:fPr>
          <m:num>
            <m:r>
              <m:rPr>
                <m:sty m:val="p"/>
              </m:rPr>
              <w:rPr>
                <w:rFonts w:ascii="Cambria Math" w:eastAsia="仿宋_GB2312" w:hAnsi="Cambria Math"/>
                <w:spacing w:val="-10"/>
                <w:szCs w:val="32"/>
              </w:rPr>
              <m:t>指标评价值</m:t>
            </m:r>
          </m:num>
          <m:den>
            <m:r>
              <m:rPr>
                <m:sty m:val="p"/>
              </m:rPr>
              <w:rPr>
                <w:rFonts w:ascii="Cambria Math" w:eastAsia="仿宋_GB2312" w:hAnsi="Cambria Math"/>
                <w:spacing w:val="-10"/>
                <w:szCs w:val="32"/>
              </w:rPr>
              <m:t>指标基准值</m:t>
            </m:r>
          </m:den>
        </m:f>
        <m:r>
          <m:rPr>
            <m:sty m:val="p"/>
          </m:rPr>
          <w:rPr>
            <w:rFonts w:ascii="Cambria Math" w:eastAsia="仿宋_GB2312" w:hAnsi="Cambria Math"/>
            <w:spacing w:val="-10"/>
            <w:szCs w:val="32"/>
          </w:rPr>
          <m:t>×</m:t>
        </m:r>
        <m:r>
          <m:rPr>
            <m:sty m:val="p"/>
          </m:rPr>
          <w:rPr>
            <w:rFonts w:ascii="Cambria Math" w:eastAsia="仿宋_GB2312" w:hAnsi="Cambria Math"/>
            <w:spacing w:val="-10"/>
            <w:szCs w:val="32"/>
          </w:rPr>
          <m:t>权重分</m:t>
        </m:r>
      </m:oMath>
      <w:r>
        <w:rPr>
          <w:rFonts w:eastAsia="仿宋_GB2312"/>
          <w:spacing w:val="-10"/>
          <w:szCs w:val="32"/>
        </w:rPr>
        <w:t>；</w:t>
      </w:r>
      <w:r>
        <w:rPr>
          <w:rFonts w:eastAsia="仿宋_GB2312"/>
          <w:szCs w:val="32"/>
        </w:rPr>
        <w:t>企业评价总分采取</w:t>
      </w:r>
      <w:r>
        <w:rPr>
          <w:rFonts w:eastAsia="仿宋_GB2312"/>
          <w:szCs w:val="32"/>
        </w:rPr>
        <w:t>“</w:t>
      </w:r>
      <w:r>
        <w:rPr>
          <w:rFonts w:eastAsia="仿宋_GB2312"/>
          <w:szCs w:val="32"/>
        </w:rPr>
        <w:t>单项指标加权分</w:t>
      </w:r>
      <w:r>
        <w:rPr>
          <w:rFonts w:eastAsia="仿宋_GB2312"/>
          <w:szCs w:val="32"/>
        </w:rPr>
        <w:t>+</w:t>
      </w:r>
      <w:r>
        <w:rPr>
          <w:rFonts w:eastAsia="仿宋_GB2312"/>
          <w:szCs w:val="32"/>
        </w:rPr>
        <w:t>客观因</w:t>
      </w:r>
      <w:r>
        <w:rPr>
          <w:rFonts w:eastAsia="仿宋_GB2312"/>
          <w:szCs w:val="32"/>
        </w:rPr>
        <w:lastRenderedPageBreak/>
        <w:t>素调整分</w:t>
      </w:r>
      <w:r>
        <w:rPr>
          <w:rFonts w:eastAsia="仿宋_GB2312"/>
          <w:szCs w:val="32"/>
        </w:rPr>
        <w:t>”</w:t>
      </w:r>
      <w:r>
        <w:rPr>
          <w:rFonts w:eastAsia="仿宋_GB2312"/>
          <w:szCs w:val="32"/>
        </w:rPr>
        <w:t>计分法，</w:t>
      </w:r>
      <m:oMath>
        <m:r>
          <m:rPr>
            <m:sty m:val="p"/>
          </m:rPr>
          <w:rPr>
            <w:rFonts w:ascii="Cambria Math" w:eastAsia="仿宋_GB2312" w:hAnsi="Cambria Math"/>
            <w:sz w:val="28"/>
            <w:szCs w:val="28"/>
          </w:rPr>
          <m:t>企业综合评价得分</m:t>
        </m:r>
        <m:r>
          <m:rPr>
            <m:sty m:val="p"/>
          </m:rPr>
          <w:rPr>
            <w:rFonts w:ascii="Cambria Math" w:eastAsia="仿宋_GB2312" w:hAnsi="Cambria Math"/>
            <w:sz w:val="28"/>
            <w:szCs w:val="28"/>
          </w:rPr>
          <m:t>=</m:t>
        </m:r>
        <m:nary>
          <m:naryPr>
            <m:chr m:val="∑"/>
            <m:subHide m:val="1"/>
            <m:supHide m:val="1"/>
            <m:ctrlPr>
              <w:rPr>
                <w:rFonts w:ascii="Cambria Math" w:eastAsia="仿宋_GB2312" w:hAnsi="Cambria Math"/>
                <w:iCs/>
                <w:sz w:val="28"/>
                <w:szCs w:val="28"/>
              </w:rPr>
            </m:ctrlPr>
          </m:naryPr>
          <m:sub/>
          <m:sup/>
          <m:e>
            <m:r>
              <m:rPr>
                <m:sty m:val="p"/>
              </m:rPr>
              <w:rPr>
                <w:rFonts w:ascii="Cambria Math" w:eastAsia="仿宋_GB2312" w:hAnsi="Cambria Math"/>
                <w:sz w:val="28"/>
                <w:szCs w:val="28"/>
              </w:rPr>
              <m:t>单项指标得分</m:t>
            </m:r>
          </m:e>
        </m:nary>
        <m:r>
          <m:rPr>
            <m:sty m:val="p"/>
          </m:rPr>
          <w:rPr>
            <w:rFonts w:ascii="Cambria Math" w:eastAsia="仿宋_GB2312" w:hAnsi="Cambria Math"/>
            <w:sz w:val="28"/>
            <w:szCs w:val="28"/>
          </w:rPr>
          <m:t>+</m:t>
        </m:r>
        <m:r>
          <m:rPr>
            <m:sty m:val="p"/>
          </m:rPr>
          <w:rPr>
            <w:rFonts w:ascii="Cambria Math" w:eastAsia="仿宋_GB2312" w:hAnsi="Cambria Math"/>
            <w:sz w:val="28"/>
            <w:szCs w:val="28"/>
          </w:rPr>
          <m:t>客观因素调整分</m:t>
        </m:r>
      </m:oMath>
      <w:r>
        <w:rPr>
          <w:rFonts w:eastAsia="仿宋_GB2312"/>
          <w:sz w:val="28"/>
          <w:szCs w:val="28"/>
        </w:rPr>
        <w:t>。</w:t>
      </w:r>
    </w:p>
    <w:p w:rsidR="006E5539" w:rsidRDefault="004F2403">
      <w:pPr>
        <w:numPr>
          <w:ilvl w:val="0"/>
          <w:numId w:val="6"/>
        </w:numPr>
        <w:spacing w:line="520" w:lineRule="exact"/>
        <w:ind w:firstLineChars="200" w:firstLine="640"/>
        <w:rPr>
          <w:rFonts w:eastAsia="楷体_GB2312"/>
        </w:rPr>
      </w:pPr>
      <w:r>
        <w:rPr>
          <w:rFonts w:eastAsia="楷体_GB2312"/>
        </w:rPr>
        <w:t>指标评价值及指标基准值</w:t>
      </w:r>
    </w:p>
    <w:p w:rsidR="006E5539" w:rsidRDefault="004F2403">
      <w:pPr>
        <w:pStyle w:val="a7"/>
        <w:spacing w:line="520" w:lineRule="exact"/>
        <w:ind w:firstLine="640"/>
        <w:rPr>
          <w:rFonts w:eastAsia="仿宋_GB2312"/>
          <w:szCs w:val="32"/>
        </w:rPr>
      </w:pPr>
      <w:r>
        <w:rPr>
          <w:rFonts w:eastAsia="仿宋_GB2312"/>
          <w:szCs w:val="32"/>
        </w:rPr>
        <w:t>各单项指标评价</w:t>
      </w:r>
      <w:proofErr w:type="gramStart"/>
      <w:r>
        <w:rPr>
          <w:rFonts w:eastAsia="仿宋_GB2312"/>
          <w:szCs w:val="32"/>
        </w:rPr>
        <w:t>值根据</w:t>
      </w:r>
      <w:proofErr w:type="gramEnd"/>
      <w:r>
        <w:rPr>
          <w:rFonts w:eastAsia="仿宋_GB2312"/>
          <w:szCs w:val="32"/>
        </w:rPr>
        <w:t>实际情况，按公式计算计分。为既充分体现优势企业与低效企业间的差距，又避免因差距过大导致失真，各单项指标基准值</w:t>
      </w:r>
      <w:proofErr w:type="gramStart"/>
      <w:r>
        <w:rPr>
          <w:rFonts w:eastAsia="仿宋_GB2312"/>
          <w:szCs w:val="32"/>
        </w:rPr>
        <w:t>按评价</w:t>
      </w:r>
      <w:proofErr w:type="gramEnd"/>
      <w:r>
        <w:rPr>
          <w:rFonts w:eastAsia="仿宋_GB2312"/>
          <w:szCs w:val="32"/>
        </w:rPr>
        <w:t>实际情况分别确定。</w:t>
      </w:r>
    </w:p>
    <w:p w:rsidR="006E5539" w:rsidRDefault="004F2403">
      <w:pPr>
        <w:pStyle w:val="a7"/>
        <w:numPr>
          <w:ilvl w:val="0"/>
          <w:numId w:val="7"/>
        </w:numPr>
        <w:spacing w:line="520" w:lineRule="exact"/>
        <w:ind w:firstLineChars="200" w:firstLine="640"/>
        <w:rPr>
          <w:rFonts w:eastAsia="仿宋_GB2312"/>
          <w:szCs w:val="32"/>
        </w:rPr>
      </w:pPr>
      <w:r>
        <w:rPr>
          <w:rFonts w:eastAsia="仿宋_GB2312"/>
          <w:szCs w:val="32"/>
        </w:rPr>
        <w:t>亩均税收、亩均销售的指标基准值参照全市企业该项指标平均值的</w:t>
      </w:r>
      <w:r>
        <w:rPr>
          <w:rFonts w:eastAsia="仿宋_GB2312"/>
          <w:szCs w:val="32"/>
        </w:rPr>
        <w:t>2</w:t>
      </w:r>
      <w:r>
        <w:rPr>
          <w:rFonts w:eastAsia="仿宋_GB2312"/>
          <w:szCs w:val="32"/>
        </w:rPr>
        <w:t>倍确定。每项指标最高得分不超过该项权重数的</w:t>
      </w:r>
      <w:r>
        <w:rPr>
          <w:rFonts w:eastAsia="仿宋_GB2312"/>
          <w:szCs w:val="32"/>
        </w:rPr>
        <w:t>1.5</w:t>
      </w:r>
      <w:r>
        <w:rPr>
          <w:rFonts w:eastAsia="仿宋_GB2312"/>
          <w:szCs w:val="32"/>
        </w:rPr>
        <w:t>倍，最低为零分。企业某项指标为负数或空缺的，该项得</w:t>
      </w:r>
      <w:bookmarkStart w:id="0" w:name="_GoBack"/>
      <w:bookmarkEnd w:id="0"/>
      <w:r>
        <w:rPr>
          <w:rFonts w:eastAsia="仿宋_GB2312"/>
          <w:szCs w:val="32"/>
        </w:rPr>
        <w:t>分为零。</w:t>
      </w:r>
    </w:p>
    <w:p w:rsidR="006E5539" w:rsidRDefault="004F2403">
      <w:pPr>
        <w:pStyle w:val="a7"/>
        <w:numPr>
          <w:ilvl w:val="0"/>
          <w:numId w:val="7"/>
        </w:numPr>
        <w:spacing w:line="520" w:lineRule="exact"/>
        <w:ind w:firstLineChars="200" w:firstLine="640"/>
        <w:rPr>
          <w:rFonts w:eastAsia="仿宋_GB2312"/>
          <w:szCs w:val="32"/>
        </w:rPr>
      </w:pPr>
      <w:r>
        <w:rPr>
          <w:rFonts w:eastAsia="仿宋_GB2312"/>
          <w:szCs w:val="32"/>
        </w:rPr>
        <w:t>科技创新、绿色安全指标基准值参照理论最高值确定，理论最高值为各计分项按最高等级的累计分。</w:t>
      </w:r>
    </w:p>
    <w:p w:rsidR="006E5539" w:rsidRDefault="004F2403">
      <w:pPr>
        <w:pStyle w:val="a7"/>
        <w:numPr>
          <w:ilvl w:val="0"/>
          <w:numId w:val="7"/>
        </w:numPr>
        <w:spacing w:line="520" w:lineRule="exact"/>
        <w:ind w:firstLineChars="200" w:firstLine="640"/>
        <w:rPr>
          <w:rFonts w:eastAsia="仿宋_GB2312"/>
          <w:szCs w:val="32"/>
        </w:rPr>
      </w:pPr>
      <w:r>
        <w:rPr>
          <w:rFonts w:eastAsia="仿宋_GB2312"/>
          <w:szCs w:val="32"/>
        </w:rPr>
        <w:t>单位主要污染物税收指标最高得分不超过基本分，有主要污染物当量数据的企业，</w:t>
      </w:r>
      <w:proofErr w:type="gramStart"/>
      <w:r>
        <w:rPr>
          <w:rFonts w:eastAsia="仿宋_GB2312"/>
          <w:szCs w:val="32"/>
        </w:rPr>
        <w:t>按</w:t>
      </w:r>
      <w:r>
        <w:rPr>
          <w:rFonts w:eastAsia="仿宋_GB2312"/>
          <w:szCs w:val="32"/>
        </w:rPr>
        <w:t>评价</w:t>
      </w:r>
      <w:proofErr w:type="gramEnd"/>
      <w:r>
        <w:rPr>
          <w:rFonts w:eastAsia="仿宋_GB2312"/>
          <w:szCs w:val="32"/>
        </w:rPr>
        <w:t>值除以基准值（此类企业平均值的</w:t>
      </w:r>
      <w:r>
        <w:rPr>
          <w:rFonts w:eastAsia="仿宋_GB2312"/>
          <w:szCs w:val="32"/>
        </w:rPr>
        <w:t>2</w:t>
      </w:r>
      <w:r>
        <w:rPr>
          <w:rFonts w:eastAsia="仿宋_GB2312"/>
          <w:szCs w:val="32"/>
        </w:rPr>
        <w:t>倍）再乘以基本分确定；没有主要污染物当量数据的企业，有税收数据的得基本分，没有税收数据的得零分。</w:t>
      </w:r>
    </w:p>
    <w:p w:rsidR="006E5539" w:rsidRDefault="004F2403">
      <w:pPr>
        <w:numPr>
          <w:ilvl w:val="0"/>
          <w:numId w:val="6"/>
        </w:numPr>
        <w:spacing w:line="520" w:lineRule="exact"/>
        <w:ind w:firstLineChars="200" w:firstLine="640"/>
        <w:rPr>
          <w:rFonts w:eastAsia="楷体_GB2312"/>
        </w:rPr>
      </w:pPr>
      <w:r>
        <w:rPr>
          <w:rFonts w:eastAsia="楷体_GB2312"/>
        </w:rPr>
        <w:t>客观因素调整分</w:t>
      </w:r>
    </w:p>
    <w:p w:rsidR="006E5539" w:rsidRDefault="004F2403" w:rsidP="00A03EDF">
      <w:pPr>
        <w:pStyle w:val="a7"/>
        <w:spacing w:line="520" w:lineRule="exact"/>
        <w:ind w:firstLine="640"/>
        <w:rPr>
          <w:rFonts w:eastAsia="仿宋_GB2312"/>
          <w:szCs w:val="32"/>
        </w:rPr>
      </w:pPr>
      <w:r>
        <w:rPr>
          <w:rFonts w:eastAsia="仿宋_GB2312"/>
          <w:szCs w:val="32"/>
        </w:rPr>
        <w:t>结合</w:t>
      </w:r>
      <w:proofErr w:type="gramStart"/>
      <w:r>
        <w:rPr>
          <w:rFonts w:eastAsia="仿宋_GB2312"/>
          <w:szCs w:val="32"/>
        </w:rPr>
        <w:t>本评价办法第</w:t>
      </w:r>
      <w:proofErr w:type="gramEnd"/>
      <w:r>
        <w:rPr>
          <w:rFonts w:eastAsia="仿宋_GB2312"/>
          <w:szCs w:val="32"/>
        </w:rPr>
        <w:t>六部分第二点</w:t>
      </w:r>
      <w:r>
        <w:rPr>
          <w:rFonts w:eastAsia="仿宋_GB2312"/>
          <w:szCs w:val="32"/>
        </w:rPr>
        <w:t>“</w:t>
      </w:r>
      <w:r>
        <w:rPr>
          <w:rFonts w:eastAsia="仿宋_GB2312"/>
          <w:szCs w:val="32"/>
        </w:rPr>
        <w:t>档级调整</w:t>
      </w:r>
      <w:r>
        <w:rPr>
          <w:rFonts w:eastAsia="仿宋_GB2312"/>
          <w:szCs w:val="32"/>
        </w:rPr>
        <w:t>”</w:t>
      </w:r>
      <w:r>
        <w:rPr>
          <w:rFonts w:eastAsia="仿宋_GB2312"/>
          <w:szCs w:val="32"/>
        </w:rPr>
        <w:t>，由市工业企业资源集约利用综合评价工作领导小组办公室</w:t>
      </w:r>
      <w:proofErr w:type="gramStart"/>
      <w:r>
        <w:rPr>
          <w:rFonts w:eastAsia="仿宋_GB2312"/>
          <w:szCs w:val="32"/>
        </w:rPr>
        <w:t>按评价</w:t>
      </w:r>
      <w:proofErr w:type="gramEnd"/>
      <w:r>
        <w:rPr>
          <w:rFonts w:eastAsia="仿宋_GB2312"/>
          <w:szCs w:val="32"/>
        </w:rPr>
        <w:t>实际情况确定客观因素调整分。加分项需经企业申请并履行相关核验、审批程序。</w:t>
      </w:r>
    </w:p>
    <w:p w:rsidR="006E5539" w:rsidRDefault="004F2403">
      <w:pPr>
        <w:numPr>
          <w:ilvl w:val="0"/>
          <w:numId w:val="6"/>
        </w:numPr>
        <w:spacing w:line="520" w:lineRule="exact"/>
        <w:ind w:firstLineChars="200" w:firstLine="640"/>
        <w:rPr>
          <w:rFonts w:eastAsia="楷体_GB2312"/>
        </w:rPr>
      </w:pPr>
      <w:r>
        <w:rPr>
          <w:rFonts w:eastAsia="楷体_GB2312"/>
        </w:rPr>
        <w:t>各</w:t>
      </w:r>
      <w:r>
        <w:rPr>
          <w:rFonts w:eastAsia="楷体_GB2312"/>
        </w:rPr>
        <w:t>单项指标</w:t>
      </w:r>
      <w:r>
        <w:rPr>
          <w:rFonts w:eastAsia="楷体_GB2312"/>
        </w:rPr>
        <w:t>及定义</w:t>
      </w:r>
    </w:p>
    <w:p w:rsidR="006E5539" w:rsidRDefault="004F2403">
      <w:pPr>
        <w:pStyle w:val="a7"/>
        <w:numPr>
          <w:ilvl w:val="0"/>
          <w:numId w:val="8"/>
        </w:numPr>
        <w:spacing w:line="520" w:lineRule="exact"/>
        <w:ind w:firstLineChars="200" w:firstLine="643"/>
        <w:rPr>
          <w:rFonts w:eastAsia="仿宋_GB2312"/>
          <w:szCs w:val="32"/>
        </w:rPr>
      </w:pPr>
      <w:r>
        <w:rPr>
          <w:rFonts w:eastAsia="仿宋_GB2312"/>
          <w:b/>
          <w:bCs/>
        </w:rPr>
        <w:t>实际占地面积</w:t>
      </w:r>
      <w:r>
        <w:rPr>
          <w:rFonts w:eastAsia="仿宋_GB2312"/>
        </w:rPr>
        <w:t>。</w:t>
      </w:r>
      <w:r>
        <w:rPr>
          <w:rFonts w:eastAsia="仿宋_GB2312"/>
          <w:szCs w:val="32"/>
        </w:rPr>
        <w:t>指年度统计报告</w:t>
      </w:r>
      <w:proofErr w:type="gramStart"/>
      <w:r>
        <w:rPr>
          <w:rFonts w:eastAsia="仿宋_GB2312"/>
          <w:szCs w:val="32"/>
        </w:rPr>
        <w:t>期末企业</w:t>
      </w:r>
      <w:proofErr w:type="gramEnd"/>
      <w:r>
        <w:rPr>
          <w:rFonts w:eastAsia="仿宋_GB2312"/>
          <w:szCs w:val="32"/>
        </w:rPr>
        <w:t>实际占用的全部土地面积。</w:t>
      </w:r>
      <w:r>
        <w:rPr>
          <w:rFonts w:eastAsia="仿宋_GB2312"/>
          <w:szCs w:val="32"/>
        </w:rPr>
        <w:t>“</w:t>
      </w:r>
      <w:r>
        <w:rPr>
          <w:rFonts w:eastAsia="仿宋_GB2312"/>
          <w:szCs w:val="32"/>
        </w:rPr>
        <w:t>一地多企</w:t>
      </w:r>
      <w:r>
        <w:rPr>
          <w:rFonts w:eastAsia="仿宋_GB2312"/>
          <w:szCs w:val="32"/>
        </w:rPr>
        <w:t>”</w:t>
      </w:r>
      <w:r>
        <w:rPr>
          <w:rFonts w:eastAsia="仿宋_GB2312"/>
          <w:szCs w:val="32"/>
        </w:rPr>
        <w:t>，应将该宗土地上所有租赁企业的调查数据汇总后，归入到该宗土地使用人，以宗地使用权人作为评价对</w:t>
      </w:r>
      <w:r>
        <w:rPr>
          <w:rFonts w:eastAsia="仿宋_GB2312"/>
          <w:szCs w:val="32"/>
        </w:rPr>
        <w:lastRenderedPageBreak/>
        <w:t>象；</w:t>
      </w:r>
      <w:r>
        <w:rPr>
          <w:rFonts w:eastAsia="仿宋_GB2312"/>
          <w:szCs w:val="32"/>
        </w:rPr>
        <w:t>“</w:t>
      </w:r>
      <w:proofErr w:type="gramStart"/>
      <w:r>
        <w:rPr>
          <w:rFonts w:eastAsia="仿宋_GB2312"/>
          <w:szCs w:val="32"/>
        </w:rPr>
        <w:t>一</w:t>
      </w:r>
      <w:proofErr w:type="gramEnd"/>
      <w:r>
        <w:rPr>
          <w:rFonts w:eastAsia="仿宋_GB2312"/>
          <w:szCs w:val="32"/>
        </w:rPr>
        <w:t>企多地</w:t>
      </w:r>
      <w:r>
        <w:rPr>
          <w:rFonts w:eastAsia="仿宋_GB2312"/>
          <w:szCs w:val="32"/>
        </w:rPr>
        <w:t>”</w:t>
      </w:r>
      <w:r>
        <w:rPr>
          <w:rFonts w:eastAsia="仿宋_GB2312"/>
          <w:szCs w:val="32"/>
        </w:rPr>
        <w:t>，应列入企业所在地参与评价。</w:t>
      </w:r>
    </w:p>
    <w:p w:rsidR="006E5539" w:rsidRDefault="004F2403">
      <w:pPr>
        <w:pStyle w:val="a7"/>
        <w:numPr>
          <w:ilvl w:val="0"/>
          <w:numId w:val="8"/>
        </w:numPr>
        <w:spacing w:line="520" w:lineRule="exact"/>
        <w:ind w:firstLineChars="200" w:firstLine="643"/>
        <w:rPr>
          <w:rFonts w:eastAsia="仿宋_GB2312"/>
          <w:szCs w:val="32"/>
        </w:rPr>
      </w:pPr>
      <w:r>
        <w:rPr>
          <w:rFonts w:eastAsia="仿宋_GB2312"/>
          <w:b/>
          <w:bCs/>
        </w:rPr>
        <w:t>申报销售收入</w:t>
      </w:r>
      <w:r>
        <w:rPr>
          <w:rFonts w:eastAsia="仿宋_GB2312"/>
          <w:b/>
          <w:bCs/>
          <w:szCs w:val="32"/>
        </w:rPr>
        <w:t>。</w:t>
      </w:r>
      <w:r>
        <w:rPr>
          <w:rFonts w:eastAsia="仿宋_GB2312"/>
          <w:szCs w:val="32"/>
        </w:rPr>
        <w:t>指企业在税务纳税申报系统中申报的所有销售收入。</w:t>
      </w:r>
    </w:p>
    <w:p w:rsidR="006E5539" w:rsidRDefault="004F2403">
      <w:pPr>
        <w:pStyle w:val="a7"/>
        <w:numPr>
          <w:ilvl w:val="0"/>
          <w:numId w:val="8"/>
        </w:numPr>
        <w:spacing w:line="520" w:lineRule="exact"/>
        <w:ind w:firstLineChars="200" w:firstLine="643"/>
        <w:rPr>
          <w:rFonts w:eastAsia="仿宋_GB2312"/>
          <w:szCs w:val="32"/>
        </w:rPr>
      </w:pPr>
      <w:r>
        <w:rPr>
          <w:rFonts w:eastAsia="仿宋_GB2312"/>
          <w:b/>
          <w:bCs/>
        </w:rPr>
        <w:t>实缴税金。</w:t>
      </w:r>
      <w:bookmarkStart w:id="1" w:name="_Toc493770838"/>
      <w:r>
        <w:rPr>
          <w:rFonts w:eastAsia="仿宋_GB2312"/>
          <w:szCs w:val="32"/>
        </w:rPr>
        <w:t>指企业评价年度在辖区实际缴纳入库且与持续经营有关的增值税（实际入库数</w:t>
      </w:r>
      <w:r>
        <w:rPr>
          <w:rFonts w:eastAsia="仿宋_GB2312"/>
          <w:szCs w:val="32"/>
        </w:rPr>
        <w:t>+</w:t>
      </w:r>
      <w:r>
        <w:rPr>
          <w:rFonts w:eastAsia="仿宋_GB2312"/>
          <w:szCs w:val="32"/>
        </w:rPr>
        <w:t>免抵调库数－出口退税以外的其他退税数）、消费税、企业所得税、个人所得税、城市维护建设税、房产税、城镇土地使用税、土地增值税、印花税、契税、耕地占用税、车船税、教育费附加、地方</w:t>
      </w:r>
      <w:r>
        <w:rPr>
          <w:rFonts w:eastAsia="仿宋_GB2312"/>
          <w:szCs w:val="32"/>
        </w:rPr>
        <w:t>教育附加等税费。</w:t>
      </w:r>
    </w:p>
    <w:p w:rsidR="006E5539" w:rsidRDefault="004F2403">
      <w:pPr>
        <w:pStyle w:val="a7"/>
        <w:numPr>
          <w:ilvl w:val="0"/>
          <w:numId w:val="8"/>
        </w:numPr>
        <w:spacing w:line="520" w:lineRule="exact"/>
        <w:ind w:firstLineChars="200" w:firstLine="643"/>
        <w:rPr>
          <w:rFonts w:eastAsia="仿宋_GB2312"/>
          <w:szCs w:val="32"/>
        </w:rPr>
      </w:pPr>
      <w:r>
        <w:rPr>
          <w:rFonts w:eastAsia="仿宋_GB2312"/>
          <w:b/>
          <w:bCs/>
        </w:rPr>
        <w:t>能耗总量。</w:t>
      </w:r>
      <w:r>
        <w:rPr>
          <w:rFonts w:eastAsia="仿宋_GB2312"/>
          <w:szCs w:val="32"/>
        </w:rPr>
        <w:t>指工业企业在工业生产中消耗的能源总量，包括工业生产活动中作为燃料、动力、辅助材料使用的能源，生产工艺中使用的能源，用于能源加工转换的能源，以及非工业生产活动中使用的能源。</w:t>
      </w:r>
    </w:p>
    <w:p w:rsidR="006E5539" w:rsidRDefault="004F2403">
      <w:pPr>
        <w:pStyle w:val="a7"/>
        <w:numPr>
          <w:ilvl w:val="0"/>
          <w:numId w:val="8"/>
        </w:numPr>
        <w:spacing w:line="520" w:lineRule="exact"/>
        <w:ind w:firstLineChars="200" w:firstLine="643"/>
        <w:rPr>
          <w:rFonts w:eastAsia="仿宋_GB2312"/>
          <w:szCs w:val="32"/>
        </w:rPr>
      </w:pPr>
      <w:r>
        <w:rPr>
          <w:rFonts w:eastAsia="仿宋_GB2312"/>
          <w:b/>
          <w:bCs/>
        </w:rPr>
        <w:t>主要污染物排放总当量。</w:t>
      </w:r>
      <w:bookmarkEnd w:id="1"/>
      <w:r>
        <w:rPr>
          <w:rFonts w:eastAsia="仿宋_GB2312"/>
          <w:szCs w:val="32"/>
        </w:rPr>
        <w:t>指排污企业缴纳环保税金时环保部门核定的污染物当量。</w:t>
      </w:r>
    </w:p>
    <w:p w:rsidR="006E5539" w:rsidRDefault="004F2403">
      <w:pPr>
        <w:numPr>
          <w:ilvl w:val="0"/>
          <w:numId w:val="6"/>
        </w:numPr>
        <w:spacing w:line="580" w:lineRule="exact"/>
        <w:ind w:firstLineChars="200" w:firstLine="640"/>
        <w:rPr>
          <w:rFonts w:eastAsia="楷体_GB2312"/>
        </w:rPr>
      </w:pPr>
      <w:r>
        <w:rPr>
          <w:rFonts w:eastAsia="楷体_GB2312"/>
        </w:rPr>
        <w:t>单项指标计算公式</w:t>
      </w:r>
    </w:p>
    <w:p w:rsidR="006E5539" w:rsidRDefault="004F2403">
      <w:pPr>
        <w:pStyle w:val="a7"/>
        <w:numPr>
          <w:ilvl w:val="0"/>
          <w:numId w:val="9"/>
        </w:numPr>
        <w:spacing w:line="240" w:lineRule="auto"/>
        <w:ind w:left="1065" w:firstLineChars="0"/>
        <w:rPr>
          <w:rFonts w:eastAsia="仿宋_GB2312"/>
          <w:szCs w:val="32"/>
        </w:rPr>
      </w:pPr>
      <m:oMath>
        <m:r>
          <m:rPr>
            <m:sty m:val="p"/>
          </m:rPr>
          <w:rPr>
            <w:rFonts w:ascii="Cambria Math" w:eastAsia="仿宋_GB2312" w:hAnsi="Cambria Math"/>
            <w:szCs w:val="32"/>
          </w:rPr>
          <m:t>亩均税收（万元</m:t>
        </m:r>
        <m:r>
          <m:rPr>
            <m:sty m:val="p"/>
          </m:rPr>
          <w:rPr>
            <w:rFonts w:ascii="Cambria Math" w:eastAsia="仿宋_GB2312" w:hAnsi="Cambria Math"/>
            <w:szCs w:val="32"/>
          </w:rPr>
          <m:t>/</m:t>
        </m:r>
        <m:r>
          <m:rPr>
            <m:sty m:val="p"/>
          </m:rPr>
          <w:rPr>
            <w:rFonts w:ascii="Cambria Math" w:eastAsia="仿宋_GB2312" w:hAnsi="Cambria Math"/>
            <w:szCs w:val="32"/>
          </w:rPr>
          <m:t>亩）</m:t>
        </m:r>
        <m:r>
          <m:rPr>
            <m:sty m:val="p"/>
          </m:rPr>
          <w:rPr>
            <w:rFonts w:ascii="Cambria Math" w:eastAsia="仿宋_GB2312" w:hAnsi="Cambria Math"/>
            <w:szCs w:val="32"/>
          </w:rPr>
          <m:t>=</m:t>
        </m:r>
        <m:f>
          <m:fPr>
            <m:ctrlPr>
              <w:rPr>
                <w:rFonts w:ascii="Cambria Math" w:eastAsia="仿宋_GB2312" w:hAnsi="Cambria Math"/>
                <w:szCs w:val="32"/>
              </w:rPr>
            </m:ctrlPr>
          </m:fPr>
          <m:num>
            <m:r>
              <m:rPr>
                <m:sty m:val="p"/>
              </m:rPr>
              <w:rPr>
                <w:rFonts w:ascii="Cambria Math" w:eastAsia="仿宋_GB2312" w:hAnsi="Cambria Math"/>
                <w:szCs w:val="32"/>
              </w:rPr>
              <m:t>实缴税金</m:t>
            </m:r>
          </m:num>
          <m:den>
            <m:r>
              <m:rPr>
                <m:sty m:val="p"/>
              </m:rPr>
              <w:rPr>
                <w:rFonts w:ascii="Cambria Math" w:eastAsia="仿宋_GB2312" w:hAnsi="Cambria Math"/>
                <w:szCs w:val="32"/>
              </w:rPr>
              <m:t>实际占地面积</m:t>
            </m:r>
          </m:den>
        </m:f>
      </m:oMath>
    </w:p>
    <w:p w:rsidR="006E5539" w:rsidRDefault="004F2403">
      <w:pPr>
        <w:pStyle w:val="a7"/>
        <w:numPr>
          <w:ilvl w:val="0"/>
          <w:numId w:val="9"/>
        </w:numPr>
        <w:spacing w:line="240" w:lineRule="auto"/>
        <w:ind w:left="1065" w:firstLineChars="0"/>
        <w:rPr>
          <w:rFonts w:eastAsia="仿宋_GB2312"/>
          <w:szCs w:val="32"/>
        </w:rPr>
      </w:pPr>
      <m:oMath>
        <m:r>
          <m:rPr>
            <m:sty m:val="p"/>
          </m:rPr>
          <w:rPr>
            <w:rFonts w:ascii="Cambria Math" w:eastAsia="仿宋_GB2312" w:hAnsi="Cambria Math"/>
            <w:szCs w:val="32"/>
          </w:rPr>
          <m:t>亩均销售（万元</m:t>
        </m:r>
        <m:r>
          <m:rPr>
            <m:sty m:val="p"/>
          </m:rPr>
          <w:rPr>
            <w:rFonts w:ascii="Cambria Math" w:eastAsia="仿宋_GB2312" w:hAnsi="Cambria Math"/>
            <w:szCs w:val="32"/>
          </w:rPr>
          <m:t>/</m:t>
        </m:r>
        <m:r>
          <m:rPr>
            <m:sty m:val="p"/>
          </m:rPr>
          <w:rPr>
            <w:rFonts w:ascii="Cambria Math" w:eastAsia="仿宋_GB2312" w:hAnsi="Cambria Math"/>
            <w:szCs w:val="32"/>
          </w:rPr>
          <m:t>亩）</m:t>
        </m:r>
        <m:r>
          <m:rPr>
            <m:sty m:val="p"/>
          </m:rPr>
          <w:rPr>
            <w:rFonts w:ascii="Cambria Math" w:eastAsia="仿宋_GB2312" w:hAnsi="Cambria Math"/>
            <w:szCs w:val="32"/>
          </w:rPr>
          <m:t>=</m:t>
        </m:r>
        <m:f>
          <m:fPr>
            <m:ctrlPr>
              <w:rPr>
                <w:rFonts w:ascii="Cambria Math" w:eastAsia="仿宋_GB2312" w:hAnsi="Cambria Math"/>
                <w:szCs w:val="32"/>
              </w:rPr>
            </m:ctrlPr>
          </m:fPr>
          <m:num>
            <m:r>
              <m:rPr>
                <m:sty m:val="p"/>
              </m:rPr>
              <w:rPr>
                <w:rFonts w:ascii="Cambria Math" w:eastAsia="仿宋_GB2312" w:hAnsi="Cambria Math"/>
                <w:szCs w:val="32"/>
              </w:rPr>
              <m:t>申报销售收入</m:t>
            </m:r>
          </m:num>
          <m:den>
            <m:r>
              <m:rPr>
                <m:sty m:val="p"/>
              </m:rPr>
              <w:rPr>
                <w:rFonts w:ascii="Cambria Math" w:eastAsia="仿宋_GB2312" w:hAnsi="Cambria Math"/>
                <w:szCs w:val="32"/>
              </w:rPr>
              <m:t>实际占地面积</m:t>
            </m:r>
          </m:den>
        </m:f>
      </m:oMath>
    </w:p>
    <w:p w:rsidR="006E5539" w:rsidRDefault="004F2403">
      <w:pPr>
        <w:pStyle w:val="a7"/>
        <w:numPr>
          <w:ilvl w:val="0"/>
          <w:numId w:val="9"/>
        </w:numPr>
        <w:spacing w:line="240" w:lineRule="auto"/>
        <w:ind w:left="1065" w:firstLineChars="0"/>
        <w:rPr>
          <w:rFonts w:eastAsia="仿宋_GB2312"/>
          <w:szCs w:val="32"/>
        </w:rPr>
      </w:pPr>
      <m:oMath>
        <m:r>
          <m:rPr>
            <m:sty m:val="p"/>
          </m:rPr>
          <w:rPr>
            <w:rFonts w:ascii="Cambria Math" w:eastAsia="仿宋_GB2312" w:hAnsi="Cambria Math"/>
            <w:szCs w:val="32"/>
          </w:rPr>
          <m:t>单位能耗税收（万元</m:t>
        </m:r>
        <m:r>
          <m:rPr>
            <m:sty m:val="p"/>
          </m:rPr>
          <w:rPr>
            <w:rFonts w:ascii="Cambria Math" w:eastAsia="仿宋_GB2312" w:hAnsi="Cambria Math"/>
            <w:szCs w:val="32"/>
          </w:rPr>
          <m:t>/</m:t>
        </m:r>
        <m:r>
          <m:rPr>
            <m:sty m:val="p"/>
          </m:rPr>
          <w:rPr>
            <w:rFonts w:ascii="Cambria Math" w:eastAsia="仿宋_GB2312" w:hAnsi="Cambria Math"/>
            <w:szCs w:val="32"/>
          </w:rPr>
          <m:t>吨标煤）</m:t>
        </m:r>
        <m:r>
          <m:rPr>
            <m:sty m:val="p"/>
          </m:rPr>
          <w:rPr>
            <w:rFonts w:ascii="Cambria Math" w:eastAsia="仿宋_GB2312" w:hAnsi="Cambria Math"/>
            <w:szCs w:val="32"/>
          </w:rPr>
          <m:t>=</m:t>
        </m:r>
        <m:f>
          <m:fPr>
            <m:ctrlPr>
              <w:rPr>
                <w:rFonts w:ascii="Cambria Math" w:eastAsia="仿宋_GB2312" w:hAnsi="Cambria Math"/>
                <w:szCs w:val="32"/>
              </w:rPr>
            </m:ctrlPr>
          </m:fPr>
          <m:num>
            <m:r>
              <m:rPr>
                <m:sty m:val="p"/>
              </m:rPr>
              <w:rPr>
                <w:rFonts w:ascii="Cambria Math" w:eastAsia="仿宋_GB2312" w:hAnsi="Cambria Math"/>
                <w:szCs w:val="32"/>
              </w:rPr>
              <m:t>实缴税金</m:t>
            </m:r>
          </m:num>
          <m:den>
            <m:r>
              <m:rPr>
                <m:sty m:val="p"/>
              </m:rPr>
              <w:rPr>
                <w:rFonts w:ascii="Cambria Math" w:eastAsia="仿宋_GB2312" w:hAnsi="Cambria Math"/>
                <w:szCs w:val="32"/>
              </w:rPr>
              <m:t>能耗总量</m:t>
            </m:r>
          </m:den>
        </m:f>
      </m:oMath>
    </w:p>
    <w:p w:rsidR="006E5539" w:rsidRDefault="004F2403">
      <w:pPr>
        <w:pStyle w:val="a7"/>
        <w:numPr>
          <w:ilvl w:val="0"/>
          <w:numId w:val="9"/>
        </w:numPr>
        <w:spacing w:line="240" w:lineRule="auto"/>
        <w:ind w:left="1065" w:firstLineChars="0"/>
        <w:rPr>
          <w:rFonts w:eastAsia="仿宋_GB2312"/>
          <w:szCs w:val="32"/>
        </w:rPr>
      </w:pPr>
      <m:oMath>
        <m:r>
          <m:rPr>
            <m:sty m:val="p"/>
          </m:rPr>
          <w:rPr>
            <w:rFonts w:ascii="Cambria Math" w:eastAsia="仿宋_GB2312" w:hAnsi="Cambria Math"/>
            <w:szCs w:val="32"/>
          </w:rPr>
          <m:t>单位能耗销售（万元</m:t>
        </m:r>
        <m:r>
          <m:rPr>
            <m:sty m:val="p"/>
          </m:rPr>
          <w:rPr>
            <w:rFonts w:ascii="Cambria Math" w:eastAsia="仿宋_GB2312" w:hAnsi="Cambria Math"/>
            <w:szCs w:val="32"/>
          </w:rPr>
          <m:t>/</m:t>
        </m:r>
        <m:r>
          <m:rPr>
            <m:sty m:val="p"/>
          </m:rPr>
          <w:rPr>
            <w:rFonts w:ascii="Cambria Math" w:eastAsia="仿宋_GB2312" w:hAnsi="Cambria Math"/>
            <w:szCs w:val="32"/>
          </w:rPr>
          <m:t>吨标煤）</m:t>
        </m:r>
        <m:r>
          <m:rPr>
            <m:sty m:val="p"/>
          </m:rPr>
          <w:rPr>
            <w:rFonts w:ascii="Cambria Math" w:eastAsia="仿宋_GB2312" w:hAnsi="Cambria Math"/>
            <w:szCs w:val="32"/>
          </w:rPr>
          <m:t>=</m:t>
        </m:r>
        <m:f>
          <m:fPr>
            <m:ctrlPr>
              <w:rPr>
                <w:rFonts w:ascii="Cambria Math" w:eastAsia="仿宋_GB2312" w:hAnsi="Cambria Math"/>
                <w:szCs w:val="32"/>
              </w:rPr>
            </m:ctrlPr>
          </m:fPr>
          <m:num>
            <m:r>
              <m:rPr>
                <m:sty m:val="p"/>
              </m:rPr>
              <w:rPr>
                <w:rFonts w:ascii="Cambria Math" w:eastAsia="仿宋_GB2312" w:hAnsi="Cambria Math"/>
                <w:szCs w:val="32"/>
              </w:rPr>
              <m:t>申报销售收入</m:t>
            </m:r>
          </m:num>
          <m:den>
            <m:r>
              <m:rPr>
                <m:sty m:val="p"/>
              </m:rPr>
              <w:rPr>
                <w:rFonts w:ascii="Cambria Math" w:eastAsia="仿宋_GB2312" w:hAnsi="Cambria Math"/>
                <w:szCs w:val="32"/>
              </w:rPr>
              <m:t>能耗总量</m:t>
            </m:r>
          </m:den>
        </m:f>
      </m:oMath>
    </w:p>
    <w:p w:rsidR="006E5539" w:rsidRDefault="004F2403">
      <w:pPr>
        <w:pStyle w:val="a7"/>
        <w:numPr>
          <w:ilvl w:val="0"/>
          <w:numId w:val="9"/>
        </w:numPr>
        <w:spacing w:line="240" w:lineRule="auto"/>
        <w:ind w:left="1065" w:firstLineChars="0"/>
        <w:rPr>
          <w:rFonts w:eastAsia="仿宋_GB2312"/>
          <w:szCs w:val="32"/>
        </w:rPr>
      </w:pPr>
      <m:oMath>
        <m:r>
          <m:rPr>
            <m:sty m:val="p"/>
          </m:rPr>
          <w:rPr>
            <w:rFonts w:ascii="Cambria Math" w:eastAsia="仿宋_GB2312" w:hAnsi="Cambria Math"/>
            <w:w w:val="95"/>
            <w:szCs w:val="32"/>
          </w:rPr>
          <m:t>单位主要污染物税收（万元</m:t>
        </m:r>
        <m:r>
          <m:rPr>
            <m:sty m:val="p"/>
          </m:rPr>
          <w:rPr>
            <w:rFonts w:ascii="Cambria Math" w:eastAsia="仿宋_GB2312" w:hAnsi="Cambria Math"/>
            <w:w w:val="95"/>
            <w:szCs w:val="32"/>
          </w:rPr>
          <m:t>/</m:t>
        </m:r>
        <m:r>
          <m:rPr>
            <m:sty m:val="p"/>
          </m:rPr>
          <w:rPr>
            <w:rFonts w:ascii="Cambria Math" w:eastAsia="仿宋_GB2312" w:hAnsi="Cambria Math"/>
            <w:w w:val="95"/>
            <w:szCs w:val="32"/>
          </w:rPr>
          <m:t>当</m:t>
        </m:r>
        <m:r>
          <m:rPr>
            <m:sty m:val="p"/>
          </m:rPr>
          <w:rPr>
            <w:rFonts w:ascii="Cambria Math" w:eastAsia="仿宋_GB2312" w:hAnsi="Cambria Math"/>
            <w:w w:val="95"/>
            <w:szCs w:val="32"/>
          </w:rPr>
          <m:t>量）</m:t>
        </m:r>
        <m:r>
          <m:rPr>
            <m:sty m:val="p"/>
          </m:rPr>
          <w:rPr>
            <w:rFonts w:ascii="Cambria Math" w:eastAsia="仿宋_GB2312" w:hAnsi="Cambria Math"/>
            <w:szCs w:val="32"/>
          </w:rPr>
          <m:t>=</m:t>
        </m:r>
        <m:f>
          <m:fPr>
            <m:ctrlPr>
              <w:rPr>
                <w:rFonts w:ascii="Cambria Math" w:eastAsia="仿宋_GB2312" w:hAnsi="Cambria Math"/>
                <w:szCs w:val="32"/>
              </w:rPr>
            </m:ctrlPr>
          </m:fPr>
          <m:num>
            <m:r>
              <m:rPr>
                <m:sty m:val="p"/>
              </m:rPr>
              <w:rPr>
                <w:rFonts w:ascii="Cambria Math" w:eastAsia="仿宋_GB2312" w:hAnsi="Cambria Math"/>
                <w:szCs w:val="32"/>
              </w:rPr>
              <m:t>实缴税金</m:t>
            </m:r>
          </m:num>
          <m:den>
            <m:r>
              <m:rPr>
                <m:sty m:val="p"/>
              </m:rPr>
              <w:rPr>
                <w:rFonts w:ascii="Cambria Math" w:eastAsia="仿宋_GB2312" w:hAnsi="Cambria Math"/>
                <w:szCs w:val="32"/>
              </w:rPr>
              <m:t>主要污染物排放总当量</m:t>
            </m:r>
          </m:den>
        </m:f>
      </m:oMath>
    </w:p>
    <w:p w:rsidR="006E5539" w:rsidRDefault="004F2403">
      <w:pPr>
        <w:numPr>
          <w:ilvl w:val="0"/>
          <w:numId w:val="1"/>
        </w:numPr>
        <w:spacing w:line="560" w:lineRule="exact"/>
        <w:ind w:left="0" w:firstLineChars="200" w:firstLine="640"/>
        <w:rPr>
          <w:rFonts w:eastAsia="黑体"/>
        </w:rPr>
      </w:pPr>
      <w:bookmarkStart w:id="2" w:name="_Hlk91620145"/>
      <w:r>
        <w:rPr>
          <w:rFonts w:eastAsia="黑体"/>
        </w:rPr>
        <w:t>分类方法</w:t>
      </w:r>
    </w:p>
    <w:bookmarkEnd w:id="2"/>
    <w:p w:rsidR="006E5539" w:rsidRDefault="004F2403">
      <w:pPr>
        <w:numPr>
          <w:ilvl w:val="0"/>
          <w:numId w:val="10"/>
        </w:numPr>
        <w:spacing w:line="520" w:lineRule="exact"/>
        <w:ind w:firstLine="640"/>
        <w:rPr>
          <w:rFonts w:eastAsia="楷体_GB2312"/>
        </w:rPr>
      </w:pPr>
      <w:r>
        <w:rPr>
          <w:rFonts w:eastAsia="楷体_GB2312"/>
        </w:rPr>
        <w:t>一般规定</w:t>
      </w:r>
    </w:p>
    <w:p w:rsidR="006E5539" w:rsidRDefault="004F2403">
      <w:pPr>
        <w:spacing w:line="520" w:lineRule="exact"/>
        <w:ind w:firstLineChars="200" w:firstLine="640"/>
        <w:rPr>
          <w:rFonts w:eastAsia="仿宋_GB2312"/>
          <w:szCs w:val="32"/>
        </w:rPr>
      </w:pPr>
      <w:r>
        <w:rPr>
          <w:rFonts w:eastAsia="仿宋_GB2312"/>
          <w:szCs w:val="32"/>
        </w:rPr>
        <w:lastRenderedPageBreak/>
        <w:t>对企业综合评价得分按从高到低排序，分为</w:t>
      </w:r>
      <w:r>
        <w:rPr>
          <w:rFonts w:eastAsia="仿宋_GB2312"/>
          <w:szCs w:val="32"/>
        </w:rPr>
        <w:t>A</w:t>
      </w:r>
      <w:r>
        <w:rPr>
          <w:rFonts w:eastAsia="仿宋_GB2312"/>
          <w:szCs w:val="32"/>
        </w:rPr>
        <w:t>、</w:t>
      </w:r>
      <w:r>
        <w:rPr>
          <w:rFonts w:eastAsia="仿宋_GB2312"/>
          <w:szCs w:val="32"/>
        </w:rPr>
        <w:t>B</w:t>
      </w:r>
      <w:r>
        <w:rPr>
          <w:rFonts w:eastAsia="仿宋_GB2312"/>
          <w:szCs w:val="32"/>
        </w:rPr>
        <w:t>、</w:t>
      </w:r>
      <w:r>
        <w:rPr>
          <w:rFonts w:eastAsia="仿宋_GB2312"/>
          <w:szCs w:val="32"/>
        </w:rPr>
        <w:t>C</w:t>
      </w:r>
      <w:r>
        <w:rPr>
          <w:rFonts w:eastAsia="仿宋_GB2312"/>
          <w:szCs w:val="32"/>
        </w:rPr>
        <w:t>、</w:t>
      </w:r>
      <w:r>
        <w:rPr>
          <w:rFonts w:eastAsia="仿宋_GB2312"/>
          <w:szCs w:val="32"/>
        </w:rPr>
        <w:t>D</w:t>
      </w:r>
      <w:r>
        <w:rPr>
          <w:rFonts w:eastAsia="仿宋_GB2312"/>
          <w:szCs w:val="32"/>
        </w:rPr>
        <w:t>四类。具体评价分类方法如下：</w:t>
      </w:r>
    </w:p>
    <w:p w:rsidR="006E5539" w:rsidRDefault="004F2403">
      <w:pPr>
        <w:spacing w:line="520" w:lineRule="exact"/>
        <w:ind w:firstLineChars="200" w:firstLine="640"/>
        <w:rPr>
          <w:rFonts w:eastAsia="仿宋_GB2312"/>
          <w:szCs w:val="32"/>
        </w:rPr>
      </w:pPr>
      <w:r>
        <w:rPr>
          <w:rFonts w:eastAsia="仿宋_GB2312"/>
          <w:szCs w:val="32"/>
        </w:rPr>
        <w:t>A</w:t>
      </w:r>
      <w:r>
        <w:rPr>
          <w:rFonts w:eastAsia="仿宋_GB2312"/>
          <w:szCs w:val="32"/>
        </w:rPr>
        <w:t>类</w:t>
      </w:r>
      <w:r>
        <w:rPr>
          <w:rFonts w:eastAsia="仿宋_GB2312"/>
          <w:szCs w:val="32"/>
        </w:rPr>
        <w:t>——</w:t>
      </w:r>
      <w:r>
        <w:rPr>
          <w:rFonts w:eastAsia="仿宋_GB2312"/>
          <w:szCs w:val="32"/>
        </w:rPr>
        <w:t>优先发展类。指税收贡献大、科技创新能力强、资源环境效益好，总得分位列全市前</w:t>
      </w:r>
      <w:r>
        <w:rPr>
          <w:rFonts w:eastAsia="仿宋_GB2312"/>
          <w:szCs w:val="32"/>
        </w:rPr>
        <w:t>10%</w:t>
      </w:r>
      <w:r>
        <w:rPr>
          <w:rFonts w:eastAsia="仿宋_GB2312"/>
          <w:szCs w:val="32"/>
        </w:rPr>
        <w:t>（含）的企业。</w:t>
      </w:r>
    </w:p>
    <w:p w:rsidR="006E5539" w:rsidRDefault="004F2403">
      <w:pPr>
        <w:spacing w:line="520" w:lineRule="exact"/>
        <w:ind w:firstLineChars="200" w:firstLine="640"/>
        <w:rPr>
          <w:rFonts w:eastAsia="仿宋_GB2312"/>
          <w:szCs w:val="32"/>
        </w:rPr>
      </w:pPr>
      <w:r>
        <w:rPr>
          <w:rFonts w:eastAsia="仿宋_GB2312"/>
          <w:szCs w:val="32"/>
        </w:rPr>
        <w:t>B</w:t>
      </w:r>
      <w:r>
        <w:rPr>
          <w:rFonts w:eastAsia="仿宋_GB2312"/>
          <w:szCs w:val="32"/>
        </w:rPr>
        <w:t>类</w:t>
      </w:r>
      <w:r>
        <w:rPr>
          <w:rFonts w:eastAsia="仿宋_GB2312"/>
          <w:szCs w:val="32"/>
        </w:rPr>
        <w:t>——</w:t>
      </w:r>
      <w:r>
        <w:rPr>
          <w:rFonts w:eastAsia="仿宋_GB2312"/>
          <w:szCs w:val="32"/>
        </w:rPr>
        <w:t>鼓励提升类。</w:t>
      </w:r>
      <w:proofErr w:type="gramStart"/>
      <w:r>
        <w:rPr>
          <w:rFonts w:eastAsia="仿宋_GB2312"/>
          <w:szCs w:val="32"/>
        </w:rPr>
        <w:t>指效益</w:t>
      </w:r>
      <w:proofErr w:type="gramEnd"/>
      <w:r>
        <w:rPr>
          <w:rFonts w:eastAsia="仿宋_GB2312"/>
          <w:szCs w:val="32"/>
        </w:rPr>
        <w:t>相对较好、但发展质态有待提升，总得分位列全市</w:t>
      </w:r>
      <w:r>
        <w:rPr>
          <w:rFonts w:eastAsia="仿宋_GB2312"/>
          <w:szCs w:val="32"/>
        </w:rPr>
        <w:t>10%</w:t>
      </w:r>
      <w:r>
        <w:rPr>
          <w:rFonts w:eastAsia="仿宋_GB2312"/>
          <w:szCs w:val="32"/>
        </w:rPr>
        <w:t>（不含）</w:t>
      </w:r>
      <w:r>
        <w:rPr>
          <w:rFonts w:eastAsia="仿宋_GB2312"/>
          <w:szCs w:val="32"/>
        </w:rPr>
        <w:t>-70%</w:t>
      </w:r>
      <w:r>
        <w:rPr>
          <w:rFonts w:eastAsia="仿宋_GB2312"/>
          <w:szCs w:val="32"/>
        </w:rPr>
        <w:t>（含）之间的企业。</w:t>
      </w:r>
    </w:p>
    <w:p w:rsidR="006E5539" w:rsidRDefault="004F2403">
      <w:pPr>
        <w:spacing w:line="520" w:lineRule="exact"/>
        <w:ind w:firstLineChars="200" w:firstLine="640"/>
        <w:rPr>
          <w:rFonts w:eastAsia="仿宋_GB2312"/>
          <w:szCs w:val="32"/>
        </w:rPr>
      </w:pPr>
      <w:r>
        <w:rPr>
          <w:rFonts w:eastAsia="仿宋_GB2312"/>
          <w:szCs w:val="32"/>
        </w:rPr>
        <w:t>C</w:t>
      </w:r>
      <w:r>
        <w:rPr>
          <w:rFonts w:eastAsia="仿宋_GB2312"/>
          <w:szCs w:val="32"/>
        </w:rPr>
        <w:t>类</w:t>
      </w:r>
      <w:r>
        <w:rPr>
          <w:rFonts w:eastAsia="仿宋_GB2312"/>
          <w:szCs w:val="32"/>
        </w:rPr>
        <w:t>——</w:t>
      </w:r>
      <w:r>
        <w:rPr>
          <w:rFonts w:eastAsia="仿宋_GB2312"/>
          <w:szCs w:val="32"/>
        </w:rPr>
        <w:t>监管调控类。</w:t>
      </w:r>
      <w:proofErr w:type="gramStart"/>
      <w:r>
        <w:rPr>
          <w:rFonts w:eastAsia="仿宋_GB2312"/>
          <w:szCs w:val="32"/>
        </w:rPr>
        <w:t>指效益</w:t>
      </w:r>
      <w:proofErr w:type="gramEnd"/>
      <w:r>
        <w:rPr>
          <w:rFonts w:eastAsia="仿宋_GB2312"/>
          <w:szCs w:val="32"/>
        </w:rPr>
        <w:t>与贡献相对较差，需进行倒逼提升，总得分位列全市</w:t>
      </w:r>
      <w:r>
        <w:rPr>
          <w:rFonts w:eastAsia="仿宋_GB2312"/>
          <w:szCs w:val="32"/>
        </w:rPr>
        <w:t>70%</w:t>
      </w:r>
      <w:r>
        <w:rPr>
          <w:rFonts w:eastAsia="仿宋_GB2312"/>
          <w:szCs w:val="32"/>
        </w:rPr>
        <w:t>（不含）</w:t>
      </w:r>
      <w:r>
        <w:rPr>
          <w:rFonts w:eastAsia="仿宋_GB2312"/>
          <w:szCs w:val="32"/>
        </w:rPr>
        <w:t>-95%</w:t>
      </w:r>
      <w:r>
        <w:rPr>
          <w:rFonts w:eastAsia="仿宋_GB2312"/>
          <w:szCs w:val="32"/>
        </w:rPr>
        <w:t>（含）之间的企业。</w:t>
      </w:r>
    </w:p>
    <w:p w:rsidR="006E5539" w:rsidRDefault="004F2403">
      <w:pPr>
        <w:spacing w:line="520" w:lineRule="exact"/>
        <w:ind w:firstLineChars="200" w:firstLine="640"/>
        <w:rPr>
          <w:rFonts w:eastAsia="仿宋_GB2312"/>
          <w:szCs w:val="32"/>
        </w:rPr>
      </w:pPr>
      <w:r>
        <w:rPr>
          <w:rFonts w:eastAsia="仿宋_GB2312"/>
          <w:szCs w:val="32"/>
        </w:rPr>
        <w:t>D</w:t>
      </w:r>
      <w:r>
        <w:rPr>
          <w:rFonts w:eastAsia="仿宋_GB2312"/>
          <w:szCs w:val="32"/>
        </w:rPr>
        <w:t>类</w:t>
      </w:r>
      <w:r>
        <w:rPr>
          <w:rFonts w:eastAsia="仿宋_GB2312"/>
          <w:szCs w:val="32"/>
        </w:rPr>
        <w:t>——</w:t>
      </w:r>
      <w:r>
        <w:rPr>
          <w:rFonts w:eastAsia="仿宋_GB2312"/>
          <w:szCs w:val="32"/>
        </w:rPr>
        <w:t>落后整治类。指发展水平落后、综合绩效差，需重点整治，总得分位列全市后</w:t>
      </w:r>
      <w:r>
        <w:rPr>
          <w:rFonts w:eastAsia="仿宋_GB2312"/>
          <w:szCs w:val="32"/>
        </w:rPr>
        <w:t>5%</w:t>
      </w:r>
      <w:r>
        <w:rPr>
          <w:rFonts w:eastAsia="仿宋_GB2312"/>
          <w:szCs w:val="32"/>
        </w:rPr>
        <w:t>（不含）的企业。</w:t>
      </w:r>
    </w:p>
    <w:p w:rsidR="006E5539" w:rsidRDefault="004F2403">
      <w:pPr>
        <w:numPr>
          <w:ilvl w:val="0"/>
          <w:numId w:val="10"/>
        </w:numPr>
        <w:spacing w:line="520" w:lineRule="exact"/>
        <w:ind w:firstLine="640"/>
        <w:rPr>
          <w:rFonts w:eastAsia="楷体_GB2312"/>
        </w:rPr>
      </w:pPr>
      <w:r>
        <w:rPr>
          <w:rFonts w:eastAsia="楷体_GB2312"/>
        </w:rPr>
        <w:t>档级调整</w:t>
      </w:r>
    </w:p>
    <w:p w:rsidR="006E5539" w:rsidRDefault="004F2403">
      <w:pPr>
        <w:spacing w:line="520" w:lineRule="exact"/>
        <w:ind w:firstLineChars="200" w:firstLine="640"/>
        <w:rPr>
          <w:rFonts w:eastAsia="仿宋_GB2312"/>
          <w:szCs w:val="32"/>
        </w:rPr>
      </w:pPr>
      <w:r>
        <w:rPr>
          <w:rFonts w:eastAsia="仿宋_GB2312"/>
          <w:szCs w:val="32"/>
        </w:rPr>
        <w:t>对下列情形，可根据企业申请并履行相关核验、审批程序，对企业档级进行适当调整：</w:t>
      </w:r>
    </w:p>
    <w:p w:rsidR="006E5539" w:rsidRDefault="004F2403">
      <w:pPr>
        <w:pStyle w:val="a7"/>
        <w:numPr>
          <w:ilvl w:val="0"/>
          <w:numId w:val="11"/>
        </w:numPr>
        <w:spacing w:line="520" w:lineRule="exact"/>
        <w:ind w:firstLineChars="200" w:firstLine="643"/>
        <w:rPr>
          <w:rFonts w:eastAsia="仿宋_GB2312"/>
          <w:b/>
          <w:bCs/>
          <w:szCs w:val="32"/>
        </w:rPr>
      </w:pPr>
      <w:r>
        <w:rPr>
          <w:rFonts w:eastAsia="仿宋_GB2312"/>
          <w:b/>
          <w:bCs/>
          <w:szCs w:val="32"/>
        </w:rPr>
        <w:t>对优质企业进行保护性调档</w:t>
      </w:r>
    </w:p>
    <w:p w:rsidR="006E5539" w:rsidRDefault="004F2403">
      <w:pPr>
        <w:pStyle w:val="a7"/>
        <w:numPr>
          <w:ilvl w:val="0"/>
          <w:numId w:val="12"/>
        </w:numPr>
        <w:spacing w:line="520" w:lineRule="exact"/>
        <w:ind w:firstLineChars="200" w:firstLine="640"/>
        <w:rPr>
          <w:rFonts w:eastAsia="仿宋_GB2312"/>
          <w:szCs w:val="32"/>
        </w:rPr>
      </w:pPr>
      <w:r>
        <w:rPr>
          <w:rFonts w:eastAsia="仿宋_GB2312"/>
          <w:szCs w:val="32"/>
        </w:rPr>
        <w:t>评价年度内被评为</w:t>
      </w:r>
      <w:r>
        <w:rPr>
          <w:rFonts w:eastAsia="仿宋_GB2312"/>
          <w:szCs w:val="32"/>
        </w:rPr>
        <w:t>中国</w:t>
      </w:r>
      <w:r>
        <w:rPr>
          <w:rFonts w:eastAsia="仿宋_GB2312"/>
          <w:szCs w:val="32"/>
        </w:rPr>
        <w:t>500</w:t>
      </w:r>
      <w:r>
        <w:rPr>
          <w:rFonts w:eastAsia="仿宋_GB2312"/>
          <w:szCs w:val="32"/>
        </w:rPr>
        <w:t>强企业、专精特新</w:t>
      </w:r>
      <w:r>
        <w:rPr>
          <w:rFonts w:eastAsia="仿宋_GB2312"/>
          <w:szCs w:val="32"/>
        </w:rPr>
        <w:t>“</w:t>
      </w:r>
      <w:r>
        <w:rPr>
          <w:rFonts w:eastAsia="仿宋_GB2312"/>
          <w:szCs w:val="32"/>
        </w:rPr>
        <w:t>小巨人</w:t>
      </w:r>
      <w:r>
        <w:rPr>
          <w:rFonts w:eastAsia="仿宋_GB2312"/>
          <w:szCs w:val="32"/>
        </w:rPr>
        <w:t>”</w:t>
      </w:r>
      <w:r>
        <w:rPr>
          <w:rFonts w:eastAsia="仿宋_GB2312"/>
          <w:szCs w:val="32"/>
        </w:rPr>
        <w:t>企业、制造业单项冠军企业</w:t>
      </w:r>
      <w:r>
        <w:rPr>
          <w:rFonts w:eastAsia="仿宋_GB2312"/>
          <w:szCs w:val="32"/>
        </w:rPr>
        <w:t>，</w:t>
      </w:r>
      <w:r>
        <w:rPr>
          <w:rFonts w:eastAsia="仿宋_GB2312"/>
          <w:szCs w:val="32"/>
        </w:rPr>
        <w:t>近两年承担国家级</w:t>
      </w:r>
      <w:r>
        <w:rPr>
          <w:rFonts w:eastAsia="仿宋_GB2312"/>
          <w:szCs w:val="32"/>
        </w:rPr>
        <w:t>或省级</w:t>
      </w:r>
      <w:r>
        <w:rPr>
          <w:rFonts w:eastAsia="仿宋_GB2312"/>
          <w:szCs w:val="32"/>
        </w:rPr>
        <w:t>项目科研和建设的企业、拥有国家级</w:t>
      </w:r>
      <w:r>
        <w:rPr>
          <w:rFonts w:eastAsia="仿宋_GB2312"/>
          <w:szCs w:val="32"/>
        </w:rPr>
        <w:t>或省级</w:t>
      </w:r>
      <w:r>
        <w:rPr>
          <w:rFonts w:eastAsia="仿宋_GB2312"/>
          <w:szCs w:val="32"/>
        </w:rPr>
        <w:t>研发中心的企业，原则上</w:t>
      </w:r>
      <w:proofErr w:type="gramStart"/>
      <w:r>
        <w:rPr>
          <w:rFonts w:eastAsia="仿宋_GB2312"/>
          <w:szCs w:val="32"/>
        </w:rPr>
        <w:t>不</w:t>
      </w:r>
      <w:proofErr w:type="gramEnd"/>
      <w:r>
        <w:rPr>
          <w:rFonts w:eastAsia="仿宋_GB2312"/>
          <w:szCs w:val="32"/>
        </w:rPr>
        <w:t>评为</w:t>
      </w:r>
      <w:r>
        <w:rPr>
          <w:rFonts w:eastAsia="仿宋_GB2312"/>
          <w:szCs w:val="32"/>
        </w:rPr>
        <w:t>C</w:t>
      </w:r>
      <w:r>
        <w:rPr>
          <w:rFonts w:eastAsia="仿宋_GB2312"/>
          <w:szCs w:val="32"/>
        </w:rPr>
        <w:t>、</w:t>
      </w:r>
      <w:r>
        <w:rPr>
          <w:rFonts w:eastAsia="仿宋_GB2312"/>
          <w:szCs w:val="32"/>
        </w:rPr>
        <w:t>D</w:t>
      </w:r>
      <w:r>
        <w:rPr>
          <w:rFonts w:eastAsia="仿宋_GB2312"/>
          <w:szCs w:val="32"/>
        </w:rPr>
        <w:t>类。</w:t>
      </w:r>
    </w:p>
    <w:p w:rsidR="006E5539" w:rsidRDefault="004F2403">
      <w:pPr>
        <w:pStyle w:val="a7"/>
        <w:numPr>
          <w:ilvl w:val="0"/>
          <w:numId w:val="12"/>
        </w:numPr>
        <w:spacing w:line="520" w:lineRule="exact"/>
        <w:ind w:firstLineChars="200" w:firstLine="640"/>
        <w:rPr>
          <w:rFonts w:eastAsia="仿宋_GB2312"/>
          <w:szCs w:val="32"/>
        </w:rPr>
      </w:pPr>
      <w:r>
        <w:rPr>
          <w:rFonts w:eastAsia="仿宋_GB2312"/>
          <w:szCs w:val="32"/>
        </w:rPr>
        <w:t>评价年度内</w:t>
      </w:r>
      <w:r>
        <w:rPr>
          <w:rFonts w:eastAsia="仿宋_GB2312"/>
          <w:szCs w:val="32"/>
        </w:rPr>
        <w:t>技术和设备投入超</w:t>
      </w:r>
      <w:r>
        <w:rPr>
          <w:rFonts w:eastAsia="仿宋_GB2312"/>
          <w:szCs w:val="32"/>
        </w:rPr>
        <w:t>1000</w:t>
      </w:r>
      <w:r>
        <w:rPr>
          <w:rFonts w:eastAsia="仿宋_GB2312"/>
          <w:szCs w:val="32"/>
        </w:rPr>
        <w:t>万元的</w:t>
      </w:r>
      <w:r>
        <w:rPr>
          <w:rFonts w:eastAsia="仿宋_GB2312"/>
          <w:szCs w:val="32"/>
        </w:rPr>
        <w:t>企业、上年度</w:t>
      </w:r>
      <w:r>
        <w:rPr>
          <w:rFonts w:eastAsia="仿宋_GB2312"/>
          <w:szCs w:val="32"/>
        </w:rPr>
        <w:t>税收超过</w:t>
      </w:r>
      <w:r>
        <w:rPr>
          <w:rFonts w:eastAsia="仿宋_GB2312"/>
          <w:szCs w:val="32"/>
        </w:rPr>
        <w:t>2000</w:t>
      </w:r>
      <w:r>
        <w:rPr>
          <w:rFonts w:eastAsia="仿宋_GB2312"/>
          <w:szCs w:val="32"/>
        </w:rPr>
        <w:t>万元</w:t>
      </w:r>
      <w:r>
        <w:rPr>
          <w:rFonts w:eastAsia="仿宋_GB2312"/>
          <w:szCs w:val="32"/>
        </w:rPr>
        <w:t>的企业</w:t>
      </w:r>
      <w:r>
        <w:rPr>
          <w:rFonts w:eastAsia="仿宋_GB2312"/>
          <w:szCs w:val="32"/>
        </w:rPr>
        <w:t>、</w:t>
      </w:r>
      <w:r>
        <w:rPr>
          <w:rFonts w:eastAsia="仿宋_GB2312"/>
          <w:szCs w:val="32"/>
        </w:rPr>
        <w:t>进入上市</w:t>
      </w:r>
      <w:r>
        <w:rPr>
          <w:rFonts w:eastAsia="仿宋_GB2312"/>
          <w:szCs w:val="32"/>
        </w:rPr>
        <w:t>入轨</w:t>
      </w:r>
      <w:r>
        <w:rPr>
          <w:rFonts w:eastAsia="仿宋_GB2312"/>
          <w:szCs w:val="32"/>
        </w:rPr>
        <w:t>辅导期</w:t>
      </w:r>
      <w:r>
        <w:rPr>
          <w:rFonts w:eastAsia="仿宋_GB2312"/>
          <w:szCs w:val="32"/>
        </w:rPr>
        <w:t>的</w:t>
      </w:r>
      <w:r>
        <w:rPr>
          <w:rFonts w:eastAsia="仿宋_GB2312"/>
          <w:szCs w:val="32"/>
        </w:rPr>
        <w:t>企业等对全市工业经济起到引领性作用的企业，</w:t>
      </w:r>
      <w:r>
        <w:rPr>
          <w:rFonts w:eastAsia="仿宋_GB2312"/>
          <w:szCs w:val="32"/>
        </w:rPr>
        <w:t>原则上</w:t>
      </w:r>
      <w:proofErr w:type="gramStart"/>
      <w:r>
        <w:rPr>
          <w:rFonts w:eastAsia="仿宋_GB2312"/>
          <w:szCs w:val="32"/>
        </w:rPr>
        <w:t>不</w:t>
      </w:r>
      <w:proofErr w:type="gramEnd"/>
      <w:r>
        <w:rPr>
          <w:rFonts w:eastAsia="仿宋_GB2312"/>
          <w:szCs w:val="32"/>
        </w:rPr>
        <w:t>评为</w:t>
      </w:r>
      <w:r>
        <w:rPr>
          <w:rFonts w:eastAsia="仿宋_GB2312"/>
          <w:szCs w:val="32"/>
        </w:rPr>
        <w:t>C</w:t>
      </w:r>
      <w:r>
        <w:rPr>
          <w:rFonts w:eastAsia="仿宋_GB2312"/>
          <w:szCs w:val="32"/>
        </w:rPr>
        <w:t>、</w:t>
      </w:r>
      <w:r>
        <w:rPr>
          <w:rFonts w:eastAsia="仿宋_GB2312"/>
          <w:szCs w:val="32"/>
        </w:rPr>
        <w:t>D</w:t>
      </w:r>
      <w:r>
        <w:rPr>
          <w:rFonts w:eastAsia="仿宋_GB2312"/>
          <w:szCs w:val="32"/>
        </w:rPr>
        <w:t>类。</w:t>
      </w:r>
    </w:p>
    <w:p w:rsidR="006E5539" w:rsidRDefault="004F2403">
      <w:pPr>
        <w:pStyle w:val="a7"/>
        <w:numPr>
          <w:ilvl w:val="0"/>
          <w:numId w:val="12"/>
        </w:numPr>
        <w:spacing w:line="520" w:lineRule="exact"/>
        <w:ind w:firstLineChars="200" w:firstLine="640"/>
        <w:rPr>
          <w:rFonts w:eastAsia="仿宋_GB2312"/>
          <w:szCs w:val="32"/>
        </w:rPr>
      </w:pPr>
      <w:r>
        <w:rPr>
          <w:rFonts w:eastAsia="仿宋_GB2312"/>
          <w:szCs w:val="32"/>
        </w:rPr>
        <w:t>对</w:t>
      </w:r>
      <w:proofErr w:type="gramStart"/>
      <w:r>
        <w:rPr>
          <w:rFonts w:eastAsia="仿宋_GB2312"/>
          <w:szCs w:val="32"/>
        </w:rPr>
        <w:t>海工船舶</w:t>
      </w:r>
      <w:proofErr w:type="gramEnd"/>
      <w:r>
        <w:rPr>
          <w:rFonts w:eastAsia="仿宋_GB2312"/>
          <w:szCs w:val="32"/>
        </w:rPr>
        <w:t>重装等产业内销售总量大、科技创新强、技改力度足的重点企业，</w:t>
      </w:r>
      <w:r>
        <w:rPr>
          <w:rFonts w:eastAsia="仿宋_GB2312"/>
          <w:szCs w:val="32"/>
        </w:rPr>
        <w:t>原则上</w:t>
      </w:r>
      <w:proofErr w:type="gramStart"/>
      <w:r>
        <w:rPr>
          <w:rFonts w:eastAsia="仿宋_GB2312"/>
          <w:szCs w:val="32"/>
        </w:rPr>
        <w:t>不</w:t>
      </w:r>
      <w:proofErr w:type="gramEnd"/>
      <w:r>
        <w:rPr>
          <w:rFonts w:eastAsia="仿宋_GB2312"/>
          <w:szCs w:val="32"/>
        </w:rPr>
        <w:t>评为</w:t>
      </w:r>
      <w:r>
        <w:rPr>
          <w:rFonts w:eastAsia="仿宋_GB2312"/>
          <w:szCs w:val="32"/>
        </w:rPr>
        <w:t>C</w:t>
      </w:r>
      <w:r>
        <w:rPr>
          <w:rFonts w:eastAsia="仿宋_GB2312"/>
          <w:szCs w:val="32"/>
        </w:rPr>
        <w:t>、</w:t>
      </w:r>
      <w:r>
        <w:rPr>
          <w:rFonts w:eastAsia="仿宋_GB2312"/>
          <w:szCs w:val="32"/>
        </w:rPr>
        <w:t>D</w:t>
      </w:r>
      <w:r>
        <w:rPr>
          <w:rFonts w:eastAsia="仿宋_GB2312"/>
          <w:szCs w:val="32"/>
        </w:rPr>
        <w:t>类。</w:t>
      </w:r>
    </w:p>
    <w:p w:rsidR="006E5539" w:rsidRDefault="004F2403">
      <w:pPr>
        <w:pStyle w:val="a7"/>
        <w:numPr>
          <w:ilvl w:val="0"/>
          <w:numId w:val="11"/>
        </w:numPr>
        <w:spacing w:line="520" w:lineRule="exact"/>
        <w:ind w:firstLineChars="200" w:firstLine="643"/>
        <w:rPr>
          <w:rFonts w:eastAsia="仿宋_GB2312"/>
          <w:b/>
          <w:bCs/>
          <w:szCs w:val="32"/>
        </w:rPr>
      </w:pPr>
      <w:r>
        <w:rPr>
          <w:rFonts w:eastAsia="仿宋_GB2312"/>
          <w:b/>
          <w:bCs/>
          <w:szCs w:val="32"/>
        </w:rPr>
        <w:t>对效益较差或发生安全环保消防事故的企业进行惩罚性</w:t>
      </w:r>
      <w:r>
        <w:rPr>
          <w:rFonts w:eastAsia="仿宋_GB2312"/>
          <w:b/>
          <w:bCs/>
          <w:szCs w:val="32"/>
        </w:rPr>
        <w:lastRenderedPageBreak/>
        <w:t>降档</w:t>
      </w:r>
    </w:p>
    <w:p w:rsidR="006E5539" w:rsidRDefault="004F2403">
      <w:pPr>
        <w:pStyle w:val="a7"/>
        <w:numPr>
          <w:ilvl w:val="0"/>
          <w:numId w:val="13"/>
        </w:numPr>
        <w:spacing w:line="520" w:lineRule="exact"/>
        <w:ind w:firstLineChars="200" w:firstLine="640"/>
        <w:rPr>
          <w:rFonts w:eastAsia="仿宋_GB2312"/>
          <w:szCs w:val="32"/>
        </w:rPr>
      </w:pPr>
      <w:r>
        <w:rPr>
          <w:rFonts w:eastAsia="仿宋_GB2312"/>
          <w:szCs w:val="32"/>
        </w:rPr>
        <w:t>得分排在</w:t>
      </w:r>
      <w:r>
        <w:rPr>
          <w:rFonts w:eastAsia="仿宋_GB2312"/>
          <w:szCs w:val="32"/>
        </w:rPr>
        <w:t>A</w:t>
      </w:r>
      <w:r>
        <w:rPr>
          <w:rFonts w:eastAsia="仿宋_GB2312"/>
          <w:szCs w:val="32"/>
        </w:rPr>
        <w:t>类比例范围内，但亩均税收低于平均值的企业调为</w:t>
      </w:r>
      <w:r>
        <w:rPr>
          <w:rFonts w:eastAsia="仿宋_GB2312"/>
          <w:szCs w:val="32"/>
        </w:rPr>
        <w:t>B</w:t>
      </w:r>
      <w:r>
        <w:rPr>
          <w:rFonts w:eastAsia="仿宋_GB2312"/>
          <w:szCs w:val="32"/>
        </w:rPr>
        <w:t>类。亩均税收低于</w:t>
      </w:r>
      <w:r>
        <w:rPr>
          <w:rFonts w:eastAsia="仿宋_GB2312"/>
          <w:szCs w:val="32"/>
        </w:rPr>
        <w:t>1</w:t>
      </w:r>
      <w:r>
        <w:rPr>
          <w:rFonts w:eastAsia="仿宋_GB2312"/>
          <w:szCs w:val="32"/>
        </w:rPr>
        <w:t>万元的企业直接调为</w:t>
      </w:r>
      <w:r>
        <w:rPr>
          <w:rFonts w:eastAsia="仿宋_GB2312"/>
          <w:szCs w:val="32"/>
        </w:rPr>
        <w:t>D</w:t>
      </w:r>
      <w:r>
        <w:rPr>
          <w:rFonts w:eastAsia="仿宋_GB2312"/>
          <w:szCs w:val="32"/>
        </w:rPr>
        <w:t>类。对</w:t>
      </w:r>
      <w:r>
        <w:rPr>
          <w:rFonts w:eastAsia="仿宋_GB2312"/>
          <w:szCs w:val="32"/>
        </w:rPr>
        <w:t>“</w:t>
      </w:r>
      <w:r>
        <w:rPr>
          <w:rFonts w:eastAsia="仿宋_GB2312"/>
          <w:szCs w:val="32"/>
        </w:rPr>
        <w:t>空壳</w:t>
      </w:r>
      <w:r>
        <w:rPr>
          <w:rFonts w:eastAsia="仿宋_GB2312"/>
          <w:szCs w:val="32"/>
        </w:rPr>
        <w:t>”</w:t>
      </w:r>
      <w:r>
        <w:rPr>
          <w:rFonts w:eastAsia="仿宋_GB2312"/>
          <w:szCs w:val="32"/>
        </w:rPr>
        <w:t>企业、有持证用地且连续两年以上无销售收入和实缴税金的</w:t>
      </w:r>
      <w:r>
        <w:rPr>
          <w:rFonts w:eastAsia="仿宋_GB2312"/>
          <w:szCs w:val="32"/>
        </w:rPr>
        <w:t>“</w:t>
      </w:r>
      <w:r>
        <w:rPr>
          <w:rFonts w:eastAsia="仿宋_GB2312"/>
          <w:szCs w:val="32"/>
        </w:rPr>
        <w:t>僵尸</w:t>
      </w:r>
      <w:r>
        <w:rPr>
          <w:rFonts w:eastAsia="仿宋_GB2312"/>
          <w:szCs w:val="32"/>
        </w:rPr>
        <w:t>”</w:t>
      </w:r>
      <w:r>
        <w:rPr>
          <w:rFonts w:eastAsia="仿宋_GB2312"/>
          <w:szCs w:val="32"/>
        </w:rPr>
        <w:t>企业，原则上直接认定为</w:t>
      </w:r>
      <w:r>
        <w:rPr>
          <w:rFonts w:eastAsia="仿宋_GB2312"/>
          <w:szCs w:val="32"/>
        </w:rPr>
        <w:t>D</w:t>
      </w:r>
      <w:r>
        <w:rPr>
          <w:rFonts w:eastAsia="仿宋_GB2312"/>
          <w:szCs w:val="32"/>
        </w:rPr>
        <w:t>类企业。</w:t>
      </w:r>
    </w:p>
    <w:p w:rsidR="006E5539" w:rsidRDefault="004F2403">
      <w:pPr>
        <w:pStyle w:val="a7"/>
        <w:numPr>
          <w:ilvl w:val="0"/>
          <w:numId w:val="13"/>
        </w:numPr>
        <w:spacing w:line="520" w:lineRule="exact"/>
        <w:ind w:firstLineChars="200" w:firstLine="640"/>
        <w:rPr>
          <w:rFonts w:eastAsia="仿宋_GB2312"/>
          <w:szCs w:val="32"/>
        </w:rPr>
      </w:pPr>
      <w:r>
        <w:rPr>
          <w:rFonts w:eastAsia="仿宋_GB2312"/>
          <w:szCs w:val="32"/>
        </w:rPr>
        <w:t>评价年度内发生</w:t>
      </w:r>
      <w:r>
        <w:rPr>
          <w:rFonts w:eastAsia="仿宋_GB2312"/>
          <w:szCs w:val="32"/>
        </w:rPr>
        <w:t>1</w:t>
      </w:r>
      <w:r>
        <w:rPr>
          <w:rFonts w:eastAsia="仿宋_GB2312"/>
          <w:szCs w:val="32"/>
        </w:rPr>
        <w:t>起较大突发环境</w:t>
      </w:r>
      <w:r>
        <w:rPr>
          <w:rFonts w:eastAsia="仿宋_GB2312"/>
          <w:szCs w:val="32"/>
        </w:rPr>
        <w:t>事故、</w:t>
      </w:r>
      <w:r>
        <w:rPr>
          <w:rFonts w:ascii="仿宋_GB2312" w:eastAsia="仿宋_GB2312" w:hAnsi="仿宋_GB2312" w:cs="仿宋_GB2312" w:hint="eastAsia"/>
          <w:szCs w:val="32"/>
        </w:rPr>
        <w:t>一次性亡</w:t>
      </w:r>
      <w:r>
        <w:rPr>
          <w:rFonts w:ascii="仿宋_GB2312" w:eastAsia="仿宋_GB2312" w:hAnsi="仿宋_GB2312" w:cs="仿宋_GB2312" w:hint="eastAsia"/>
          <w:szCs w:val="32"/>
        </w:rPr>
        <w:t>2</w:t>
      </w:r>
      <w:r>
        <w:rPr>
          <w:rFonts w:ascii="仿宋_GB2312" w:eastAsia="仿宋_GB2312" w:hAnsi="仿宋_GB2312" w:cs="仿宋_GB2312" w:hint="eastAsia"/>
          <w:szCs w:val="32"/>
        </w:rPr>
        <w:t>人安全生产事故</w:t>
      </w:r>
      <w:r>
        <w:rPr>
          <w:rFonts w:eastAsia="仿宋_GB2312"/>
          <w:szCs w:val="32"/>
        </w:rPr>
        <w:t>、较大火灾或</w:t>
      </w:r>
      <w:r>
        <w:rPr>
          <w:rFonts w:eastAsia="仿宋_GB2312"/>
          <w:szCs w:val="32"/>
        </w:rPr>
        <w:t>2</w:t>
      </w:r>
      <w:r>
        <w:rPr>
          <w:rFonts w:eastAsia="仿宋_GB2312"/>
          <w:szCs w:val="32"/>
        </w:rPr>
        <w:t>起一般突发环境事件、</w:t>
      </w:r>
      <w:r>
        <w:rPr>
          <w:rFonts w:ascii="仿宋_GB2312" w:eastAsia="仿宋_GB2312" w:hAnsi="仿宋_GB2312" w:cs="仿宋_GB2312" w:hint="eastAsia"/>
          <w:szCs w:val="32"/>
        </w:rPr>
        <w:t>亡</w:t>
      </w:r>
      <w:r>
        <w:rPr>
          <w:rFonts w:ascii="仿宋_GB2312" w:eastAsia="仿宋_GB2312" w:hAnsi="仿宋_GB2312" w:cs="仿宋_GB2312" w:hint="eastAsia"/>
          <w:szCs w:val="32"/>
        </w:rPr>
        <w:t>1</w:t>
      </w:r>
      <w:r>
        <w:rPr>
          <w:rFonts w:ascii="仿宋_GB2312" w:eastAsia="仿宋_GB2312" w:hAnsi="仿宋_GB2312" w:cs="仿宋_GB2312" w:hint="eastAsia"/>
          <w:szCs w:val="32"/>
        </w:rPr>
        <w:t>人安全生产事故</w:t>
      </w:r>
      <w:r>
        <w:rPr>
          <w:rFonts w:eastAsia="仿宋_GB2312"/>
          <w:szCs w:val="32"/>
        </w:rPr>
        <w:t>、一般火灾的下调一个等级；评价年度内发生重大突发环境事件、</w:t>
      </w:r>
      <w:r>
        <w:rPr>
          <w:rFonts w:ascii="仿宋_GB2312" w:eastAsia="仿宋_GB2312" w:hAnsi="仿宋_GB2312" w:cs="仿宋_GB2312" w:hint="eastAsia"/>
          <w:szCs w:val="32"/>
        </w:rPr>
        <w:t>安全生产较大等级及以上事故</w:t>
      </w:r>
      <w:r>
        <w:rPr>
          <w:rFonts w:eastAsia="仿宋_GB2312"/>
          <w:szCs w:val="32"/>
        </w:rPr>
        <w:t>、重大火灾或</w:t>
      </w:r>
      <w:r>
        <w:rPr>
          <w:rFonts w:eastAsia="仿宋_GB2312"/>
          <w:szCs w:val="32"/>
        </w:rPr>
        <w:t>3</w:t>
      </w:r>
      <w:r>
        <w:rPr>
          <w:rFonts w:eastAsia="仿宋_GB2312"/>
          <w:szCs w:val="32"/>
        </w:rPr>
        <w:t>起及以上一般突发环境事件、</w:t>
      </w:r>
      <w:r>
        <w:rPr>
          <w:rFonts w:ascii="仿宋_GB2312" w:eastAsia="仿宋_GB2312" w:hAnsi="仿宋_GB2312" w:cs="仿宋_GB2312" w:hint="eastAsia"/>
          <w:szCs w:val="32"/>
        </w:rPr>
        <w:t>亡</w:t>
      </w:r>
      <w:r>
        <w:rPr>
          <w:rFonts w:ascii="仿宋_GB2312" w:eastAsia="仿宋_GB2312" w:hAnsi="仿宋_GB2312" w:cs="仿宋_GB2312" w:hint="eastAsia"/>
          <w:szCs w:val="32"/>
        </w:rPr>
        <w:t>1</w:t>
      </w:r>
      <w:r>
        <w:rPr>
          <w:rFonts w:ascii="仿宋_GB2312" w:eastAsia="仿宋_GB2312" w:hAnsi="仿宋_GB2312" w:cs="仿宋_GB2312" w:hint="eastAsia"/>
          <w:szCs w:val="32"/>
        </w:rPr>
        <w:t>人安全生产事故</w:t>
      </w:r>
      <w:r>
        <w:rPr>
          <w:rFonts w:eastAsia="仿宋_GB2312"/>
          <w:szCs w:val="32"/>
        </w:rPr>
        <w:t>、一般火灾时</w:t>
      </w:r>
      <w:r>
        <w:rPr>
          <w:rFonts w:eastAsia="仿宋_GB2312"/>
          <w:szCs w:val="32"/>
        </w:rPr>
        <w:t>直接调为</w:t>
      </w:r>
      <w:r>
        <w:rPr>
          <w:rFonts w:eastAsia="仿宋_GB2312"/>
          <w:szCs w:val="32"/>
        </w:rPr>
        <w:t>D</w:t>
      </w:r>
      <w:r>
        <w:rPr>
          <w:rFonts w:eastAsia="仿宋_GB2312"/>
          <w:szCs w:val="32"/>
        </w:rPr>
        <w:t>类。</w:t>
      </w:r>
    </w:p>
    <w:p w:rsidR="006E5539" w:rsidRDefault="004F2403">
      <w:pPr>
        <w:pStyle w:val="a7"/>
        <w:numPr>
          <w:ilvl w:val="0"/>
          <w:numId w:val="13"/>
        </w:numPr>
        <w:spacing w:line="520" w:lineRule="exact"/>
        <w:ind w:firstLineChars="200" w:firstLine="640"/>
        <w:rPr>
          <w:rFonts w:eastAsia="仿宋_GB2312"/>
          <w:szCs w:val="32"/>
        </w:rPr>
      </w:pPr>
      <w:r>
        <w:rPr>
          <w:rFonts w:eastAsia="仿宋_GB2312"/>
          <w:szCs w:val="32"/>
        </w:rPr>
        <w:t>被列入国家和省下发的各行业领域</w:t>
      </w:r>
      <w:r>
        <w:rPr>
          <w:rFonts w:eastAsia="仿宋_GB2312"/>
          <w:szCs w:val="32"/>
        </w:rPr>
        <w:t>“</w:t>
      </w:r>
      <w:r>
        <w:rPr>
          <w:rFonts w:eastAsia="仿宋_GB2312"/>
          <w:szCs w:val="32"/>
        </w:rPr>
        <w:t>黑名单</w:t>
      </w:r>
      <w:r>
        <w:rPr>
          <w:rFonts w:eastAsia="仿宋_GB2312"/>
          <w:szCs w:val="32"/>
        </w:rPr>
        <w:t>”</w:t>
      </w:r>
      <w:r>
        <w:rPr>
          <w:rFonts w:eastAsia="仿宋_GB2312"/>
          <w:szCs w:val="32"/>
        </w:rPr>
        <w:t>，或在市级信用信息平台中有严重失信记录且未经修复的企业，列为</w:t>
      </w:r>
      <w:r>
        <w:rPr>
          <w:rFonts w:eastAsia="仿宋_GB2312"/>
          <w:szCs w:val="32"/>
        </w:rPr>
        <w:t>D</w:t>
      </w:r>
      <w:r>
        <w:rPr>
          <w:rFonts w:eastAsia="仿宋_GB2312"/>
          <w:szCs w:val="32"/>
        </w:rPr>
        <w:t>类。</w:t>
      </w:r>
    </w:p>
    <w:p w:rsidR="006E5539" w:rsidRDefault="004F2403">
      <w:pPr>
        <w:numPr>
          <w:ilvl w:val="0"/>
          <w:numId w:val="1"/>
        </w:numPr>
        <w:spacing w:line="520" w:lineRule="exact"/>
        <w:ind w:left="0" w:firstLineChars="200" w:firstLine="640"/>
        <w:rPr>
          <w:rFonts w:eastAsia="黑体"/>
        </w:rPr>
      </w:pPr>
      <w:r>
        <w:rPr>
          <w:rFonts w:eastAsia="黑体"/>
        </w:rPr>
        <w:t>结果应用</w:t>
      </w:r>
    </w:p>
    <w:p w:rsidR="006E5539" w:rsidRDefault="004F2403">
      <w:pPr>
        <w:spacing w:line="520" w:lineRule="exact"/>
        <w:ind w:firstLineChars="200" w:firstLine="640"/>
        <w:rPr>
          <w:rFonts w:eastAsia="仿宋_GB2312"/>
          <w:szCs w:val="32"/>
        </w:rPr>
      </w:pPr>
      <w:r>
        <w:rPr>
          <w:rFonts w:eastAsia="仿宋_GB2312"/>
          <w:szCs w:val="32"/>
        </w:rPr>
        <w:t>为进一步优化资源配置，淘汰低端低效产能，促进企业提质增效，推动产业转型升级，对工业企业资源集约利用综合评价中被评为</w:t>
      </w:r>
      <w:r>
        <w:rPr>
          <w:rFonts w:eastAsia="仿宋_GB2312"/>
          <w:szCs w:val="32"/>
        </w:rPr>
        <w:t>A</w:t>
      </w:r>
      <w:r>
        <w:rPr>
          <w:rFonts w:eastAsia="仿宋_GB2312"/>
          <w:szCs w:val="32"/>
        </w:rPr>
        <w:t>、</w:t>
      </w:r>
      <w:r>
        <w:rPr>
          <w:rFonts w:eastAsia="仿宋_GB2312"/>
          <w:szCs w:val="32"/>
        </w:rPr>
        <w:t>B</w:t>
      </w:r>
      <w:r>
        <w:rPr>
          <w:rFonts w:eastAsia="仿宋_GB2312"/>
          <w:szCs w:val="32"/>
        </w:rPr>
        <w:t>、</w:t>
      </w:r>
      <w:r>
        <w:rPr>
          <w:rFonts w:eastAsia="仿宋_GB2312"/>
          <w:szCs w:val="32"/>
        </w:rPr>
        <w:t>C</w:t>
      </w:r>
      <w:r>
        <w:rPr>
          <w:rFonts w:eastAsia="仿宋_GB2312"/>
          <w:szCs w:val="32"/>
        </w:rPr>
        <w:t>、</w:t>
      </w:r>
      <w:r>
        <w:rPr>
          <w:rFonts w:eastAsia="仿宋_GB2312"/>
          <w:szCs w:val="32"/>
        </w:rPr>
        <w:t>D</w:t>
      </w:r>
      <w:r>
        <w:rPr>
          <w:rFonts w:eastAsia="仿宋_GB2312"/>
          <w:szCs w:val="32"/>
        </w:rPr>
        <w:t>类企业实施差别化政策，具体内容如下：</w:t>
      </w:r>
    </w:p>
    <w:p w:rsidR="006E5539" w:rsidRDefault="004F2403">
      <w:pPr>
        <w:numPr>
          <w:ilvl w:val="0"/>
          <w:numId w:val="14"/>
        </w:numPr>
        <w:spacing w:line="520" w:lineRule="exact"/>
        <w:ind w:firstLineChars="200" w:firstLine="640"/>
        <w:rPr>
          <w:rFonts w:eastAsia="仿宋_GB2312"/>
          <w:szCs w:val="32"/>
        </w:rPr>
      </w:pPr>
      <w:r>
        <w:rPr>
          <w:rFonts w:eastAsia="楷体_GB2312"/>
          <w:szCs w:val="32"/>
        </w:rPr>
        <w:t>实施差别化水电气价格政策。</w:t>
      </w:r>
      <w:r>
        <w:rPr>
          <w:rFonts w:eastAsia="仿宋_GB2312"/>
          <w:szCs w:val="32"/>
        </w:rPr>
        <w:t>根据评价结果，依法依规对评为</w:t>
      </w:r>
      <w:r>
        <w:rPr>
          <w:rFonts w:eastAsia="仿宋_GB2312"/>
          <w:szCs w:val="32"/>
        </w:rPr>
        <w:t>D</w:t>
      </w:r>
      <w:r>
        <w:rPr>
          <w:rFonts w:eastAsia="仿宋_GB2312"/>
          <w:szCs w:val="32"/>
        </w:rPr>
        <w:t>类工业企业的水、电、气、热价格在现行价格基础上实行加价。增收费用由市、县统筹使用。</w:t>
      </w:r>
    </w:p>
    <w:p w:rsidR="006E5539" w:rsidRDefault="004F2403">
      <w:pPr>
        <w:numPr>
          <w:ilvl w:val="0"/>
          <w:numId w:val="14"/>
        </w:numPr>
        <w:spacing w:line="520" w:lineRule="exact"/>
        <w:ind w:firstLineChars="200" w:firstLine="640"/>
        <w:rPr>
          <w:rFonts w:eastAsia="仿宋_GB2312"/>
          <w:szCs w:val="32"/>
        </w:rPr>
      </w:pPr>
      <w:r>
        <w:rPr>
          <w:rFonts w:eastAsia="楷体_GB2312"/>
          <w:szCs w:val="32"/>
        </w:rPr>
        <w:t>实施差别化土地供应政策。</w:t>
      </w:r>
      <w:r>
        <w:rPr>
          <w:rFonts w:eastAsia="仿宋_GB2312"/>
          <w:szCs w:val="32"/>
        </w:rPr>
        <w:t>优先保障</w:t>
      </w:r>
      <w:r>
        <w:rPr>
          <w:rFonts w:eastAsia="仿宋_GB2312"/>
          <w:szCs w:val="32"/>
        </w:rPr>
        <w:t>A</w:t>
      </w:r>
      <w:r>
        <w:rPr>
          <w:rFonts w:eastAsia="仿宋_GB2312"/>
          <w:szCs w:val="32"/>
        </w:rPr>
        <w:t>类企业扩产用地需求，支持</w:t>
      </w:r>
      <w:r>
        <w:rPr>
          <w:rFonts w:eastAsia="仿宋_GB2312"/>
          <w:szCs w:val="32"/>
        </w:rPr>
        <w:t>B</w:t>
      </w:r>
      <w:r>
        <w:rPr>
          <w:rFonts w:eastAsia="仿宋_GB2312"/>
          <w:szCs w:val="32"/>
        </w:rPr>
        <w:t>类企业使用存量用地，探索</w:t>
      </w:r>
      <w:r>
        <w:rPr>
          <w:rFonts w:eastAsia="仿宋_GB2312"/>
          <w:szCs w:val="32"/>
        </w:rPr>
        <w:t>C</w:t>
      </w:r>
      <w:r>
        <w:rPr>
          <w:rFonts w:eastAsia="仿宋_GB2312"/>
          <w:szCs w:val="32"/>
        </w:rPr>
        <w:t>、</w:t>
      </w:r>
      <w:r>
        <w:rPr>
          <w:rFonts w:eastAsia="仿宋_GB2312"/>
          <w:szCs w:val="32"/>
        </w:rPr>
        <w:t>D</w:t>
      </w:r>
      <w:r>
        <w:rPr>
          <w:rFonts w:eastAsia="仿宋_GB2312"/>
          <w:szCs w:val="32"/>
        </w:rPr>
        <w:t>类企业和保障线外工业用地退出机制，原则上</w:t>
      </w:r>
      <w:r>
        <w:rPr>
          <w:rFonts w:eastAsia="仿宋_GB2312"/>
          <w:szCs w:val="32"/>
        </w:rPr>
        <w:t>C</w:t>
      </w:r>
      <w:r>
        <w:rPr>
          <w:rFonts w:eastAsia="仿宋_GB2312"/>
          <w:szCs w:val="32"/>
        </w:rPr>
        <w:t>、</w:t>
      </w:r>
      <w:r>
        <w:rPr>
          <w:rFonts w:eastAsia="仿宋_GB2312"/>
          <w:szCs w:val="32"/>
        </w:rPr>
        <w:t>D</w:t>
      </w:r>
      <w:r>
        <w:rPr>
          <w:rFonts w:eastAsia="仿宋_GB2312"/>
          <w:szCs w:val="32"/>
        </w:rPr>
        <w:t>类企业不再安排新增土地供应，提高土地利用效率和产出效益。</w:t>
      </w:r>
    </w:p>
    <w:p w:rsidR="006E5539" w:rsidRDefault="004F2403">
      <w:pPr>
        <w:numPr>
          <w:ilvl w:val="0"/>
          <w:numId w:val="14"/>
        </w:numPr>
        <w:spacing w:line="520" w:lineRule="exact"/>
        <w:ind w:firstLineChars="200" w:firstLine="640"/>
        <w:rPr>
          <w:rFonts w:eastAsia="仿宋_GB2312"/>
          <w:szCs w:val="32"/>
        </w:rPr>
      </w:pPr>
      <w:r>
        <w:rPr>
          <w:rFonts w:eastAsia="楷体_GB2312"/>
          <w:szCs w:val="32"/>
        </w:rPr>
        <w:lastRenderedPageBreak/>
        <w:t>实行差别</w:t>
      </w:r>
      <w:proofErr w:type="gramStart"/>
      <w:r>
        <w:rPr>
          <w:rFonts w:eastAsia="楷体_GB2312"/>
          <w:szCs w:val="32"/>
        </w:rPr>
        <w:t>化资金</w:t>
      </w:r>
      <w:proofErr w:type="gramEnd"/>
      <w:r>
        <w:rPr>
          <w:rFonts w:eastAsia="楷体_GB2312"/>
          <w:szCs w:val="32"/>
        </w:rPr>
        <w:t>扶持政策。</w:t>
      </w:r>
      <w:r>
        <w:rPr>
          <w:rFonts w:eastAsia="仿宋_GB2312"/>
          <w:szCs w:val="32"/>
        </w:rPr>
        <w:t>在同等条件下，优先推荐</w:t>
      </w:r>
      <w:r>
        <w:rPr>
          <w:rFonts w:eastAsia="仿宋_GB2312"/>
          <w:szCs w:val="32"/>
        </w:rPr>
        <w:t>A</w:t>
      </w:r>
      <w:r>
        <w:rPr>
          <w:rFonts w:eastAsia="仿宋_GB2312"/>
          <w:szCs w:val="32"/>
        </w:rPr>
        <w:t>类企业申报国家、省、</w:t>
      </w:r>
      <w:proofErr w:type="gramStart"/>
      <w:r>
        <w:rPr>
          <w:rFonts w:eastAsia="仿宋_GB2312"/>
          <w:szCs w:val="32"/>
        </w:rPr>
        <w:t>市涉企</w:t>
      </w:r>
      <w:proofErr w:type="gramEnd"/>
      <w:r>
        <w:rPr>
          <w:rFonts w:eastAsia="仿宋_GB2312"/>
          <w:szCs w:val="32"/>
        </w:rPr>
        <w:t>专项资金项目。参与工业企业综合评价的企业在申报市级产业转型升级专项资金时实施差异化补贴政策，原则上按照</w:t>
      </w:r>
      <w:r>
        <w:rPr>
          <w:rFonts w:eastAsia="仿宋_GB2312"/>
          <w:szCs w:val="32"/>
        </w:rPr>
        <w:t>A</w:t>
      </w:r>
      <w:r>
        <w:rPr>
          <w:rFonts w:eastAsia="仿宋_GB2312"/>
          <w:szCs w:val="32"/>
        </w:rPr>
        <w:t>类企业</w:t>
      </w:r>
      <w:r>
        <w:rPr>
          <w:rFonts w:eastAsia="仿宋_GB2312"/>
          <w:szCs w:val="32"/>
        </w:rPr>
        <w:t>110%</w:t>
      </w:r>
      <w:r>
        <w:rPr>
          <w:rFonts w:eastAsia="仿宋_GB2312"/>
          <w:szCs w:val="32"/>
        </w:rPr>
        <w:t>、</w:t>
      </w:r>
      <w:r>
        <w:rPr>
          <w:rFonts w:eastAsia="仿宋_GB2312"/>
          <w:szCs w:val="32"/>
        </w:rPr>
        <w:t>B</w:t>
      </w:r>
      <w:r>
        <w:rPr>
          <w:rFonts w:eastAsia="仿宋_GB2312"/>
          <w:szCs w:val="32"/>
        </w:rPr>
        <w:t>类企业</w:t>
      </w:r>
      <w:r>
        <w:rPr>
          <w:rFonts w:eastAsia="仿宋_GB2312"/>
          <w:szCs w:val="32"/>
        </w:rPr>
        <w:t>1</w:t>
      </w:r>
      <w:r>
        <w:rPr>
          <w:rFonts w:eastAsia="仿宋_GB2312"/>
          <w:szCs w:val="32"/>
        </w:rPr>
        <w:t>00%</w:t>
      </w:r>
      <w:r>
        <w:rPr>
          <w:rFonts w:eastAsia="仿宋_GB2312"/>
          <w:szCs w:val="32"/>
        </w:rPr>
        <w:t>、</w:t>
      </w:r>
      <w:r>
        <w:rPr>
          <w:rFonts w:eastAsia="仿宋_GB2312"/>
          <w:szCs w:val="32"/>
        </w:rPr>
        <w:t>C</w:t>
      </w:r>
      <w:r>
        <w:rPr>
          <w:rFonts w:eastAsia="仿宋_GB2312"/>
          <w:szCs w:val="32"/>
        </w:rPr>
        <w:t>类企业</w:t>
      </w:r>
      <w:r>
        <w:rPr>
          <w:rFonts w:eastAsia="仿宋_GB2312"/>
          <w:szCs w:val="32"/>
        </w:rPr>
        <w:t>80%</w:t>
      </w:r>
      <w:r>
        <w:rPr>
          <w:rFonts w:eastAsia="仿宋_GB2312"/>
          <w:szCs w:val="32"/>
        </w:rPr>
        <w:t>的比例进行兑付，</w:t>
      </w:r>
      <w:r>
        <w:rPr>
          <w:rFonts w:eastAsia="仿宋_GB2312"/>
          <w:szCs w:val="32"/>
        </w:rPr>
        <w:t>D</w:t>
      </w:r>
      <w:r>
        <w:rPr>
          <w:rFonts w:eastAsia="仿宋_GB2312"/>
          <w:szCs w:val="32"/>
        </w:rPr>
        <w:t>类企业不得享受市级产业转型升级专项资金。</w:t>
      </w:r>
    </w:p>
    <w:p w:rsidR="006E5539" w:rsidRDefault="004F2403">
      <w:pPr>
        <w:numPr>
          <w:ilvl w:val="0"/>
          <w:numId w:val="1"/>
        </w:numPr>
        <w:spacing w:line="520" w:lineRule="exact"/>
        <w:ind w:left="0" w:firstLineChars="200" w:firstLine="640"/>
        <w:rPr>
          <w:rFonts w:eastAsia="黑体"/>
        </w:rPr>
      </w:pPr>
      <w:r>
        <w:rPr>
          <w:rFonts w:eastAsia="黑体"/>
        </w:rPr>
        <w:t>组织保障</w:t>
      </w:r>
    </w:p>
    <w:p w:rsidR="006E5539" w:rsidRDefault="004F2403">
      <w:pPr>
        <w:numPr>
          <w:ilvl w:val="0"/>
          <w:numId w:val="15"/>
        </w:numPr>
        <w:spacing w:line="520" w:lineRule="exact"/>
        <w:ind w:firstLineChars="200" w:firstLine="640"/>
        <w:rPr>
          <w:rFonts w:eastAsia="仿宋_GB2312"/>
          <w:szCs w:val="32"/>
        </w:rPr>
      </w:pPr>
      <w:r>
        <w:rPr>
          <w:rFonts w:eastAsia="楷体_GB2312"/>
          <w:szCs w:val="32"/>
        </w:rPr>
        <w:t>健全推进机制。</w:t>
      </w:r>
      <w:r>
        <w:rPr>
          <w:rFonts w:eastAsia="仿宋_GB2312"/>
          <w:szCs w:val="32"/>
        </w:rPr>
        <w:t>市政府成立市工业企业资源集约利用综合评价工作领导小组，市政府主要领导任组长、分管领导任副组长，市各相关部门和各区镇主要负责同志为成员。领导小组下设办公室，办公室设在市发展改革委。各区镇、各相关部门要进一步加强组织领导，完善工作机制，把深化工业企业资源集约利用综合评价工作作为一项重要改革任务抓紧抓实，引导社会和企业形成共识和稳定的预期，确保方案严格实施并取得实效。</w:t>
      </w:r>
    </w:p>
    <w:p w:rsidR="006E5539" w:rsidRDefault="004F2403">
      <w:pPr>
        <w:numPr>
          <w:ilvl w:val="0"/>
          <w:numId w:val="15"/>
        </w:numPr>
        <w:spacing w:line="520" w:lineRule="exact"/>
        <w:ind w:firstLineChars="200" w:firstLine="640"/>
        <w:rPr>
          <w:rFonts w:eastAsia="仿宋_GB2312"/>
          <w:szCs w:val="32"/>
        </w:rPr>
      </w:pPr>
      <w:r>
        <w:rPr>
          <w:rFonts w:eastAsia="楷体_GB2312"/>
          <w:szCs w:val="32"/>
        </w:rPr>
        <w:t>强化整体联动。</w:t>
      </w:r>
      <w:r>
        <w:rPr>
          <w:rFonts w:eastAsia="仿宋_GB2312"/>
          <w:szCs w:val="32"/>
        </w:rPr>
        <w:t>市各有关部门及各区镇要加强互通互动、上下联动，大力宣传</w:t>
      </w:r>
      <w:r>
        <w:rPr>
          <w:rFonts w:eastAsia="仿宋_GB2312"/>
          <w:szCs w:val="32"/>
        </w:rPr>
        <w:t>“</w:t>
      </w:r>
      <w:r>
        <w:rPr>
          <w:rFonts w:eastAsia="仿宋_GB2312"/>
          <w:szCs w:val="32"/>
        </w:rPr>
        <w:t>亩均论英雄</w:t>
      </w:r>
      <w:r>
        <w:rPr>
          <w:rFonts w:eastAsia="仿宋_GB2312"/>
          <w:szCs w:val="32"/>
        </w:rPr>
        <w:t>”“</w:t>
      </w:r>
      <w:r>
        <w:rPr>
          <w:rFonts w:eastAsia="仿宋_GB2312"/>
          <w:szCs w:val="32"/>
        </w:rPr>
        <w:t>创新论英雄</w:t>
      </w:r>
      <w:r>
        <w:rPr>
          <w:rFonts w:eastAsia="仿宋_GB2312"/>
          <w:szCs w:val="32"/>
        </w:rPr>
        <w:t>”“</w:t>
      </w:r>
      <w:r>
        <w:rPr>
          <w:rFonts w:eastAsia="仿宋_GB2312"/>
          <w:szCs w:val="32"/>
        </w:rPr>
        <w:t>绿色论英雄</w:t>
      </w:r>
      <w:r>
        <w:rPr>
          <w:rFonts w:eastAsia="仿宋_GB2312"/>
          <w:szCs w:val="32"/>
        </w:rPr>
        <w:t>”</w:t>
      </w:r>
      <w:r>
        <w:rPr>
          <w:rFonts w:eastAsia="仿宋_GB2312"/>
          <w:szCs w:val="32"/>
        </w:rPr>
        <w:t>发展理念，做好有关评价指标、政策措施的解读说明，加强分类指导和服务，让企业对绩效综合评价工作有合理预期，引导企业积极主动参与综合评价工作。强化典型引路，及时总结和宣传各类典型经验和做法，形成政府部门共管、企业积极参与、社会各界支持的强大合力，加快促进企业提质增效，推动制造业高质量发展的良好氛围。</w:t>
      </w:r>
    </w:p>
    <w:p w:rsidR="006E5539" w:rsidRDefault="004F2403">
      <w:pPr>
        <w:numPr>
          <w:ilvl w:val="0"/>
          <w:numId w:val="15"/>
        </w:numPr>
        <w:spacing w:line="520" w:lineRule="exact"/>
        <w:ind w:firstLineChars="200" w:firstLine="640"/>
        <w:rPr>
          <w:rFonts w:eastAsia="仿宋_GB2312"/>
          <w:szCs w:val="32"/>
        </w:rPr>
      </w:pPr>
      <w:r>
        <w:rPr>
          <w:rFonts w:eastAsia="楷体_GB2312"/>
          <w:szCs w:val="32"/>
        </w:rPr>
        <w:t>确保数据准确</w:t>
      </w:r>
      <w:r>
        <w:rPr>
          <w:rFonts w:eastAsia="楷体_GB2312"/>
          <w:szCs w:val="32"/>
        </w:rPr>
        <w:t>。</w:t>
      </w:r>
      <w:r>
        <w:rPr>
          <w:rFonts w:eastAsia="仿宋_GB2312"/>
          <w:szCs w:val="32"/>
        </w:rPr>
        <w:t>市各有关部门及各区镇要按照</w:t>
      </w:r>
      <w:r>
        <w:rPr>
          <w:rFonts w:eastAsia="仿宋_GB2312"/>
          <w:szCs w:val="32"/>
        </w:rPr>
        <w:t>“</w:t>
      </w:r>
      <w:r>
        <w:rPr>
          <w:rFonts w:eastAsia="仿宋_GB2312"/>
          <w:szCs w:val="32"/>
        </w:rPr>
        <w:t>谁主管、谁统计、谁负责</w:t>
      </w:r>
      <w:r>
        <w:rPr>
          <w:rFonts w:eastAsia="仿宋_GB2312"/>
          <w:szCs w:val="32"/>
        </w:rPr>
        <w:t>”</w:t>
      </w:r>
      <w:r>
        <w:rPr>
          <w:rFonts w:eastAsia="仿宋_GB2312"/>
          <w:szCs w:val="32"/>
        </w:rPr>
        <w:t>的原则加强数据统计和上报工作，坚持依法统计，建立健全</w:t>
      </w:r>
      <w:r>
        <w:rPr>
          <w:rFonts w:eastAsia="仿宋_GB2312"/>
          <w:szCs w:val="32"/>
        </w:rPr>
        <w:t>并严格执行好有关制度，确保数据准确，客观公正</w:t>
      </w:r>
      <w:r>
        <w:rPr>
          <w:rFonts w:eastAsia="仿宋_GB2312"/>
          <w:szCs w:val="32"/>
        </w:rPr>
        <w:lastRenderedPageBreak/>
        <w:t>地评价企业资源利用的绩效和能力水平。市自然资源和规划局指导各区镇对所有参评企业开展用地调查，必要时可聘请第三</w:t>
      </w:r>
      <w:proofErr w:type="gramStart"/>
      <w:r>
        <w:rPr>
          <w:rFonts w:eastAsia="仿宋_GB2312"/>
          <w:szCs w:val="32"/>
        </w:rPr>
        <w:t>方具备</w:t>
      </w:r>
      <w:proofErr w:type="gramEnd"/>
      <w:r>
        <w:rPr>
          <w:rFonts w:eastAsia="仿宋_GB2312"/>
          <w:szCs w:val="32"/>
        </w:rPr>
        <w:t>资质的单位机构对参评企业用地情况进行实地测量，切实摸清评价对象的</w:t>
      </w:r>
      <w:r>
        <w:rPr>
          <w:rFonts w:eastAsia="仿宋_GB2312"/>
          <w:szCs w:val="32"/>
        </w:rPr>
        <w:t>实际用地面积。市供电公司对参评企业用电数据进行归集，确保数据的及时性、准确性、完整性。建立健全审计制度，市审计局</w:t>
      </w:r>
      <w:r>
        <w:rPr>
          <w:rFonts w:eastAsia="仿宋_GB2312" w:hint="eastAsia"/>
          <w:szCs w:val="32"/>
        </w:rPr>
        <w:t>对各单位及区镇上报数据的真实性开展随机抽查审计，形成审计意见</w:t>
      </w:r>
      <w:r>
        <w:rPr>
          <w:rFonts w:eastAsia="仿宋_GB2312"/>
          <w:szCs w:val="32"/>
        </w:rPr>
        <w:t>。建立健全社会公众举报制度，市工业企业资源集约利用综合评价工作领</w:t>
      </w:r>
      <w:r>
        <w:rPr>
          <w:rFonts w:eastAsia="仿宋_GB2312"/>
          <w:szCs w:val="32"/>
        </w:rPr>
        <w:t>导小组办公室设立举报电话</w:t>
      </w:r>
      <w:r>
        <w:rPr>
          <w:rFonts w:eastAsia="仿宋_GB2312"/>
          <w:szCs w:val="32"/>
        </w:rPr>
        <w:t>(80799017)</w:t>
      </w:r>
      <w:r>
        <w:rPr>
          <w:rFonts w:eastAsia="仿宋_GB2312"/>
          <w:szCs w:val="32"/>
        </w:rPr>
        <w:t>，接受社会</w:t>
      </w:r>
      <w:r>
        <w:rPr>
          <w:rFonts w:eastAsia="仿宋_GB2312"/>
          <w:szCs w:val="32"/>
        </w:rPr>
        <w:t>各界、广大群众对各单位在数据统计上报等方面弄虚作假、失真失实等情况的监督和举报。</w:t>
      </w:r>
    </w:p>
    <w:p w:rsidR="006E5539" w:rsidRDefault="004F2403">
      <w:pPr>
        <w:numPr>
          <w:ilvl w:val="0"/>
          <w:numId w:val="15"/>
        </w:numPr>
        <w:spacing w:line="520" w:lineRule="exact"/>
        <w:ind w:firstLineChars="200" w:firstLine="640"/>
        <w:rPr>
          <w:rFonts w:eastAsia="仿宋_GB2312"/>
          <w:szCs w:val="32"/>
        </w:rPr>
      </w:pPr>
      <w:r>
        <w:rPr>
          <w:rFonts w:eastAsia="楷体_GB2312"/>
          <w:szCs w:val="32"/>
        </w:rPr>
        <w:t>加强督查考核</w:t>
      </w:r>
      <w:r>
        <w:rPr>
          <w:rFonts w:eastAsia="楷体_GB2312"/>
          <w:szCs w:val="32"/>
        </w:rPr>
        <w:t>。</w:t>
      </w:r>
      <w:r>
        <w:rPr>
          <w:rFonts w:eastAsia="仿宋_GB2312"/>
          <w:szCs w:val="32"/>
        </w:rPr>
        <w:t>市工业企业资源集约利用综合评价工作领导小组办公室会同市各相关单位对各区镇评价办法实施情况开展督促检查并定期通报，及时协调处理实施过程中出现的新情况新问题，评价工作质量、整治提升成效、亩均税收等指标</w:t>
      </w:r>
      <w:proofErr w:type="gramStart"/>
      <w:r>
        <w:rPr>
          <w:rFonts w:eastAsia="仿宋_GB2312"/>
          <w:szCs w:val="32"/>
        </w:rPr>
        <w:t>纳入纳入</w:t>
      </w:r>
      <w:proofErr w:type="gramEnd"/>
      <w:r>
        <w:rPr>
          <w:rFonts w:eastAsia="仿宋_GB2312"/>
          <w:szCs w:val="32"/>
        </w:rPr>
        <w:t>各区镇高质量发展考核，有效形成工作闭环，不断提高企业资源利用水平。</w:t>
      </w:r>
    </w:p>
    <w:p w:rsidR="006E5539" w:rsidRDefault="004F2403">
      <w:pPr>
        <w:numPr>
          <w:ilvl w:val="0"/>
          <w:numId w:val="1"/>
        </w:numPr>
        <w:spacing w:line="520" w:lineRule="exact"/>
        <w:ind w:left="0" w:firstLineChars="200" w:firstLine="640"/>
        <w:rPr>
          <w:rFonts w:eastAsia="黑体"/>
        </w:rPr>
      </w:pPr>
      <w:r>
        <w:rPr>
          <w:rFonts w:eastAsia="黑体"/>
        </w:rPr>
        <w:t>其他</w:t>
      </w:r>
    </w:p>
    <w:p w:rsidR="006E5539" w:rsidRDefault="004F2403">
      <w:pPr>
        <w:spacing w:line="520" w:lineRule="exact"/>
        <w:ind w:firstLineChars="200" w:firstLine="640"/>
        <w:rPr>
          <w:rFonts w:eastAsia="仿宋_GB2312"/>
          <w:szCs w:val="32"/>
        </w:rPr>
      </w:pPr>
      <w:proofErr w:type="gramStart"/>
      <w:r>
        <w:rPr>
          <w:rFonts w:eastAsia="仿宋_GB2312"/>
          <w:szCs w:val="32"/>
        </w:rPr>
        <w:t>本评价</w:t>
      </w:r>
      <w:proofErr w:type="gramEnd"/>
      <w:r>
        <w:rPr>
          <w:rFonts w:eastAsia="仿宋_GB2312"/>
          <w:szCs w:val="32"/>
        </w:rPr>
        <w:t>办法自发文之日起实施，由市工业企业资源集约利用综合评价工作领导小组办公室负责解释。</w:t>
      </w:r>
    </w:p>
    <w:p w:rsidR="006E5539" w:rsidRDefault="006E5539">
      <w:pPr>
        <w:spacing w:line="520" w:lineRule="exact"/>
        <w:ind w:firstLineChars="200" w:firstLine="640"/>
        <w:rPr>
          <w:szCs w:val="32"/>
        </w:rPr>
      </w:pPr>
    </w:p>
    <w:p w:rsidR="006E5539" w:rsidRDefault="004F2403">
      <w:pPr>
        <w:spacing w:line="520" w:lineRule="exact"/>
        <w:ind w:firstLineChars="200" w:firstLine="640"/>
        <w:rPr>
          <w:rFonts w:eastAsia="仿宋_GB2312"/>
          <w:szCs w:val="32"/>
        </w:rPr>
      </w:pPr>
      <w:r>
        <w:rPr>
          <w:rFonts w:eastAsia="仿宋_GB2312"/>
          <w:szCs w:val="32"/>
        </w:rPr>
        <w:t>附件：市工业企业资源集约利用综合评价工作领导小</w:t>
      </w:r>
      <w:r>
        <w:rPr>
          <w:rFonts w:eastAsia="仿宋_GB2312"/>
          <w:szCs w:val="32"/>
        </w:rPr>
        <w:t>组成员</w:t>
      </w:r>
    </w:p>
    <w:p w:rsidR="006E5539" w:rsidRDefault="004F2403">
      <w:pPr>
        <w:spacing w:line="520" w:lineRule="exact"/>
        <w:ind w:firstLineChars="450" w:firstLine="1440"/>
        <w:rPr>
          <w:rFonts w:eastAsia="仿宋_GB2312"/>
          <w:szCs w:val="32"/>
        </w:rPr>
      </w:pPr>
      <w:r>
        <w:rPr>
          <w:rFonts w:eastAsia="仿宋_GB2312"/>
          <w:szCs w:val="32"/>
        </w:rPr>
        <w:t>单位分工表</w:t>
      </w:r>
    </w:p>
    <w:p w:rsidR="006E5539" w:rsidRDefault="004F2403">
      <w:pPr>
        <w:rPr>
          <w:rFonts w:eastAsia="仿宋_GB2312"/>
          <w:szCs w:val="32"/>
        </w:rPr>
      </w:pPr>
      <w:r>
        <w:rPr>
          <w:rFonts w:eastAsia="仿宋_GB2312" w:hint="eastAsia"/>
          <w:szCs w:val="32"/>
        </w:rPr>
        <w:br w:type="page"/>
      </w:r>
    </w:p>
    <w:p w:rsidR="006E5539" w:rsidRDefault="004F2403">
      <w:pPr>
        <w:spacing w:line="560" w:lineRule="exact"/>
        <w:ind w:firstLine="0"/>
        <w:rPr>
          <w:rFonts w:ascii="黑体" w:eastAsia="黑体" w:hAnsi="黑体" w:cs="黑体"/>
          <w:szCs w:val="32"/>
        </w:rPr>
      </w:pPr>
      <w:r>
        <w:rPr>
          <w:rFonts w:ascii="黑体" w:eastAsia="黑体" w:hAnsi="黑体" w:cs="黑体" w:hint="eastAsia"/>
          <w:szCs w:val="32"/>
        </w:rPr>
        <w:lastRenderedPageBreak/>
        <w:t>附件</w:t>
      </w:r>
    </w:p>
    <w:p w:rsidR="006E5539" w:rsidRDefault="006E5539">
      <w:pPr>
        <w:spacing w:line="560" w:lineRule="exact"/>
        <w:ind w:firstLine="0"/>
        <w:rPr>
          <w:rFonts w:ascii="黑体" w:eastAsia="黑体" w:hAnsi="黑体" w:cs="黑体"/>
          <w:szCs w:val="32"/>
        </w:rPr>
      </w:pPr>
    </w:p>
    <w:p w:rsidR="006E5539" w:rsidRDefault="004F2403">
      <w:pPr>
        <w:autoSpaceDE/>
        <w:autoSpaceDN/>
        <w:snapToGrid/>
        <w:spacing w:line="560" w:lineRule="exact"/>
        <w:ind w:firstLine="0"/>
        <w:jc w:val="center"/>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市工业企业资源集约利用综合评价工作</w:t>
      </w:r>
    </w:p>
    <w:p w:rsidR="006E5539" w:rsidRDefault="004F2403">
      <w:pPr>
        <w:autoSpaceDE/>
        <w:autoSpaceDN/>
        <w:snapToGrid/>
        <w:spacing w:line="560" w:lineRule="exact"/>
        <w:ind w:firstLine="0"/>
        <w:jc w:val="center"/>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领导小组成员单位分工表</w:t>
      </w:r>
    </w:p>
    <w:p w:rsidR="006E5539" w:rsidRDefault="006E5539">
      <w:pPr>
        <w:autoSpaceDE/>
        <w:autoSpaceDN/>
        <w:snapToGrid/>
        <w:spacing w:line="560" w:lineRule="exact"/>
        <w:ind w:firstLine="0"/>
        <w:jc w:val="center"/>
        <w:rPr>
          <w:rFonts w:ascii="方正小标宋简体" w:eastAsia="方正小标宋简体" w:hAnsi="方正小标宋简体" w:cs="方正小标宋简体"/>
          <w:snapToGrid/>
          <w:kern w:val="2"/>
          <w:sz w:val="44"/>
          <w:szCs w:val="44"/>
        </w:rPr>
      </w:pPr>
    </w:p>
    <w:tbl>
      <w:tblPr>
        <w:tblStyle w:val="a6"/>
        <w:tblW w:w="4999" w:type="pct"/>
        <w:tblInd w:w="0" w:type="dxa"/>
        <w:tblLook w:val="04A0" w:firstRow="1" w:lastRow="0" w:firstColumn="1" w:lastColumn="0" w:noHBand="0" w:noVBand="1"/>
      </w:tblPr>
      <w:tblGrid>
        <w:gridCol w:w="709"/>
        <w:gridCol w:w="1791"/>
        <w:gridCol w:w="6559"/>
      </w:tblGrid>
      <w:tr w:rsidR="006E5539">
        <w:trPr>
          <w:trHeight w:val="567"/>
          <w:tblHeader/>
        </w:trPr>
        <w:tc>
          <w:tcPr>
            <w:tcW w:w="391" w:type="pct"/>
            <w:vAlign w:val="center"/>
          </w:tcPr>
          <w:p w:rsidR="006E5539" w:rsidRDefault="004F2403">
            <w:pPr>
              <w:autoSpaceDE/>
              <w:autoSpaceDN/>
              <w:snapToGrid/>
              <w:spacing w:line="240" w:lineRule="exact"/>
              <w:ind w:firstLine="0"/>
              <w:jc w:val="center"/>
              <w:rPr>
                <w:rFonts w:ascii="黑体" w:eastAsia="黑体" w:hAnsi="黑体" w:cs="黑体"/>
                <w:snapToGrid/>
                <w:sz w:val="24"/>
                <w:szCs w:val="24"/>
              </w:rPr>
            </w:pPr>
            <w:r>
              <w:rPr>
                <w:rFonts w:ascii="黑体" w:eastAsia="黑体" w:hAnsi="黑体" w:cs="黑体" w:hint="eastAsia"/>
                <w:snapToGrid/>
                <w:sz w:val="24"/>
                <w:szCs w:val="24"/>
              </w:rPr>
              <w:t>序号</w:t>
            </w:r>
          </w:p>
        </w:tc>
        <w:tc>
          <w:tcPr>
            <w:tcW w:w="988" w:type="pct"/>
            <w:vAlign w:val="center"/>
          </w:tcPr>
          <w:p w:rsidR="006E5539" w:rsidRDefault="004F2403">
            <w:pPr>
              <w:autoSpaceDE/>
              <w:autoSpaceDN/>
              <w:snapToGrid/>
              <w:spacing w:line="240" w:lineRule="exact"/>
              <w:ind w:firstLine="0"/>
              <w:jc w:val="center"/>
              <w:rPr>
                <w:rFonts w:ascii="黑体" w:eastAsia="黑体" w:hAnsi="黑体" w:cs="黑体"/>
                <w:snapToGrid/>
                <w:sz w:val="24"/>
                <w:szCs w:val="24"/>
              </w:rPr>
            </w:pPr>
            <w:r>
              <w:rPr>
                <w:rFonts w:ascii="黑体" w:eastAsia="黑体" w:hAnsi="黑体" w:cs="黑体" w:hint="eastAsia"/>
                <w:snapToGrid/>
                <w:sz w:val="24"/>
                <w:szCs w:val="24"/>
              </w:rPr>
              <w:t>责任单位</w:t>
            </w:r>
          </w:p>
        </w:tc>
        <w:tc>
          <w:tcPr>
            <w:tcW w:w="3619" w:type="pct"/>
            <w:vAlign w:val="center"/>
          </w:tcPr>
          <w:p w:rsidR="006E5539" w:rsidRDefault="004F2403">
            <w:pPr>
              <w:autoSpaceDE/>
              <w:autoSpaceDN/>
              <w:snapToGrid/>
              <w:spacing w:line="240" w:lineRule="exact"/>
              <w:ind w:firstLine="0"/>
              <w:jc w:val="center"/>
              <w:rPr>
                <w:rFonts w:ascii="黑体" w:eastAsia="黑体" w:hAnsi="黑体" w:cs="黑体"/>
                <w:snapToGrid/>
                <w:sz w:val="24"/>
                <w:szCs w:val="24"/>
              </w:rPr>
            </w:pPr>
            <w:r>
              <w:rPr>
                <w:rFonts w:ascii="黑体" w:eastAsia="黑体" w:hAnsi="黑体" w:cs="黑体" w:hint="eastAsia"/>
                <w:snapToGrid/>
                <w:sz w:val="24"/>
                <w:szCs w:val="24"/>
              </w:rPr>
              <w:t>工作分工</w:t>
            </w:r>
          </w:p>
        </w:tc>
      </w:tr>
      <w:tr w:rsidR="006E5539">
        <w:trPr>
          <w:trHeight w:val="1293"/>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发展改革委</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负责</w:t>
            </w:r>
            <w:r>
              <w:rPr>
                <w:rFonts w:cs="仿宋_GB2312" w:hint="eastAsia"/>
                <w:snapToGrid/>
                <w:sz w:val="24"/>
                <w:szCs w:val="24"/>
              </w:rPr>
              <w:t>市工业企业资源集约利用综合评价工作领导小组</w:t>
            </w:r>
            <w:r>
              <w:rPr>
                <w:rFonts w:cs="仿宋_GB2312" w:hint="eastAsia"/>
                <w:snapToGrid/>
                <w:sz w:val="24"/>
                <w:szCs w:val="24"/>
              </w:rPr>
              <w:t>办公室日常工作，统筹协调</w:t>
            </w:r>
            <w:r>
              <w:rPr>
                <w:rFonts w:cs="仿宋_GB2312" w:hint="eastAsia"/>
                <w:snapToGrid/>
                <w:sz w:val="24"/>
                <w:szCs w:val="24"/>
              </w:rPr>
              <w:t>各区镇、各部门综合评价工作</w:t>
            </w:r>
            <w:r>
              <w:rPr>
                <w:rFonts w:cs="仿宋_GB2312" w:hint="eastAsia"/>
                <w:snapToGrid/>
                <w:sz w:val="24"/>
                <w:szCs w:val="24"/>
              </w:rPr>
              <w:t>，按时完成工业企业</w:t>
            </w:r>
            <w:r>
              <w:rPr>
                <w:rFonts w:cs="仿宋_GB2312" w:hint="eastAsia"/>
                <w:snapToGrid/>
                <w:sz w:val="24"/>
                <w:szCs w:val="24"/>
              </w:rPr>
              <w:t>资源集约利用</w:t>
            </w:r>
            <w:r>
              <w:rPr>
                <w:rFonts w:cs="仿宋_GB2312" w:hint="eastAsia"/>
                <w:snapToGrid/>
                <w:sz w:val="24"/>
                <w:szCs w:val="24"/>
              </w:rPr>
              <w:t>综合评级报告，定期分析工业企业绩效状况</w:t>
            </w:r>
            <w:r>
              <w:rPr>
                <w:rFonts w:cs="仿宋_GB2312" w:hint="eastAsia"/>
                <w:snapToGrid/>
                <w:sz w:val="24"/>
                <w:szCs w:val="24"/>
              </w:rPr>
              <w:t>。细化并组织实施差别化水电气、土地供应、资金扶持政策。</w:t>
            </w:r>
          </w:p>
        </w:tc>
      </w:tr>
      <w:tr w:rsidR="006E5539">
        <w:trPr>
          <w:trHeight w:val="669"/>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宣传部</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负责工业企业资源集约利用综合评价工作的宣传指导。</w:t>
            </w:r>
          </w:p>
        </w:tc>
      </w:tr>
      <w:tr w:rsidR="006E5539">
        <w:trPr>
          <w:trHeight w:val="669"/>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3</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人才办</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提供科技创新</w:t>
            </w:r>
            <w:r>
              <w:rPr>
                <w:rFonts w:cs="仿宋_GB2312" w:hint="eastAsia"/>
                <w:snapToGrid/>
                <w:sz w:val="24"/>
                <w:szCs w:val="24"/>
              </w:rPr>
              <w:t>指标中</w:t>
            </w:r>
            <w:r>
              <w:rPr>
                <w:rFonts w:cs="仿宋_GB2312" w:hint="eastAsia"/>
                <w:snapToGrid/>
                <w:sz w:val="24"/>
                <w:szCs w:val="24"/>
              </w:rPr>
              <w:t>涉及</w:t>
            </w:r>
            <w:proofErr w:type="gramStart"/>
            <w:r>
              <w:rPr>
                <w:rFonts w:cs="仿宋_GB2312" w:hint="eastAsia"/>
                <w:snapToGrid/>
                <w:sz w:val="24"/>
                <w:szCs w:val="24"/>
              </w:rPr>
              <w:t>科创人才</w:t>
            </w:r>
            <w:proofErr w:type="gramEnd"/>
            <w:r>
              <w:rPr>
                <w:rFonts w:cs="仿宋_GB2312" w:hint="eastAsia"/>
                <w:snapToGrid/>
                <w:sz w:val="24"/>
                <w:szCs w:val="24"/>
              </w:rPr>
              <w:t>的信息情况</w:t>
            </w:r>
            <w:r>
              <w:rPr>
                <w:rFonts w:cs="仿宋_GB2312" w:hint="eastAsia"/>
                <w:snapToGrid/>
                <w:sz w:val="24"/>
                <w:szCs w:val="24"/>
              </w:rPr>
              <w:t>。</w:t>
            </w:r>
          </w:p>
        </w:tc>
      </w:tr>
      <w:tr w:rsidR="006E5539">
        <w:trPr>
          <w:trHeight w:val="669"/>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4</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审计局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snapToGrid/>
                <w:sz w:val="24"/>
                <w:szCs w:val="24"/>
              </w:rPr>
              <w:t>建立健全审计制度，市审计局</w:t>
            </w:r>
            <w:r>
              <w:rPr>
                <w:rFonts w:cs="仿宋_GB2312" w:hint="eastAsia"/>
                <w:snapToGrid/>
                <w:sz w:val="24"/>
                <w:szCs w:val="24"/>
              </w:rPr>
              <w:t>对各单位及区镇上报数据的真实性开展随机抽查审计，形成审计意见。</w:t>
            </w:r>
          </w:p>
        </w:tc>
      </w:tr>
      <w:tr w:rsidR="006E5539">
        <w:trPr>
          <w:trHeight w:val="860"/>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5</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科技局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提供评价体系中涉及科技创新指标的信息情况；针对评价后不同类别企业，配合有关主管部门做好差别</w:t>
            </w:r>
            <w:proofErr w:type="gramStart"/>
            <w:r>
              <w:rPr>
                <w:rFonts w:cs="仿宋_GB2312" w:hint="eastAsia"/>
                <w:snapToGrid/>
                <w:sz w:val="24"/>
                <w:szCs w:val="24"/>
              </w:rPr>
              <w:t>化资金</w:t>
            </w:r>
            <w:proofErr w:type="gramEnd"/>
            <w:r>
              <w:rPr>
                <w:rFonts w:cs="仿宋_GB2312" w:hint="eastAsia"/>
                <w:snapToGrid/>
                <w:sz w:val="24"/>
                <w:szCs w:val="24"/>
              </w:rPr>
              <w:t>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6</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财政局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配合有关主管部门做好差别化水电气、资金扶持政策的细化和落实工作。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7</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人力资源社会保障</w:t>
            </w:r>
            <w:r>
              <w:rPr>
                <w:rFonts w:cs="仿宋_GB2312" w:hint="eastAsia"/>
                <w:snapToGrid/>
                <w:sz w:val="24"/>
                <w:szCs w:val="24"/>
              </w:rPr>
              <w:t>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提供企业社保信息数据</w:t>
            </w:r>
            <w:r>
              <w:rPr>
                <w:rFonts w:cs="仿宋_GB2312" w:hint="eastAsia"/>
                <w:snapToGrid/>
                <w:sz w:val="24"/>
                <w:szCs w:val="24"/>
              </w:rPr>
              <w:t>。</w:t>
            </w:r>
          </w:p>
        </w:tc>
      </w:tr>
      <w:tr w:rsidR="006E5539">
        <w:trPr>
          <w:trHeight w:val="962"/>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8</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自然资源和规划局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w:t>
            </w:r>
            <w:r>
              <w:rPr>
                <w:rFonts w:cs="仿宋_GB2312" w:hint="eastAsia"/>
                <w:snapToGrid/>
                <w:sz w:val="24"/>
                <w:szCs w:val="24"/>
              </w:rPr>
              <w:t>空间地理信息、工业</w:t>
            </w:r>
            <w:r>
              <w:rPr>
                <w:rFonts w:cs="仿宋_GB2312" w:hint="eastAsia"/>
                <w:snapToGrid/>
                <w:sz w:val="24"/>
                <w:szCs w:val="24"/>
              </w:rPr>
              <w:t>用地数据等；</w:t>
            </w:r>
            <w:r>
              <w:rPr>
                <w:rFonts w:cs="仿宋_GB2312" w:hint="eastAsia"/>
                <w:snapToGrid/>
                <w:sz w:val="24"/>
                <w:szCs w:val="24"/>
              </w:rPr>
              <w:t>配合有关主管部门做好</w:t>
            </w:r>
            <w:r>
              <w:rPr>
                <w:rFonts w:cs="仿宋_GB2312" w:hint="eastAsia"/>
                <w:snapToGrid/>
                <w:sz w:val="24"/>
                <w:szCs w:val="24"/>
              </w:rPr>
              <w:t>差别化土地供应政策及低效用地再开发等后续使用政策</w:t>
            </w:r>
            <w:r>
              <w:rPr>
                <w:rFonts w:cs="仿宋_GB2312" w:hint="eastAsia"/>
                <w:snapToGrid/>
                <w:sz w:val="24"/>
                <w:szCs w:val="24"/>
              </w:rPr>
              <w:t>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9</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生态环境局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提供重点排污企业、企业排污数据和环保违法信息等</w:t>
            </w:r>
            <w:r>
              <w:rPr>
                <w:rFonts w:cs="仿宋_GB2312" w:hint="eastAsia"/>
                <w:snapToGrid/>
                <w:sz w:val="24"/>
                <w:szCs w:val="24"/>
              </w:rPr>
              <w:t>。</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10</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住房城乡建设局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提供企业用气数据</w:t>
            </w:r>
            <w:r>
              <w:rPr>
                <w:rFonts w:cs="仿宋_GB2312" w:hint="eastAsia"/>
                <w:snapToGrid/>
                <w:sz w:val="24"/>
                <w:szCs w:val="24"/>
              </w:rPr>
              <w:t>；配合有关主管部门做好</w:t>
            </w:r>
            <w:r>
              <w:rPr>
                <w:rFonts w:cs="仿宋_GB2312" w:hint="eastAsia"/>
                <w:snapToGrid/>
                <w:sz w:val="24"/>
                <w:szCs w:val="24"/>
              </w:rPr>
              <w:t>差别</w:t>
            </w:r>
            <w:proofErr w:type="gramStart"/>
            <w:r>
              <w:rPr>
                <w:rFonts w:cs="仿宋_GB2312" w:hint="eastAsia"/>
                <w:snapToGrid/>
                <w:sz w:val="24"/>
                <w:szCs w:val="24"/>
              </w:rPr>
              <w:t>化</w:t>
            </w:r>
            <w:r>
              <w:rPr>
                <w:rFonts w:cs="仿宋_GB2312" w:hint="eastAsia"/>
                <w:snapToGrid/>
                <w:sz w:val="24"/>
                <w:szCs w:val="24"/>
              </w:rPr>
              <w:t>资金</w:t>
            </w:r>
            <w:proofErr w:type="gramEnd"/>
            <w:r>
              <w:rPr>
                <w:rFonts w:cs="仿宋_GB2312" w:hint="eastAsia"/>
                <w:snapToGrid/>
                <w:sz w:val="24"/>
                <w:szCs w:val="24"/>
              </w:rPr>
              <w:t>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11</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统计局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提供规模以上工业企业</w:t>
            </w:r>
            <w:r>
              <w:rPr>
                <w:rFonts w:cs="仿宋_GB2312" w:hint="eastAsia"/>
                <w:snapToGrid/>
                <w:sz w:val="24"/>
                <w:szCs w:val="24"/>
              </w:rPr>
              <w:t>数据、行业代码等。</w:t>
            </w:r>
          </w:p>
        </w:tc>
      </w:tr>
      <w:tr w:rsidR="006E5539">
        <w:trPr>
          <w:trHeight w:val="632"/>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12</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监委</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对整个评价工作全过程进行效能监督，重点督查各部门、区镇的主体责任落实到位情况。</w:t>
            </w:r>
          </w:p>
        </w:tc>
      </w:tr>
      <w:tr w:rsidR="006E5539">
        <w:trPr>
          <w:trHeight w:val="953"/>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lastRenderedPageBreak/>
              <w:t>13</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市场监管局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提供企业参与标准制定、商标、发明专利、质量奖等信息情况。</w:t>
            </w:r>
            <w:r>
              <w:rPr>
                <w:rFonts w:cs="仿宋_GB2312" w:hint="eastAsia"/>
                <w:snapToGrid/>
                <w:sz w:val="24"/>
                <w:szCs w:val="24"/>
              </w:rPr>
              <w:t>配合有关主管部门做好差别</w:t>
            </w:r>
            <w:proofErr w:type="gramStart"/>
            <w:r>
              <w:rPr>
                <w:rFonts w:cs="仿宋_GB2312" w:hint="eastAsia"/>
                <w:snapToGrid/>
                <w:sz w:val="24"/>
                <w:szCs w:val="24"/>
              </w:rPr>
              <w:t>化资金</w:t>
            </w:r>
            <w:proofErr w:type="gramEnd"/>
            <w:r>
              <w:rPr>
                <w:rFonts w:cs="仿宋_GB2312" w:hint="eastAsia"/>
                <w:snapToGrid/>
                <w:sz w:val="24"/>
                <w:szCs w:val="24"/>
              </w:rPr>
              <w:t>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14</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行政</w:t>
            </w:r>
            <w:proofErr w:type="gramStart"/>
            <w:r>
              <w:rPr>
                <w:rFonts w:cs="仿宋_GB2312" w:hint="eastAsia"/>
                <w:snapToGrid/>
                <w:sz w:val="24"/>
                <w:szCs w:val="24"/>
              </w:rPr>
              <w:t>审批局</w:t>
            </w:r>
            <w:proofErr w:type="gramEnd"/>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提供企业统一社会信用代码等信息。</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15</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应急管理局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提供企业安全生产标准化达标评审信息、安全生产事故信息等情况。</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16</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商务局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提供企业进出口数据；</w:t>
            </w:r>
            <w:r>
              <w:rPr>
                <w:rFonts w:cs="仿宋_GB2312" w:hint="eastAsia"/>
                <w:snapToGrid/>
                <w:sz w:val="24"/>
                <w:szCs w:val="24"/>
              </w:rPr>
              <w:t>配合有关主管部门做好差别</w:t>
            </w:r>
            <w:proofErr w:type="gramStart"/>
            <w:r>
              <w:rPr>
                <w:rFonts w:cs="仿宋_GB2312" w:hint="eastAsia"/>
                <w:snapToGrid/>
                <w:sz w:val="24"/>
                <w:szCs w:val="24"/>
              </w:rPr>
              <w:t>化资金</w:t>
            </w:r>
            <w:proofErr w:type="gramEnd"/>
            <w:r>
              <w:rPr>
                <w:rFonts w:cs="仿宋_GB2312" w:hint="eastAsia"/>
                <w:snapToGrid/>
                <w:sz w:val="24"/>
                <w:szCs w:val="24"/>
              </w:rPr>
              <w:t>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17</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税务局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提供企业申报期应税销售、入库税金数据。</w:t>
            </w:r>
          </w:p>
        </w:tc>
      </w:tr>
      <w:tr w:rsidR="006E5539">
        <w:trPr>
          <w:trHeight w:val="972"/>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18</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公安局</w:t>
            </w:r>
          </w:p>
        </w:tc>
        <w:tc>
          <w:tcPr>
            <w:tcW w:w="3619" w:type="pct"/>
            <w:vAlign w:val="center"/>
          </w:tcPr>
          <w:p w:rsidR="006E5539" w:rsidRDefault="004F2403">
            <w:pPr>
              <w:autoSpaceDE/>
              <w:autoSpaceDN/>
              <w:snapToGrid/>
              <w:spacing w:line="240" w:lineRule="exact"/>
              <w:ind w:firstLine="0"/>
              <w:rPr>
                <w:rFonts w:eastAsia="仿宋" w:cs="仿宋_GB2312"/>
                <w:snapToGrid/>
                <w:sz w:val="24"/>
                <w:szCs w:val="24"/>
              </w:rPr>
            </w:pPr>
            <w:r>
              <w:rPr>
                <w:rFonts w:ascii="仿宋" w:eastAsia="仿宋" w:hAnsi="仿宋" w:hint="eastAsia"/>
                <w:sz w:val="24"/>
              </w:rPr>
              <w:t>提供企业</w:t>
            </w:r>
            <w:r>
              <w:rPr>
                <w:rFonts w:ascii="仿宋" w:eastAsia="仿宋" w:hAnsi="仿宋" w:hint="eastAsia"/>
                <w:sz w:val="24"/>
              </w:rPr>
              <w:t>在环境保护、安全生产、消防、产品质量、纳税、土地利用等方便存在严重</w:t>
            </w:r>
            <w:r>
              <w:rPr>
                <w:rFonts w:ascii="仿宋" w:eastAsia="仿宋" w:hAnsi="仿宋" w:hint="eastAsia"/>
                <w:sz w:val="24"/>
              </w:rPr>
              <w:t>违法违规</w:t>
            </w:r>
            <w:r>
              <w:rPr>
                <w:rFonts w:ascii="仿宋" w:eastAsia="仿宋" w:hAnsi="仿宋" w:hint="eastAsia"/>
                <w:sz w:val="24"/>
              </w:rPr>
              <w:t>行为被查处或重大过错责任（涉嫌犯罪、被移送公安机关的行为）</w:t>
            </w:r>
            <w:r>
              <w:rPr>
                <w:rFonts w:ascii="仿宋" w:eastAsia="仿宋" w:hAnsi="仿宋" w:hint="eastAsia"/>
                <w:sz w:val="24"/>
              </w:rPr>
              <w:t>的企业信息。</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19</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地方金融监管局</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提供企业上市信息情况；</w:t>
            </w:r>
            <w:r>
              <w:rPr>
                <w:rFonts w:cs="仿宋_GB2312" w:hint="eastAsia"/>
                <w:snapToGrid/>
                <w:sz w:val="24"/>
                <w:szCs w:val="24"/>
              </w:rPr>
              <w:t>配合有关主管部门做好差别</w:t>
            </w:r>
            <w:proofErr w:type="gramStart"/>
            <w:r>
              <w:rPr>
                <w:rFonts w:cs="仿宋_GB2312" w:hint="eastAsia"/>
                <w:snapToGrid/>
                <w:sz w:val="24"/>
                <w:szCs w:val="24"/>
              </w:rPr>
              <w:t>化资金</w:t>
            </w:r>
            <w:proofErr w:type="gramEnd"/>
            <w:r>
              <w:rPr>
                <w:rFonts w:cs="仿宋_GB2312" w:hint="eastAsia"/>
                <w:snapToGrid/>
                <w:sz w:val="24"/>
                <w:szCs w:val="24"/>
              </w:rPr>
              <w:t>扶持政策的细化和落实工作。</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20</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人民银行启东支行</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提供企业授信等信息。</w:t>
            </w:r>
          </w:p>
        </w:tc>
      </w:tr>
      <w:tr w:rsidR="006E5539">
        <w:trPr>
          <w:trHeight w:val="756"/>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21</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市域治理现代化指挥中心</w:t>
            </w:r>
          </w:p>
        </w:tc>
        <w:tc>
          <w:tcPr>
            <w:tcW w:w="3619" w:type="pct"/>
            <w:vAlign w:val="center"/>
          </w:tcPr>
          <w:p w:rsidR="006E5539" w:rsidRDefault="004F2403">
            <w:pPr>
              <w:autoSpaceDE/>
              <w:autoSpaceDN/>
              <w:snapToGrid/>
              <w:spacing w:line="300" w:lineRule="exact"/>
              <w:ind w:firstLine="0"/>
              <w:rPr>
                <w:rFonts w:cs="仿宋_GB2312"/>
                <w:snapToGrid/>
                <w:sz w:val="24"/>
                <w:szCs w:val="24"/>
              </w:rPr>
            </w:pPr>
            <w:r>
              <w:rPr>
                <w:rFonts w:cs="仿宋_GB2312" w:hint="eastAsia"/>
                <w:snapToGrid/>
                <w:sz w:val="24"/>
                <w:szCs w:val="24"/>
              </w:rPr>
              <w:t>配合</w:t>
            </w:r>
            <w:r>
              <w:rPr>
                <w:rFonts w:cs="仿宋_GB2312" w:hint="eastAsia"/>
                <w:snapToGrid/>
                <w:sz w:val="24"/>
                <w:szCs w:val="24"/>
              </w:rPr>
              <w:t>发展改革</w:t>
            </w:r>
            <w:proofErr w:type="gramStart"/>
            <w:r>
              <w:rPr>
                <w:rFonts w:cs="仿宋_GB2312" w:hint="eastAsia"/>
                <w:snapToGrid/>
                <w:sz w:val="24"/>
                <w:szCs w:val="24"/>
              </w:rPr>
              <w:t>委做好</w:t>
            </w:r>
            <w:proofErr w:type="gramEnd"/>
            <w:r>
              <w:rPr>
                <w:rFonts w:cs="仿宋_GB2312" w:hint="eastAsia"/>
                <w:snapToGrid/>
                <w:sz w:val="24"/>
                <w:szCs w:val="24"/>
              </w:rPr>
              <w:t>平台服务器政务云终端部署工作（包括服务器资源的对接和申请）。配合</w:t>
            </w:r>
            <w:r>
              <w:rPr>
                <w:rFonts w:cs="仿宋_GB2312" w:hint="eastAsia"/>
                <w:snapToGrid/>
                <w:sz w:val="24"/>
                <w:szCs w:val="24"/>
              </w:rPr>
              <w:t>发展改革</w:t>
            </w:r>
            <w:r>
              <w:rPr>
                <w:rFonts w:cs="仿宋_GB2312" w:hint="eastAsia"/>
                <w:snapToGrid/>
                <w:sz w:val="24"/>
                <w:szCs w:val="24"/>
              </w:rPr>
              <w:t>委汇集企业资源集约利用数据信息。</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22</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消防救援大队</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提供企业火灾事故等信息。</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23</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城投公司</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提供企业用水数据。</w:t>
            </w:r>
          </w:p>
        </w:tc>
      </w:tr>
      <w:tr w:rsidR="006E5539">
        <w:trPr>
          <w:trHeight w:val="567"/>
        </w:trPr>
        <w:tc>
          <w:tcPr>
            <w:tcW w:w="391"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24</w:t>
            </w:r>
          </w:p>
        </w:tc>
        <w:tc>
          <w:tcPr>
            <w:tcW w:w="988" w:type="pct"/>
            <w:vAlign w:val="center"/>
          </w:tcPr>
          <w:p w:rsidR="006E5539" w:rsidRDefault="004F2403">
            <w:pPr>
              <w:autoSpaceDE/>
              <w:autoSpaceDN/>
              <w:snapToGrid/>
              <w:spacing w:line="240" w:lineRule="exact"/>
              <w:ind w:firstLine="0"/>
              <w:jc w:val="center"/>
              <w:rPr>
                <w:rFonts w:cs="仿宋_GB2312"/>
                <w:snapToGrid/>
                <w:sz w:val="24"/>
                <w:szCs w:val="24"/>
              </w:rPr>
            </w:pPr>
            <w:r>
              <w:rPr>
                <w:rFonts w:cs="仿宋_GB2312" w:hint="eastAsia"/>
                <w:snapToGrid/>
                <w:sz w:val="24"/>
                <w:szCs w:val="24"/>
              </w:rPr>
              <w:t>供电公司</w:t>
            </w:r>
          </w:p>
        </w:tc>
        <w:tc>
          <w:tcPr>
            <w:tcW w:w="3619" w:type="pct"/>
            <w:vAlign w:val="center"/>
          </w:tcPr>
          <w:p w:rsidR="006E5539" w:rsidRDefault="004F2403">
            <w:pPr>
              <w:autoSpaceDE/>
              <w:autoSpaceDN/>
              <w:snapToGrid/>
              <w:spacing w:line="240" w:lineRule="exact"/>
              <w:ind w:firstLine="0"/>
              <w:rPr>
                <w:rFonts w:cs="仿宋_GB2312"/>
                <w:snapToGrid/>
                <w:sz w:val="24"/>
                <w:szCs w:val="24"/>
              </w:rPr>
            </w:pPr>
            <w:r>
              <w:rPr>
                <w:rFonts w:cs="仿宋_GB2312" w:hint="eastAsia"/>
                <w:snapToGrid/>
                <w:sz w:val="24"/>
                <w:szCs w:val="24"/>
              </w:rPr>
              <w:t>提供企业用电情况。</w:t>
            </w:r>
          </w:p>
        </w:tc>
      </w:tr>
    </w:tbl>
    <w:p w:rsidR="006E5539" w:rsidRDefault="004F2403">
      <w:pPr>
        <w:autoSpaceDE/>
        <w:autoSpaceDN/>
        <w:adjustRightInd w:val="0"/>
        <w:spacing w:line="360" w:lineRule="exact"/>
        <w:ind w:firstLine="0"/>
        <w:rPr>
          <w:szCs w:val="32"/>
        </w:rPr>
      </w:pPr>
      <w:r>
        <w:rPr>
          <w:rFonts w:ascii="方正楷体_GBK" w:eastAsia="方正楷体_GBK" w:hAnsi="方正楷体_GBK" w:cs="方正楷体_GBK" w:hint="eastAsia"/>
          <w:color w:val="FF0000"/>
          <w:sz w:val="24"/>
          <w:szCs w:val="24"/>
        </w:rPr>
        <w:t>（说明：此表参照启政办发〔</w:t>
      </w:r>
      <w:r>
        <w:rPr>
          <w:rFonts w:ascii="方正楷体_GBK" w:eastAsia="方正楷体_GBK" w:hAnsi="方正楷体_GBK" w:cs="方正楷体_GBK" w:hint="eastAsia"/>
          <w:color w:val="FF0000"/>
          <w:sz w:val="24"/>
          <w:szCs w:val="24"/>
        </w:rPr>
        <w:t>2018</w:t>
      </w:r>
      <w:r>
        <w:rPr>
          <w:rFonts w:ascii="方正楷体_GBK" w:eastAsia="方正楷体_GBK" w:hAnsi="方正楷体_GBK" w:cs="方正楷体_GBK" w:hint="eastAsia"/>
          <w:color w:val="FF0000"/>
          <w:sz w:val="24"/>
          <w:szCs w:val="24"/>
        </w:rPr>
        <w:t>〕</w:t>
      </w:r>
      <w:r>
        <w:rPr>
          <w:rFonts w:ascii="方正楷体_GBK" w:eastAsia="方正楷体_GBK" w:hAnsi="方正楷体_GBK" w:cs="方正楷体_GBK" w:hint="eastAsia"/>
          <w:color w:val="FF0000"/>
          <w:sz w:val="24"/>
          <w:szCs w:val="24"/>
        </w:rPr>
        <w:t>78</w:t>
      </w:r>
      <w:r>
        <w:rPr>
          <w:rFonts w:ascii="方正楷体_GBK" w:eastAsia="方正楷体_GBK" w:hAnsi="方正楷体_GBK" w:cs="方正楷体_GBK" w:hint="eastAsia"/>
          <w:color w:val="FF0000"/>
          <w:sz w:val="24"/>
          <w:szCs w:val="24"/>
        </w:rPr>
        <w:t>号文第</w:t>
      </w:r>
      <w:r>
        <w:rPr>
          <w:rFonts w:ascii="方正楷体_GBK" w:eastAsia="方正楷体_GBK" w:hAnsi="方正楷体_GBK" w:cs="方正楷体_GBK" w:hint="eastAsia"/>
          <w:color w:val="FF0000"/>
          <w:sz w:val="24"/>
          <w:szCs w:val="24"/>
        </w:rPr>
        <w:t>10</w:t>
      </w:r>
      <w:r>
        <w:rPr>
          <w:rFonts w:ascii="方正楷体_GBK" w:eastAsia="方正楷体_GBK" w:hAnsi="方正楷体_GBK" w:cs="方正楷体_GBK" w:hint="eastAsia"/>
          <w:color w:val="FF0000"/>
          <w:sz w:val="24"/>
          <w:szCs w:val="24"/>
        </w:rPr>
        <w:t>页附表，并根据通政办发〔</w:t>
      </w:r>
      <w:r>
        <w:rPr>
          <w:rFonts w:ascii="方正楷体_GBK" w:eastAsia="方正楷体_GBK" w:hAnsi="方正楷体_GBK" w:cs="方正楷体_GBK" w:hint="eastAsia"/>
          <w:color w:val="FF0000"/>
          <w:sz w:val="24"/>
          <w:szCs w:val="24"/>
        </w:rPr>
        <w:t>2022</w:t>
      </w:r>
      <w:r>
        <w:rPr>
          <w:rFonts w:ascii="方正楷体_GBK" w:eastAsia="方正楷体_GBK" w:hAnsi="方正楷体_GBK" w:cs="方正楷体_GBK" w:hint="eastAsia"/>
          <w:color w:val="FF0000"/>
          <w:sz w:val="24"/>
          <w:szCs w:val="24"/>
        </w:rPr>
        <w:t>〕</w:t>
      </w:r>
      <w:r>
        <w:rPr>
          <w:rFonts w:ascii="方正楷体_GBK" w:eastAsia="方正楷体_GBK" w:hAnsi="方正楷体_GBK" w:cs="方正楷体_GBK" w:hint="eastAsia"/>
          <w:color w:val="FF0000"/>
          <w:sz w:val="24"/>
          <w:szCs w:val="24"/>
        </w:rPr>
        <w:t>1</w:t>
      </w:r>
      <w:r>
        <w:rPr>
          <w:rFonts w:ascii="方正楷体_GBK" w:eastAsia="方正楷体_GBK" w:hAnsi="方正楷体_GBK" w:cs="方正楷体_GBK" w:hint="eastAsia"/>
          <w:color w:val="FF0000"/>
          <w:sz w:val="24"/>
          <w:szCs w:val="24"/>
        </w:rPr>
        <w:t>号及</w:t>
      </w:r>
      <w:r>
        <w:rPr>
          <w:rFonts w:ascii="方正楷体_GBK" w:eastAsia="方正楷体_GBK" w:hAnsi="方正楷体_GBK" w:cs="方正楷体_GBK" w:hint="eastAsia"/>
          <w:color w:val="FF0000"/>
          <w:sz w:val="24"/>
          <w:szCs w:val="24"/>
        </w:rPr>
        <w:t>4</w:t>
      </w:r>
      <w:r>
        <w:rPr>
          <w:rFonts w:ascii="方正楷体_GBK" w:eastAsia="方正楷体_GBK" w:hAnsi="方正楷体_GBK" w:cs="方正楷体_GBK" w:hint="eastAsia"/>
          <w:color w:val="FF0000"/>
          <w:sz w:val="24"/>
          <w:szCs w:val="24"/>
        </w:rPr>
        <w:t>号文，对相关职能部门的分工情况进行了更新和扩充</w:t>
      </w:r>
      <w:r>
        <w:rPr>
          <w:rFonts w:ascii="方正楷体_GBK" w:eastAsia="方正楷体_GBK" w:hAnsi="方正楷体_GBK" w:cs="方正楷体_GBK" w:hint="eastAsia"/>
          <w:color w:val="FF0000"/>
          <w:sz w:val="24"/>
          <w:szCs w:val="24"/>
        </w:rPr>
        <w:t>）</w:t>
      </w:r>
    </w:p>
    <w:p w:rsidR="006E5539" w:rsidRDefault="006E5539">
      <w:pPr>
        <w:autoSpaceDE/>
        <w:autoSpaceDN/>
        <w:adjustRightInd w:val="0"/>
        <w:spacing w:line="360" w:lineRule="exact"/>
        <w:ind w:firstLine="0"/>
        <w:rPr>
          <w:szCs w:val="32"/>
        </w:rPr>
      </w:pPr>
    </w:p>
    <w:sectPr w:rsidR="006E5539">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03" w:rsidRDefault="004F2403">
      <w:pPr>
        <w:spacing w:line="240" w:lineRule="auto"/>
      </w:pPr>
      <w:r>
        <w:separator/>
      </w:r>
    </w:p>
  </w:endnote>
  <w:endnote w:type="continuationSeparator" w:id="0">
    <w:p w:rsidR="004F2403" w:rsidRDefault="004F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39" w:rsidRDefault="004F240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5539" w:rsidRDefault="004F2403">
                          <w:pPr>
                            <w:pStyle w:val="a4"/>
                            <w:spacing w:line="240" w:lineRule="exact"/>
                            <w:ind w:leftChars="200" w:left="640" w:rightChars="200" w:right="640" w:firstLine="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16ED">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5539" w:rsidRDefault="004F2403">
                    <w:pPr>
                      <w:pStyle w:val="a4"/>
                      <w:spacing w:line="240" w:lineRule="exact"/>
                      <w:ind w:leftChars="200" w:left="640" w:rightChars="200" w:right="640" w:firstLine="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16ED">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03" w:rsidRDefault="004F2403">
      <w:pPr>
        <w:spacing w:line="240" w:lineRule="auto"/>
      </w:pPr>
      <w:r>
        <w:separator/>
      </w:r>
    </w:p>
  </w:footnote>
  <w:footnote w:type="continuationSeparator" w:id="0">
    <w:p w:rsidR="004F2403" w:rsidRDefault="004F24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8AAF2"/>
    <w:multiLevelType w:val="singleLevel"/>
    <w:tmpl w:val="9098AAF2"/>
    <w:lvl w:ilvl="0">
      <w:start w:val="1"/>
      <w:numFmt w:val="decimal"/>
      <w:suff w:val="space"/>
      <w:lvlText w:val="%1."/>
      <w:lvlJc w:val="left"/>
      <w:pPr>
        <w:ind w:left="0" w:firstLine="40"/>
      </w:pPr>
      <w:rPr>
        <w:rFonts w:hint="default"/>
      </w:rPr>
    </w:lvl>
  </w:abstractNum>
  <w:abstractNum w:abstractNumId="1">
    <w:nsid w:val="A1E70C1D"/>
    <w:multiLevelType w:val="singleLevel"/>
    <w:tmpl w:val="A1E70C1D"/>
    <w:lvl w:ilvl="0">
      <w:start w:val="1"/>
      <w:numFmt w:val="decimal"/>
      <w:suff w:val="nothing"/>
      <w:lvlText w:val="%1．"/>
      <w:lvlJc w:val="left"/>
      <w:pPr>
        <w:ind w:left="0" w:firstLine="400"/>
      </w:pPr>
      <w:rPr>
        <w:rFonts w:ascii="仿宋_GB2312" w:eastAsia="仿宋_GB2312" w:hAnsi="仿宋_GB2312" w:cs="仿宋_GB2312" w:hint="default"/>
        <w:b/>
        <w:bCs/>
      </w:rPr>
    </w:lvl>
  </w:abstractNum>
  <w:abstractNum w:abstractNumId="2">
    <w:nsid w:val="AE5DF6C0"/>
    <w:multiLevelType w:val="singleLevel"/>
    <w:tmpl w:val="AE5DF6C0"/>
    <w:lvl w:ilvl="0">
      <w:start w:val="1"/>
      <w:numFmt w:val="decimal"/>
      <w:suff w:val="space"/>
      <w:lvlText w:val="%1."/>
      <w:lvlJc w:val="left"/>
      <w:pPr>
        <w:ind w:left="0" w:firstLine="40"/>
      </w:pPr>
      <w:rPr>
        <w:rFonts w:ascii="Times New Roman" w:hAnsi="Times New Roman" w:cs="Times New Roman" w:hint="default"/>
      </w:rPr>
    </w:lvl>
  </w:abstractNum>
  <w:abstractNum w:abstractNumId="3">
    <w:nsid w:val="B2FCA0A3"/>
    <w:multiLevelType w:val="singleLevel"/>
    <w:tmpl w:val="B2FCA0A3"/>
    <w:lvl w:ilvl="0">
      <w:start w:val="1"/>
      <w:numFmt w:val="chineseCounting"/>
      <w:suff w:val="nothing"/>
      <w:lvlText w:val="（%1）"/>
      <w:lvlJc w:val="left"/>
      <w:pPr>
        <w:ind w:left="0" w:firstLine="40"/>
      </w:pPr>
      <w:rPr>
        <w:rFonts w:hint="eastAsia"/>
      </w:rPr>
    </w:lvl>
  </w:abstractNum>
  <w:abstractNum w:abstractNumId="4">
    <w:nsid w:val="B905EC2F"/>
    <w:multiLevelType w:val="singleLevel"/>
    <w:tmpl w:val="B905EC2F"/>
    <w:lvl w:ilvl="0">
      <w:start w:val="1"/>
      <w:numFmt w:val="decimal"/>
      <w:suff w:val="space"/>
      <w:lvlText w:val="%1."/>
      <w:lvlJc w:val="left"/>
      <w:pPr>
        <w:ind w:left="0" w:firstLine="40"/>
      </w:pPr>
      <w:rPr>
        <w:rFonts w:ascii="Times New Roman" w:eastAsia="仿宋_GB2312" w:hAnsi="Times New Roman" w:cs="Times New Roman" w:hint="default"/>
        <w:b/>
        <w:bCs/>
      </w:rPr>
    </w:lvl>
  </w:abstractNum>
  <w:abstractNum w:abstractNumId="5">
    <w:nsid w:val="C84670A1"/>
    <w:multiLevelType w:val="multilevel"/>
    <w:tmpl w:val="C84670A1"/>
    <w:lvl w:ilvl="0">
      <w:start w:val="1"/>
      <w:numFmt w:val="chineseCountingThousand"/>
      <w:suff w:val="nothing"/>
      <w:lvlText w:val="%1、"/>
      <w:lvlJc w:val="left"/>
      <w:pPr>
        <w:ind w:left="1129" w:hanging="420"/>
      </w:pPr>
      <w:rPr>
        <w:rFonts w:hint="eastAsia"/>
      </w:rPr>
    </w:lvl>
    <w:lvl w:ilvl="1">
      <w:start w:val="1"/>
      <w:numFmt w:val="lowerLetter"/>
      <w:lvlText w:val="%2)"/>
      <w:lvlJc w:val="left"/>
      <w:pPr>
        <w:ind w:left="1240" w:hanging="420"/>
      </w:pPr>
      <w:rPr>
        <w:rFonts w:hint="eastAsia"/>
      </w:rPr>
    </w:lvl>
    <w:lvl w:ilvl="2">
      <w:start w:val="1"/>
      <w:numFmt w:val="lowerRoman"/>
      <w:lvlText w:val="%3."/>
      <w:lvlJc w:val="right"/>
      <w:pPr>
        <w:ind w:left="1660" w:hanging="420"/>
      </w:pPr>
      <w:rPr>
        <w:rFonts w:hint="eastAsia"/>
      </w:rPr>
    </w:lvl>
    <w:lvl w:ilvl="3">
      <w:start w:val="1"/>
      <w:numFmt w:val="decimal"/>
      <w:lvlText w:val="%4."/>
      <w:lvlJc w:val="left"/>
      <w:pPr>
        <w:ind w:left="2080" w:hanging="420"/>
      </w:pPr>
      <w:rPr>
        <w:rFonts w:hint="eastAsia"/>
      </w:rPr>
    </w:lvl>
    <w:lvl w:ilvl="4">
      <w:start w:val="1"/>
      <w:numFmt w:val="lowerLetter"/>
      <w:lvlText w:val="%5)"/>
      <w:lvlJc w:val="left"/>
      <w:pPr>
        <w:ind w:left="2500" w:hanging="420"/>
      </w:pPr>
      <w:rPr>
        <w:rFonts w:hint="eastAsia"/>
      </w:rPr>
    </w:lvl>
    <w:lvl w:ilvl="5">
      <w:start w:val="1"/>
      <w:numFmt w:val="lowerRoman"/>
      <w:lvlText w:val="%6."/>
      <w:lvlJc w:val="right"/>
      <w:pPr>
        <w:ind w:left="2920" w:hanging="420"/>
      </w:pPr>
      <w:rPr>
        <w:rFonts w:hint="eastAsia"/>
      </w:rPr>
    </w:lvl>
    <w:lvl w:ilvl="6">
      <w:start w:val="1"/>
      <w:numFmt w:val="decimal"/>
      <w:lvlText w:val="%7."/>
      <w:lvlJc w:val="left"/>
      <w:pPr>
        <w:ind w:left="3340" w:hanging="420"/>
      </w:pPr>
      <w:rPr>
        <w:rFonts w:hint="eastAsia"/>
      </w:rPr>
    </w:lvl>
    <w:lvl w:ilvl="7">
      <w:start w:val="1"/>
      <w:numFmt w:val="lowerLetter"/>
      <w:lvlText w:val="%8)"/>
      <w:lvlJc w:val="left"/>
      <w:pPr>
        <w:ind w:left="3760" w:hanging="420"/>
      </w:pPr>
      <w:rPr>
        <w:rFonts w:hint="eastAsia"/>
      </w:rPr>
    </w:lvl>
    <w:lvl w:ilvl="8">
      <w:start w:val="1"/>
      <w:numFmt w:val="lowerRoman"/>
      <w:lvlText w:val="%9."/>
      <w:lvlJc w:val="right"/>
      <w:pPr>
        <w:ind w:left="4180" w:hanging="420"/>
      </w:pPr>
      <w:rPr>
        <w:rFonts w:hint="eastAsia"/>
      </w:rPr>
    </w:lvl>
  </w:abstractNum>
  <w:abstractNum w:abstractNumId="6">
    <w:nsid w:val="CA9C3070"/>
    <w:multiLevelType w:val="singleLevel"/>
    <w:tmpl w:val="CA9C3070"/>
    <w:lvl w:ilvl="0">
      <w:start w:val="1"/>
      <w:numFmt w:val="decimal"/>
      <w:suff w:val="nothing"/>
      <w:lvlText w:val="%1．"/>
      <w:lvlJc w:val="left"/>
      <w:pPr>
        <w:ind w:left="0" w:firstLine="400"/>
      </w:pPr>
      <w:rPr>
        <w:rFonts w:hint="default"/>
      </w:rPr>
    </w:lvl>
  </w:abstractNum>
  <w:abstractNum w:abstractNumId="7">
    <w:nsid w:val="00716C6A"/>
    <w:multiLevelType w:val="singleLevel"/>
    <w:tmpl w:val="00716C6A"/>
    <w:lvl w:ilvl="0">
      <w:start w:val="1"/>
      <w:numFmt w:val="decimal"/>
      <w:suff w:val="space"/>
      <w:lvlText w:val="(%1)"/>
      <w:lvlJc w:val="left"/>
      <w:pPr>
        <w:ind w:left="0" w:firstLine="40"/>
      </w:pPr>
      <w:rPr>
        <w:rFonts w:ascii="Times New Roman" w:eastAsia="方正仿宋_GBK" w:hAnsi="Times New Roman" w:cs="Times New Roman" w:hint="default"/>
      </w:rPr>
    </w:lvl>
  </w:abstractNum>
  <w:abstractNum w:abstractNumId="8">
    <w:nsid w:val="0F3CC250"/>
    <w:multiLevelType w:val="singleLevel"/>
    <w:tmpl w:val="0F3CC250"/>
    <w:lvl w:ilvl="0">
      <w:start w:val="1"/>
      <w:numFmt w:val="decimal"/>
      <w:suff w:val="space"/>
      <w:lvlText w:val="%1."/>
      <w:lvlJc w:val="left"/>
      <w:pPr>
        <w:ind w:left="0" w:firstLine="40"/>
      </w:pPr>
      <w:rPr>
        <w:rFonts w:hint="default"/>
      </w:rPr>
    </w:lvl>
  </w:abstractNum>
  <w:abstractNum w:abstractNumId="9">
    <w:nsid w:val="1AF2E0D6"/>
    <w:multiLevelType w:val="singleLevel"/>
    <w:tmpl w:val="1AF2E0D6"/>
    <w:lvl w:ilvl="0">
      <w:start w:val="1"/>
      <w:numFmt w:val="decimal"/>
      <w:suff w:val="space"/>
      <w:lvlText w:val="%1."/>
      <w:lvlJc w:val="left"/>
      <w:pPr>
        <w:ind w:left="320" w:firstLine="40"/>
      </w:pPr>
      <w:rPr>
        <w:rFonts w:hint="default"/>
      </w:rPr>
    </w:lvl>
  </w:abstractNum>
  <w:abstractNum w:abstractNumId="10">
    <w:nsid w:val="23A653E0"/>
    <w:multiLevelType w:val="singleLevel"/>
    <w:tmpl w:val="23A653E0"/>
    <w:lvl w:ilvl="0">
      <w:start w:val="1"/>
      <w:numFmt w:val="decimal"/>
      <w:suff w:val="space"/>
      <w:lvlText w:val="(%1)"/>
      <w:lvlJc w:val="left"/>
      <w:pPr>
        <w:ind w:left="0" w:firstLine="40"/>
      </w:pPr>
      <w:rPr>
        <w:rFonts w:ascii="Times New Roman" w:eastAsia="方正仿宋_GBK" w:hAnsi="Times New Roman" w:cs="Times New Roman" w:hint="default"/>
      </w:rPr>
    </w:lvl>
  </w:abstractNum>
  <w:abstractNum w:abstractNumId="11">
    <w:nsid w:val="3AE72F97"/>
    <w:multiLevelType w:val="singleLevel"/>
    <w:tmpl w:val="3AE72F97"/>
    <w:lvl w:ilvl="0">
      <w:start w:val="1"/>
      <w:numFmt w:val="decimal"/>
      <w:suff w:val="space"/>
      <w:lvlText w:val="%1."/>
      <w:lvlJc w:val="left"/>
      <w:pPr>
        <w:ind w:left="0" w:firstLine="40"/>
      </w:pPr>
      <w:rPr>
        <w:rFonts w:hint="default"/>
      </w:rPr>
    </w:lvl>
  </w:abstractNum>
  <w:abstractNum w:abstractNumId="12">
    <w:nsid w:val="501CE757"/>
    <w:multiLevelType w:val="singleLevel"/>
    <w:tmpl w:val="501CE757"/>
    <w:lvl w:ilvl="0">
      <w:start w:val="1"/>
      <w:numFmt w:val="chineseCounting"/>
      <w:suff w:val="nothing"/>
      <w:lvlText w:val="（%1）"/>
      <w:lvlJc w:val="left"/>
      <w:pPr>
        <w:ind w:left="0" w:firstLine="40"/>
      </w:pPr>
      <w:rPr>
        <w:rFonts w:ascii="方正楷体_GBK" w:eastAsia="方正楷体_GBK" w:hAnsi="方正楷体_GBK" w:cs="方正楷体_GBK" w:hint="eastAsia"/>
      </w:rPr>
    </w:lvl>
  </w:abstractNum>
  <w:abstractNum w:abstractNumId="13">
    <w:nsid w:val="70E04104"/>
    <w:multiLevelType w:val="singleLevel"/>
    <w:tmpl w:val="70E04104"/>
    <w:lvl w:ilvl="0">
      <w:start w:val="1"/>
      <w:numFmt w:val="decimal"/>
      <w:lvlText w:val="%1."/>
      <w:lvlJc w:val="left"/>
      <w:pPr>
        <w:tabs>
          <w:tab w:val="left" w:pos="840"/>
        </w:tabs>
        <w:ind w:left="1066" w:hanging="425"/>
      </w:pPr>
      <w:rPr>
        <w:rFonts w:hint="default"/>
      </w:rPr>
    </w:lvl>
  </w:abstractNum>
  <w:abstractNum w:abstractNumId="14">
    <w:nsid w:val="77D4F712"/>
    <w:multiLevelType w:val="singleLevel"/>
    <w:tmpl w:val="77D4F712"/>
    <w:lvl w:ilvl="0">
      <w:start w:val="1"/>
      <w:numFmt w:val="chineseCounting"/>
      <w:suff w:val="nothing"/>
      <w:lvlText w:val="（%1）"/>
      <w:lvlJc w:val="left"/>
      <w:pPr>
        <w:ind w:left="0" w:firstLine="40"/>
      </w:pPr>
      <w:rPr>
        <w:rFonts w:hint="eastAsia"/>
      </w:rPr>
    </w:lvl>
  </w:abstractNum>
  <w:num w:numId="1">
    <w:abstractNumId w:val="5"/>
  </w:num>
  <w:num w:numId="2">
    <w:abstractNumId w:val="12"/>
  </w:num>
  <w:num w:numId="3">
    <w:abstractNumId w:val="1"/>
  </w:num>
  <w:num w:numId="4">
    <w:abstractNumId w:val="6"/>
  </w:num>
  <w:num w:numId="5">
    <w:abstractNumId w:val="9"/>
  </w:num>
  <w:num w:numId="6">
    <w:abstractNumId w:val="3"/>
  </w:num>
  <w:num w:numId="7">
    <w:abstractNumId w:val="11"/>
  </w:num>
  <w:num w:numId="8">
    <w:abstractNumId w:val="4"/>
  </w:num>
  <w:num w:numId="9">
    <w:abstractNumId w:val="13"/>
  </w:num>
  <w:num w:numId="10">
    <w:abstractNumId w:val="14"/>
  </w:num>
  <w:num w:numId="11">
    <w:abstractNumId w:val="8"/>
  </w:num>
  <w:num w:numId="12">
    <w:abstractNumId w:val="10"/>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E0tTA3MzU3NbGwNDVU0lEKTi0uzszPAykwqgUAlgXfOiwAAAA="/>
  </w:docVars>
  <w:rsids>
    <w:rsidRoot w:val="6A7E3545"/>
    <w:rsid w:val="00042D71"/>
    <w:rsid w:val="0006533B"/>
    <w:rsid w:val="00065EE2"/>
    <w:rsid w:val="000963D1"/>
    <w:rsid w:val="000D0997"/>
    <w:rsid w:val="000D4FDB"/>
    <w:rsid w:val="001056D8"/>
    <w:rsid w:val="00162F90"/>
    <w:rsid w:val="00175BB9"/>
    <w:rsid w:val="00192C44"/>
    <w:rsid w:val="001A6708"/>
    <w:rsid w:val="001F1200"/>
    <w:rsid w:val="001F1C0B"/>
    <w:rsid w:val="00246AE9"/>
    <w:rsid w:val="002823CE"/>
    <w:rsid w:val="002C6C9B"/>
    <w:rsid w:val="002E68AF"/>
    <w:rsid w:val="002F2ABB"/>
    <w:rsid w:val="0031402C"/>
    <w:rsid w:val="003269E8"/>
    <w:rsid w:val="003660F8"/>
    <w:rsid w:val="00376B41"/>
    <w:rsid w:val="00400AFC"/>
    <w:rsid w:val="004158FD"/>
    <w:rsid w:val="004F2403"/>
    <w:rsid w:val="00504FA7"/>
    <w:rsid w:val="00546FC4"/>
    <w:rsid w:val="005A24B5"/>
    <w:rsid w:val="00622D8A"/>
    <w:rsid w:val="00640A9F"/>
    <w:rsid w:val="006837DB"/>
    <w:rsid w:val="00686451"/>
    <w:rsid w:val="006A0ACA"/>
    <w:rsid w:val="006E5539"/>
    <w:rsid w:val="006F375D"/>
    <w:rsid w:val="006F6D9F"/>
    <w:rsid w:val="00754CA7"/>
    <w:rsid w:val="007D5CBC"/>
    <w:rsid w:val="007E2BB8"/>
    <w:rsid w:val="00804DDC"/>
    <w:rsid w:val="00812857"/>
    <w:rsid w:val="00857958"/>
    <w:rsid w:val="0091184B"/>
    <w:rsid w:val="009244DA"/>
    <w:rsid w:val="00973434"/>
    <w:rsid w:val="009A3A5E"/>
    <w:rsid w:val="009B05D9"/>
    <w:rsid w:val="00A03EDF"/>
    <w:rsid w:val="00AA2D5A"/>
    <w:rsid w:val="00AD3B25"/>
    <w:rsid w:val="00AF6DCA"/>
    <w:rsid w:val="00B03213"/>
    <w:rsid w:val="00B70B42"/>
    <w:rsid w:val="00BA1BD7"/>
    <w:rsid w:val="00BC208A"/>
    <w:rsid w:val="00BC34F1"/>
    <w:rsid w:val="00BD52DE"/>
    <w:rsid w:val="00BE38B7"/>
    <w:rsid w:val="00C27EDE"/>
    <w:rsid w:val="00C83A1F"/>
    <w:rsid w:val="00C86FA0"/>
    <w:rsid w:val="00CF5694"/>
    <w:rsid w:val="00D07CF8"/>
    <w:rsid w:val="00D405A3"/>
    <w:rsid w:val="00D616ED"/>
    <w:rsid w:val="00D65ECB"/>
    <w:rsid w:val="00D95430"/>
    <w:rsid w:val="00D97053"/>
    <w:rsid w:val="00DB0633"/>
    <w:rsid w:val="00E07426"/>
    <w:rsid w:val="00E1431F"/>
    <w:rsid w:val="00E162CF"/>
    <w:rsid w:val="00E4260F"/>
    <w:rsid w:val="00E64738"/>
    <w:rsid w:val="00E83EBA"/>
    <w:rsid w:val="00E9738B"/>
    <w:rsid w:val="00EA3F25"/>
    <w:rsid w:val="00EB0C5C"/>
    <w:rsid w:val="00EB6819"/>
    <w:rsid w:val="00EE13FC"/>
    <w:rsid w:val="00F1685D"/>
    <w:rsid w:val="00F31D1A"/>
    <w:rsid w:val="00F73975"/>
    <w:rsid w:val="00F81AD2"/>
    <w:rsid w:val="00F9268D"/>
    <w:rsid w:val="00FA2229"/>
    <w:rsid w:val="00FC0477"/>
    <w:rsid w:val="01AF1C55"/>
    <w:rsid w:val="05272242"/>
    <w:rsid w:val="06FC52B4"/>
    <w:rsid w:val="070228D9"/>
    <w:rsid w:val="08000E21"/>
    <w:rsid w:val="09CF031F"/>
    <w:rsid w:val="0C1A72B3"/>
    <w:rsid w:val="11425A92"/>
    <w:rsid w:val="138E07CB"/>
    <w:rsid w:val="15EA5272"/>
    <w:rsid w:val="16491459"/>
    <w:rsid w:val="1B097ECF"/>
    <w:rsid w:val="1E691070"/>
    <w:rsid w:val="1F4B120E"/>
    <w:rsid w:val="1F842177"/>
    <w:rsid w:val="1F9069B7"/>
    <w:rsid w:val="204D1B46"/>
    <w:rsid w:val="205C0C23"/>
    <w:rsid w:val="21114537"/>
    <w:rsid w:val="21DF2B6D"/>
    <w:rsid w:val="2222301D"/>
    <w:rsid w:val="22BB191B"/>
    <w:rsid w:val="22F547B4"/>
    <w:rsid w:val="231A6623"/>
    <w:rsid w:val="24BF0713"/>
    <w:rsid w:val="25383E54"/>
    <w:rsid w:val="278F0CB6"/>
    <w:rsid w:val="294E52CC"/>
    <w:rsid w:val="2CD46036"/>
    <w:rsid w:val="2D047D5E"/>
    <w:rsid w:val="2F2D2B07"/>
    <w:rsid w:val="2FC64F89"/>
    <w:rsid w:val="35216B3A"/>
    <w:rsid w:val="35A252D0"/>
    <w:rsid w:val="35F9034E"/>
    <w:rsid w:val="361909F0"/>
    <w:rsid w:val="395B722C"/>
    <w:rsid w:val="3AFA3C65"/>
    <w:rsid w:val="3D2F564E"/>
    <w:rsid w:val="3FB065D5"/>
    <w:rsid w:val="41B4268B"/>
    <w:rsid w:val="41BF0ACE"/>
    <w:rsid w:val="41D103D1"/>
    <w:rsid w:val="42DA1CEF"/>
    <w:rsid w:val="43A80081"/>
    <w:rsid w:val="4463178F"/>
    <w:rsid w:val="463F18F8"/>
    <w:rsid w:val="46CC247B"/>
    <w:rsid w:val="479F6BC7"/>
    <w:rsid w:val="47EF335F"/>
    <w:rsid w:val="483E32F6"/>
    <w:rsid w:val="48660975"/>
    <w:rsid w:val="497E4837"/>
    <w:rsid w:val="4AAE55FD"/>
    <w:rsid w:val="4C7E73A7"/>
    <w:rsid w:val="502238FF"/>
    <w:rsid w:val="50AD196F"/>
    <w:rsid w:val="54445EFC"/>
    <w:rsid w:val="55E53FF3"/>
    <w:rsid w:val="55EE0A51"/>
    <w:rsid w:val="58A75511"/>
    <w:rsid w:val="59106230"/>
    <w:rsid w:val="59741552"/>
    <w:rsid w:val="5A09740B"/>
    <w:rsid w:val="5AB17460"/>
    <w:rsid w:val="5B1A3B33"/>
    <w:rsid w:val="5B52731C"/>
    <w:rsid w:val="5CD421A7"/>
    <w:rsid w:val="5E416745"/>
    <w:rsid w:val="5E966DEC"/>
    <w:rsid w:val="60003F04"/>
    <w:rsid w:val="63035EEC"/>
    <w:rsid w:val="642D7291"/>
    <w:rsid w:val="658524D5"/>
    <w:rsid w:val="677C6D87"/>
    <w:rsid w:val="69D953B4"/>
    <w:rsid w:val="69E467C8"/>
    <w:rsid w:val="6A7E3545"/>
    <w:rsid w:val="6AF139FE"/>
    <w:rsid w:val="6B0D7122"/>
    <w:rsid w:val="6CBF0378"/>
    <w:rsid w:val="6ED1025D"/>
    <w:rsid w:val="701C45A4"/>
    <w:rsid w:val="72127907"/>
    <w:rsid w:val="727160F4"/>
    <w:rsid w:val="729C3F60"/>
    <w:rsid w:val="72C45B90"/>
    <w:rsid w:val="744B3598"/>
    <w:rsid w:val="7A8C1F66"/>
    <w:rsid w:val="7B4A7AFD"/>
    <w:rsid w:val="7E17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仿宋_GB2312" w:eastAsia="仿宋_GB2312"/>
    </w:rPr>
  </w:style>
  <w:style w:type="paragraph" w:styleId="a4">
    <w:name w:val="footer"/>
    <w:basedOn w:val="a"/>
    <w:qFormat/>
    <w:pPr>
      <w:tabs>
        <w:tab w:val="center" w:pos="4153"/>
        <w:tab w:val="right" w:pos="8306"/>
      </w:tabs>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6">
    <w:name w:val="Table Grid"/>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pPr>
      <w:autoSpaceDE/>
      <w:autoSpaceDN/>
      <w:snapToGrid/>
      <w:spacing w:line="240" w:lineRule="auto"/>
      <w:ind w:firstLine="0"/>
    </w:pPr>
    <w:rPr>
      <w:rFonts w:eastAsia="仿宋_GB2312"/>
      <w:snapToGrid/>
      <w:kern w:val="2"/>
      <w:sz w:val="30"/>
      <w:szCs w:val="30"/>
    </w:rPr>
  </w:style>
  <w:style w:type="paragraph" w:styleId="a7">
    <w:name w:val="List Paragraph"/>
    <w:basedOn w:val="a"/>
    <w:uiPriority w:val="99"/>
    <w:qFormat/>
    <w:pPr>
      <w:ind w:firstLineChars="200" w:firstLine="420"/>
    </w:pPr>
  </w:style>
  <w:style w:type="paragraph" w:styleId="a8">
    <w:name w:val="Balloon Text"/>
    <w:basedOn w:val="a"/>
    <w:link w:val="Char"/>
    <w:rsid w:val="00D616ED"/>
    <w:pPr>
      <w:spacing w:line="240" w:lineRule="auto"/>
    </w:pPr>
    <w:rPr>
      <w:sz w:val="18"/>
      <w:szCs w:val="18"/>
    </w:rPr>
  </w:style>
  <w:style w:type="character" w:customStyle="1" w:styleId="Char">
    <w:name w:val="批注框文本 Char"/>
    <w:basedOn w:val="a0"/>
    <w:link w:val="a8"/>
    <w:rsid w:val="00D616ED"/>
    <w:rPr>
      <w:rFonts w:ascii="Times New Roman" w:eastAsia="方正仿宋_GBK" w:hAnsi="Times New Roman" w:cs="Times New Roman"/>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仿宋_GB2312" w:eastAsia="仿宋_GB2312"/>
    </w:rPr>
  </w:style>
  <w:style w:type="paragraph" w:styleId="a4">
    <w:name w:val="footer"/>
    <w:basedOn w:val="a"/>
    <w:qFormat/>
    <w:pPr>
      <w:tabs>
        <w:tab w:val="center" w:pos="4153"/>
        <w:tab w:val="right" w:pos="8306"/>
      </w:tabs>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6">
    <w:name w:val="Table Grid"/>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pPr>
      <w:autoSpaceDE/>
      <w:autoSpaceDN/>
      <w:snapToGrid/>
      <w:spacing w:line="240" w:lineRule="auto"/>
      <w:ind w:firstLine="0"/>
    </w:pPr>
    <w:rPr>
      <w:rFonts w:eastAsia="仿宋_GB2312"/>
      <w:snapToGrid/>
      <w:kern w:val="2"/>
      <w:sz w:val="30"/>
      <w:szCs w:val="30"/>
    </w:rPr>
  </w:style>
  <w:style w:type="paragraph" w:styleId="a7">
    <w:name w:val="List Paragraph"/>
    <w:basedOn w:val="a"/>
    <w:uiPriority w:val="99"/>
    <w:qFormat/>
    <w:pPr>
      <w:ind w:firstLineChars="200" w:firstLine="420"/>
    </w:pPr>
  </w:style>
  <w:style w:type="paragraph" w:styleId="a8">
    <w:name w:val="Balloon Text"/>
    <w:basedOn w:val="a"/>
    <w:link w:val="Char"/>
    <w:rsid w:val="00D616ED"/>
    <w:pPr>
      <w:spacing w:line="240" w:lineRule="auto"/>
    </w:pPr>
    <w:rPr>
      <w:sz w:val="18"/>
      <w:szCs w:val="18"/>
    </w:rPr>
  </w:style>
  <w:style w:type="character" w:customStyle="1" w:styleId="Char">
    <w:name w:val="批注框文本 Char"/>
    <w:basedOn w:val="a0"/>
    <w:link w:val="a8"/>
    <w:rsid w:val="00D616ED"/>
    <w:rPr>
      <w:rFonts w:ascii="Times New Roman" w:eastAsia="方正仿宋_GBK" w:hAnsi="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SabrinaJ43</dc:creator>
  <cp:lastModifiedBy>Administrator</cp:lastModifiedBy>
  <cp:revision>13</cp:revision>
  <cp:lastPrinted>2022-02-21T06:50:00Z</cp:lastPrinted>
  <dcterms:created xsi:type="dcterms:W3CDTF">2021-12-14T02:19:00Z</dcterms:created>
  <dcterms:modified xsi:type="dcterms:W3CDTF">2022-10-24T06:53:00Z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2D7D2819B13B4CD6838CF2BA26D3C3A8</vt:lpwstr>
  </property>
</Properties>
</file>