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Lines="50" w:afterAutospacing="0"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b w:val="0"/>
          <w:sz w:val="32"/>
          <w:szCs w:val="32"/>
        </w:rPr>
        <w:t>启东市转供电收费政策告知书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各转供电主体及终端用户：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为助力企业降本减负，降低用电成本，根据国家及省有关要求，现将有关转供电政策告知如下：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一、转供电是指电网企业无法直接供电到终端用户，由其他主体（转供电经营者）转供的行为。主要包括商业综合体、产业园区、物业、写字楼、菜市场、集贸中心、门面房等转供电主体。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二、各转供电主体可选择以下两种方式的一种收取电费：一是按国家和省规定的目录销售电价向终端用户收取电费，变压器和线路损耗通过租金、物业费、水电公摊等协商解决；二是按照转供电主体电压等级目录销售电价顺加不超过10%的变压器和线路损耗每月（定期）向终端用户进行预收电费，年底（定期）按照实际损耗多退少补，并予以公示。除变压器及线路损耗以外的费用不得与电费捆绑收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三、对不落实国家降价政策、转供电环节违规加价、巧立名目收费、搭车涨价等价格违法行为将由市场监管部门依法进行查处，对典型违规案例予以公开曝光。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四、各转供电主体、各单位要对照规定，迅速落实上级政策，主动与终端用户沟通，及时宣传政策，完善收费公示，及时公布收支情况，自觉接受监督。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五、转供电终端用户可通过扫描二维码下载“网上国网”APP，点击“更多-全部功能-查询-转供电费码”，录入用电信息，评估转供电主体对终端用户电价的加价水平。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2" w:firstLineChars="20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1"/>
          <w:szCs w:val="21"/>
        </w:rPr>
        <w:t>投诉举报电话：12345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lang w:val="en-US" w:eastAsia="zh-CN"/>
        </w:rPr>
        <w:t xml:space="preserve">                             </w:t>
      </w:r>
      <w:r>
        <w:drawing>
          <wp:inline distT="0" distB="0" distL="114300" distR="114300">
            <wp:extent cx="1031240" cy="1039495"/>
            <wp:effectExtent l="0" t="0" r="165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启东市发展和改革委员会     启东市市场监督管理局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 xml:space="preserve">国网江苏省电力有限公司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00" w:firstLineChars="3000"/>
        <w:textAlignment w:val="auto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 xml:space="preserve">启东市供电分公司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00" w:firstLineChars="3000"/>
        <w:textAlignment w:val="auto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00" w:firstLineChars="3000"/>
        <w:textAlignment w:val="auto"/>
        <w:rPr>
          <w:rFonts w:hint="default" w:ascii="仿宋_GB2312" w:hAnsi="仿宋_GB2312" w:eastAsia="仿宋_GB2312" w:cs="仿宋_GB2312"/>
          <w:color w:val="333333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  <w:lang w:val="en-US" w:eastAsia="zh-CN"/>
        </w:rPr>
        <w:t>2021年8月12日</w:t>
      </w:r>
    </w:p>
    <w:p>
      <w:pPr>
        <w:pStyle w:val="5"/>
        <w:widowControl/>
        <w:spacing w:beforeAutospacing="0" w:afterAutospacing="0" w:line="240" w:lineRule="auto"/>
        <w:ind w:firstLine="320" w:firstLineChars="100"/>
        <w:rPr>
          <w:rFonts w:hint="eastAsia" w:ascii="方正小标宋_GBK" w:hAnsi="方正小标宋_GBK" w:eastAsia="方正小标宋_GBK" w:cs="方正小标宋_GBK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附：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color w:val="333333"/>
          <w:sz w:val="21"/>
          <w:szCs w:val="21"/>
        </w:rPr>
        <w:t>江苏省电网销售电价表</w:t>
      </w:r>
    </w:p>
    <w:p>
      <w:pPr>
        <w:pStyle w:val="5"/>
        <w:widowControl/>
        <w:spacing w:beforeAutospacing="0" w:afterAutospacing="0" w:line="240" w:lineRule="auto"/>
        <w:ind w:firstLine="210" w:firstLineChars="100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color w:val="333333"/>
          <w:sz w:val="21"/>
          <w:szCs w:val="21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333333"/>
          <w:sz w:val="21"/>
          <w:szCs w:val="21"/>
        </w:rPr>
        <w:t xml:space="preserve">（自2021年1月1日起执行）  </w:t>
      </w: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 xml:space="preserve">         </w:t>
      </w:r>
    </w:p>
    <w:p>
      <w:pPr>
        <w:pStyle w:val="5"/>
        <w:widowControl/>
        <w:tabs>
          <w:tab w:val="left" w:pos="7455"/>
        </w:tabs>
        <w:spacing w:beforeAutospacing="0" w:afterAutospacing="0" w:line="240" w:lineRule="auto"/>
        <w:jc w:val="right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1"/>
          <w:szCs w:val="21"/>
        </w:rPr>
        <w:t>单位:元/千瓦时</w:t>
      </w:r>
    </w:p>
    <w:tbl>
      <w:tblPr>
        <w:tblStyle w:val="6"/>
        <w:tblW w:w="937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0"/>
        <w:gridCol w:w="900"/>
        <w:gridCol w:w="870"/>
        <w:gridCol w:w="885"/>
        <w:gridCol w:w="915"/>
        <w:gridCol w:w="855"/>
        <w:gridCol w:w="133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vMerge w:val="restart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用电分类</w:t>
            </w:r>
          </w:p>
        </w:tc>
        <w:tc>
          <w:tcPr>
            <w:tcW w:w="5295" w:type="dxa"/>
            <w:gridSpan w:val="6"/>
            <w:vAlign w:val="center"/>
          </w:tcPr>
          <w:p>
            <w:pPr>
              <w:pStyle w:val="5"/>
              <w:spacing w:before="100" w:after="100"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电度电价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基本电价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不满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1千伏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1-10千伏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20-35千伏以下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35-110千伏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110千伏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220千伏以上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最大需量（元/千瓦·月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变压器容量（元/千伏安·月）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一般工商业及其他用电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0.6664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0.6414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0.6314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0.6164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大工业用电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0.6068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0.5968</w:t>
            </w:r>
          </w:p>
        </w:tc>
        <w:tc>
          <w:tcPr>
            <w:tcW w:w="88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0.5818</w:t>
            </w:r>
          </w:p>
        </w:tc>
        <w:tc>
          <w:tcPr>
            <w:tcW w:w="91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0.5568</w:t>
            </w:r>
          </w:p>
        </w:tc>
        <w:tc>
          <w:tcPr>
            <w:tcW w:w="85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0.5318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0E729A"/>
    <w:rsid w:val="00141B74"/>
    <w:rsid w:val="002A417E"/>
    <w:rsid w:val="003943A1"/>
    <w:rsid w:val="00420FDC"/>
    <w:rsid w:val="00507309"/>
    <w:rsid w:val="00616AF3"/>
    <w:rsid w:val="00942F31"/>
    <w:rsid w:val="00CB4170"/>
    <w:rsid w:val="00D30AD5"/>
    <w:rsid w:val="00D62C5B"/>
    <w:rsid w:val="00F022D7"/>
    <w:rsid w:val="00FD5326"/>
    <w:rsid w:val="22E30D12"/>
    <w:rsid w:val="3E5E24F5"/>
    <w:rsid w:val="41CD799A"/>
    <w:rsid w:val="4C0E729A"/>
    <w:rsid w:val="57111DC1"/>
    <w:rsid w:val="7D6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E5895-164E-45E6-B3DE-227F90779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32</TotalTime>
  <ScaleCrop>false</ScaleCrop>
  <LinksUpToDate>false</LinksUpToDate>
  <CharactersWithSpaces>757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2020-03-20T02:33:00Z</dcterms:created>
  <dc:creator>裙裙</dc:creator>
  <cp:lastModifiedBy>裙裙</cp:lastModifiedBy>
  <cp:lastPrinted>2021-08-12T06:42:36Z</cp:lastPrinted>
  <dcterms:modified xsi:type="dcterms:W3CDTF">2021-08-12T06:42:41Z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411179885_cloud</vt:lpwstr>
  </property>
  <property fmtid="{D5CDD505-2E9C-101B-9397-08002B2CF9AE}" pid="4" name="ICV">
    <vt:lpwstr>E83442DEB2DB48B8804911B9CF3048A3</vt:lpwstr>
  </property>
</Properties>
</file>