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55957">
      <w:pPr>
        <w:widowControl/>
        <w:shd w:val="clear" w:color="auto" w:fill="FFFFFF"/>
        <w:spacing w:before="100" w:beforeAutospacing="1" w:after="100" w:afterAutospacing="1" w:line="420" w:lineRule="atLeast"/>
        <w:jc w:val="center"/>
        <w:rPr>
          <w:rFonts w:hint="eastAsia" w:cs="宋体" w:asciiTheme="minorEastAsia" w:hAnsiTheme="minorEastAsia" w:eastAsiaTheme="minorEastAsia"/>
          <w:b/>
          <w:bCs/>
          <w:color w:val="333333"/>
          <w:spacing w:val="-6"/>
          <w:kern w:val="0"/>
          <w:sz w:val="36"/>
          <w:szCs w:val="36"/>
          <w:lang w:eastAsia="zh-CN"/>
        </w:rPr>
      </w:pPr>
      <w:r>
        <w:rPr>
          <w:rFonts w:hint="eastAsia" w:cs="宋体" w:asciiTheme="minorEastAsia" w:hAnsiTheme="minorEastAsia"/>
          <w:b/>
          <w:bCs/>
          <w:color w:val="333333"/>
          <w:spacing w:val="-6"/>
          <w:kern w:val="0"/>
          <w:sz w:val="36"/>
          <w:szCs w:val="36"/>
          <w:lang w:eastAsia="zh-CN"/>
        </w:rPr>
        <w:t>启东市日新河粮库地磅采购与安装项目</w:t>
      </w:r>
      <w:r>
        <w:rPr>
          <w:rFonts w:hint="eastAsia" w:cs="宋体" w:asciiTheme="minorEastAsia" w:hAnsiTheme="minorEastAsia"/>
          <w:b/>
          <w:bCs/>
          <w:color w:val="333333"/>
          <w:spacing w:val="-6"/>
          <w:kern w:val="0"/>
          <w:sz w:val="36"/>
          <w:szCs w:val="36"/>
        </w:rPr>
        <w:t>询价公告</w:t>
      </w:r>
    </w:p>
    <w:p w14:paraId="57D97B21">
      <w:pPr>
        <w:widowControl/>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333333"/>
          <w:kern w:val="0"/>
          <w:sz w:val="28"/>
          <w:szCs w:val="28"/>
        </w:rPr>
        <w:t>启东市地方粮食储备库有限公</w:t>
      </w:r>
      <w:bookmarkStart w:id="12" w:name="_GoBack"/>
      <w:bookmarkEnd w:id="12"/>
      <w:r>
        <w:rPr>
          <w:rFonts w:hint="eastAsia" w:ascii="仿宋_GB2312" w:hAnsi="仿宋_GB2312" w:eastAsia="仿宋_GB2312" w:cs="仿宋_GB2312"/>
          <w:color w:val="333333"/>
          <w:kern w:val="0"/>
          <w:sz w:val="28"/>
          <w:szCs w:val="28"/>
        </w:rPr>
        <w:t>司根据采购管理的有关规定，就</w:t>
      </w:r>
      <w:r>
        <w:rPr>
          <w:rFonts w:hint="eastAsia" w:ascii="仿宋_GB2312" w:hAnsi="仿宋_GB2312" w:eastAsia="仿宋_GB2312" w:cs="仿宋_GB2312"/>
          <w:color w:val="333333"/>
          <w:kern w:val="0"/>
          <w:sz w:val="28"/>
          <w:szCs w:val="28"/>
          <w:lang w:eastAsia="zh-CN"/>
        </w:rPr>
        <w:t>启东市日新河粮库地磅采购与安装项目</w:t>
      </w:r>
      <w:r>
        <w:rPr>
          <w:rFonts w:hint="eastAsia" w:ascii="仿宋_GB2312" w:hAnsi="仿宋_GB2312" w:eastAsia="仿宋_GB2312" w:cs="仿宋_GB2312"/>
          <w:color w:val="333333"/>
          <w:kern w:val="0"/>
          <w:sz w:val="28"/>
          <w:szCs w:val="28"/>
        </w:rPr>
        <w:t>进行询价采购</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sz w:val="28"/>
          <w:szCs w:val="28"/>
        </w:rPr>
        <w:t>采购需求</w:t>
      </w:r>
      <w:r>
        <w:rPr>
          <w:rFonts w:hint="eastAsia" w:ascii="仿宋_GB2312" w:hAnsi="仿宋_GB2312" w:eastAsia="仿宋_GB2312" w:cs="仿宋_GB2312"/>
          <w:sz w:val="28"/>
          <w:szCs w:val="28"/>
          <w:lang w:eastAsia="zh-CN"/>
        </w:rPr>
        <w:t>详见附件七：技术要求。</w:t>
      </w:r>
    </w:p>
    <w:p w14:paraId="18464861">
      <w:pPr>
        <w:keepNext w:val="0"/>
        <w:keepLines w:val="0"/>
        <w:pageBreakBefore w:val="0"/>
        <w:widowControl/>
        <w:kinsoku/>
        <w:wordWrap/>
        <w:overflowPunct/>
        <w:topLinePunct w:val="0"/>
        <w:autoSpaceDE/>
        <w:autoSpaceDN/>
        <w:bidi w:val="0"/>
        <w:adjustRightInd/>
        <w:spacing w:line="480" w:lineRule="exact"/>
        <w:jc w:val="left"/>
        <w:textAlignment w:val="auto"/>
        <w:rPr>
          <w:rFonts w:ascii="黑体" w:hAnsi="黑体" w:eastAsia="黑体" w:cs="黑体"/>
          <w:color w:val="333333"/>
          <w:kern w:val="0"/>
          <w:sz w:val="28"/>
          <w:szCs w:val="28"/>
        </w:rPr>
      </w:pPr>
      <w:r>
        <w:rPr>
          <w:rFonts w:hint="eastAsia" w:ascii="黑体" w:hAnsi="黑体" w:eastAsia="黑体" w:cs="黑体"/>
          <w:color w:val="333333"/>
          <w:kern w:val="0"/>
          <w:sz w:val="28"/>
          <w:szCs w:val="28"/>
        </w:rPr>
        <w:t>说明：</w:t>
      </w:r>
    </w:p>
    <w:p w14:paraId="6568CFD7">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pPr>
      <w:r>
        <w:rPr>
          <w:rFonts w:hint="eastAsia" w:ascii="黑体" w:hAnsi="宋体" w:eastAsia="黑体" w:cs="黑体"/>
          <w:b/>
          <w:color w:val="333333"/>
          <w:kern w:val="0"/>
          <w:sz w:val="28"/>
          <w:szCs w:val="28"/>
          <w:u w:val="single"/>
        </w:rPr>
        <w:t>一、本项目的</w:t>
      </w:r>
      <w:r>
        <w:rPr>
          <w:rFonts w:hint="eastAsia" w:ascii="黑体" w:hAnsi="宋体" w:eastAsia="黑体" w:cs="黑体"/>
          <w:b/>
          <w:color w:val="333333"/>
          <w:kern w:val="0"/>
          <w:sz w:val="28"/>
          <w:szCs w:val="28"/>
          <w:u w:val="single"/>
          <w:lang w:eastAsia="zh-CN"/>
        </w:rPr>
        <w:t>预算和</w:t>
      </w:r>
      <w:r>
        <w:rPr>
          <w:rFonts w:hint="eastAsia" w:ascii="黑体" w:hAnsi="宋体" w:eastAsia="黑体" w:cs="黑体"/>
          <w:b/>
          <w:color w:val="333333"/>
          <w:kern w:val="0"/>
          <w:sz w:val="28"/>
          <w:szCs w:val="28"/>
          <w:u w:val="single"/>
        </w:rPr>
        <w:t>最高限</w:t>
      </w:r>
      <w:r>
        <w:rPr>
          <w:rFonts w:hint="eastAsia" w:ascii="黑体" w:hAnsi="宋体" w:eastAsia="黑体" w:cs="黑体"/>
          <w:b/>
          <w:color w:val="333333"/>
          <w:kern w:val="0"/>
          <w:sz w:val="28"/>
          <w:szCs w:val="28"/>
          <w:highlight w:val="none"/>
          <w:u w:val="single"/>
        </w:rPr>
        <w:t>价为人民币</w:t>
      </w:r>
      <w:r>
        <w:rPr>
          <w:rFonts w:hint="eastAsia" w:ascii="黑体" w:hAnsi="宋体" w:eastAsia="黑体" w:cs="黑体"/>
          <w:b/>
          <w:color w:val="333333"/>
          <w:kern w:val="0"/>
          <w:sz w:val="28"/>
          <w:szCs w:val="28"/>
          <w:highlight w:val="none"/>
          <w:u w:val="single"/>
          <w:lang w:val="en-US" w:eastAsia="zh-CN"/>
        </w:rPr>
        <w:t>肆万陆仟元整</w:t>
      </w:r>
      <w:r>
        <w:rPr>
          <w:rFonts w:hint="eastAsia" w:ascii="黑体" w:hAnsi="宋体" w:eastAsia="黑体" w:cs="黑体"/>
          <w:b/>
          <w:color w:val="333333"/>
          <w:kern w:val="0"/>
          <w:sz w:val="28"/>
          <w:szCs w:val="28"/>
          <w:highlight w:val="none"/>
          <w:u w:val="single"/>
        </w:rPr>
        <w:t>（¥</w:t>
      </w:r>
      <w:r>
        <w:rPr>
          <w:rFonts w:hint="eastAsia" w:ascii="黑体" w:hAnsi="宋体" w:eastAsia="黑体" w:cs="黑体"/>
          <w:b/>
          <w:kern w:val="0"/>
          <w:sz w:val="28"/>
          <w:szCs w:val="28"/>
          <w:highlight w:val="none"/>
          <w:u w:val="single"/>
          <w:lang w:val="en-US" w:eastAsia="zh-CN"/>
        </w:rPr>
        <w:t>46000</w:t>
      </w:r>
      <w:r>
        <w:rPr>
          <w:rFonts w:hint="eastAsia" w:ascii="黑体" w:hAnsi="宋体" w:eastAsia="黑体" w:cs="黑体"/>
          <w:b/>
          <w:kern w:val="0"/>
          <w:sz w:val="28"/>
          <w:szCs w:val="28"/>
          <w:highlight w:val="none"/>
          <w:u w:val="single"/>
        </w:rPr>
        <w:t>元</w:t>
      </w:r>
      <w:r>
        <w:rPr>
          <w:rFonts w:hint="eastAsia" w:ascii="黑体" w:hAnsi="宋体" w:eastAsia="黑体" w:cs="黑体"/>
          <w:b/>
          <w:color w:val="333333"/>
          <w:kern w:val="0"/>
          <w:sz w:val="28"/>
          <w:szCs w:val="28"/>
          <w:highlight w:val="none"/>
          <w:u w:val="single"/>
        </w:rPr>
        <w:t>）</w:t>
      </w:r>
      <w:r>
        <w:rPr>
          <w:rFonts w:hint="eastAsia" w:ascii="黑体" w:hAnsi="宋体" w:eastAsia="黑体" w:cs="黑体"/>
          <w:b/>
          <w:color w:val="333333"/>
          <w:kern w:val="0"/>
          <w:sz w:val="28"/>
          <w:szCs w:val="28"/>
          <w:u w:val="single"/>
        </w:rPr>
        <w:t>，供应商所报投标报价超过最高限价的视为无效报价。</w:t>
      </w:r>
    </w:p>
    <w:p w14:paraId="20B9BB6E">
      <w:pPr>
        <w:keepNext w:val="0"/>
        <w:keepLines w:val="0"/>
        <w:pageBreakBefore w:val="0"/>
        <w:widowControl/>
        <w:kinsoku/>
        <w:wordWrap/>
        <w:overflowPunct/>
        <w:topLinePunct w:val="0"/>
        <w:autoSpaceDE/>
        <w:autoSpaceDN/>
        <w:bidi w:val="0"/>
        <w:adjustRightInd/>
        <w:spacing w:line="480" w:lineRule="exact"/>
        <w:ind w:firstLine="602" w:firstLineChars="200"/>
        <w:textAlignment w:val="auto"/>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二、供应商资格要求：</w:t>
      </w:r>
    </w:p>
    <w:p w14:paraId="3468F62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1.具备《政府采购法》第22条的规定；</w:t>
      </w:r>
    </w:p>
    <w:p w14:paraId="3E4D1141">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2.供应商可为独立法人，具有有效的营业执照，且有能力提供本次采购项目所要求的内容和服务；</w:t>
      </w:r>
    </w:p>
    <w:p w14:paraId="5C670BB4">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3.投标时须提供汽车衡计量器具及部件的生产许可证原件复印件和传感器检测报告原件复印件和秤体形式检验报告原件复印件（未提供视为资格审查不通过）；</w:t>
      </w:r>
    </w:p>
    <w:p w14:paraId="1DF0CAAE">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.本项目不接受联合体投标。</w:t>
      </w:r>
    </w:p>
    <w:p w14:paraId="2CA8D289">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ascii="仿宋_GB2312" w:hAnsi="仿宋_GB2312" w:eastAsia="仿宋_GB2312" w:cs="仿宋_GB2312"/>
          <w:sz w:val="28"/>
          <w:szCs w:val="28"/>
        </w:rPr>
      </w:pPr>
      <w:r>
        <w:rPr>
          <w:rFonts w:hint="eastAsia" w:ascii="黑体" w:hAnsi="宋体" w:eastAsia="黑体" w:cs="黑体"/>
          <w:b/>
          <w:color w:val="333333"/>
          <w:kern w:val="0"/>
          <w:sz w:val="28"/>
          <w:szCs w:val="28"/>
        </w:rPr>
        <w:t>三、报价注意事项</w:t>
      </w:r>
    </w:p>
    <w:p w14:paraId="44F93398">
      <w:pPr>
        <w:keepNext w:val="0"/>
        <w:keepLines w:val="0"/>
        <w:pageBreakBefore w:val="0"/>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1.供应商获取询价公告方法：</w:t>
      </w:r>
      <w:r>
        <w:rPr>
          <w:rFonts w:ascii="仿宋" w:hAnsi="仿宋" w:eastAsia="仿宋" w:cs="仿宋"/>
          <w:color w:val="333333"/>
          <w:sz w:val="28"/>
          <w:szCs w:val="28"/>
          <w:shd w:val="clear" w:color="auto" w:fill="FFFFFF"/>
        </w:rPr>
        <w:t>各供应商可自行从</w:t>
      </w:r>
      <w:r>
        <w:rPr>
          <w:rFonts w:hint="eastAsia" w:ascii="仿宋" w:hAnsi="仿宋" w:eastAsia="仿宋" w:cs="仿宋"/>
          <w:color w:val="333333"/>
          <w:sz w:val="28"/>
          <w:szCs w:val="28"/>
          <w:shd w:val="clear" w:color="auto" w:fill="FFFFFF"/>
        </w:rPr>
        <w:t>启东市人民政府网</w:t>
      </w:r>
      <w:r>
        <w:rPr>
          <w:rFonts w:ascii="仿宋" w:hAnsi="仿宋" w:eastAsia="仿宋" w:cs="仿宋"/>
          <w:color w:val="333333"/>
          <w:sz w:val="28"/>
          <w:szCs w:val="28"/>
          <w:shd w:val="clear" w:color="auto" w:fill="FFFFFF"/>
        </w:rPr>
        <w:t>下载。</w:t>
      </w:r>
    </w:p>
    <w:p w14:paraId="2E72C84F">
      <w:pPr>
        <w:keepNext w:val="0"/>
        <w:keepLines w:val="0"/>
        <w:pageBreakBefore w:val="0"/>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2.报价供应商应按照本采购文件的要求编制报价文件，报价文件应对本项目提出的要求和条件作出实质性响应。否则，均被视为无效报价文件。报价包含本项目所有涉及的全部费用，如材料费、配件费、人工费、货物运输、装卸、搬运（二次搬运）、分发、安装、调试、培训、运输保险、税金、售后质保服务</w:t>
      </w:r>
      <w:r>
        <w:rPr>
          <w:rFonts w:hint="eastAsia" w:ascii="仿宋" w:hAnsi="仿宋" w:eastAsia="仿宋" w:cs="仿宋"/>
          <w:color w:val="333333"/>
          <w:sz w:val="28"/>
          <w:szCs w:val="28"/>
          <w:shd w:val="clear" w:color="auto" w:fill="FFFFFF"/>
          <w:lang w:eastAsia="zh-CN"/>
        </w:rPr>
        <w:t>和招标代理费</w:t>
      </w:r>
      <w:r>
        <w:rPr>
          <w:rFonts w:hint="eastAsia" w:ascii="仿宋" w:hAnsi="仿宋" w:eastAsia="仿宋" w:cs="仿宋"/>
          <w:color w:val="333333"/>
          <w:sz w:val="28"/>
          <w:szCs w:val="28"/>
          <w:shd w:val="clear" w:color="auto" w:fill="FFFFFF"/>
        </w:rPr>
        <w:t>等一切配套费用。除非因特殊原因并经买卖双方协商同意，成交供应商不得再要求追加任何费用。同时，除非合同条款中另有规定，否则中标人的成交价在合同实施期间不因市场变化因素而变动。成交供应商在供货期间不得减少供货项目，不得降低货物质量。</w:t>
      </w:r>
    </w:p>
    <w:p w14:paraId="0DA851C4">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hint="eastAsia" w:ascii="仿宋_GB2312" w:hAnsi="仿宋_GB2312" w:eastAsia="仿宋_GB2312" w:cs="仿宋_GB2312"/>
          <w:b/>
          <w:bCs/>
          <w:color w:val="333333"/>
          <w:kern w:val="0"/>
          <w:sz w:val="28"/>
          <w:szCs w:val="28"/>
        </w:rPr>
      </w:pPr>
      <w:r>
        <w:rPr>
          <w:rFonts w:hint="eastAsia" w:ascii="仿宋_GB2312" w:hAnsi="仿宋_GB2312" w:eastAsia="仿宋_GB2312" w:cs="仿宋_GB2312"/>
          <w:b/>
          <w:bCs/>
          <w:color w:val="333333"/>
          <w:kern w:val="0"/>
          <w:sz w:val="28"/>
          <w:szCs w:val="28"/>
          <w:lang w:val="en-US" w:eastAsia="zh-CN"/>
        </w:rPr>
        <w:t>本项目招标代理费和专家评委费（如有）由成交供应商承担，请供应商考虑在报价内，但不单列。招标代理服务费取费标准按照国家计委[计价格（2002）1980号]《招标代理服务收费管理暂行办法》收费标准的38%进行收取（单项招标代理收费不满300元的按300元计取），专家评委费按实支付。</w:t>
      </w:r>
    </w:p>
    <w:p w14:paraId="6AB00711">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3.供应商应详细阅读采购文件的全部内容，供应商对采购文件有疑问或异议的，请在递交报价文件1日前以书面形式（加盖单位公章）递交至采购单位。</w:t>
      </w:r>
    </w:p>
    <w:p w14:paraId="08ECF690">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有关技术及需求问题，请与采购单位或代理单位联系。</w:t>
      </w:r>
    </w:p>
    <w:p w14:paraId="3D635BCC">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采购单位：启东市地方粮食储备库有限公司</w:t>
      </w:r>
    </w:p>
    <w:p w14:paraId="4EA48DC8">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eastAsia" w:ascii="仿宋_GB2312" w:hAnsi="仿宋_GB2312" w:eastAsia="仿宋_GB2312" w:cs="仿宋_GB2312"/>
          <w:color w:val="333333"/>
          <w:kern w:val="0"/>
          <w:sz w:val="28"/>
          <w:szCs w:val="28"/>
          <w:highlight w:val="none"/>
          <w:lang w:eastAsia="zh-CN"/>
        </w:rPr>
      </w:pPr>
      <w:r>
        <w:rPr>
          <w:rFonts w:hint="eastAsia" w:ascii="仿宋_GB2312" w:hAnsi="仿宋_GB2312" w:eastAsia="仿宋_GB2312" w:cs="仿宋_GB2312"/>
          <w:color w:val="333333"/>
          <w:kern w:val="0"/>
          <w:sz w:val="28"/>
          <w:szCs w:val="28"/>
          <w:highlight w:val="none"/>
        </w:rPr>
        <w:t>联系人：</w:t>
      </w:r>
      <w:r>
        <w:rPr>
          <w:rFonts w:hint="eastAsia" w:ascii="仿宋_GB2312" w:hAnsi="仿宋_GB2312" w:eastAsia="仿宋_GB2312" w:cs="仿宋_GB2312"/>
          <w:color w:val="333333"/>
          <w:kern w:val="0"/>
          <w:sz w:val="28"/>
          <w:szCs w:val="28"/>
          <w:highlight w:val="none"/>
          <w:lang w:eastAsia="zh-CN"/>
        </w:rPr>
        <w:t>顾先生</w:t>
      </w:r>
    </w:p>
    <w:p w14:paraId="6C57A867">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hint="default" w:ascii="仿宋_GB2312" w:hAnsi="仿宋_GB2312" w:eastAsia="仿宋_GB2312" w:cs="仿宋_GB2312"/>
          <w:color w:val="333333"/>
          <w:kern w:val="0"/>
          <w:sz w:val="28"/>
          <w:szCs w:val="28"/>
          <w:highlight w:val="none"/>
          <w:lang w:val="en-US" w:eastAsia="zh-CN"/>
        </w:rPr>
      </w:pPr>
      <w:r>
        <w:rPr>
          <w:rFonts w:hint="eastAsia" w:ascii="仿宋_GB2312" w:hAnsi="仿宋_GB2312" w:eastAsia="仿宋_GB2312" w:cs="仿宋_GB2312"/>
          <w:color w:val="333333"/>
          <w:kern w:val="0"/>
          <w:sz w:val="28"/>
          <w:szCs w:val="28"/>
          <w:highlight w:val="none"/>
        </w:rPr>
        <w:t>联系电话：</w:t>
      </w:r>
      <w:r>
        <w:rPr>
          <w:rFonts w:hint="eastAsia" w:ascii="仿宋_GB2312" w:hAnsi="仿宋_GB2312" w:eastAsia="仿宋_GB2312" w:cs="仿宋_GB2312"/>
          <w:color w:val="333333"/>
          <w:kern w:val="0"/>
          <w:sz w:val="28"/>
          <w:szCs w:val="28"/>
          <w:highlight w:val="none"/>
          <w:lang w:val="en-US" w:eastAsia="zh-CN"/>
        </w:rPr>
        <w:t>18013594853</w:t>
      </w:r>
    </w:p>
    <w:p w14:paraId="62283895">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招标代理机构：江苏方桂圆工程工程项目管理有限公司</w:t>
      </w:r>
    </w:p>
    <w:p w14:paraId="2DF5C1D4">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联系人：袁甜甜</w:t>
      </w:r>
    </w:p>
    <w:p w14:paraId="710970AE">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联系电话：0513-83351660</w:t>
      </w:r>
    </w:p>
    <w:p w14:paraId="526387BC">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4.报价文件构成</w:t>
      </w:r>
    </w:p>
    <w:p w14:paraId="3D4981F8">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（1）</w:t>
      </w:r>
      <w:r>
        <w:rPr>
          <w:rFonts w:hint="eastAsia" w:ascii="仿宋" w:hAnsi="仿宋" w:eastAsia="仿宋" w:cs="仿宋"/>
          <w:color w:val="333333"/>
          <w:kern w:val="0"/>
          <w:sz w:val="28"/>
          <w:szCs w:val="28"/>
          <w:highlight w:val="none"/>
          <w:u w:val="single"/>
          <w:shd w:val="clear" w:color="auto" w:fill="FFFFFF"/>
        </w:rPr>
        <w:t>投标人符合《政府采购法》第二十二条规定条件的承诺函</w:t>
      </w:r>
      <w:r>
        <w:rPr>
          <w:rFonts w:hint="eastAsia" w:ascii="仿宋" w:hAnsi="仿宋" w:eastAsia="仿宋" w:cs="仿宋"/>
          <w:color w:val="333333"/>
          <w:kern w:val="0"/>
          <w:sz w:val="28"/>
          <w:szCs w:val="28"/>
          <w:highlight w:val="none"/>
          <w:shd w:val="clear" w:color="auto" w:fill="FFFFFF"/>
        </w:rPr>
        <w:t>（按照附件一格式填写）；</w:t>
      </w:r>
    </w:p>
    <w:p w14:paraId="4E465A11">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（2）</w:t>
      </w:r>
      <w:r>
        <w:rPr>
          <w:rFonts w:hint="eastAsia" w:ascii="仿宋" w:hAnsi="仿宋" w:eastAsia="仿宋" w:cs="仿宋"/>
          <w:color w:val="333333"/>
          <w:kern w:val="0"/>
          <w:sz w:val="28"/>
          <w:szCs w:val="28"/>
          <w:highlight w:val="none"/>
          <w:u w:val="single"/>
          <w:shd w:val="clear" w:color="auto" w:fill="FFFFFF"/>
        </w:rPr>
        <w:t>法定代表人身份证明及法定代表人本人身份证复印件</w:t>
      </w:r>
      <w:r>
        <w:rPr>
          <w:rFonts w:hint="eastAsia" w:ascii="仿宋" w:hAnsi="仿宋" w:eastAsia="仿宋" w:cs="仿宋"/>
          <w:color w:val="333333"/>
          <w:kern w:val="0"/>
          <w:sz w:val="28"/>
          <w:szCs w:val="28"/>
          <w:highlight w:val="none"/>
          <w:shd w:val="clear" w:color="auto" w:fill="FFFFFF"/>
        </w:rPr>
        <w:t>（按照附件二格式填写</w:t>
      </w:r>
      <w:r>
        <w:rPr>
          <w:rFonts w:hint="eastAsia" w:ascii="仿宋" w:hAnsi="仿宋" w:eastAsia="仿宋" w:cs="仿宋"/>
          <w:color w:val="333333"/>
          <w:kern w:val="0"/>
          <w:sz w:val="28"/>
          <w:szCs w:val="28"/>
          <w:highlight w:val="none"/>
          <w:shd w:val="clear" w:color="auto" w:fill="FFFFFF"/>
          <w:lang w:eastAsia="zh-CN"/>
        </w:rPr>
        <w:t>，</w:t>
      </w:r>
      <w:r>
        <w:rPr>
          <w:rFonts w:hint="eastAsia" w:ascii="仿宋" w:hAnsi="仿宋" w:eastAsia="仿宋" w:cs="仿宋"/>
          <w:b/>
          <w:bCs/>
          <w:color w:val="333333"/>
          <w:kern w:val="0"/>
          <w:sz w:val="28"/>
          <w:szCs w:val="28"/>
          <w:highlight w:val="none"/>
          <w:shd w:val="clear" w:color="auto" w:fill="FFFFFF"/>
          <w:lang w:eastAsia="zh-CN"/>
        </w:rPr>
        <w:t>无论法定代表人是否参加均须提供</w:t>
      </w:r>
      <w:r>
        <w:rPr>
          <w:rFonts w:hint="eastAsia" w:ascii="仿宋" w:hAnsi="仿宋" w:eastAsia="仿宋" w:cs="仿宋"/>
          <w:color w:val="333333"/>
          <w:kern w:val="0"/>
          <w:sz w:val="28"/>
          <w:szCs w:val="28"/>
          <w:highlight w:val="none"/>
          <w:shd w:val="clear" w:color="auto" w:fill="FFFFFF"/>
        </w:rPr>
        <w:t>）；</w:t>
      </w:r>
    </w:p>
    <w:p w14:paraId="5BB39E32">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（3）</w:t>
      </w:r>
      <w:r>
        <w:rPr>
          <w:rFonts w:hint="eastAsia" w:ascii="仿宋" w:hAnsi="仿宋" w:eastAsia="仿宋" w:cs="仿宋"/>
          <w:color w:val="333333"/>
          <w:kern w:val="0"/>
          <w:sz w:val="28"/>
          <w:szCs w:val="28"/>
          <w:highlight w:val="none"/>
          <w:u w:val="single"/>
          <w:shd w:val="clear" w:color="auto" w:fill="FFFFFF"/>
        </w:rPr>
        <w:t>供应商非法定代表人参加询价的，必须提供法定代表人签字或盖章的授权委托书及被授权人的身份证的复印件</w:t>
      </w:r>
      <w:r>
        <w:rPr>
          <w:rFonts w:hint="eastAsia" w:ascii="仿宋" w:hAnsi="仿宋" w:eastAsia="仿宋" w:cs="仿宋"/>
          <w:color w:val="333333"/>
          <w:kern w:val="0"/>
          <w:sz w:val="28"/>
          <w:szCs w:val="28"/>
          <w:highlight w:val="none"/>
          <w:shd w:val="clear" w:color="auto" w:fill="FFFFFF"/>
        </w:rPr>
        <w:t>（按照附件三格式填写，</w:t>
      </w:r>
      <w:r>
        <w:rPr>
          <w:rFonts w:hint="eastAsia" w:ascii="仿宋" w:hAnsi="仿宋" w:eastAsia="仿宋" w:cs="仿宋"/>
          <w:b/>
          <w:bCs/>
          <w:kern w:val="0"/>
          <w:sz w:val="28"/>
          <w:szCs w:val="28"/>
          <w:highlight w:val="none"/>
          <w:shd w:val="clear" w:color="auto" w:fill="FFFFFF"/>
        </w:rPr>
        <w:t>非法定代表人参加投标时提交</w:t>
      </w:r>
      <w:r>
        <w:rPr>
          <w:rFonts w:hint="eastAsia" w:ascii="仿宋" w:hAnsi="仿宋" w:eastAsia="仿宋" w:cs="仿宋"/>
          <w:color w:val="333333"/>
          <w:kern w:val="0"/>
          <w:sz w:val="28"/>
          <w:szCs w:val="28"/>
          <w:highlight w:val="none"/>
          <w:shd w:val="clear" w:color="auto" w:fill="FFFFFF"/>
        </w:rPr>
        <w:t>）；</w:t>
      </w:r>
    </w:p>
    <w:p w14:paraId="30A9C6CA">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color w:val="333333"/>
          <w:kern w:val="0"/>
          <w:sz w:val="28"/>
          <w:szCs w:val="28"/>
          <w:highlight w:val="none"/>
          <w:shd w:val="clear" w:color="auto" w:fill="FFFFFF"/>
        </w:rPr>
      </w:pPr>
      <w:r>
        <w:rPr>
          <w:rFonts w:hint="eastAsia" w:ascii="仿宋" w:hAnsi="仿宋" w:eastAsia="仿宋" w:cs="仿宋"/>
          <w:color w:val="333333"/>
          <w:kern w:val="0"/>
          <w:sz w:val="28"/>
          <w:szCs w:val="28"/>
          <w:highlight w:val="none"/>
          <w:shd w:val="clear" w:color="auto" w:fill="FFFFFF"/>
        </w:rPr>
        <w:t>（4）</w:t>
      </w:r>
      <w:r>
        <w:rPr>
          <w:rFonts w:hint="eastAsia" w:ascii="仿宋" w:hAnsi="仿宋" w:eastAsia="仿宋" w:cs="仿宋"/>
          <w:color w:val="333333"/>
          <w:kern w:val="0"/>
          <w:sz w:val="28"/>
          <w:szCs w:val="28"/>
          <w:highlight w:val="none"/>
          <w:u w:val="single"/>
          <w:shd w:val="clear" w:color="auto" w:fill="FFFFFF"/>
        </w:rPr>
        <w:t>有效的营业执照复印件</w:t>
      </w:r>
      <w:r>
        <w:rPr>
          <w:rFonts w:hint="eastAsia" w:ascii="仿宋" w:hAnsi="仿宋" w:eastAsia="仿宋" w:cs="仿宋"/>
          <w:color w:val="333333"/>
          <w:kern w:val="0"/>
          <w:sz w:val="28"/>
          <w:szCs w:val="28"/>
          <w:highlight w:val="none"/>
          <w:shd w:val="clear" w:color="auto" w:fill="FFFFFF"/>
        </w:rPr>
        <w:t>（加盖报价单位公章）；</w:t>
      </w:r>
    </w:p>
    <w:p w14:paraId="4196D7E0">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color w:val="333333"/>
          <w:sz w:val="28"/>
          <w:szCs w:val="28"/>
          <w:highlight w:val="none"/>
          <w:shd w:val="clear" w:color="auto" w:fill="FFFFFF"/>
          <w:lang w:val="en-US" w:eastAsia="zh-CN"/>
        </w:rPr>
        <w:t>5</w:t>
      </w: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color w:val="333333"/>
          <w:sz w:val="28"/>
          <w:szCs w:val="28"/>
          <w:highlight w:val="none"/>
          <w:u w:val="single"/>
          <w:shd w:val="clear" w:color="auto" w:fill="FFFFFF"/>
        </w:rPr>
        <w:t>报价货物采购要求响应表</w:t>
      </w:r>
      <w:r>
        <w:rPr>
          <w:rFonts w:hint="eastAsia" w:ascii="仿宋" w:hAnsi="仿宋" w:eastAsia="仿宋" w:cs="仿宋"/>
          <w:color w:val="333333"/>
          <w:sz w:val="28"/>
          <w:szCs w:val="28"/>
          <w:highlight w:val="none"/>
          <w:shd w:val="clear" w:color="auto" w:fill="FFFFFF"/>
        </w:rPr>
        <w:t>（按照附件</w:t>
      </w:r>
      <w:r>
        <w:rPr>
          <w:rFonts w:hint="eastAsia" w:ascii="仿宋" w:hAnsi="仿宋" w:eastAsia="仿宋" w:cs="仿宋"/>
          <w:color w:val="333333"/>
          <w:sz w:val="28"/>
          <w:szCs w:val="28"/>
          <w:highlight w:val="none"/>
          <w:shd w:val="clear" w:color="auto" w:fill="FFFFFF"/>
          <w:lang w:eastAsia="zh-CN"/>
        </w:rPr>
        <w:t>四</w:t>
      </w:r>
      <w:r>
        <w:rPr>
          <w:rFonts w:hint="eastAsia" w:ascii="仿宋" w:hAnsi="仿宋" w:eastAsia="仿宋" w:cs="仿宋"/>
          <w:color w:val="333333"/>
          <w:sz w:val="28"/>
          <w:szCs w:val="28"/>
          <w:highlight w:val="none"/>
          <w:shd w:val="clear" w:color="auto" w:fill="FFFFFF"/>
        </w:rPr>
        <w:t>格式填写）；</w:t>
      </w:r>
    </w:p>
    <w:p w14:paraId="2D37CF41">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highlight w:val="none"/>
          <w:shd w:val="clear" w:color="auto" w:fill="FFFFFF"/>
        </w:rPr>
      </w:pPr>
      <w:r>
        <w:rPr>
          <w:rFonts w:hint="eastAsia" w:ascii="仿宋" w:hAnsi="仿宋" w:eastAsia="仿宋" w:cs="仿宋"/>
          <w:color w:val="333333"/>
          <w:sz w:val="28"/>
          <w:szCs w:val="28"/>
          <w:highlight w:val="none"/>
          <w:shd w:val="clear" w:color="auto" w:fill="FFFFFF"/>
        </w:rPr>
        <w:t>（6）</w:t>
      </w:r>
      <w:r>
        <w:rPr>
          <w:rFonts w:hint="eastAsia" w:ascii="仿宋" w:hAnsi="仿宋" w:eastAsia="仿宋" w:cs="仿宋"/>
          <w:color w:val="333333"/>
          <w:sz w:val="28"/>
          <w:szCs w:val="28"/>
          <w:highlight w:val="none"/>
          <w:u w:val="single"/>
          <w:shd w:val="clear" w:color="auto" w:fill="FFFFFF"/>
        </w:rPr>
        <w:t>质保承诺书</w:t>
      </w:r>
      <w:r>
        <w:rPr>
          <w:rFonts w:hint="eastAsia" w:ascii="仿宋" w:hAnsi="仿宋" w:eastAsia="仿宋" w:cs="仿宋"/>
          <w:color w:val="333333"/>
          <w:sz w:val="28"/>
          <w:szCs w:val="28"/>
          <w:highlight w:val="none"/>
          <w:shd w:val="clear" w:color="auto" w:fill="FFFFFF"/>
        </w:rPr>
        <w:t>（按照附件</w:t>
      </w:r>
      <w:r>
        <w:rPr>
          <w:rFonts w:hint="eastAsia" w:ascii="仿宋" w:hAnsi="仿宋" w:eastAsia="仿宋" w:cs="仿宋"/>
          <w:color w:val="333333"/>
          <w:sz w:val="28"/>
          <w:szCs w:val="28"/>
          <w:highlight w:val="none"/>
          <w:shd w:val="clear" w:color="auto" w:fill="FFFFFF"/>
          <w:lang w:eastAsia="zh-CN"/>
        </w:rPr>
        <w:t>五</w:t>
      </w:r>
      <w:r>
        <w:rPr>
          <w:rFonts w:hint="eastAsia" w:ascii="仿宋" w:hAnsi="仿宋" w:eastAsia="仿宋" w:cs="仿宋"/>
          <w:color w:val="333333"/>
          <w:sz w:val="28"/>
          <w:szCs w:val="28"/>
          <w:highlight w:val="none"/>
          <w:shd w:val="clear" w:color="auto" w:fill="FFFFFF"/>
        </w:rPr>
        <w:t>格式填写）；</w:t>
      </w:r>
    </w:p>
    <w:p w14:paraId="65456334">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color w:val="333333"/>
          <w:sz w:val="28"/>
          <w:szCs w:val="28"/>
          <w:highlight w:val="none"/>
          <w:shd w:val="clear" w:color="auto" w:fill="FFFFFF"/>
          <w:lang w:eastAsia="zh-CN"/>
        </w:rPr>
      </w:pP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color w:val="333333"/>
          <w:sz w:val="28"/>
          <w:szCs w:val="28"/>
          <w:highlight w:val="none"/>
          <w:shd w:val="clear" w:color="auto" w:fill="FFFFFF"/>
          <w:lang w:val="en-US" w:eastAsia="zh-CN"/>
        </w:rPr>
        <w:t>7</w:t>
      </w:r>
      <w:r>
        <w:rPr>
          <w:rFonts w:hint="eastAsia" w:ascii="仿宋" w:hAnsi="仿宋" w:eastAsia="仿宋" w:cs="仿宋"/>
          <w:color w:val="333333"/>
          <w:sz w:val="28"/>
          <w:szCs w:val="28"/>
          <w:highlight w:val="none"/>
          <w:shd w:val="clear" w:color="auto" w:fill="FFFFFF"/>
          <w:lang w:eastAsia="zh-CN"/>
        </w:rPr>
        <w:t>）</w:t>
      </w:r>
      <w:r>
        <w:rPr>
          <w:rFonts w:hint="eastAsia" w:ascii="仿宋" w:hAnsi="仿宋" w:eastAsia="仿宋" w:cs="仿宋"/>
          <w:b/>
          <w:bCs/>
          <w:color w:val="333333"/>
          <w:sz w:val="28"/>
          <w:szCs w:val="28"/>
          <w:highlight w:val="none"/>
          <w:u w:val="single"/>
          <w:shd w:val="clear" w:color="auto" w:fill="FFFFFF"/>
          <w:lang w:val="en-US" w:eastAsia="zh-CN"/>
        </w:rPr>
        <w:t>投标时须提供汽车衡计量器具及部件的生产许可证原件复印件和传感器检测报告原件复印件和秤体形式检验报告原件复印件</w:t>
      </w:r>
      <w:r>
        <w:rPr>
          <w:rFonts w:hint="eastAsia" w:ascii="仿宋" w:hAnsi="仿宋" w:eastAsia="仿宋" w:cs="仿宋"/>
          <w:color w:val="333333"/>
          <w:sz w:val="28"/>
          <w:szCs w:val="28"/>
          <w:highlight w:val="none"/>
          <w:shd w:val="clear" w:color="auto" w:fill="FFFFFF"/>
          <w:lang w:val="en-US" w:eastAsia="zh-CN"/>
        </w:rPr>
        <w:t>（未提供视为资格审查不通过）；</w:t>
      </w:r>
    </w:p>
    <w:p w14:paraId="1CAC942D">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ascii="仿宋" w:hAnsi="仿宋" w:eastAsia="仿宋" w:cs="仿宋"/>
          <w:color w:val="333333"/>
          <w:sz w:val="28"/>
          <w:szCs w:val="28"/>
          <w:highlight w:val="yellow"/>
          <w:shd w:val="clear" w:color="auto" w:fill="FFFFFF"/>
        </w:rPr>
      </w:pPr>
      <w:r>
        <w:rPr>
          <w:rFonts w:hint="eastAsia" w:ascii="仿宋" w:hAnsi="仿宋" w:eastAsia="仿宋" w:cs="仿宋"/>
          <w:color w:val="333333"/>
          <w:sz w:val="28"/>
          <w:szCs w:val="28"/>
          <w:highlight w:val="none"/>
          <w:shd w:val="clear" w:color="auto" w:fill="FFFFFF"/>
        </w:rPr>
        <w:t>（</w:t>
      </w:r>
      <w:r>
        <w:rPr>
          <w:rFonts w:hint="eastAsia" w:ascii="仿宋" w:hAnsi="仿宋" w:eastAsia="仿宋" w:cs="仿宋"/>
          <w:color w:val="333333"/>
          <w:sz w:val="28"/>
          <w:szCs w:val="28"/>
          <w:highlight w:val="none"/>
          <w:shd w:val="clear" w:color="auto" w:fill="FFFFFF"/>
          <w:lang w:val="en-US" w:eastAsia="zh-CN"/>
        </w:rPr>
        <w:t>8</w:t>
      </w:r>
      <w:r>
        <w:rPr>
          <w:rFonts w:hint="eastAsia" w:ascii="仿宋" w:hAnsi="仿宋" w:eastAsia="仿宋" w:cs="仿宋"/>
          <w:color w:val="333333"/>
          <w:sz w:val="28"/>
          <w:szCs w:val="28"/>
          <w:highlight w:val="none"/>
          <w:shd w:val="clear" w:color="auto" w:fill="FFFFFF"/>
        </w:rPr>
        <w:t>）</w:t>
      </w:r>
      <w:r>
        <w:rPr>
          <w:rFonts w:hint="eastAsia" w:ascii="仿宋" w:hAnsi="仿宋" w:eastAsia="仿宋" w:cs="仿宋"/>
          <w:color w:val="333333"/>
          <w:sz w:val="28"/>
          <w:szCs w:val="28"/>
          <w:highlight w:val="none"/>
          <w:u w:val="single"/>
          <w:shd w:val="clear" w:color="auto" w:fill="FFFFFF"/>
          <w:lang w:eastAsia="zh-CN"/>
        </w:rPr>
        <w:t>投标</w:t>
      </w:r>
      <w:r>
        <w:rPr>
          <w:rFonts w:hint="eastAsia" w:ascii="仿宋" w:hAnsi="仿宋" w:eastAsia="仿宋" w:cs="仿宋"/>
          <w:color w:val="333333"/>
          <w:sz w:val="28"/>
          <w:szCs w:val="28"/>
          <w:highlight w:val="none"/>
          <w:u w:val="single"/>
          <w:shd w:val="clear" w:color="auto" w:fill="FFFFFF"/>
        </w:rPr>
        <w:t>报价表</w:t>
      </w:r>
      <w:r>
        <w:rPr>
          <w:rFonts w:hint="eastAsia" w:ascii="仿宋" w:hAnsi="仿宋" w:eastAsia="仿宋" w:cs="仿宋"/>
          <w:color w:val="333333"/>
          <w:sz w:val="28"/>
          <w:szCs w:val="28"/>
          <w:highlight w:val="none"/>
          <w:shd w:val="clear" w:color="auto" w:fill="FFFFFF"/>
        </w:rPr>
        <w:t>：必须按提供的样表格式（附件</w:t>
      </w:r>
      <w:r>
        <w:rPr>
          <w:rFonts w:hint="eastAsia" w:ascii="仿宋" w:hAnsi="仿宋" w:eastAsia="仿宋" w:cs="仿宋"/>
          <w:color w:val="333333"/>
          <w:sz w:val="28"/>
          <w:szCs w:val="28"/>
          <w:highlight w:val="none"/>
          <w:shd w:val="clear" w:color="auto" w:fill="FFFFFF"/>
          <w:lang w:eastAsia="zh-CN"/>
        </w:rPr>
        <w:t>六</w:t>
      </w:r>
      <w:r>
        <w:rPr>
          <w:rFonts w:hint="eastAsia" w:ascii="仿宋" w:hAnsi="仿宋" w:eastAsia="仿宋" w:cs="仿宋"/>
          <w:color w:val="333333"/>
          <w:sz w:val="28"/>
          <w:szCs w:val="28"/>
          <w:highlight w:val="none"/>
          <w:shd w:val="clear" w:color="auto" w:fill="FFFFFF"/>
        </w:rPr>
        <w:t>）填写报价，所有涉及报价的页面均必须加盖单位公章，否则视为无效报价文件；</w:t>
      </w:r>
    </w:p>
    <w:p w14:paraId="60ADED51">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sz w:val="28"/>
          <w:szCs w:val="28"/>
        </w:rPr>
      </w:pPr>
      <w:r>
        <w:rPr>
          <w:rFonts w:hint="eastAsia" w:ascii="Calibri" w:hAnsi="Calibri" w:eastAsia="宋体" w:cs="仿宋_GB2312"/>
          <w:b/>
          <w:bCs/>
          <w:sz w:val="28"/>
          <w:szCs w:val="28"/>
        </w:rPr>
        <w:t>注意：</w:t>
      </w:r>
      <w:r>
        <w:rPr>
          <w:rFonts w:hint="eastAsia" w:ascii="Calibri" w:hAnsi="Calibri" w:eastAsia="宋体" w:cs="仿宋_GB2312"/>
          <w:b/>
          <w:sz w:val="28"/>
          <w:szCs w:val="28"/>
        </w:rPr>
        <w:t>上述复印件均需加盖单位公章，</w:t>
      </w:r>
      <w:r>
        <w:rPr>
          <w:rFonts w:hint="eastAsia" w:ascii="Calibri" w:hAnsi="Calibri" w:eastAsia="宋体" w:cs="仿宋_GB2312"/>
          <w:b/>
          <w:bCs/>
          <w:sz w:val="28"/>
          <w:szCs w:val="28"/>
        </w:rPr>
        <w:t>否则将被视作资格审查不通过。</w:t>
      </w:r>
    </w:p>
    <w:p w14:paraId="4168765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报价文件纸质文本</w:t>
      </w:r>
      <w:r>
        <w:rPr>
          <w:rFonts w:hint="eastAsia" w:ascii="仿宋_GB2312" w:hAnsi="仿宋_GB2312" w:eastAsia="仿宋_GB2312" w:cs="仿宋_GB2312"/>
          <w:b/>
          <w:bCs/>
          <w:kern w:val="0"/>
          <w:sz w:val="28"/>
          <w:szCs w:val="28"/>
        </w:rPr>
        <w:t>一正二副</w:t>
      </w:r>
      <w:r>
        <w:rPr>
          <w:rFonts w:hint="eastAsia" w:ascii="仿宋_GB2312" w:hAnsi="仿宋_GB2312" w:eastAsia="仿宋_GB2312" w:cs="仿宋_GB2312"/>
          <w:kern w:val="0"/>
          <w:sz w:val="28"/>
          <w:szCs w:val="28"/>
        </w:rPr>
        <w:t>，报价文件中必须包含上述要求提供的所有材料，否则视为无效报价文件。报价文件装订成册并密封，密封袋上标明：项目名称、报价单位名称，否则视为无效投标文件。</w:t>
      </w:r>
    </w:p>
    <w:p w14:paraId="23DD8415">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w:t>
      </w:r>
      <w:r>
        <w:rPr>
          <w:rFonts w:hint="eastAsia" w:ascii="仿宋_GB2312" w:hAnsi="仿宋_GB2312" w:eastAsia="仿宋_GB2312" w:cs="仿宋_GB2312"/>
          <w:b/>
          <w:color w:val="333333"/>
          <w:kern w:val="0"/>
          <w:sz w:val="28"/>
          <w:szCs w:val="28"/>
        </w:rPr>
        <w:t>开标时间</w:t>
      </w:r>
    </w:p>
    <w:p w14:paraId="487D87A1">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b/>
          <w:bCs/>
          <w:spacing w:val="6"/>
          <w:sz w:val="24"/>
        </w:rPr>
      </w:pPr>
      <w:r>
        <w:rPr>
          <w:rFonts w:hint="eastAsia" w:ascii="宋体" w:hAnsi="宋体" w:eastAsia="宋体" w:cs="Times New Roman"/>
          <w:b/>
          <w:bCs/>
          <w:spacing w:val="6"/>
          <w:sz w:val="24"/>
        </w:rPr>
        <w:t>开标时间：202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26</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15:00</w:t>
      </w:r>
      <w:r>
        <w:rPr>
          <w:rFonts w:hint="eastAsia" w:ascii="宋体" w:hAnsi="宋体" w:eastAsia="宋体" w:cs="Times New Roman"/>
          <w:b/>
          <w:bCs/>
          <w:spacing w:val="6"/>
          <w:sz w:val="24"/>
        </w:rPr>
        <w:t>。</w:t>
      </w:r>
    </w:p>
    <w:p w14:paraId="13CB3BE6">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b/>
          <w:bCs/>
          <w:spacing w:val="6"/>
          <w:sz w:val="24"/>
        </w:rPr>
      </w:pPr>
      <w:r>
        <w:rPr>
          <w:rFonts w:hint="eastAsia" w:ascii="宋体" w:hAnsi="宋体" w:eastAsia="宋体" w:cs="Times New Roman"/>
          <w:b/>
          <w:bCs/>
          <w:spacing w:val="6"/>
          <w:sz w:val="24"/>
        </w:rPr>
        <w:t>开标地点：</w:t>
      </w:r>
      <w:r>
        <w:rPr>
          <w:rFonts w:hint="eastAsia" w:ascii="宋体" w:hAnsi="宋体" w:eastAsia="宋体" w:cs="Times New Roman"/>
          <w:b/>
          <w:bCs/>
          <w:spacing w:val="6"/>
          <w:sz w:val="24"/>
          <w:lang w:eastAsia="zh-CN"/>
        </w:rPr>
        <w:t>启东市汇龙镇万豪花园</w:t>
      </w:r>
      <w:r>
        <w:rPr>
          <w:rFonts w:hint="eastAsia" w:ascii="宋体" w:hAnsi="宋体" w:eastAsia="宋体" w:cs="Times New Roman"/>
          <w:b/>
          <w:bCs/>
          <w:spacing w:val="6"/>
          <w:sz w:val="24"/>
          <w:lang w:val="en-US" w:eastAsia="zh-CN"/>
        </w:rPr>
        <w:t>29幢别墅一</w:t>
      </w:r>
      <w:r>
        <w:rPr>
          <w:rFonts w:hint="eastAsia" w:ascii="宋体" w:hAnsi="宋体" w:eastAsia="宋体" w:cs="Times New Roman"/>
          <w:b/>
          <w:bCs/>
          <w:spacing w:val="6"/>
          <w:sz w:val="24"/>
        </w:rPr>
        <w:t>楼会议室</w:t>
      </w:r>
    </w:p>
    <w:p w14:paraId="7DFF1C81">
      <w:pPr>
        <w:keepNext w:val="0"/>
        <w:keepLines w:val="0"/>
        <w:pageBreakBefore w:val="0"/>
        <w:kinsoku/>
        <w:wordWrap/>
        <w:overflowPunct/>
        <w:topLinePunct w:val="0"/>
        <w:autoSpaceDE/>
        <w:autoSpaceDN/>
        <w:bidi w:val="0"/>
        <w:adjustRightInd/>
        <w:spacing w:line="480" w:lineRule="exact"/>
        <w:ind w:firstLine="600"/>
        <w:textAlignment w:val="auto"/>
        <w:rPr>
          <w:rFonts w:hint="eastAsia" w:ascii="宋体" w:hAnsi="宋体" w:eastAsia="宋体" w:cs="Times New Roman"/>
          <w:b/>
          <w:bCs/>
          <w:spacing w:val="6"/>
          <w:sz w:val="24"/>
        </w:rPr>
      </w:pPr>
      <w:r>
        <w:rPr>
          <w:rFonts w:hint="eastAsia" w:ascii="宋体" w:hAnsi="宋体" w:eastAsia="宋体" w:cs="Times New Roman"/>
          <w:b/>
          <w:bCs/>
          <w:spacing w:val="6"/>
          <w:sz w:val="24"/>
        </w:rPr>
        <w:t>本项目为不见面开标，供应商无需现场提交投标文件，各潜在供应商在投标截止时间之前自行将报价文件密封后邮寄至江苏省启东市汇龙镇万豪花园29幢别墅，收件人：袁甜甜；联系电话：18505139964。</w:t>
      </w:r>
    </w:p>
    <w:p w14:paraId="0E444FD5">
      <w:pPr>
        <w:keepNext w:val="0"/>
        <w:keepLines w:val="0"/>
        <w:pageBreakBefore w:val="0"/>
        <w:kinsoku/>
        <w:wordWrap/>
        <w:overflowPunct/>
        <w:topLinePunct w:val="0"/>
        <w:autoSpaceDE/>
        <w:autoSpaceDN/>
        <w:bidi w:val="0"/>
        <w:adjustRightInd/>
        <w:spacing w:line="480" w:lineRule="exact"/>
        <w:ind w:firstLine="600"/>
        <w:textAlignment w:val="auto"/>
        <w:rPr>
          <w:rFonts w:ascii="宋体" w:hAnsi="宋体" w:eastAsia="宋体" w:cs="Times New Roman"/>
          <w:spacing w:val="6"/>
          <w:sz w:val="24"/>
        </w:rPr>
      </w:pPr>
      <w:r>
        <w:rPr>
          <w:rFonts w:hint="eastAsia" w:ascii="宋体" w:hAnsi="宋体" w:eastAsia="宋体" w:cs="Times New Roman"/>
          <w:b/>
          <w:bCs/>
          <w:spacing w:val="6"/>
          <w:sz w:val="24"/>
        </w:rPr>
        <w:t>投标文件接收截止时间：202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26</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15</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0</w:t>
      </w:r>
      <w:r>
        <w:rPr>
          <w:rFonts w:hint="eastAsia" w:ascii="宋体" w:hAnsi="宋体" w:eastAsia="宋体" w:cs="Times New Roman"/>
          <w:b/>
          <w:bCs/>
          <w:spacing w:val="6"/>
          <w:sz w:val="24"/>
        </w:rPr>
        <w:t>0分；以邮件到达指定接收地址签收为准（只接受顺丰，不接受到付），各投标人应当充分预判因各种因素导致邮件到达滞后情况，提前做好相关准备。迟到的投标文件将被拒绝。</w:t>
      </w:r>
    </w:p>
    <w:p w14:paraId="3F3FAA18">
      <w:pPr>
        <w:shd w:val="clear" w:color="auto" w:fill="FFFFFF"/>
        <w:spacing w:line="440" w:lineRule="exact"/>
        <w:ind w:firstLine="506" w:firstLineChars="200"/>
        <w:rPr>
          <w:rFonts w:hint="eastAsia" w:ascii="宋体" w:hAnsi="宋体" w:eastAsia="宋体" w:cs="Times New Roman"/>
          <w:b/>
          <w:bCs/>
          <w:spacing w:val="6"/>
          <w:sz w:val="24"/>
        </w:rPr>
      </w:pPr>
      <w:r>
        <w:rPr>
          <w:rFonts w:hint="eastAsia" w:ascii="宋体" w:hAnsi="宋体" w:eastAsia="宋体" w:cs="Times New Roman"/>
          <w:b/>
          <w:bCs/>
          <w:spacing w:val="6"/>
          <w:sz w:val="24"/>
        </w:rPr>
        <w:t>本项目不需要投标人到开标现场参加开标。各投标人的授权委托人或法定代表人在202</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年</w:t>
      </w:r>
      <w:r>
        <w:rPr>
          <w:rFonts w:hint="eastAsia" w:ascii="宋体" w:hAnsi="宋体" w:eastAsia="宋体" w:cs="Times New Roman"/>
          <w:b/>
          <w:bCs/>
          <w:spacing w:val="6"/>
          <w:sz w:val="24"/>
          <w:lang w:val="en-US" w:eastAsia="zh-CN"/>
        </w:rPr>
        <w:t>5</w:t>
      </w:r>
      <w:r>
        <w:rPr>
          <w:rFonts w:hint="eastAsia" w:ascii="宋体" w:hAnsi="宋体" w:eastAsia="宋体" w:cs="Times New Roman"/>
          <w:b/>
          <w:bCs/>
          <w:spacing w:val="6"/>
          <w:sz w:val="24"/>
        </w:rPr>
        <w:t>月</w:t>
      </w:r>
      <w:r>
        <w:rPr>
          <w:rFonts w:hint="eastAsia" w:ascii="宋体" w:hAnsi="宋体" w:eastAsia="宋体" w:cs="Times New Roman"/>
          <w:b/>
          <w:bCs/>
          <w:spacing w:val="6"/>
          <w:sz w:val="24"/>
          <w:lang w:val="en-US" w:eastAsia="zh-CN"/>
        </w:rPr>
        <w:t>26</w:t>
      </w:r>
      <w:r>
        <w:rPr>
          <w:rFonts w:hint="eastAsia" w:ascii="宋体" w:hAnsi="宋体" w:eastAsia="宋体" w:cs="Times New Roman"/>
          <w:b/>
          <w:bCs/>
          <w:spacing w:val="6"/>
          <w:sz w:val="24"/>
        </w:rPr>
        <w:t>日</w:t>
      </w:r>
      <w:r>
        <w:rPr>
          <w:rFonts w:hint="eastAsia" w:ascii="宋体" w:hAnsi="宋体" w:eastAsia="宋体" w:cs="Times New Roman"/>
          <w:b/>
          <w:bCs/>
          <w:spacing w:val="6"/>
          <w:sz w:val="24"/>
          <w:lang w:val="en-US" w:eastAsia="zh-CN"/>
        </w:rPr>
        <w:t>14</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3</w:t>
      </w:r>
      <w:r>
        <w:rPr>
          <w:rFonts w:hint="eastAsia" w:ascii="宋体" w:hAnsi="宋体" w:eastAsia="宋体" w:cs="Times New Roman"/>
          <w:b/>
          <w:bCs/>
          <w:spacing w:val="6"/>
          <w:sz w:val="24"/>
        </w:rPr>
        <w:t>0分至</w:t>
      </w:r>
      <w:r>
        <w:rPr>
          <w:rFonts w:hint="eastAsia" w:ascii="宋体" w:hAnsi="宋体" w:eastAsia="宋体" w:cs="Times New Roman"/>
          <w:b/>
          <w:bCs/>
          <w:spacing w:val="6"/>
          <w:sz w:val="24"/>
          <w:lang w:val="en-US" w:eastAsia="zh-CN"/>
        </w:rPr>
        <w:t>15</w:t>
      </w:r>
      <w:r>
        <w:rPr>
          <w:rFonts w:hint="eastAsia" w:ascii="宋体" w:hAnsi="宋体" w:eastAsia="宋体" w:cs="Times New Roman"/>
          <w:b/>
          <w:bCs/>
          <w:spacing w:val="6"/>
          <w:sz w:val="24"/>
        </w:rPr>
        <w:t>时</w:t>
      </w:r>
      <w:r>
        <w:rPr>
          <w:rFonts w:hint="eastAsia" w:ascii="宋体" w:hAnsi="宋体" w:eastAsia="宋体" w:cs="Times New Roman"/>
          <w:b/>
          <w:bCs/>
          <w:spacing w:val="6"/>
          <w:sz w:val="24"/>
          <w:lang w:val="en-US" w:eastAsia="zh-CN"/>
        </w:rPr>
        <w:t>0</w:t>
      </w:r>
      <w:r>
        <w:rPr>
          <w:rFonts w:hint="eastAsia" w:ascii="宋体" w:hAnsi="宋体" w:eastAsia="宋体" w:cs="Times New Roman"/>
          <w:b/>
          <w:bCs/>
          <w:spacing w:val="6"/>
          <w:sz w:val="24"/>
        </w:rPr>
        <w:t>0分以“单位名称+授权委托人/法定代表人姓名”的格式申请加</w:t>
      </w:r>
      <w:r>
        <w:rPr>
          <w:rFonts w:hint="eastAsia" w:ascii="宋体" w:hAnsi="宋体" w:eastAsia="宋体" w:cs="Times New Roman"/>
          <w:b/>
          <w:bCs/>
          <w:spacing w:val="6"/>
          <w:sz w:val="24"/>
          <w:lang w:eastAsia="zh-CN"/>
        </w:rPr>
        <w:t>入</w:t>
      </w:r>
      <w:r>
        <w:rPr>
          <w:rFonts w:hint="eastAsia" w:ascii="宋体" w:hAnsi="宋体" w:eastAsia="宋体" w:cs="Times New Roman"/>
          <w:b/>
          <w:bCs/>
          <w:spacing w:val="6"/>
          <w:sz w:val="24"/>
        </w:rPr>
        <w:t>QQ</w:t>
      </w:r>
      <w:r>
        <w:rPr>
          <w:rFonts w:hint="eastAsia" w:ascii="宋体" w:hAnsi="宋体" w:eastAsia="宋体" w:cs="Times New Roman"/>
          <w:b/>
          <w:bCs/>
          <w:spacing w:val="6"/>
          <w:sz w:val="24"/>
          <w:lang w:eastAsia="zh-CN"/>
        </w:rPr>
        <w:t>群聊</w:t>
      </w:r>
      <w:r>
        <w:rPr>
          <w:rFonts w:hint="eastAsia" w:ascii="宋体" w:hAnsi="宋体" w:eastAsia="宋体" w:cs="Times New Roman"/>
          <w:b/>
          <w:bCs/>
          <w:spacing w:val="6"/>
          <w:sz w:val="24"/>
        </w:rPr>
        <w:t>（群号：</w:t>
      </w:r>
      <w:r>
        <w:rPr>
          <w:rFonts w:hint="eastAsia" w:ascii="宋体" w:hAnsi="宋体" w:eastAsia="宋体" w:cs="Times New Roman"/>
          <w:b/>
          <w:bCs/>
          <w:spacing w:val="6"/>
          <w:sz w:val="24"/>
          <w:lang w:val="en-US" w:eastAsia="zh-CN"/>
        </w:rPr>
        <w:t>760372534</w:t>
      </w:r>
      <w:r>
        <w:rPr>
          <w:rFonts w:hint="eastAsia" w:ascii="宋体" w:hAnsi="宋体" w:eastAsia="宋体" w:cs="Times New Roman"/>
          <w:b/>
          <w:bCs/>
          <w:spacing w:val="6"/>
          <w:sz w:val="24"/>
        </w:rPr>
        <w:t>），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01B5FDE6">
      <w:pPr>
        <w:shd w:val="clear" w:color="auto" w:fill="FFFFFF"/>
        <w:spacing w:line="440" w:lineRule="exact"/>
        <w:ind w:firstLine="506" w:firstLineChars="200"/>
        <w:rPr>
          <w:rFonts w:ascii="仿宋" w:hAnsi="仿宋" w:eastAsia="仿宋" w:cs="宋体"/>
          <w:color w:val="333333"/>
          <w:kern w:val="0"/>
          <w:sz w:val="28"/>
          <w:szCs w:val="28"/>
        </w:rPr>
      </w:pPr>
      <w:r>
        <w:rPr>
          <w:rFonts w:hint="eastAsia" w:ascii="宋体" w:hAnsi="宋体" w:eastAsia="宋体" w:cs="Times New Roman"/>
          <w:b/>
          <w:bCs/>
          <w:spacing w:val="6"/>
          <w:sz w:val="24"/>
        </w:rPr>
        <w:t>友情提醒：</w:t>
      </w:r>
      <w:r>
        <w:rPr>
          <w:rFonts w:hint="eastAsia" w:ascii="宋体" w:hAnsi="宋体" w:eastAsia="宋体" w:cs="Times New Roman"/>
          <w:b/>
          <w:bCs/>
          <w:spacing w:val="6"/>
          <w:sz w:val="24"/>
          <w:lang w:eastAsia="zh-CN"/>
        </w:rPr>
        <w:t>法定节假日和周末无人接收快递！</w:t>
      </w:r>
      <w:r>
        <w:rPr>
          <w:rFonts w:hint="eastAsia" w:ascii="宋体" w:hAnsi="宋体" w:eastAsia="宋体" w:cs="Times New Roman"/>
          <w:b/>
          <w:bCs/>
          <w:spacing w:val="6"/>
          <w:sz w:val="24"/>
        </w:rPr>
        <w:t>拒绝接收未按照谈判文件要求密封的投标文件，拒绝接收在投标文件接收截止时间后寄达（以送达签收时间为准）的投标文件，上述情况各潜在投标人充分考虑相关因素，不得就此提出任何异议。</w:t>
      </w:r>
    </w:p>
    <w:p w14:paraId="2D25EC4D">
      <w:pPr>
        <w:keepNext w:val="0"/>
        <w:keepLines w:val="0"/>
        <w:pageBreakBefore w:val="0"/>
        <w:widowControl/>
        <w:kinsoku/>
        <w:wordWrap/>
        <w:overflowPunct/>
        <w:topLinePunct w:val="0"/>
        <w:autoSpaceDE/>
        <w:autoSpaceDN/>
        <w:bidi w:val="0"/>
        <w:adjustRightInd/>
        <w:spacing w:line="480" w:lineRule="exact"/>
        <w:ind w:firstLine="496" w:firstLineChars="196"/>
        <w:textAlignment w:val="auto"/>
        <w:rPr>
          <w:rFonts w:ascii="宋体" w:hAnsi="宋体" w:eastAsia="宋体" w:cs="Times New Roman"/>
          <w:b/>
          <w:bCs/>
          <w:spacing w:val="6"/>
          <w:sz w:val="24"/>
        </w:rPr>
      </w:pPr>
      <w:r>
        <w:rPr>
          <w:rFonts w:hint="eastAsia" w:ascii="宋体" w:hAnsi="宋体" w:eastAsia="宋体" w:cs="Times New Roman"/>
          <w:b/>
          <w:bCs/>
          <w:spacing w:val="6"/>
          <w:sz w:val="24"/>
        </w:rPr>
        <w:t>本项目询价公告资料费100元，</w:t>
      </w:r>
      <w:r>
        <w:rPr>
          <w:rFonts w:hint="eastAsia" w:ascii="宋体" w:hAnsi="宋体" w:eastAsia="宋体" w:cs="Times New Roman"/>
          <w:b/>
          <w:bCs/>
          <w:spacing w:val="6"/>
          <w:sz w:val="24"/>
          <w:lang w:eastAsia="zh-CN"/>
        </w:rPr>
        <w:t>递交前联系</w:t>
      </w:r>
      <w:r>
        <w:rPr>
          <w:rFonts w:hint="eastAsia" w:ascii="宋体" w:hAnsi="宋体" w:eastAsia="宋体" w:cs="Times New Roman"/>
          <w:b/>
          <w:bCs/>
          <w:spacing w:val="6"/>
          <w:sz w:val="24"/>
          <w:lang w:val="en-US" w:eastAsia="zh-CN"/>
        </w:rPr>
        <w:t>18505139964</w:t>
      </w:r>
      <w:r>
        <w:rPr>
          <w:rFonts w:hint="eastAsia" w:ascii="宋体" w:hAnsi="宋体" w:eastAsia="宋体" w:cs="Times New Roman"/>
          <w:b/>
          <w:bCs/>
          <w:spacing w:val="6"/>
          <w:sz w:val="24"/>
        </w:rPr>
        <w:t>，无论是否中标，均不退还。</w:t>
      </w:r>
    </w:p>
    <w:p w14:paraId="0D40C6FF">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ascii="仿宋_GB2312" w:hAnsi="仿宋_GB2312" w:eastAsia="仿宋_GB2312" w:cs="仿宋_GB2312"/>
          <w:sz w:val="28"/>
          <w:szCs w:val="28"/>
        </w:rPr>
      </w:pPr>
      <w:r>
        <w:rPr>
          <w:rFonts w:hint="eastAsia" w:ascii="黑体" w:hAnsi="宋体" w:eastAsia="黑体" w:cs="黑体"/>
          <w:b/>
          <w:color w:val="333333"/>
          <w:kern w:val="0"/>
          <w:sz w:val="28"/>
          <w:szCs w:val="28"/>
        </w:rPr>
        <w:t>四、商务部分要求</w:t>
      </w:r>
    </w:p>
    <w:p w14:paraId="1E0C767D">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1.质量要求：</w:t>
      </w:r>
      <w:r>
        <w:rPr>
          <w:rFonts w:hint="eastAsia" w:ascii="仿宋_GB2312" w:hAnsi="仿宋_GB2312" w:eastAsia="仿宋_GB2312" w:cs="仿宋_GB2312"/>
          <w:bCs/>
          <w:sz w:val="28"/>
          <w:szCs w:val="28"/>
          <w:highlight w:val="none"/>
          <w:lang w:val="zh-CN" w:eastAsia="zh-CN"/>
        </w:rPr>
        <w:t>产品必须是全新、未使用过的符合采购需求、符合国家质量检测标准的原装合格正品，并在供货时提供相关证明材料、随机资料等，如未提供则视为验收不合格，取消其成交资格，履约保证金不予退还。</w:t>
      </w:r>
    </w:p>
    <w:p w14:paraId="431EDD6D">
      <w:pPr>
        <w:keepNext w:val="0"/>
        <w:keepLines w:val="0"/>
        <w:pageBreakBefore w:val="0"/>
        <w:widowControl/>
        <w:kinsoku/>
        <w:wordWrap/>
        <w:overflowPunct/>
        <w:topLinePunct w:val="0"/>
        <w:autoSpaceDE/>
        <w:autoSpaceDN/>
        <w:bidi w:val="0"/>
        <w:adjustRightInd/>
        <w:spacing w:line="480" w:lineRule="exact"/>
        <w:ind w:firstLine="560" w:firstLineChars="200"/>
        <w:jc w:val="left"/>
        <w:textAlignment w:val="auto"/>
        <w:rPr>
          <w:rFonts w:ascii="宋体" w:hAnsi="宋体" w:eastAsia="宋体" w:cs="宋体"/>
          <w:bCs/>
          <w:kern w:val="0"/>
          <w:sz w:val="18"/>
          <w:szCs w:val="18"/>
          <w:highlight w:val="none"/>
        </w:rPr>
      </w:pPr>
      <w:r>
        <w:rPr>
          <w:rFonts w:hint="eastAsia" w:ascii="仿宋" w:hAnsi="仿宋" w:eastAsia="仿宋" w:cs="仿宋"/>
          <w:bCs/>
          <w:sz w:val="28"/>
          <w:szCs w:val="28"/>
          <w:highlight w:val="none"/>
          <w:shd w:val="clear" w:color="auto" w:fill="FFFFFF"/>
        </w:rPr>
        <w:t>2.交货时间：自合同签订之日起1</w:t>
      </w:r>
      <w:r>
        <w:rPr>
          <w:rFonts w:hint="eastAsia" w:ascii="仿宋" w:hAnsi="仿宋" w:eastAsia="仿宋" w:cs="仿宋"/>
          <w:bCs/>
          <w:sz w:val="28"/>
          <w:szCs w:val="28"/>
          <w:highlight w:val="none"/>
          <w:shd w:val="clear" w:color="auto" w:fill="FFFFFF"/>
          <w:lang w:val="en-US" w:eastAsia="zh-CN"/>
        </w:rPr>
        <w:t>5</w:t>
      </w:r>
      <w:r>
        <w:rPr>
          <w:rFonts w:hint="eastAsia" w:ascii="仿宋" w:hAnsi="仿宋" w:eastAsia="仿宋" w:cs="仿宋"/>
          <w:bCs/>
          <w:sz w:val="28"/>
          <w:szCs w:val="28"/>
          <w:highlight w:val="none"/>
          <w:shd w:val="clear" w:color="auto" w:fill="FFFFFF"/>
        </w:rPr>
        <w:t>个日历天内供货并安装完成且验收合格</w:t>
      </w:r>
      <w:r>
        <w:rPr>
          <w:rFonts w:hint="eastAsia" w:ascii="仿宋_GB2312" w:hAnsi="仿宋_GB2312" w:eastAsia="仿宋_GB2312" w:cs="仿宋_GB2312"/>
          <w:bCs/>
          <w:kern w:val="0"/>
          <w:sz w:val="28"/>
          <w:szCs w:val="28"/>
          <w:highlight w:val="none"/>
        </w:rPr>
        <w:t>。</w:t>
      </w:r>
    </w:p>
    <w:p w14:paraId="7BF7EC95">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eastAsia="仿宋"/>
          <w:bCs/>
          <w:sz w:val="21"/>
          <w:szCs w:val="21"/>
          <w:highlight w:val="none"/>
        </w:rPr>
      </w:pPr>
      <w:r>
        <w:rPr>
          <w:rFonts w:hint="eastAsia" w:ascii="仿宋" w:hAnsi="仿宋" w:eastAsia="仿宋" w:cs="仿宋"/>
          <w:bCs/>
          <w:sz w:val="28"/>
          <w:szCs w:val="28"/>
          <w:highlight w:val="none"/>
          <w:shd w:val="clear" w:color="auto" w:fill="FFFFFF"/>
        </w:rPr>
        <w:t>3.交货、安装地点：在采购人指定的位置交货、安装牢固，确保正常使用。</w:t>
      </w:r>
    </w:p>
    <w:p w14:paraId="24AD0699">
      <w:pPr>
        <w:pStyle w:val="14"/>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eastAsia" w:ascii="仿宋" w:hAnsi="仿宋" w:eastAsia="仿宋" w:cs="仿宋"/>
          <w:b/>
          <w:color w:val="333333"/>
          <w:sz w:val="28"/>
          <w:szCs w:val="28"/>
          <w:highlight w:val="none"/>
          <w:shd w:val="clear" w:color="auto" w:fill="FFFFFF"/>
          <w:lang w:val="en-US" w:eastAsia="zh-CN"/>
        </w:rPr>
      </w:pPr>
      <w:r>
        <w:rPr>
          <w:rFonts w:hint="eastAsia" w:ascii="仿宋" w:hAnsi="仿宋" w:eastAsia="仿宋" w:cs="仿宋"/>
          <w:b/>
          <w:color w:val="333333"/>
          <w:sz w:val="28"/>
          <w:szCs w:val="28"/>
          <w:highlight w:val="none"/>
          <w:shd w:val="clear" w:color="auto" w:fill="FFFFFF"/>
          <w:lang w:val="en-US" w:eastAsia="zh-CN"/>
        </w:rPr>
        <w:t>4.质保期</w:t>
      </w:r>
    </w:p>
    <w:p w14:paraId="01E77F0E">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4.1整机的质量保证期为3年。质量保证期自验收合格之日起计算。</w:t>
      </w:r>
    </w:p>
    <w:p w14:paraId="3C6BB19B">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4.2成交供应商保证所提供的汽车衡在设计、材料选用和工艺上没有缺陷。如因上述缺陷导致发生故障，由成交供应商安排修理或更换有缺陷的部件或整机。采购人可自行安排这种必要的修理或更换工作，费用由成交供应商承担。</w:t>
      </w:r>
    </w:p>
    <w:p w14:paraId="57ECB62A">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4.3保证内容不包括对由于火灾、偷窃、意外、故意破坏和买方人员的疏忽产生的损坏进行修理所需的零件和劳力。</w:t>
      </w:r>
    </w:p>
    <w:p w14:paraId="5324A7AA">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4.4成交供应商应对使用的所有材料和附件负责，不管是衡器制造厂生产的还是外购件。</w:t>
      </w:r>
    </w:p>
    <w:p w14:paraId="1D0CE2B1">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Cs/>
          <w:sz w:val="28"/>
          <w:szCs w:val="28"/>
          <w:highlight w:val="none"/>
          <w:shd w:val="clear" w:color="auto" w:fill="FFFFFF"/>
          <w:lang w:val="en-US" w:eastAsia="zh-CN"/>
        </w:rPr>
      </w:pPr>
      <w:r>
        <w:rPr>
          <w:rFonts w:hint="eastAsia" w:ascii="仿宋" w:hAnsi="仿宋" w:eastAsia="仿宋" w:cs="仿宋"/>
          <w:bCs/>
          <w:sz w:val="28"/>
          <w:szCs w:val="28"/>
          <w:highlight w:val="none"/>
          <w:shd w:val="clear" w:color="auto" w:fill="FFFFFF"/>
          <w:lang w:val="en-US" w:eastAsia="zh-CN"/>
        </w:rPr>
        <w:t>4.5在质保期间，汽车衡因设计、材料或工艺的缺陷需要进行必要的修理和/或修改，在该修理和/或修改期间，质量保证期应中断计算，待修理和/或修改完毕交付采购人使用后，质量保证期予以恢复计算。</w:t>
      </w:r>
    </w:p>
    <w:p w14:paraId="050B810A">
      <w:pPr>
        <w:pStyle w:val="14"/>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default" w:ascii="仿宋" w:hAnsi="仿宋" w:eastAsia="仿宋" w:cs="仿宋"/>
          <w:b/>
          <w:color w:val="333333"/>
          <w:sz w:val="28"/>
          <w:szCs w:val="28"/>
          <w:highlight w:val="none"/>
          <w:shd w:val="clear" w:color="auto" w:fill="FFFFFF"/>
          <w:lang w:val="en-US" w:eastAsia="zh-CN"/>
        </w:rPr>
      </w:pPr>
      <w:r>
        <w:rPr>
          <w:rFonts w:hint="eastAsia" w:ascii="仿宋" w:hAnsi="仿宋" w:eastAsia="仿宋" w:cs="仿宋"/>
          <w:b/>
          <w:color w:val="333333"/>
          <w:sz w:val="28"/>
          <w:szCs w:val="28"/>
          <w:highlight w:val="none"/>
          <w:shd w:val="clear" w:color="auto" w:fill="FFFFFF"/>
          <w:lang w:val="en-US" w:eastAsia="zh-CN"/>
        </w:rPr>
        <w:t>5.售后服务</w:t>
      </w:r>
    </w:p>
    <w:p w14:paraId="76A5065E">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5.1成交供应商应在江苏省内设有售后服务机构，有固定的维修人员和零部件仓库。一旦设备出现故障，应在接到采购人通知后的1小时内到达采购人所在地进行处理，并在2小时内处理完毕(因配件原因除外)。</w:t>
      </w:r>
    </w:p>
    <w:p w14:paraId="7E109F9E">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5.2在质保期内，当成交供应商所供合同货物因设计制造缺陷而发生设备故障时，成交供应商接采购人通知后，应在1小时内赶到现场,免费予以排除故障、修复或更换零部件,并赔偿采购人因此造成的损失。而因采购人使用不当原因出现设备故障时，成交供应商在接采购人通知后，也应在本条所述的时限内赶到现场，帮助排除故障、修复或更换零部件，需更换零部件时，酌情收取成本费。</w:t>
      </w:r>
    </w:p>
    <w:p w14:paraId="19B2D477">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5.3在质保期满后，合同货物发生故障时，成交供应商仍需做好售后服务，并在上述时限内赶到现场，及时处理解决，并以优于市场的价格收取零部件费及人工费。</w:t>
      </w:r>
    </w:p>
    <w:p w14:paraId="2595167C">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5.4成交供应商可在双方商定的一定期限内对合同货物实施运行维护及修理，但前提条件是该服务并不能免除成交供应商在合同保证期内所承担的义务。</w:t>
      </w:r>
    </w:p>
    <w:p w14:paraId="246F1429">
      <w:pPr>
        <w:pStyle w:val="14"/>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default" w:ascii="仿宋" w:hAnsi="仿宋" w:eastAsia="仿宋" w:cs="仿宋"/>
          <w:b/>
          <w:color w:val="333333"/>
          <w:sz w:val="28"/>
          <w:szCs w:val="28"/>
          <w:highlight w:val="none"/>
          <w:shd w:val="clear" w:color="auto" w:fill="FFFFFF"/>
          <w:lang w:val="en-US" w:eastAsia="zh-CN"/>
        </w:rPr>
      </w:pPr>
      <w:r>
        <w:rPr>
          <w:rFonts w:hint="eastAsia" w:ascii="仿宋" w:hAnsi="仿宋" w:eastAsia="仿宋" w:cs="仿宋"/>
          <w:b/>
          <w:color w:val="333333"/>
          <w:sz w:val="28"/>
          <w:szCs w:val="28"/>
          <w:highlight w:val="none"/>
          <w:shd w:val="clear" w:color="auto" w:fill="FFFFFF"/>
          <w:lang w:val="en-US" w:eastAsia="zh-CN"/>
        </w:rPr>
        <w:t>6.现场服务</w:t>
      </w:r>
    </w:p>
    <w:p w14:paraId="5B19BB62">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6.1成交供应商中标后须提供基础施工图设计要求及预埋件，基础设计合理可靠，具有完善的排水功能。卖方对土建施工质量进行施工检查确认。</w:t>
      </w:r>
    </w:p>
    <w:p w14:paraId="61A94B9B">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6.2成交供应商负责静态汽车衡运至采购人指定的地方，并向采购人提交供货清单，参加现场的验货。现场卸车设备由成交供应商自备。</w:t>
      </w:r>
    </w:p>
    <w:p w14:paraId="65D8EB48">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6.3成交供应商负责汽车衡的安装、调试，以及向采购人所在政府有关部门申报计量器具首次检定，采购人给予协助。首次检定通过后，方可办理交机手续和投入使用，首次检定费用由成交供应商承担。</w:t>
      </w:r>
    </w:p>
    <w:p w14:paraId="22D5916D">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6.4成交供应商在通过汽车衡首次检定后，应及时向采购人相关管理、使用人员提供人数不限的技术培训工作，培训地点在采购人使用现场。</w:t>
      </w:r>
    </w:p>
    <w:p w14:paraId="01D4ABA9">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 w:hAnsi="仿宋" w:eastAsia="仿宋" w:cs="仿宋"/>
          <w:b/>
          <w:color w:val="333333"/>
          <w:sz w:val="28"/>
          <w:szCs w:val="28"/>
          <w:highlight w:val="none"/>
          <w:shd w:val="clear" w:color="auto" w:fill="FFFFFF"/>
          <w:lang w:val="en-US" w:eastAsia="zh-CN"/>
        </w:rPr>
      </w:pPr>
      <w:r>
        <w:rPr>
          <w:rFonts w:hint="eastAsia" w:ascii="仿宋_GB2312" w:hAnsi="仿宋_GB2312" w:eastAsia="仿宋_GB2312" w:cs="仿宋_GB2312"/>
          <w:bCs/>
          <w:kern w:val="0"/>
          <w:sz w:val="28"/>
          <w:szCs w:val="28"/>
          <w:highlight w:val="none"/>
          <w:lang w:val="en-US" w:eastAsia="zh-CN" w:bidi="ar-SA"/>
        </w:rPr>
        <w:t>6.5成交供应商在中标后须安排生产供货和安装计划，应满足采购人施工的总体进度安排。</w:t>
      </w:r>
    </w:p>
    <w:p w14:paraId="58721E04">
      <w:pPr>
        <w:pStyle w:val="14"/>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eastAsia" w:ascii="仿宋" w:hAnsi="仿宋" w:eastAsia="仿宋" w:cs="仿宋"/>
          <w:b/>
          <w:color w:val="333333"/>
          <w:sz w:val="28"/>
          <w:szCs w:val="28"/>
          <w:highlight w:val="none"/>
          <w:shd w:val="clear" w:color="auto" w:fill="FFFFFF"/>
        </w:rPr>
      </w:pPr>
      <w:r>
        <w:rPr>
          <w:rFonts w:hint="eastAsia" w:ascii="仿宋" w:hAnsi="仿宋" w:eastAsia="仿宋" w:cs="仿宋"/>
          <w:b/>
          <w:color w:val="333333"/>
          <w:sz w:val="28"/>
          <w:szCs w:val="28"/>
          <w:highlight w:val="none"/>
          <w:shd w:val="clear" w:color="auto" w:fill="FFFFFF"/>
          <w:lang w:val="en-US" w:eastAsia="zh-CN"/>
        </w:rPr>
        <w:t>7</w:t>
      </w:r>
      <w:r>
        <w:rPr>
          <w:rFonts w:hint="eastAsia" w:ascii="仿宋" w:hAnsi="仿宋" w:eastAsia="仿宋" w:cs="仿宋"/>
          <w:b/>
          <w:color w:val="333333"/>
          <w:sz w:val="28"/>
          <w:szCs w:val="28"/>
          <w:highlight w:val="none"/>
          <w:shd w:val="clear" w:color="auto" w:fill="FFFFFF"/>
        </w:rPr>
        <w:t>.约定事项：</w:t>
      </w:r>
    </w:p>
    <w:p w14:paraId="69054078">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bCs/>
          <w:kern w:val="0"/>
          <w:sz w:val="28"/>
          <w:szCs w:val="28"/>
          <w:highlight w:val="none"/>
          <w:lang w:val="en-US" w:eastAsia="zh-CN" w:bidi="ar-SA"/>
        </w:rPr>
        <w:t>7.1在成交供应商供货完毕后，采购单位将组织验收小组根据询价公告和供应商报价文件对供应商所供货物进行验收。如验收时发现有参数偏离且未在报价文件中说明的，视为验收不合格。</w:t>
      </w:r>
    </w:p>
    <w:p w14:paraId="7A591C0C">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7.2静态汽车衡验收的依据是合同、技术规格书、认可的标准和规范、首次检定证书等。</w:t>
      </w:r>
    </w:p>
    <w:p w14:paraId="3CE89643">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7.3验收前成交供应商应提供合同货物所用各种材料质检和试验报告及静态汽车衡各种检验和试验报告、产品合格证书等。</w:t>
      </w:r>
    </w:p>
    <w:p w14:paraId="4AC0FA2F">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default" w:ascii="仿宋_GB2312" w:hAnsi="仿宋_GB2312" w:eastAsia="仿宋_GB2312" w:cs="仿宋_GB2312"/>
          <w:bCs/>
          <w:kern w:val="0"/>
          <w:sz w:val="28"/>
          <w:szCs w:val="28"/>
          <w:highlight w:val="none"/>
          <w:lang w:val="en-US" w:eastAsia="zh-CN" w:bidi="ar-SA"/>
        </w:rPr>
      </w:pPr>
      <w:r>
        <w:rPr>
          <w:rFonts w:hint="eastAsia" w:ascii="仿宋_GB2312" w:hAnsi="仿宋_GB2312" w:eastAsia="仿宋_GB2312" w:cs="仿宋_GB2312"/>
          <w:bCs/>
          <w:kern w:val="0"/>
          <w:sz w:val="28"/>
          <w:szCs w:val="28"/>
          <w:highlight w:val="none"/>
          <w:lang w:val="en-US" w:eastAsia="zh-CN" w:bidi="ar-SA"/>
        </w:rPr>
        <w:t>7.4成交供应商在全部完成合同设备的安装、调试工作，通过采购人所在地政府有关部门的首次检定，在完成对采购人相关管理、使用人员的技术培训，并提供了本条所述文件资料、随机工具、仪表等附属件后，买卖双方进行汽车衡的"交钥匙"验收文件的签署工作。</w:t>
      </w:r>
    </w:p>
    <w:p w14:paraId="00F47B46">
      <w:pPr>
        <w:keepNext w:val="0"/>
        <w:keepLines w:val="0"/>
        <w:pageBreakBefore w:val="0"/>
        <w:widowControl/>
        <w:kinsoku/>
        <w:wordWrap/>
        <w:overflowPunct/>
        <w:topLinePunct w:val="0"/>
        <w:autoSpaceDE/>
        <w:autoSpaceDN/>
        <w:bidi w:val="0"/>
        <w:adjustRightInd/>
        <w:spacing w:line="480" w:lineRule="exact"/>
        <w:ind w:firstLine="562" w:firstLineChars="200"/>
        <w:textAlignment w:val="auto"/>
        <w:rPr>
          <w:rFonts w:ascii="仿宋_GB2312" w:hAnsi="仿宋_GB2312" w:eastAsia="仿宋_GB2312" w:cs="仿宋_GB2312"/>
          <w:sz w:val="28"/>
          <w:szCs w:val="28"/>
        </w:rPr>
      </w:pPr>
      <w:r>
        <w:rPr>
          <w:rFonts w:hint="eastAsia" w:ascii="黑体" w:hAnsi="宋体" w:eastAsia="黑体" w:cs="黑体"/>
          <w:b/>
          <w:color w:val="333333"/>
          <w:kern w:val="0"/>
          <w:sz w:val="28"/>
          <w:szCs w:val="28"/>
        </w:rPr>
        <w:t>五、合同的签订及注意事项：</w:t>
      </w:r>
    </w:p>
    <w:p w14:paraId="32F500BD">
      <w:pPr>
        <w:pStyle w:val="14"/>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ascii="仿宋" w:hAnsi="仿宋" w:eastAsia="仿宋" w:cs="仿宋"/>
          <w:color w:val="333333"/>
          <w:kern w:val="2"/>
          <w:sz w:val="28"/>
          <w:szCs w:val="28"/>
          <w:shd w:val="clear" w:color="auto" w:fill="FFFFFF"/>
        </w:rPr>
      </w:pPr>
      <w:r>
        <w:rPr>
          <w:rFonts w:hint="eastAsia" w:ascii="仿宋" w:hAnsi="仿宋" w:eastAsia="仿宋" w:cs="仿宋"/>
          <w:color w:val="333333"/>
          <w:kern w:val="2"/>
          <w:sz w:val="28"/>
          <w:szCs w:val="28"/>
          <w:shd w:val="clear" w:color="auto" w:fill="FFFFFF"/>
        </w:rPr>
        <w:t>1.成交结果将在启东市人民政府网予以公布，公示期为一个工作日，公示期内对成交结果无异议的，将确定成交候选人为成交供应商。</w:t>
      </w:r>
    </w:p>
    <w:p w14:paraId="1C978BCB">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2.签订合同</w:t>
      </w:r>
    </w:p>
    <w:p w14:paraId="4C82E84E">
      <w:pPr>
        <w:keepNext w:val="0"/>
        <w:keepLines w:val="0"/>
        <w:pageBreakBefore w:val="0"/>
        <w:kinsoku/>
        <w:wordWrap/>
        <w:overflowPunct/>
        <w:topLinePunct w:val="0"/>
        <w:autoSpaceDE/>
        <w:autoSpaceDN/>
        <w:bidi w:val="0"/>
        <w:adjustRightInd/>
        <w:snapToGrid w:val="0"/>
        <w:spacing w:line="480" w:lineRule="exact"/>
        <w:ind w:firstLine="562"/>
        <w:textAlignment w:val="auto"/>
        <w:rPr>
          <w:rFonts w:ascii="仿宋" w:hAnsi="仿宋" w:eastAsia="仿宋" w:cs="仿宋"/>
          <w:b/>
          <w:bCs/>
          <w:sz w:val="28"/>
        </w:rPr>
      </w:pPr>
      <w:r>
        <w:rPr>
          <w:rFonts w:hint="eastAsia" w:ascii="仿宋" w:hAnsi="仿宋" w:eastAsia="仿宋" w:cs="仿宋"/>
          <w:b/>
          <w:bCs/>
          <w:sz w:val="28"/>
        </w:rPr>
        <w:t>①询价公告、补充文件及成交人的投标文件等均为签订合同的依据。</w:t>
      </w:r>
    </w:p>
    <w:p w14:paraId="4EC25E93">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rPr>
        <w:t>②</w:t>
      </w:r>
      <w:r>
        <w:rPr>
          <w:rFonts w:hint="eastAsia" w:ascii="仿宋" w:hAnsi="仿宋" w:eastAsia="仿宋" w:cs="仿宋"/>
          <w:b/>
          <w:bCs/>
          <w:sz w:val="28"/>
        </w:rPr>
        <w:t>成交供应商必须在中标（成交）通知书发出之日起三十日内与采购人签订合同。</w:t>
      </w:r>
    </w:p>
    <w:p w14:paraId="712E7F5A">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3.成交供应商因自身原因不能订立政府采购合同的，采购单位将取消其成交资格。</w:t>
      </w:r>
    </w:p>
    <w:p w14:paraId="12A88D2F">
      <w:pPr>
        <w:keepNext w:val="0"/>
        <w:keepLines w:val="0"/>
        <w:pageBreakBefore w:val="0"/>
        <w:widowControl/>
        <w:kinsoku/>
        <w:wordWrap/>
        <w:overflowPunct/>
        <w:topLinePunct w:val="0"/>
        <w:autoSpaceDE/>
        <w:autoSpaceDN/>
        <w:bidi w:val="0"/>
        <w:adjustRightInd/>
        <w:spacing w:line="480" w:lineRule="exact"/>
        <w:ind w:firstLine="560" w:firstLineChars="200"/>
        <w:textAlignment w:val="auto"/>
        <w:rPr>
          <w:rFonts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4.成交供应商因自身原因不能履行采购合同的，采购单位将取消其成交资格，履约保证金不予退还。</w:t>
      </w:r>
    </w:p>
    <w:p w14:paraId="330ECC8B">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t>六、成交原则：</w:t>
      </w:r>
      <w:r>
        <w:rPr>
          <w:rFonts w:hint="eastAsia" w:ascii="仿宋_GB2312" w:hAnsi="仿宋_GB2312" w:eastAsia="仿宋_GB2312" w:cs="仿宋_GB2312"/>
          <w:b/>
          <w:color w:val="333333"/>
          <w:kern w:val="0"/>
          <w:sz w:val="28"/>
          <w:szCs w:val="28"/>
          <w:u w:val="single"/>
        </w:rPr>
        <w:t>符合采购需求且报价最低者成交。如报价相同的，则采购人通过抽签方式随机确定中标候选人。</w:t>
      </w:r>
    </w:p>
    <w:p w14:paraId="74303BFF">
      <w:pPr>
        <w:keepNext w:val="0"/>
        <w:keepLines w:val="0"/>
        <w:pageBreakBefore w:val="0"/>
        <w:widowControl/>
        <w:kinsoku/>
        <w:wordWrap/>
        <w:overflowPunct/>
        <w:topLinePunct w:val="0"/>
        <w:autoSpaceDE/>
        <w:autoSpaceDN/>
        <w:bidi w:val="0"/>
        <w:adjustRightInd/>
        <w:spacing w:line="480" w:lineRule="exact"/>
        <w:ind w:firstLine="551" w:firstLineChars="196"/>
        <w:textAlignment w:val="auto"/>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lang w:val="en-GB"/>
        </w:rPr>
        <w:t>备注：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29885F66">
      <w:pPr>
        <w:keepNext w:val="0"/>
        <w:keepLines w:val="0"/>
        <w:pageBreakBefore w:val="0"/>
        <w:kinsoku/>
        <w:wordWrap/>
        <w:overflowPunct/>
        <w:topLinePunct w:val="0"/>
        <w:autoSpaceDE/>
        <w:autoSpaceDN/>
        <w:bidi w:val="0"/>
        <w:adjustRightInd/>
        <w:spacing w:line="480" w:lineRule="exact"/>
        <w:ind w:firstLine="562" w:firstLineChars="200"/>
        <w:textAlignment w:val="auto"/>
        <w:rPr>
          <w:rFonts w:ascii="仿宋_GB2312" w:eastAsia="仿宋_GB2312"/>
          <w:sz w:val="28"/>
          <w:highlight w:val="none"/>
        </w:rPr>
      </w:pPr>
      <w:r>
        <w:rPr>
          <w:rFonts w:hint="eastAsia" w:ascii="仿宋_GB2312" w:hAnsi="仿宋_GB2312" w:eastAsia="仿宋_GB2312" w:cs="仿宋_GB2312"/>
          <w:b/>
          <w:color w:val="333333"/>
          <w:kern w:val="0"/>
          <w:sz w:val="28"/>
          <w:szCs w:val="28"/>
          <w:highlight w:val="none"/>
        </w:rPr>
        <w:t>七、付款方式：</w:t>
      </w:r>
      <w:r>
        <w:rPr>
          <w:rFonts w:hint="eastAsia" w:ascii="仿宋_GB2312" w:eastAsia="仿宋_GB2312"/>
          <w:sz w:val="28"/>
          <w:highlight w:val="none"/>
        </w:rPr>
        <w:t>全部货物供货、安装到位并验收合格后一个月内付</w:t>
      </w:r>
      <w:r>
        <w:rPr>
          <w:rFonts w:hint="eastAsia" w:ascii="仿宋_GB2312" w:eastAsia="仿宋_GB2312"/>
          <w:sz w:val="28"/>
          <w:highlight w:val="none"/>
          <w:lang w:eastAsia="zh-CN"/>
        </w:rPr>
        <w:t>清</w:t>
      </w:r>
      <w:r>
        <w:rPr>
          <w:rFonts w:hint="eastAsia" w:ascii="仿宋_GB2312" w:eastAsia="仿宋_GB2312"/>
          <w:sz w:val="28"/>
          <w:highlight w:val="none"/>
        </w:rPr>
        <w:t>。</w:t>
      </w:r>
    </w:p>
    <w:p w14:paraId="0ABBCB26">
      <w:pPr>
        <w:widowControl/>
        <w:spacing w:line="440" w:lineRule="exact"/>
        <w:rPr>
          <w:rFonts w:ascii="仿宋_GB2312" w:hAnsi="仿宋_GB2312" w:eastAsia="仿宋_GB2312" w:cs="仿宋_GB2312"/>
          <w:color w:val="333333"/>
          <w:kern w:val="0"/>
          <w:sz w:val="28"/>
          <w:szCs w:val="28"/>
        </w:rPr>
      </w:pPr>
    </w:p>
    <w:p w14:paraId="6ECAF61C">
      <w:pPr>
        <w:widowControl/>
        <w:spacing w:line="440" w:lineRule="exact"/>
        <w:jc w:val="right"/>
        <w:rPr>
          <w:rFonts w:ascii="仿宋_GB2312" w:hAnsi="仿宋_GB2312" w:eastAsia="仿宋_GB2312" w:cs="仿宋_GB2312"/>
          <w:sz w:val="28"/>
          <w:szCs w:val="28"/>
        </w:rPr>
      </w:pPr>
      <w:r>
        <w:rPr>
          <w:rFonts w:hint="eastAsia" w:ascii="仿宋" w:hAnsi="仿宋" w:eastAsia="仿宋" w:cs="仿宋"/>
          <w:color w:val="333333"/>
          <w:sz w:val="28"/>
          <w:szCs w:val="28"/>
          <w:shd w:val="clear" w:color="auto" w:fill="FFFFFF"/>
        </w:rPr>
        <w:t>启东市地方粮食储备库有限公司</w:t>
      </w:r>
    </w:p>
    <w:p w14:paraId="3BA74A06">
      <w:pPr>
        <w:widowControl/>
        <w:wordWrap w:val="0"/>
        <w:spacing w:line="440" w:lineRule="exact"/>
        <w:jc w:val="right"/>
        <w:rPr>
          <w:rFonts w:cs="仿宋_GB2312" w:asciiTheme="minorEastAsia" w:hAnsiTheme="minorEastAsia"/>
          <w:color w:val="FF0000"/>
          <w:sz w:val="28"/>
          <w:szCs w:val="28"/>
        </w:rPr>
      </w:pPr>
      <w:r>
        <w:rPr>
          <w:rFonts w:hint="eastAsia" w:cs="仿宋_GB2312" w:asciiTheme="minorEastAsia" w:hAnsiTheme="minorEastAsia"/>
          <w:bCs/>
          <w:kern w:val="0"/>
          <w:sz w:val="28"/>
          <w:szCs w:val="28"/>
        </w:rPr>
        <w:t>202</w:t>
      </w:r>
      <w:r>
        <w:rPr>
          <w:rFonts w:hint="eastAsia" w:cs="仿宋_GB2312" w:asciiTheme="minorEastAsia" w:hAnsiTheme="minorEastAsia"/>
          <w:bCs/>
          <w:kern w:val="0"/>
          <w:sz w:val="28"/>
          <w:szCs w:val="28"/>
          <w:lang w:val="en-US" w:eastAsia="zh-CN"/>
        </w:rPr>
        <w:t>5</w:t>
      </w:r>
      <w:r>
        <w:rPr>
          <w:rFonts w:hint="eastAsia" w:cs="仿宋_GB2312" w:asciiTheme="minorEastAsia" w:hAnsiTheme="minorEastAsia"/>
          <w:bCs/>
          <w:kern w:val="0"/>
          <w:sz w:val="28"/>
          <w:szCs w:val="28"/>
        </w:rPr>
        <w:t>年</w:t>
      </w:r>
      <w:r>
        <w:rPr>
          <w:rFonts w:hint="eastAsia" w:cs="仿宋_GB2312" w:asciiTheme="minorEastAsia" w:hAnsiTheme="minorEastAsia"/>
          <w:bCs/>
          <w:kern w:val="0"/>
          <w:sz w:val="28"/>
          <w:szCs w:val="28"/>
          <w:lang w:val="en-US" w:eastAsia="zh-CN"/>
        </w:rPr>
        <w:t>5</w:t>
      </w:r>
      <w:r>
        <w:rPr>
          <w:rFonts w:hint="eastAsia" w:cs="仿宋_GB2312" w:asciiTheme="minorEastAsia" w:hAnsiTheme="minorEastAsia"/>
          <w:bCs/>
          <w:kern w:val="0"/>
          <w:sz w:val="28"/>
          <w:szCs w:val="28"/>
        </w:rPr>
        <w:t>月</w:t>
      </w:r>
      <w:r>
        <w:rPr>
          <w:rFonts w:hint="eastAsia" w:cs="仿宋_GB2312" w:asciiTheme="minorEastAsia" w:hAnsiTheme="minorEastAsia"/>
          <w:bCs/>
          <w:kern w:val="0"/>
          <w:sz w:val="28"/>
          <w:szCs w:val="28"/>
          <w:lang w:val="en-US" w:eastAsia="zh-CN"/>
        </w:rPr>
        <w:t>20</w:t>
      </w:r>
      <w:r>
        <w:rPr>
          <w:rFonts w:hint="eastAsia" w:cs="仿宋_GB2312" w:asciiTheme="minorEastAsia" w:hAnsiTheme="minorEastAsia"/>
          <w:bCs/>
          <w:kern w:val="0"/>
          <w:sz w:val="28"/>
          <w:szCs w:val="28"/>
        </w:rPr>
        <w:t>日</w:t>
      </w:r>
    </w:p>
    <w:p w14:paraId="7EEAC72A">
      <w:pPr>
        <w:widowControl/>
        <w:spacing w:line="460" w:lineRule="exact"/>
        <w:jc w:val="center"/>
        <w:rPr>
          <w:rFonts w:ascii="仿宋_GB2312" w:hAnsi="仿宋_GB2312" w:eastAsia="仿宋_GB2312" w:cs="仿宋_GB2312"/>
          <w:b/>
          <w:color w:val="333333"/>
          <w:kern w:val="0"/>
          <w:sz w:val="28"/>
          <w:szCs w:val="28"/>
        </w:rPr>
      </w:pPr>
      <w:r>
        <w:rPr>
          <w:rFonts w:hint="eastAsia" w:ascii="仿宋_GB2312" w:hAnsi="仿宋_GB2312" w:eastAsia="仿宋_GB2312" w:cs="仿宋_GB2312"/>
          <w:b/>
          <w:color w:val="333333"/>
          <w:kern w:val="0"/>
          <w:sz w:val="28"/>
          <w:szCs w:val="28"/>
        </w:rPr>
        <w:br w:type="page"/>
      </w:r>
    </w:p>
    <w:p w14:paraId="1DF35CB6">
      <w:pPr>
        <w:widowControl/>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b/>
          <w:color w:val="333333"/>
          <w:kern w:val="0"/>
          <w:sz w:val="28"/>
          <w:szCs w:val="28"/>
        </w:rPr>
        <w:t>附件一：</w:t>
      </w:r>
    </w:p>
    <w:p w14:paraId="3CD59796">
      <w:pPr>
        <w:jc w:val="center"/>
        <w:rPr>
          <w:rFonts w:ascii="宋体" w:hAnsi="宋体"/>
          <w:b/>
          <w:color w:val="000000"/>
          <w:sz w:val="30"/>
          <w:szCs w:val="30"/>
        </w:rPr>
      </w:pPr>
      <w:r>
        <w:rPr>
          <w:rFonts w:hint="eastAsia" w:ascii="宋体" w:hAnsi="宋体"/>
          <w:b/>
          <w:color w:val="000000"/>
          <w:sz w:val="30"/>
          <w:szCs w:val="30"/>
        </w:rPr>
        <w:t>投标人符合《政府采购法》第二十二条规定条件的声明函</w:t>
      </w:r>
    </w:p>
    <w:p w14:paraId="29CC1726">
      <w:pPr>
        <w:spacing w:line="520" w:lineRule="exact"/>
        <w:ind w:firstLine="480" w:firstLineChars="200"/>
        <w:rPr>
          <w:rFonts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u w:val="single"/>
        </w:rPr>
        <w:t xml:space="preserve">  </w:t>
      </w:r>
      <w:r>
        <w:rPr>
          <w:rFonts w:hint="eastAsia" w:ascii="宋体" w:hAnsi="宋体"/>
          <w:bCs/>
          <w:color w:val="000000"/>
          <w:sz w:val="24"/>
          <w:u w:val="single"/>
          <w:lang w:eastAsia="zh-CN"/>
        </w:rPr>
        <w:t>启东市日新河粮库地磅采购与安装项目</w:t>
      </w:r>
      <w:r>
        <w:rPr>
          <w:rFonts w:hint="eastAsia" w:ascii="宋体" w:hAnsi="宋体"/>
          <w:bCs/>
          <w:color w:val="000000"/>
          <w:sz w:val="24"/>
          <w:u w:val="single"/>
        </w:rPr>
        <w:t xml:space="preserve"> </w:t>
      </w:r>
      <w:r>
        <w:rPr>
          <w:rFonts w:hint="eastAsia" w:ascii="宋体" w:hAnsi="宋体"/>
          <w:bCs/>
          <w:color w:val="000000"/>
          <w:sz w:val="24"/>
          <w:szCs w:val="21"/>
        </w:rPr>
        <w:t>（项目名称）投标活动。针对《中华人民共和国政府采购法》第二十二条规定做出如下声明：</w:t>
      </w:r>
    </w:p>
    <w:p w14:paraId="6F01D170">
      <w:pPr>
        <w:spacing w:line="520" w:lineRule="exact"/>
        <w:ind w:firstLine="482"/>
        <w:rPr>
          <w:rFonts w:ascii="宋体" w:hAnsi="宋体"/>
          <w:color w:val="000000"/>
          <w:sz w:val="24"/>
        </w:rPr>
      </w:pPr>
      <w:r>
        <w:rPr>
          <w:rFonts w:hint="eastAsia" w:ascii="宋体" w:hAnsi="宋体"/>
          <w:bCs/>
          <w:color w:val="000000"/>
          <w:sz w:val="24"/>
          <w:szCs w:val="21"/>
        </w:rPr>
        <w:t>1.我单位具有独立承担民事责任的能力；</w:t>
      </w:r>
    </w:p>
    <w:p w14:paraId="2A53C48A">
      <w:pPr>
        <w:spacing w:line="520" w:lineRule="exact"/>
        <w:ind w:firstLine="482"/>
        <w:rPr>
          <w:rFonts w:ascii="宋体" w:hAnsi="宋体"/>
          <w:color w:val="000000"/>
          <w:sz w:val="24"/>
        </w:rPr>
      </w:pPr>
      <w:r>
        <w:rPr>
          <w:rFonts w:hint="eastAsia" w:ascii="宋体" w:hAnsi="宋体"/>
          <w:color w:val="000000"/>
          <w:sz w:val="24"/>
        </w:rPr>
        <w:t>2.我单位具有良好的商业信誉和健全的财务会计制度；</w:t>
      </w:r>
    </w:p>
    <w:p w14:paraId="47962BB1">
      <w:pPr>
        <w:spacing w:line="520" w:lineRule="exact"/>
        <w:ind w:firstLine="482"/>
        <w:rPr>
          <w:rFonts w:ascii="宋体" w:hAnsi="宋体"/>
          <w:color w:val="000000"/>
          <w:sz w:val="24"/>
        </w:rPr>
      </w:pPr>
      <w:r>
        <w:rPr>
          <w:rFonts w:hint="eastAsia" w:ascii="宋体" w:hAnsi="宋体"/>
          <w:color w:val="000000"/>
          <w:sz w:val="24"/>
        </w:rPr>
        <w:t>3.我单位具有履行合同所必需的设备和专业技术能力；</w:t>
      </w:r>
    </w:p>
    <w:p w14:paraId="54E9AE39">
      <w:pPr>
        <w:spacing w:line="520" w:lineRule="exact"/>
        <w:ind w:firstLine="482"/>
        <w:rPr>
          <w:rFonts w:ascii="宋体" w:hAnsi="宋体"/>
          <w:color w:val="000000"/>
          <w:sz w:val="24"/>
        </w:rPr>
      </w:pPr>
      <w:r>
        <w:rPr>
          <w:rFonts w:hint="eastAsia" w:ascii="宋体" w:hAnsi="宋体"/>
          <w:color w:val="000000"/>
          <w:sz w:val="24"/>
        </w:rPr>
        <w:t>4.我单位有依法缴纳税收和社会保障资金的良好记录；</w:t>
      </w:r>
    </w:p>
    <w:p w14:paraId="61C49857">
      <w:pPr>
        <w:spacing w:line="520" w:lineRule="exact"/>
        <w:ind w:firstLine="482"/>
        <w:rPr>
          <w:rFonts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E2711F">
      <w:pPr>
        <w:spacing w:line="520" w:lineRule="exact"/>
        <w:ind w:firstLine="482"/>
        <w:rPr>
          <w:rFonts w:ascii="宋体" w:hAnsi="宋体"/>
          <w:color w:val="000000"/>
          <w:sz w:val="24"/>
        </w:rPr>
      </w:pPr>
      <w:r>
        <w:rPr>
          <w:rFonts w:hint="eastAsia" w:ascii="宋体" w:hAnsi="宋体"/>
          <w:color w:val="000000"/>
          <w:sz w:val="24"/>
        </w:rPr>
        <w:t>6.我单位满足法律、行政法规规定的其他条件。</w:t>
      </w:r>
    </w:p>
    <w:p w14:paraId="08A3DD40">
      <w:pPr>
        <w:spacing w:line="500" w:lineRule="exact"/>
        <w:ind w:firstLine="482"/>
        <w:rPr>
          <w:rFonts w:ascii="宋体" w:hAnsi="宋体"/>
          <w:color w:val="000000"/>
          <w:sz w:val="24"/>
        </w:rPr>
      </w:pPr>
    </w:p>
    <w:p w14:paraId="57504CE2">
      <w:pPr>
        <w:spacing w:line="500" w:lineRule="exact"/>
        <w:rPr>
          <w:rFonts w:ascii="宋体" w:hAnsi="宋体"/>
          <w:color w:val="000000"/>
          <w:sz w:val="24"/>
        </w:rPr>
      </w:pPr>
    </w:p>
    <w:p w14:paraId="73E864B3">
      <w:pPr>
        <w:spacing w:line="500" w:lineRule="exact"/>
        <w:rPr>
          <w:rFonts w:ascii="宋体" w:hAnsi="宋体"/>
          <w:bCs/>
          <w:color w:val="000000"/>
          <w:sz w:val="24"/>
          <w:szCs w:val="21"/>
        </w:rPr>
      </w:pPr>
    </w:p>
    <w:p w14:paraId="5D2063DC">
      <w:pPr>
        <w:spacing w:line="500" w:lineRule="exact"/>
        <w:rPr>
          <w:rFonts w:ascii="宋体" w:hAnsi="宋体"/>
          <w:bCs/>
          <w:color w:val="000000"/>
          <w:sz w:val="24"/>
          <w:szCs w:val="21"/>
        </w:rPr>
      </w:pPr>
    </w:p>
    <w:p w14:paraId="65F92894">
      <w:pPr>
        <w:spacing w:line="460" w:lineRule="exact"/>
        <w:jc w:val="center"/>
        <w:rPr>
          <w:rFonts w:ascii="宋体" w:hAnsi="宋体"/>
          <w:bCs/>
          <w:color w:val="000000"/>
          <w:sz w:val="24"/>
          <w:szCs w:val="21"/>
        </w:rPr>
      </w:pPr>
      <w:r>
        <w:rPr>
          <w:rFonts w:hint="eastAsia" w:ascii="宋体" w:hAnsi="宋体"/>
          <w:bCs/>
          <w:color w:val="000000"/>
          <w:sz w:val="24"/>
          <w:szCs w:val="21"/>
        </w:rPr>
        <w:t xml:space="preserve">                                             承诺人名称（公章）：</w:t>
      </w:r>
    </w:p>
    <w:p w14:paraId="30E82159">
      <w:pPr>
        <w:spacing w:line="460" w:lineRule="exact"/>
        <w:jc w:val="right"/>
        <w:rPr>
          <w:rFonts w:ascii="宋体" w:hAnsi="宋体"/>
          <w:bCs/>
          <w:color w:val="000000"/>
          <w:sz w:val="24"/>
          <w:szCs w:val="21"/>
        </w:rPr>
      </w:pPr>
      <w:r>
        <w:rPr>
          <w:rFonts w:hint="eastAsia" w:ascii="宋体" w:hAnsi="宋体"/>
          <w:bCs/>
          <w:color w:val="000000"/>
          <w:sz w:val="24"/>
          <w:szCs w:val="21"/>
        </w:rPr>
        <w:t xml:space="preserve">    </w:t>
      </w:r>
    </w:p>
    <w:p w14:paraId="4D4C0D54">
      <w:pPr>
        <w:spacing w:line="460" w:lineRule="exact"/>
        <w:jc w:val="right"/>
        <w:rPr>
          <w:rFonts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 xml:space="preserve">       </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3C43DD3C">
      <w:pPr>
        <w:widowControl/>
        <w:spacing w:line="460" w:lineRule="exact"/>
        <w:jc w:val="right"/>
        <w:rPr>
          <w:rFonts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w:t>
      </w:r>
    </w:p>
    <w:p w14:paraId="2DEAD5EF">
      <w:pPr>
        <w:widowControl/>
        <w:spacing w:line="460" w:lineRule="exact"/>
        <w:ind w:firstLine="5320" w:firstLineChars="1900"/>
        <w:rPr>
          <w:rFonts w:ascii="仿宋_GB2312" w:hAnsi="仿宋_GB2312" w:eastAsia="仿宋_GB2312" w:cs="仿宋_GB2312"/>
          <w:sz w:val="28"/>
          <w:szCs w:val="28"/>
        </w:rPr>
      </w:pPr>
    </w:p>
    <w:p w14:paraId="63065658">
      <w:pPr>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4E2BD32E">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附件二：</w:t>
      </w:r>
    </w:p>
    <w:p w14:paraId="544B0EA0">
      <w:pPr>
        <w:pStyle w:val="14"/>
        <w:spacing w:line="560" w:lineRule="exact"/>
        <w:jc w:val="center"/>
        <w:rPr>
          <w:rFonts w:hint="eastAsia" w:ascii="宋体" w:hAnsi="宋体" w:eastAsia="宋体" w:cs="宋体"/>
          <w:b/>
          <w:kern w:val="2"/>
          <w:sz w:val="28"/>
          <w:szCs w:val="28"/>
          <w:lang w:bidi="ar"/>
        </w:rPr>
      </w:pPr>
      <w:r>
        <w:rPr>
          <w:rFonts w:hint="eastAsia" w:ascii="宋体" w:hAnsi="宋体" w:eastAsia="宋体" w:cs="宋体"/>
          <w:b/>
          <w:kern w:val="2"/>
          <w:sz w:val="28"/>
          <w:szCs w:val="28"/>
          <w:lang w:bidi="ar"/>
        </w:rPr>
        <w:t>法定代表人身份证明</w:t>
      </w:r>
    </w:p>
    <w:p w14:paraId="27888181">
      <w:pPr>
        <w:spacing w:line="480" w:lineRule="exact"/>
        <w:rPr>
          <w:rFonts w:ascii="宋体" w:hAnsi="宋体" w:cs="宋体"/>
          <w:sz w:val="24"/>
        </w:rPr>
      </w:pPr>
    </w:p>
    <w:p w14:paraId="514500A7">
      <w:pPr>
        <w:spacing w:line="480" w:lineRule="exact"/>
        <w:ind w:firstLine="480" w:firstLineChars="200"/>
        <w:rPr>
          <w:rFonts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先生/女士： 现任我单位</w:t>
      </w:r>
      <w:r>
        <w:rPr>
          <w:rFonts w:hint="eastAsia" w:ascii="宋体" w:hAnsi="宋体" w:cs="宋体"/>
          <w:sz w:val="24"/>
          <w:u w:val="single"/>
          <w:lang w:bidi="ar"/>
        </w:rPr>
        <w:t xml:space="preserve">        </w:t>
      </w:r>
      <w:r>
        <w:rPr>
          <w:rFonts w:hint="eastAsia" w:ascii="宋体" w:hAnsi="宋体" w:cs="宋体"/>
          <w:sz w:val="24"/>
          <w:lang w:bidi="ar"/>
        </w:rPr>
        <w:t>职务，为法定代表人，特此证明。</w:t>
      </w:r>
    </w:p>
    <w:p w14:paraId="592735E9">
      <w:pPr>
        <w:spacing w:line="480" w:lineRule="exact"/>
        <w:ind w:firstLine="480"/>
        <w:rPr>
          <w:rFonts w:ascii="宋体" w:hAnsi="宋体" w:cs="宋体"/>
          <w:sz w:val="24"/>
          <w:u w:val="single"/>
        </w:rPr>
      </w:pPr>
      <w:r>
        <w:rPr>
          <w:rFonts w:hint="eastAsia" w:ascii="宋体" w:hAnsi="宋体" w:cs="宋体"/>
          <w:sz w:val="24"/>
          <w:lang w:bidi="ar"/>
        </w:rPr>
        <w:t>身份证号码：</w:t>
      </w:r>
      <w:r>
        <w:rPr>
          <w:rFonts w:hint="eastAsia" w:ascii="宋体" w:hAnsi="宋体" w:cs="宋体"/>
          <w:sz w:val="24"/>
          <w:u w:val="single"/>
          <w:lang w:bidi="ar"/>
        </w:rPr>
        <w:t xml:space="preserve">                                               </w:t>
      </w:r>
    </w:p>
    <w:p w14:paraId="1A9619C6">
      <w:pPr>
        <w:spacing w:line="480" w:lineRule="exact"/>
        <w:ind w:firstLine="480"/>
        <w:rPr>
          <w:rFonts w:ascii="宋体" w:hAnsi="宋体" w:cs="宋体"/>
          <w:sz w:val="24"/>
        </w:rPr>
      </w:pPr>
    </w:p>
    <w:p w14:paraId="7E3A1B78">
      <w:pPr>
        <w:spacing w:line="480" w:lineRule="exact"/>
        <w:ind w:firstLine="480"/>
        <w:rPr>
          <w:rFonts w:ascii="宋体" w:hAnsi="宋体" w:cs="宋体"/>
          <w:sz w:val="24"/>
        </w:rPr>
      </w:pPr>
    </w:p>
    <w:p w14:paraId="0910D3C1">
      <w:pPr>
        <w:spacing w:line="480" w:lineRule="exact"/>
        <w:ind w:firstLine="480"/>
        <w:jc w:val="center"/>
        <w:rPr>
          <w:rFonts w:ascii="宋体" w:hAnsi="宋体" w:cs="宋体"/>
          <w:sz w:val="24"/>
        </w:rPr>
      </w:pPr>
      <w:r>
        <w:rPr>
          <w:rFonts w:hint="eastAsia" w:ascii="宋体" w:hAnsi="宋体" w:cs="宋体"/>
          <w:sz w:val="24"/>
        </w:rPr>
        <w:t>报价单位名称（盖章）：</w:t>
      </w:r>
    </w:p>
    <w:p w14:paraId="38997427">
      <w:pPr>
        <w:pStyle w:val="46"/>
        <w:widowControl/>
        <w:spacing w:line="600" w:lineRule="exact"/>
        <w:rPr>
          <w:rFonts w:ascii="宋体" w:hAnsi="宋体" w:cs="宋体"/>
          <w:b/>
          <w:sz w:val="24"/>
        </w:rPr>
      </w:pPr>
    </w:p>
    <w:p w14:paraId="40A98324">
      <w:pPr>
        <w:pStyle w:val="46"/>
        <w:widowControl/>
        <w:spacing w:line="600" w:lineRule="exact"/>
        <w:rPr>
          <w:rFonts w:ascii="宋体" w:hAnsi="宋体" w:cs="宋体"/>
          <w:b/>
          <w:sz w:val="24"/>
        </w:rPr>
      </w:pPr>
      <w:r>
        <w:rPr>
          <w:rFonts w:hint="eastAsia" w:ascii="宋体" w:hAnsi="宋体" w:cs="宋体"/>
          <w:b/>
          <w:sz w:val="24"/>
        </w:rPr>
        <w:t>注：提供法定代表人的身份证正反面复印件</w:t>
      </w:r>
      <w:r>
        <w:rPr>
          <w:rFonts w:hint="eastAsia" w:ascii="宋体" w:hAnsi="宋体" w:cs="宋体"/>
          <w:b/>
          <w:sz w:val="24"/>
          <w:lang w:eastAsia="zh-CN"/>
        </w:rPr>
        <w:t>并加盖公章</w:t>
      </w:r>
    </w:p>
    <w:p w14:paraId="2BD52C82">
      <w:pPr>
        <w:spacing w:line="500" w:lineRule="exact"/>
        <w:ind w:firstLine="643"/>
        <w:jc w:val="center"/>
        <w:rPr>
          <w:rFonts w:ascii="仿宋" w:hAnsi="仿宋" w:eastAsia="宋体" w:cs="仿宋"/>
          <w:b/>
          <w:bCs/>
          <w:color w:val="000000"/>
          <w:sz w:val="32"/>
          <w:szCs w:val="32"/>
        </w:rPr>
      </w:pPr>
    </w:p>
    <w:p w14:paraId="48302B40">
      <w:pPr>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br w:type="page"/>
      </w:r>
    </w:p>
    <w:p w14:paraId="08DB63DE">
      <w:pPr>
        <w:spacing w:line="500" w:lineRule="exact"/>
        <w:jc w:val="left"/>
        <w:rPr>
          <w:rFonts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附件三：</w:t>
      </w:r>
    </w:p>
    <w:p w14:paraId="48415DFF">
      <w:pPr>
        <w:spacing w:line="500" w:lineRule="exact"/>
        <w:ind w:firstLine="643"/>
        <w:jc w:val="center"/>
        <w:rPr>
          <w:rFonts w:ascii="仿宋" w:hAnsi="仿宋" w:eastAsia="宋体" w:cs="仿宋"/>
          <w:b/>
          <w:bCs/>
          <w:color w:val="000000"/>
          <w:sz w:val="32"/>
          <w:szCs w:val="32"/>
        </w:rPr>
      </w:pPr>
      <w:r>
        <w:rPr>
          <w:rFonts w:hint="eastAsia" w:ascii="仿宋" w:hAnsi="仿宋" w:eastAsia="宋体" w:cs="仿宋"/>
          <w:b/>
          <w:bCs/>
          <w:color w:val="000000"/>
          <w:sz w:val="28"/>
          <w:szCs w:val="28"/>
        </w:rPr>
        <w:t>授 权 委 托 书</w:t>
      </w:r>
    </w:p>
    <w:p w14:paraId="5A518818">
      <w:pPr>
        <w:widowControl/>
        <w:spacing w:line="460" w:lineRule="exact"/>
        <w:ind w:firstLine="480" w:firstLineChars="200"/>
        <w:jc w:val="center"/>
        <w:rPr>
          <w:rFonts w:cs="仿宋_GB2312" w:asciiTheme="minorEastAsia" w:hAnsiTheme="minorEastAsia"/>
          <w:color w:val="333333"/>
          <w:kern w:val="0"/>
          <w:sz w:val="28"/>
          <w:szCs w:val="28"/>
        </w:rPr>
      </w:pPr>
      <w:r>
        <w:rPr>
          <w:sz w:val="24"/>
        </w:rPr>
        <w:t>（委托代理人参加询价，须出示此证明）</w:t>
      </w:r>
    </w:p>
    <w:p w14:paraId="218A006D">
      <w:pPr>
        <w:widowControl/>
        <w:spacing w:line="460" w:lineRule="exact"/>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rPr>
        <w:t>启东市地方粮食储备库有限公司：</w:t>
      </w:r>
    </w:p>
    <w:p w14:paraId="1464B286">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（单位名称） 系中华人民共和国合法企业（单位），法定地址：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特授权</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代表我公司全权办理针对</w:t>
      </w:r>
      <w:r>
        <w:rPr>
          <w:rFonts w:hint="eastAsia" w:ascii="仿宋" w:hAnsi="仿宋" w:eastAsia="仿宋" w:cs="仿宋"/>
          <w:b/>
          <w:color w:val="333333"/>
          <w:kern w:val="0"/>
          <w:sz w:val="28"/>
          <w:szCs w:val="28"/>
          <w:u w:val="single"/>
          <w:shd w:val="clear" w:color="auto" w:fill="FFFFFF"/>
          <w:lang w:eastAsia="zh-CN"/>
        </w:rPr>
        <w:t>启东市日新河粮库地磅采购与安装项目</w:t>
      </w:r>
      <w:r>
        <w:rPr>
          <w:rFonts w:hint="eastAsia" w:ascii="仿宋" w:hAnsi="仿宋" w:eastAsia="仿宋" w:cs="仿宋"/>
          <w:color w:val="333333"/>
          <w:kern w:val="0"/>
          <w:sz w:val="28"/>
          <w:szCs w:val="28"/>
        </w:rPr>
        <w:t>的投标，并签署全部有关文件、协议及合同。</w:t>
      </w:r>
    </w:p>
    <w:p w14:paraId="4FB1A1DC">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我公司对被授权人签名的所有文件负全部责任。</w:t>
      </w:r>
    </w:p>
    <w:p w14:paraId="1F70CEFA">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被授权人签署的所有文件（在授权书有效期内签署的）不因授权的撤销而失效，本授权书的有效期自招标开始至合同履行完毕止。</w:t>
      </w:r>
    </w:p>
    <w:p w14:paraId="26E04D44">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被授权人无权转委托。</w:t>
      </w:r>
    </w:p>
    <w:p w14:paraId="698A178A">
      <w:pPr>
        <w:widowControl/>
        <w:spacing w:line="460" w:lineRule="exact"/>
        <w:ind w:firstLine="560" w:firstLineChars="200"/>
        <w:rPr>
          <w:rFonts w:ascii="仿宋" w:hAnsi="仿宋" w:eastAsia="仿宋" w:cs="仿宋"/>
          <w:color w:val="333333"/>
          <w:kern w:val="0"/>
          <w:sz w:val="28"/>
          <w:szCs w:val="28"/>
        </w:rPr>
      </w:pPr>
    </w:p>
    <w:p w14:paraId="1D540388">
      <w:pPr>
        <w:widowControl/>
        <w:spacing w:line="460" w:lineRule="exact"/>
        <w:ind w:firstLine="560" w:firstLineChars="200"/>
        <w:rPr>
          <w:rFonts w:ascii="仿宋" w:hAnsi="仿宋" w:eastAsia="仿宋" w:cs="仿宋"/>
          <w:color w:val="333333"/>
          <w:kern w:val="0"/>
          <w:sz w:val="28"/>
          <w:szCs w:val="28"/>
        </w:rPr>
      </w:pPr>
    </w:p>
    <w:p w14:paraId="5C8E7FC5">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被授权人（签字或盖章）：     性别：   年龄：   职务：     </w:t>
      </w:r>
    </w:p>
    <w:p w14:paraId="22465C7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身份证号码：　　　　　　　　　                             </w:t>
      </w:r>
    </w:p>
    <w:p w14:paraId="28AE7CCF">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通讯地址：  　　　　　　　　　                             </w:t>
      </w:r>
    </w:p>
    <w:p w14:paraId="36BB81A3">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联系电话： 　　　　　　　　　                              </w:t>
      </w:r>
    </w:p>
    <w:p w14:paraId="5402A3C6">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法定代表人（签字或盖章）：　　　　　　　　　       </w:t>
      </w:r>
    </w:p>
    <w:p w14:paraId="61429F4D">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报价单位（盖章）：　　　　　　　　　                          </w:t>
      </w:r>
    </w:p>
    <w:p w14:paraId="31168FD1">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w:t>
      </w:r>
    </w:p>
    <w:p w14:paraId="7D9C882E">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 xml:space="preserve">                                    年     月    日</w:t>
      </w:r>
    </w:p>
    <w:p w14:paraId="2168433E">
      <w:pPr>
        <w:widowControl/>
        <w:spacing w:line="460" w:lineRule="exact"/>
        <w:rPr>
          <w:rFonts w:ascii="仿宋" w:hAnsi="仿宋" w:eastAsia="仿宋" w:cs="仿宋"/>
          <w:b/>
          <w:color w:val="333333"/>
          <w:sz w:val="28"/>
          <w:szCs w:val="28"/>
          <w:shd w:val="clear" w:color="auto" w:fill="FFFFFF"/>
        </w:rPr>
      </w:pPr>
    </w:p>
    <w:p w14:paraId="10337531">
      <w:pPr>
        <w:pStyle w:val="46"/>
        <w:widowControl/>
        <w:spacing w:line="600" w:lineRule="exact"/>
        <w:ind w:firstLine="482" w:firstLineChars="200"/>
        <w:rPr>
          <w:rFonts w:ascii="宋体" w:hAnsi="宋体" w:cs="宋体"/>
          <w:b/>
          <w:sz w:val="24"/>
        </w:rPr>
      </w:pPr>
      <w:r>
        <w:rPr>
          <w:rFonts w:hint="eastAsia" w:ascii="宋体" w:hAnsi="宋体" w:cs="宋体"/>
          <w:b/>
          <w:sz w:val="24"/>
        </w:rPr>
        <w:t>注：提供被授权人的身份证正反面复印件</w:t>
      </w:r>
      <w:r>
        <w:rPr>
          <w:rFonts w:hint="eastAsia" w:ascii="宋体" w:hAnsi="宋体" w:cs="宋体"/>
          <w:b/>
          <w:sz w:val="24"/>
          <w:lang w:eastAsia="zh-CN"/>
        </w:rPr>
        <w:t>并加盖公章</w:t>
      </w:r>
    </w:p>
    <w:p w14:paraId="586376C5">
      <w:pPr>
        <w:widowControl/>
        <w:jc w:val="left"/>
        <w:rPr>
          <w:rFonts w:ascii="仿宋" w:hAnsi="仿宋" w:eastAsia="仿宋" w:cs="仿宋"/>
          <w:b/>
          <w:color w:val="333333"/>
          <w:sz w:val="28"/>
          <w:szCs w:val="28"/>
          <w:shd w:val="clear" w:color="auto" w:fill="FFFFFF"/>
        </w:rPr>
      </w:pPr>
      <w:r>
        <w:rPr>
          <w:rFonts w:ascii="仿宋" w:hAnsi="仿宋" w:eastAsia="仿宋" w:cs="仿宋"/>
          <w:b/>
          <w:color w:val="333333"/>
          <w:sz w:val="28"/>
          <w:szCs w:val="28"/>
          <w:shd w:val="clear" w:color="auto" w:fill="FFFFFF"/>
        </w:rPr>
        <w:br w:type="page"/>
      </w:r>
    </w:p>
    <w:p w14:paraId="1963E11D">
      <w:pPr>
        <w:spacing w:line="500" w:lineRule="exact"/>
        <w:jc w:val="left"/>
        <w:rPr>
          <w:rFonts w:ascii="仿宋" w:hAnsi="仿宋" w:eastAsia="仿宋" w:cs="仿宋"/>
          <w:b/>
          <w:color w:val="333333"/>
          <w:sz w:val="28"/>
          <w:szCs w:val="28"/>
          <w:shd w:val="clear" w:color="auto" w:fill="FFFFFF"/>
        </w:rPr>
        <w:sectPr>
          <w:footerReference r:id="rId3" w:type="default"/>
          <w:pgSz w:w="11906" w:h="16838"/>
          <w:pgMar w:top="1440" w:right="1463" w:bottom="1440" w:left="1463" w:header="851" w:footer="992" w:gutter="0"/>
          <w:cols w:space="425" w:num="1"/>
          <w:docGrid w:type="lines" w:linePitch="312" w:charSpace="0"/>
        </w:sectPr>
      </w:pPr>
    </w:p>
    <w:p w14:paraId="71BB3773">
      <w:pPr>
        <w:spacing w:line="500" w:lineRule="exact"/>
        <w:jc w:val="left"/>
        <w:rPr>
          <w:rFonts w:hint="eastAsia" w:ascii="仿宋" w:hAnsi="仿宋" w:eastAsia="仿宋" w:cs="仿宋"/>
          <w:b/>
          <w:color w:val="333333"/>
          <w:sz w:val="28"/>
          <w:szCs w:val="28"/>
          <w:shd w:val="clear" w:color="auto" w:fill="FFFFFF"/>
        </w:rPr>
      </w:pPr>
      <w:r>
        <w:rPr>
          <w:rFonts w:hint="eastAsia" w:ascii="仿宋" w:hAnsi="仿宋" w:eastAsia="仿宋" w:cs="仿宋"/>
          <w:b/>
          <w:color w:val="333333"/>
          <w:sz w:val="28"/>
          <w:szCs w:val="28"/>
          <w:shd w:val="clear" w:color="auto" w:fill="FFFFFF"/>
        </w:rPr>
        <w:t>附件四：</w:t>
      </w:r>
      <w:r>
        <w:rPr>
          <w:rFonts w:hint="eastAsia" w:ascii="宋体" w:hAnsi="宋体" w:eastAsia="宋体" w:cs="Times New Roman"/>
          <w:b/>
          <w:sz w:val="28"/>
          <w:szCs w:val="28"/>
          <w:highlight w:val="none"/>
        </w:rPr>
        <w:t>报价货物采购要求响应表</w:t>
      </w:r>
    </w:p>
    <w:p w14:paraId="0D1E6027">
      <w:pPr>
        <w:pStyle w:val="10"/>
        <w:jc w:val="center"/>
        <w:rPr>
          <w:rFonts w:hint="eastAsia" w:ascii="仿宋" w:hAnsi="仿宋" w:eastAsia="仿宋" w:cs="仿宋"/>
          <w:b/>
          <w:color w:val="333333"/>
          <w:sz w:val="28"/>
          <w:szCs w:val="28"/>
          <w:shd w:val="clear" w:color="auto" w:fill="FFFFFF"/>
        </w:rPr>
      </w:pPr>
      <w:r>
        <w:rPr>
          <w:rFonts w:hint="eastAsia" w:ascii="仿宋" w:hAnsi="仿宋" w:eastAsia="仿宋" w:cs="仿宋"/>
          <w:b/>
          <w:color w:val="333333"/>
          <w:kern w:val="0"/>
          <w:sz w:val="28"/>
          <w:szCs w:val="28"/>
          <w:u w:val="none"/>
          <w:shd w:val="clear" w:color="auto" w:fill="FFFFFF"/>
          <w:lang w:eastAsia="zh-CN"/>
        </w:rPr>
        <w:t>启东市日新河粮库地磅采购与安装项目</w:t>
      </w:r>
    </w:p>
    <w:p w14:paraId="53540EF9">
      <w:pPr>
        <w:pStyle w:val="10"/>
        <w:rPr>
          <w:rFonts w:hint="eastAsia" w:ascii="仿宋" w:hAnsi="仿宋" w:eastAsia="仿宋" w:cs="仿宋"/>
          <w:b/>
          <w:color w:val="333333"/>
          <w:sz w:val="28"/>
          <w:szCs w:val="28"/>
          <w:shd w:val="clear" w:color="auto" w:fill="FFFFFF"/>
        </w:rPr>
      </w:pPr>
    </w:p>
    <w:tbl>
      <w:tblPr>
        <w:tblStyle w:val="1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930"/>
        <w:gridCol w:w="1769"/>
        <w:gridCol w:w="2254"/>
        <w:gridCol w:w="1602"/>
        <w:gridCol w:w="1695"/>
      </w:tblGrid>
      <w:tr w14:paraId="5F82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48" w:type="dxa"/>
            <w:vAlign w:val="center"/>
          </w:tcPr>
          <w:p w14:paraId="24C3B9E5">
            <w:pPr>
              <w:rPr>
                <w:rFonts w:ascii="宋体"/>
                <w:highlight w:val="none"/>
              </w:rPr>
            </w:pPr>
            <w:r>
              <w:rPr>
                <w:rFonts w:hint="eastAsia" w:ascii="仿宋" w:hAnsi="仿宋" w:eastAsia="仿宋" w:cs="仿宋"/>
                <w:b/>
                <w:color w:val="333333"/>
                <w:sz w:val="28"/>
                <w:szCs w:val="28"/>
                <w:shd w:val="clear" w:color="auto" w:fill="FFFFFF"/>
              </w:rPr>
              <w:br w:type="page"/>
            </w:r>
            <w:r>
              <w:rPr>
                <w:rFonts w:hint="eastAsia" w:ascii="宋体" w:hAnsi="宋体" w:cs="宋体"/>
                <w:highlight w:val="none"/>
              </w:rPr>
              <w:t>序号</w:t>
            </w:r>
          </w:p>
        </w:tc>
        <w:tc>
          <w:tcPr>
            <w:tcW w:w="1930" w:type="dxa"/>
            <w:vAlign w:val="center"/>
          </w:tcPr>
          <w:p w14:paraId="2CC6FAE3">
            <w:pPr>
              <w:widowControl/>
              <w:jc w:val="center"/>
              <w:rPr>
                <w:rFonts w:ascii="宋体"/>
                <w:highlight w:val="none"/>
              </w:rPr>
            </w:pPr>
            <w:r>
              <w:rPr>
                <w:rFonts w:hint="eastAsia" w:ascii="宋体" w:hAnsi="宋体" w:cs="宋体"/>
                <w:highlight w:val="none"/>
              </w:rPr>
              <w:t>货物名称</w:t>
            </w:r>
          </w:p>
        </w:tc>
        <w:tc>
          <w:tcPr>
            <w:tcW w:w="1769" w:type="dxa"/>
            <w:vAlign w:val="center"/>
          </w:tcPr>
          <w:p w14:paraId="48E0BDD9">
            <w:pPr>
              <w:widowControl/>
              <w:jc w:val="center"/>
              <w:rPr>
                <w:rFonts w:ascii="宋体"/>
                <w:highlight w:val="none"/>
              </w:rPr>
            </w:pPr>
            <w:r>
              <w:rPr>
                <w:rFonts w:hint="eastAsia" w:ascii="宋体" w:hAnsi="宋体" w:cs="宋体"/>
                <w:highlight w:val="none"/>
              </w:rPr>
              <w:t>采购要求</w:t>
            </w:r>
          </w:p>
        </w:tc>
        <w:tc>
          <w:tcPr>
            <w:tcW w:w="2254" w:type="dxa"/>
            <w:vAlign w:val="center"/>
          </w:tcPr>
          <w:p w14:paraId="26B8AB53">
            <w:pPr>
              <w:widowControl/>
              <w:jc w:val="center"/>
              <w:rPr>
                <w:rFonts w:hint="eastAsia" w:ascii="宋体" w:eastAsiaTheme="minorEastAsia"/>
                <w:highlight w:val="none"/>
                <w:lang w:eastAsia="zh-CN"/>
              </w:rPr>
            </w:pPr>
            <w:r>
              <w:rPr>
                <w:rFonts w:hint="eastAsia" w:ascii="宋体" w:hAnsi="宋体" w:cs="宋体"/>
                <w:highlight w:val="none"/>
              </w:rPr>
              <w:t>报价货物</w:t>
            </w:r>
            <w:r>
              <w:rPr>
                <w:rFonts w:hint="eastAsia" w:ascii="宋体" w:hAnsi="宋体" w:cs="宋体"/>
                <w:highlight w:val="none"/>
                <w:lang w:eastAsia="zh-CN"/>
              </w:rPr>
              <w:t>参数</w:t>
            </w:r>
          </w:p>
        </w:tc>
        <w:tc>
          <w:tcPr>
            <w:tcW w:w="1602" w:type="dxa"/>
            <w:vAlign w:val="center"/>
          </w:tcPr>
          <w:p w14:paraId="53CE12BA">
            <w:pPr>
              <w:snapToGrid w:val="0"/>
              <w:spacing w:line="240" w:lineRule="atLeast"/>
              <w:jc w:val="center"/>
              <w:rPr>
                <w:rFonts w:hint="eastAsia" w:ascii="宋体" w:hAnsi="宋体" w:cs="宋体" w:eastAsiaTheme="minorEastAsia"/>
                <w:highlight w:val="none"/>
                <w:lang w:eastAsia="zh-CN"/>
              </w:rPr>
            </w:pPr>
            <w:r>
              <w:rPr>
                <w:rFonts w:hint="eastAsia" w:ascii="宋体" w:hAnsi="宋体" w:cs="宋体"/>
                <w:highlight w:val="none"/>
                <w:lang w:eastAsia="zh-CN"/>
              </w:rPr>
              <w:t>所投货物品牌及型号</w:t>
            </w:r>
          </w:p>
        </w:tc>
        <w:tc>
          <w:tcPr>
            <w:tcW w:w="1695" w:type="dxa"/>
            <w:vAlign w:val="center"/>
          </w:tcPr>
          <w:p w14:paraId="7F7E9332">
            <w:pPr>
              <w:widowControl/>
              <w:jc w:val="center"/>
              <w:rPr>
                <w:rFonts w:ascii="宋体"/>
                <w:highlight w:val="none"/>
              </w:rPr>
            </w:pPr>
            <w:r>
              <w:rPr>
                <w:rFonts w:hint="eastAsia" w:ascii="宋体" w:hAnsi="宋体" w:cs="宋体"/>
                <w:highlight w:val="none"/>
              </w:rPr>
              <w:t>报价货物参数响应度</w:t>
            </w:r>
          </w:p>
          <w:p w14:paraId="002DC9E7">
            <w:pPr>
              <w:snapToGrid w:val="0"/>
              <w:spacing w:line="240" w:lineRule="atLeast"/>
              <w:jc w:val="center"/>
              <w:rPr>
                <w:rFonts w:ascii="宋体"/>
                <w:b/>
                <w:bCs/>
                <w:sz w:val="24"/>
                <w:highlight w:val="none"/>
              </w:rPr>
            </w:pPr>
            <w:r>
              <w:rPr>
                <w:rFonts w:hint="eastAsia" w:ascii="宋体" w:hAnsi="宋体" w:cs="宋体"/>
                <w:highlight w:val="none"/>
              </w:rPr>
              <w:t>（正偏离、满足、负偏离）</w:t>
            </w:r>
          </w:p>
        </w:tc>
      </w:tr>
      <w:tr w14:paraId="746C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2F3FDAFA">
            <w:pPr>
              <w:widowControl/>
              <w:jc w:val="center"/>
              <w:rPr>
                <w:rFonts w:ascii="宋体"/>
                <w:highlight w:val="none"/>
              </w:rPr>
            </w:pPr>
            <w:r>
              <w:rPr>
                <w:rFonts w:ascii="宋体" w:hAnsi="宋体" w:cs="宋体"/>
                <w:highlight w:val="none"/>
              </w:rPr>
              <w:t>1</w:t>
            </w:r>
          </w:p>
        </w:tc>
        <w:tc>
          <w:tcPr>
            <w:tcW w:w="1930" w:type="dxa"/>
            <w:vAlign w:val="center"/>
          </w:tcPr>
          <w:p w14:paraId="1326FFD0">
            <w:pPr>
              <w:spacing w:line="240" w:lineRule="atLeast"/>
              <w:jc w:val="center"/>
              <w:rPr>
                <w:rFonts w:ascii="仿宋_GB2312" w:hAnsi="宋体" w:eastAsia="仿宋_GB2312"/>
                <w:sz w:val="24"/>
                <w:highlight w:val="none"/>
              </w:rPr>
            </w:pPr>
          </w:p>
        </w:tc>
        <w:tc>
          <w:tcPr>
            <w:tcW w:w="1769" w:type="dxa"/>
            <w:vAlign w:val="center"/>
          </w:tcPr>
          <w:p w14:paraId="1330FDE5">
            <w:pPr>
              <w:widowControl/>
              <w:spacing w:line="240" w:lineRule="atLeast"/>
              <w:jc w:val="center"/>
              <w:rPr>
                <w:rFonts w:ascii="宋体"/>
                <w:sz w:val="24"/>
                <w:highlight w:val="none"/>
              </w:rPr>
            </w:pPr>
          </w:p>
        </w:tc>
        <w:tc>
          <w:tcPr>
            <w:tcW w:w="2254" w:type="dxa"/>
            <w:vAlign w:val="center"/>
          </w:tcPr>
          <w:p w14:paraId="6B420F91">
            <w:pPr>
              <w:snapToGrid w:val="0"/>
              <w:spacing w:line="240" w:lineRule="atLeast"/>
              <w:jc w:val="center"/>
              <w:rPr>
                <w:rFonts w:ascii="宋体"/>
                <w:sz w:val="24"/>
                <w:highlight w:val="none"/>
              </w:rPr>
            </w:pPr>
          </w:p>
        </w:tc>
        <w:tc>
          <w:tcPr>
            <w:tcW w:w="1602" w:type="dxa"/>
            <w:vAlign w:val="center"/>
          </w:tcPr>
          <w:p w14:paraId="70E03CB9">
            <w:pPr>
              <w:snapToGrid w:val="0"/>
              <w:spacing w:line="240" w:lineRule="atLeast"/>
              <w:jc w:val="center"/>
              <w:rPr>
                <w:rFonts w:ascii="宋体"/>
                <w:sz w:val="24"/>
                <w:highlight w:val="none"/>
              </w:rPr>
            </w:pPr>
          </w:p>
        </w:tc>
        <w:tc>
          <w:tcPr>
            <w:tcW w:w="1695" w:type="dxa"/>
            <w:vAlign w:val="center"/>
          </w:tcPr>
          <w:p w14:paraId="2A543623">
            <w:pPr>
              <w:snapToGrid w:val="0"/>
              <w:spacing w:line="240" w:lineRule="atLeast"/>
              <w:jc w:val="center"/>
              <w:rPr>
                <w:rFonts w:ascii="宋体"/>
                <w:sz w:val="24"/>
                <w:highlight w:val="none"/>
              </w:rPr>
            </w:pPr>
          </w:p>
        </w:tc>
      </w:tr>
      <w:tr w14:paraId="2E943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6EA978C8">
            <w:pPr>
              <w:widowControl/>
              <w:jc w:val="center"/>
              <w:rPr>
                <w:rFonts w:ascii="宋体"/>
                <w:highlight w:val="none"/>
              </w:rPr>
            </w:pPr>
            <w:r>
              <w:rPr>
                <w:rFonts w:ascii="宋体" w:hAnsi="宋体" w:cs="宋体"/>
                <w:highlight w:val="none"/>
              </w:rPr>
              <w:t>2</w:t>
            </w:r>
          </w:p>
        </w:tc>
        <w:tc>
          <w:tcPr>
            <w:tcW w:w="1930" w:type="dxa"/>
            <w:vAlign w:val="center"/>
          </w:tcPr>
          <w:p w14:paraId="64D9E15C">
            <w:pPr>
              <w:widowControl/>
              <w:spacing w:line="240" w:lineRule="atLeast"/>
              <w:jc w:val="center"/>
              <w:rPr>
                <w:rFonts w:ascii="仿宋_GB2312" w:hAnsi="宋体" w:eastAsia="仿宋_GB2312"/>
                <w:sz w:val="24"/>
                <w:highlight w:val="none"/>
              </w:rPr>
            </w:pPr>
          </w:p>
        </w:tc>
        <w:tc>
          <w:tcPr>
            <w:tcW w:w="1769" w:type="dxa"/>
            <w:vAlign w:val="center"/>
          </w:tcPr>
          <w:p w14:paraId="21D4A42F">
            <w:pPr>
              <w:widowControl/>
              <w:spacing w:line="240" w:lineRule="atLeast"/>
              <w:jc w:val="center"/>
              <w:rPr>
                <w:rFonts w:ascii="宋体"/>
                <w:szCs w:val="22"/>
                <w:highlight w:val="none"/>
              </w:rPr>
            </w:pPr>
          </w:p>
        </w:tc>
        <w:tc>
          <w:tcPr>
            <w:tcW w:w="2254" w:type="dxa"/>
            <w:vAlign w:val="center"/>
          </w:tcPr>
          <w:p w14:paraId="056DA6EF">
            <w:pPr>
              <w:snapToGrid w:val="0"/>
              <w:spacing w:line="240" w:lineRule="atLeast"/>
              <w:jc w:val="center"/>
              <w:rPr>
                <w:rFonts w:ascii="宋体"/>
                <w:sz w:val="24"/>
                <w:highlight w:val="none"/>
              </w:rPr>
            </w:pPr>
          </w:p>
        </w:tc>
        <w:tc>
          <w:tcPr>
            <w:tcW w:w="1602" w:type="dxa"/>
            <w:vAlign w:val="center"/>
          </w:tcPr>
          <w:p w14:paraId="4817D533">
            <w:pPr>
              <w:snapToGrid w:val="0"/>
              <w:spacing w:line="240" w:lineRule="atLeast"/>
              <w:jc w:val="center"/>
              <w:rPr>
                <w:rFonts w:ascii="宋体"/>
                <w:sz w:val="24"/>
                <w:highlight w:val="none"/>
              </w:rPr>
            </w:pPr>
          </w:p>
        </w:tc>
        <w:tc>
          <w:tcPr>
            <w:tcW w:w="1695" w:type="dxa"/>
            <w:vAlign w:val="center"/>
          </w:tcPr>
          <w:p w14:paraId="5E1B4D99">
            <w:pPr>
              <w:snapToGrid w:val="0"/>
              <w:spacing w:line="240" w:lineRule="atLeast"/>
              <w:jc w:val="center"/>
              <w:rPr>
                <w:rFonts w:ascii="宋体"/>
                <w:sz w:val="24"/>
                <w:highlight w:val="none"/>
              </w:rPr>
            </w:pPr>
          </w:p>
        </w:tc>
      </w:tr>
      <w:tr w14:paraId="3A9F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7946DFCA">
            <w:pPr>
              <w:widowControl/>
              <w:jc w:val="center"/>
              <w:rPr>
                <w:rFonts w:ascii="宋体"/>
                <w:highlight w:val="none"/>
              </w:rPr>
            </w:pPr>
            <w:r>
              <w:rPr>
                <w:rFonts w:ascii="宋体" w:hAnsi="宋体" w:cs="宋体"/>
                <w:highlight w:val="none"/>
              </w:rPr>
              <w:t>3</w:t>
            </w:r>
          </w:p>
        </w:tc>
        <w:tc>
          <w:tcPr>
            <w:tcW w:w="1930" w:type="dxa"/>
            <w:vAlign w:val="center"/>
          </w:tcPr>
          <w:p w14:paraId="129B73A4">
            <w:pPr>
              <w:widowControl/>
              <w:spacing w:line="240" w:lineRule="atLeast"/>
              <w:jc w:val="center"/>
              <w:rPr>
                <w:rFonts w:ascii="仿宋_GB2312" w:hAnsi="宋体" w:eastAsia="仿宋_GB2312"/>
                <w:sz w:val="24"/>
                <w:highlight w:val="none"/>
              </w:rPr>
            </w:pPr>
          </w:p>
        </w:tc>
        <w:tc>
          <w:tcPr>
            <w:tcW w:w="1769" w:type="dxa"/>
            <w:vAlign w:val="center"/>
          </w:tcPr>
          <w:p w14:paraId="10CB2469">
            <w:pPr>
              <w:widowControl/>
              <w:spacing w:line="240" w:lineRule="atLeast"/>
              <w:jc w:val="center"/>
              <w:rPr>
                <w:rFonts w:ascii="宋体"/>
                <w:szCs w:val="22"/>
                <w:highlight w:val="none"/>
              </w:rPr>
            </w:pPr>
          </w:p>
        </w:tc>
        <w:tc>
          <w:tcPr>
            <w:tcW w:w="2254" w:type="dxa"/>
            <w:vAlign w:val="center"/>
          </w:tcPr>
          <w:p w14:paraId="584A30BD">
            <w:pPr>
              <w:snapToGrid w:val="0"/>
              <w:spacing w:line="240" w:lineRule="atLeast"/>
              <w:jc w:val="center"/>
              <w:rPr>
                <w:rFonts w:ascii="宋体"/>
                <w:sz w:val="24"/>
                <w:highlight w:val="none"/>
              </w:rPr>
            </w:pPr>
          </w:p>
        </w:tc>
        <w:tc>
          <w:tcPr>
            <w:tcW w:w="1602" w:type="dxa"/>
            <w:vAlign w:val="center"/>
          </w:tcPr>
          <w:p w14:paraId="6CEDCEB5">
            <w:pPr>
              <w:snapToGrid w:val="0"/>
              <w:spacing w:line="240" w:lineRule="atLeast"/>
              <w:jc w:val="center"/>
              <w:rPr>
                <w:rFonts w:ascii="宋体"/>
                <w:sz w:val="24"/>
                <w:highlight w:val="none"/>
              </w:rPr>
            </w:pPr>
          </w:p>
        </w:tc>
        <w:tc>
          <w:tcPr>
            <w:tcW w:w="1695" w:type="dxa"/>
            <w:vAlign w:val="center"/>
          </w:tcPr>
          <w:p w14:paraId="1660F40A">
            <w:pPr>
              <w:snapToGrid w:val="0"/>
              <w:spacing w:line="240" w:lineRule="atLeast"/>
              <w:jc w:val="center"/>
              <w:rPr>
                <w:rFonts w:ascii="宋体"/>
                <w:sz w:val="24"/>
                <w:highlight w:val="none"/>
              </w:rPr>
            </w:pPr>
          </w:p>
        </w:tc>
      </w:tr>
      <w:tr w14:paraId="30CC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72AD5CAD">
            <w:pPr>
              <w:widowControl/>
              <w:jc w:val="center"/>
              <w:rPr>
                <w:rFonts w:ascii="宋体"/>
                <w:highlight w:val="none"/>
              </w:rPr>
            </w:pPr>
            <w:r>
              <w:rPr>
                <w:rFonts w:ascii="宋体" w:hAnsi="宋体" w:cs="宋体"/>
                <w:highlight w:val="none"/>
              </w:rPr>
              <w:t>4</w:t>
            </w:r>
          </w:p>
        </w:tc>
        <w:tc>
          <w:tcPr>
            <w:tcW w:w="1930" w:type="dxa"/>
            <w:vAlign w:val="center"/>
          </w:tcPr>
          <w:p w14:paraId="7B6AFC7F">
            <w:pPr>
              <w:widowControl/>
              <w:spacing w:line="240" w:lineRule="atLeast"/>
              <w:jc w:val="center"/>
              <w:rPr>
                <w:rFonts w:ascii="仿宋_GB2312" w:hAnsi="宋体" w:eastAsia="仿宋_GB2312"/>
                <w:sz w:val="24"/>
                <w:highlight w:val="none"/>
              </w:rPr>
            </w:pPr>
          </w:p>
        </w:tc>
        <w:tc>
          <w:tcPr>
            <w:tcW w:w="1769" w:type="dxa"/>
            <w:vAlign w:val="center"/>
          </w:tcPr>
          <w:p w14:paraId="6A32E191">
            <w:pPr>
              <w:widowControl/>
              <w:spacing w:line="240" w:lineRule="atLeast"/>
              <w:jc w:val="center"/>
              <w:rPr>
                <w:rFonts w:ascii="宋体"/>
                <w:szCs w:val="22"/>
                <w:highlight w:val="none"/>
              </w:rPr>
            </w:pPr>
          </w:p>
        </w:tc>
        <w:tc>
          <w:tcPr>
            <w:tcW w:w="2254" w:type="dxa"/>
            <w:vAlign w:val="center"/>
          </w:tcPr>
          <w:p w14:paraId="5B74FE90">
            <w:pPr>
              <w:snapToGrid w:val="0"/>
              <w:spacing w:line="240" w:lineRule="atLeast"/>
              <w:jc w:val="center"/>
              <w:rPr>
                <w:rFonts w:ascii="宋体"/>
                <w:sz w:val="24"/>
                <w:highlight w:val="none"/>
              </w:rPr>
            </w:pPr>
          </w:p>
        </w:tc>
        <w:tc>
          <w:tcPr>
            <w:tcW w:w="1602" w:type="dxa"/>
            <w:vAlign w:val="center"/>
          </w:tcPr>
          <w:p w14:paraId="69C7AF49">
            <w:pPr>
              <w:snapToGrid w:val="0"/>
              <w:spacing w:line="240" w:lineRule="atLeast"/>
              <w:jc w:val="center"/>
              <w:rPr>
                <w:rFonts w:ascii="宋体"/>
                <w:sz w:val="24"/>
                <w:highlight w:val="none"/>
              </w:rPr>
            </w:pPr>
          </w:p>
        </w:tc>
        <w:tc>
          <w:tcPr>
            <w:tcW w:w="1695" w:type="dxa"/>
            <w:vAlign w:val="center"/>
          </w:tcPr>
          <w:p w14:paraId="0B41FC71">
            <w:pPr>
              <w:snapToGrid w:val="0"/>
              <w:spacing w:line="240" w:lineRule="atLeast"/>
              <w:jc w:val="center"/>
              <w:rPr>
                <w:rFonts w:ascii="宋体"/>
                <w:sz w:val="24"/>
                <w:highlight w:val="none"/>
              </w:rPr>
            </w:pPr>
          </w:p>
        </w:tc>
      </w:tr>
      <w:tr w14:paraId="1D0E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44D58624">
            <w:pPr>
              <w:widowControl/>
              <w:jc w:val="center"/>
              <w:rPr>
                <w:rFonts w:ascii="宋体"/>
                <w:highlight w:val="none"/>
              </w:rPr>
            </w:pPr>
            <w:r>
              <w:rPr>
                <w:rFonts w:ascii="宋体" w:hAnsi="宋体" w:cs="宋体"/>
                <w:highlight w:val="none"/>
              </w:rPr>
              <w:t>5</w:t>
            </w:r>
          </w:p>
        </w:tc>
        <w:tc>
          <w:tcPr>
            <w:tcW w:w="1930" w:type="dxa"/>
            <w:vAlign w:val="center"/>
          </w:tcPr>
          <w:p w14:paraId="35D80633">
            <w:pPr>
              <w:widowControl/>
              <w:spacing w:line="240" w:lineRule="atLeast"/>
              <w:jc w:val="center"/>
              <w:rPr>
                <w:rFonts w:ascii="仿宋_GB2312" w:hAnsi="宋体" w:eastAsia="仿宋_GB2312"/>
                <w:sz w:val="24"/>
                <w:highlight w:val="none"/>
              </w:rPr>
            </w:pPr>
          </w:p>
        </w:tc>
        <w:tc>
          <w:tcPr>
            <w:tcW w:w="1769" w:type="dxa"/>
            <w:vAlign w:val="center"/>
          </w:tcPr>
          <w:p w14:paraId="37337495">
            <w:pPr>
              <w:widowControl/>
              <w:spacing w:line="240" w:lineRule="atLeast"/>
              <w:jc w:val="center"/>
              <w:rPr>
                <w:rFonts w:ascii="宋体"/>
                <w:szCs w:val="22"/>
                <w:highlight w:val="none"/>
              </w:rPr>
            </w:pPr>
          </w:p>
        </w:tc>
        <w:tc>
          <w:tcPr>
            <w:tcW w:w="2254" w:type="dxa"/>
            <w:vAlign w:val="center"/>
          </w:tcPr>
          <w:p w14:paraId="6B7AB786">
            <w:pPr>
              <w:snapToGrid w:val="0"/>
              <w:spacing w:line="240" w:lineRule="atLeast"/>
              <w:jc w:val="center"/>
              <w:rPr>
                <w:rFonts w:ascii="宋体"/>
                <w:sz w:val="24"/>
                <w:highlight w:val="none"/>
              </w:rPr>
            </w:pPr>
          </w:p>
        </w:tc>
        <w:tc>
          <w:tcPr>
            <w:tcW w:w="1602" w:type="dxa"/>
            <w:vAlign w:val="center"/>
          </w:tcPr>
          <w:p w14:paraId="671D909A">
            <w:pPr>
              <w:snapToGrid w:val="0"/>
              <w:spacing w:line="240" w:lineRule="atLeast"/>
              <w:jc w:val="center"/>
              <w:rPr>
                <w:rFonts w:ascii="宋体"/>
                <w:sz w:val="24"/>
                <w:highlight w:val="none"/>
              </w:rPr>
            </w:pPr>
          </w:p>
        </w:tc>
        <w:tc>
          <w:tcPr>
            <w:tcW w:w="1695" w:type="dxa"/>
            <w:vAlign w:val="center"/>
          </w:tcPr>
          <w:p w14:paraId="63C252B8">
            <w:pPr>
              <w:snapToGrid w:val="0"/>
              <w:spacing w:line="240" w:lineRule="atLeast"/>
              <w:jc w:val="center"/>
              <w:rPr>
                <w:rFonts w:ascii="宋体"/>
                <w:sz w:val="24"/>
                <w:highlight w:val="none"/>
              </w:rPr>
            </w:pPr>
          </w:p>
        </w:tc>
      </w:tr>
      <w:tr w14:paraId="6064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 w:type="dxa"/>
            <w:vAlign w:val="center"/>
          </w:tcPr>
          <w:p w14:paraId="75A5DD7D">
            <w:pPr>
              <w:widowControl/>
              <w:jc w:val="center"/>
              <w:rPr>
                <w:rFonts w:ascii="宋体"/>
                <w:highlight w:val="none"/>
              </w:rPr>
            </w:pPr>
            <w:r>
              <w:rPr>
                <w:rFonts w:hint="eastAsia" w:ascii="宋体" w:hAnsi="宋体" w:cs="宋体"/>
                <w:highlight w:val="none"/>
              </w:rPr>
              <w:t>……</w:t>
            </w:r>
          </w:p>
        </w:tc>
        <w:tc>
          <w:tcPr>
            <w:tcW w:w="1930" w:type="dxa"/>
            <w:vAlign w:val="center"/>
          </w:tcPr>
          <w:p w14:paraId="5180B193">
            <w:pPr>
              <w:widowControl/>
              <w:spacing w:line="240" w:lineRule="atLeast"/>
              <w:jc w:val="center"/>
              <w:rPr>
                <w:rFonts w:ascii="仿宋_GB2312" w:hAnsi="宋体" w:eastAsia="仿宋_GB2312"/>
                <w:sz w:val="24"/>
                <w:highlight w:val="none"/>
              </w:rPr>
            </w:pPr>
          </w:p>
        </w:tc>
        <w:tc>
          <w:tcPr>
            <w:tcW w:w="1769" w:type="dxa"/>
            <w:vAlign w:val="center"/>
          </w:tcPr>
          <w:p w14:paraId="46E7FF05">
            <w:pPr>
              <w:widowControl/>
              <w:spacing w:line="240" w:lineRule="atLeast"/>
              <w:jc w:val="center"/>
              <w:rPr>
                <w:rFonts w:ascii="宋体"/>
                <w:szCs w:val="22"/>
                <w:highlight w:val="none"/>
              </w:rPr>
            </w:pPr>
          </w:p>
        </w:tc>
        <w:tc>
          <w:tcPr>
            <w:tcW w:w="2254" w:type="dxa"/>
            <w:vAlign w:val="center"/>
          </w:tcPr>
          <w:p w14:paraId="6E4FD43D">
            <w:pPr>
              <w:snapToGrid w:val="0"/>
              <w:spacing w:line="240" w:lineRule="atLeast"/>
              <w:jc w:val="center"/>
              <w:rPr>
                <w:rFonts w:ascii="宋体"/>
                <w:sz w:val="24"/>
                <w:highlight w:val="none"/>
              </w:rPr>
            </w:pPr>
          </w:p>
        </w:tc>
        <w:tc>
          <w:tcPr>
            <w:tcW w:w="1602" w:type="dxa"/>
            <w:vAlign w:val="center"/>
          </w:tcPr>
          <w:p w14:paraId="47A3C108">
            <w:pPr>
              <w:snapToGrid w:val="0"/>
              <w:spacing w:line="240" w:lineRule="atLeast"/>
              <w:jc w:val="center"/>
              <w:rPr>
                <w:rFonts w:ascii="宋体"/>
                <w:sz w:val="24"/>
                <w:highlight w:val="none"/>
              </w:rPr>
            </w:pPr>
          </w:p>
        </w:tc>
        <w:tc>
          <w:tcPr>
            <w:tcW w:w="1695" w:type="dxa"/>
            <w:vAlign w:val="center"/>
          </w:tcPr>
          <w:p w14:paraId="6CA6C0E8">
            <w:pPr>
              <w:snapToGrid w:val="0"/>
              <w:spacing w:line="240" w:lineRule="atLeast"/>
              <w:jc w:val="center"/>
              <w:rPr>
                <w:rFonts w:ascii="宋体"/>
                <w:sz w:val="24"/>
                <w:highlight w:val="none"/>
              </w:rPr>
            </w:pPr>
          </w:p>
        </w:tc>
      </w:tr>
    </w:tbl>
    <w:p w14:paraId="4F022262">
      <w:pPr>
        <w:widowControl/>
        <w:shd w:val="clear" w:color="auto" w:fill="FFFFFF"/>
        <w:snapToGrid w:val="0"/>
        <w:spacing w:line="440" w:lineRule="exact"/>
        <w:ind w:firstLine="560" w:firstLineChars="200"/>
        <w:jc w:val="left"/>
        <w:rPr>
          <w:rFonts w:ascii="宋体" w:hAnsi="宋体" w:cs="宋体"/>
          <w:kern w:val="0"/>
          <w:sz w:val="28"/>
          <w:highlight w:val="none"/>
          <w:u w:val="single"/>
        </w:rPr>
      </w:pPr>
      <w:r>
        <w:rPr>
          <w:rFonts w:hint="eastAsia" w:ascii="宋体" w:hAnsi="宋体" w:cs="宋体"/>
          <w:kern w:val="0"/>
          <w:sz w:val="28"/>
          <w:highlight w:val="none"/>
          <w:u w:val="single"/>
        </w:rPr>
        <w:t>注：本表须为打印，手写无效。</w:t>
      </w:r>
    </w:p>
    <w:p w14:paraId="5C9C595C">
      <w:pPr>
        <w:widowControl/>
        <w:shd w:val="clear" w:color="auto" w:fill="FFFFFF"/>
        <w:snapToGrid w:val="0"/>
        <w:spacing w:line="440" w:lineRule="exact"/>
        <w:ind w:firstLine="560" w:firstLineChars="200"/>
        <w:jc w:val="left"/>
        <w:rPr>
          <w:rFonts w:ascii="宋体" w:hAnsi="宋体" w:cs="宋体"/>
          <w:kern w:val="0"/>
          <w:sz w:val="28"/>
          <w:highlight w:val="none"/>
        </w:rPr>
      </w:pPr>
    </w:p>
    <w:p w14:paraId="36AFEE3B">
      <w:pPr>
        <w:widowControl/>
        <w:shd w:val="clear" w:color="auto" w:fill="FFFFFF"/>
        <w:snapToGrid w:val="0"/>
        <w:spacing w:line="440" w:lineRule="exact"/>
        <w:ind w:firstLine="560" w:firstLineChars="200"/>
        <w:jc w:val="left"/>
        <w:rPr>
          <w:rFonts w:ascii="宋体" w:hAnsi="宋体" w:cs="宋体"/>
          <w:kern w:val="0"/>
          <w:sz w:val="28"/>
          <w:highlight w:val="none"/>
        </w:rPr>
      </w:pPr>
    </w:p>
    <w:p w14:paraId="5738C4A2">
      <w:pPr>
        <w:widowControl/>
        <w:shd w:val="clear" w:color="auto" w:fill="FFFFFF"/>
        <w:snapToGrid w:val="0"/>
        <w:spacing w:line="440" w:lineRule="exact"/>
        <w:ind w:firstLine="560" w:firstLineChars="200"/>
        <w:jc w:val="left"/>
        <w:rPr>
          <w:rFonts w:ascii="宋体" w:hAnsi="宋体" w:cs="宋体"/>
          <w:kern w:val="0"/>
          <w:sz w:val="24"/>
          <w:highlight w:val="none"/>
        </w:rPr>
      </w:pPr>
      <w:r>
        <w:rPr>
          <w:rFonts w:hint="eastAsia" w:ascii="宋体" w:hAnsi="宋体" w:cs="宋体"/>
          <w:kern w:val="0"/>
          <w:sz w:val="28"/>
          <w:highlight w:val="none"/>
        </w:rPr>
        <w:t>报价单位（盖章）：</w:t>
      </w:r>
    </w:p>
    <w:p w14:paraId="24D5C8B7">
      <w:pPr>
        <w:rPr>
          <w:rFonts w:hint="eastAsia" w:ascii="宋体" w:hAnsi="宋体" w:eastAsia="宋体" w:cs="宋体"/>
          <w:b/>
          <w:color w:val="333333"/>
          <w:kern w:val="0"/>
          <w:sz w:val="28"/>
          <w:szCs w:val="28"/>
          <w:shd w:val="clear" w:color="auto" w:fill="FFFFFF"/>
          <w:lang w:eastAsia="zh-CN"/>
        </w:rPr>
      </w:pPr>
      <w:r>
        <w:rPr>
          <w:rFonts w:hint="eastAsia" w:ascii="宋体" w:hAnsi="宋体" w:cs="宋体"/>
          <w:kern w:val="0"/>
          <w:sz w:val="28"/>
          <w:highlight w:val="none"/>
        </w:rPr>
        <w:t>法人代表</w:t>
      </w:r>
      <w:r>
        <w:rPr>
          <w:rFonts w:hint="eastAsia" w:ascii="宋体" w:hAnsi="宋体" w:cs="宋体"/>
          <w:kern w:val="0"/>
          <w:sz w:val="28"/>
          <w:highlight w:val="none"/>
          <w:lang w:eastAsia="zh-CN"/>
        </w:rPr>
        <w:t>人或被授权人（</w:t>
      </w:r>
      <w:r>
        <w:rPr>
          <w:rFonts w:hint="eastAsia" w:ascii="宋体" w:hAnsi="宋体" w:cs="宋体"/>
          <w:kern w:val="0"/>
          <w:sz w:val="28"/>
          <w:highlight w:val="none"/>
        </w:rPr>
        <w:t>签字</w:t>
      </w:r>
      <w:r>
        <w:rPr>
          <w:rFonts w:hint="eastAsia" w:ascii="宋体" w:hAnsi="宋体" w:cs="宋体"/>
          <w:kern w:val="0"/>
          <w:sz w:val="28"/>
          <w:highlight w:val="none"/>
          <w:lang w:eastAsia="zh-CN"/>
        </w:rPr>
        <w:t>或盖章）</w:t>
      </w:r>
      <w:r>
        <w:rPr>
          <w:rFonts w:hint="eastAsia" w:ascii="宋体" w:hAnsi="宋体" w:cs="宋体"/>
          <w:kern w:val="0"/>
          <w:sz w:val="28"/>
          <w:highlight w:val="none"/>
        </w:rPr>
        <w:t>：</w:t>
      </w:r>
    </w:p>
    <w:p w14:paraId="46A138FE">
      <w:pPr>
        <w:rPr>
          <w:rFonts w:hint="eastAsia" w:ascii="宋体" w:hAnsi="宋体" w:eastAsia="宋体" w:cs="宋体"/>
          <w:b/>
          <w:color w:val="333333"/>
          <w:kern w:val="0"/>
          <w:sz w:val="28"/>
          <w:szCs w:val="28"/>
          <w:shd w:val="clear" w:color="auto" w:fill="FFFFFF"/>
          <w:lang w:eastAsia="zh-CN"/>
        </w:rPr>
      </w:pPr>
      <w:r>
        <w:rPr>
          <w:rFonts w:hint="eastAsia" w:ascii="宋体" w:hAnsi="宋体" w:eastAsia="宋体" w:cs="宋体"/>
          <w:b/>
          <w:color w:val="333333"/>
          <w:kern w:val="0"/>
          <w:sz w:val="28"/>
          <w:szCs w:val="28"/>
          <w:shd w:val="clear" w:color="auto" w:fill="FFFFFF"/>
          <w:lang w:eastAsia="zh-CN"/>
        </w:rPr>
        <w:br w:type="page"/>
      </w:r>
    </w:p>
    <w:p w14:paraId="464A8239">
      <w:pPr>
        <w:widowControl/>
        <w:shd w:val="clear" w:color="auto" w:fill="FFFFFF"/>
        <w:snapToGrid w:val="0"/>
        <w:spacing w:line="440" w:lineRule="exact"/>
        <w:ind w:firstLine="562" w:firstLineChars="200"/>
        <w:jc w:val="left"/>
        <w:rPr>
          <w:rFonts w:ascii="宋体" w:hAnsi="宋体" w:eastAsia="宋体" w:cs="Times New Roman"/>
          <w:b/>
          <w:color w:val="000000"/>
          <w:sz w:val="28"/>
          <w:szCs w:val="28"/>
        </w:rPr>
      </w:pPr>
      <w:r>
        <w:rPr>
          <w:rFonts w:hint="eastAsia" w:ascii="仿宋" w:hAnsi="仿宋" w:eastAsia="仿宋" w:cs="仿宋"/>
          <w:b/>
          <w:sz w:val="28"/>
          <w:szCs w:val="28"/>
        </w:rPr>
        <w:t>附件五：</w:t>
      </w:r>
    </w:p>
    <w:p w14:paraId="4600EF7D">
      <w:pPr>
        <w:spacing w:line="50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质 保 承 诺 书</w:t>
      </w:r>
    </w:p>
    <w:p w14:paraId="4479BD64">
      <w:pPr>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启东市地方粮食储备库有限公司：</w:t>
      </w:r>
    </w:p>
    <w:p w14:paraId="16602CDA">
      <w:pPr>
        <w:spacing w:line="520" w:lineRule="exact"/>
        <w:ind w:firstLine="560" w:firstLineChars="200"/>
        <w:rPr>
          <w:rFonts w:hint="eastAsia" w:ascii="仿宋" w:hAnsi="仿宋" w:eastAsia="仿宋" w:cs="仿宋"/>
          <w:color w:val="000000"/>
          <w:sz w:val="28"/>
          <w:szCs w:val="28"/>
        </w:rPr>
      </w:pPr>
    </w:p>
    <w:p w14:paraId="24F738B2">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（投标人全称）授权（姓  名）（职  务）为全权代表，参加</w:t>
      </w:r>
      <w:r>
        <w:rPr>
          <w:rFonts w:hint="eastAsia" w:ascii="仿宋" w:hAnsi="仿宋" w:eastAsia="仿宋" w:cs="仿宋"/>
          <w:color w:val="000000"/>
          <w:sz w:val="28"/>
          <w:szCs w:val="28"/>
          <w:u w:val="single"/>
          <w:lang w:eastAsia="zh-CN"/>
        </w:rPr>
        <w:t>启东市日新河粮库地磅采购与安装项目</w:t>
      </w:r>
      <w:r>
        <w:rPr>
          <w:rFonts w:hint="eastAsia" w:ascii="仿宋" w:hAnsi="仿宋" w:eastAsia="仿宋" w:cs="仿宋"/>
          <w:color w:val="000000"/>
          <w:sz w:val="28"/>
          <w:szCs w:val="28"/>
        </w:rPr>
        <w:t>招标的有关活动，并宣布同意如下：</w:t>
      </w:r>
    </w:p>
    <w:p w14:paraId="4989F626">
      <w:pPr>
        <w:widowControl/>
        <w:spacing w:line="460" w:lineRule="exact"/>
        <w:ind w:firstLine="562" w:firstLineChars="200"/>
        <w:rPr>
          <w:rFonts w:hint="eastAsia" w:ascii="仿宋" w:hAnsi="仿宋" w:eastAsia="仿宋" w:cs="仿宋"/>
          <w:color w:val="333333"/>
          <w:kern w:val="0"/>
          <w:sz w:val="28"/>
          <w:szCs w:val="28"/>
          <w:lang w:eastAsia="zh-CN"/>
        </w:rPr>
      </w:pPr>
      <w:r>
        <w:rPr>
          <w:rFonts w:hint="eastAsia" w:ascii="仿宋" w:hAnsi="仿宋" w:eastAsia="仿宋" w:cs="仿宋"/>
          <w:b/>
          <w:bCs/>
          <w:color w:val="333333"/>
          <w:kern w:val="0"/>
          <w:sz w:val="28"/>
          <w:szCs w:val="28"/>
          <w:lang w:eastAsia="zh-CN"/>
        </w:rPr>
        <w:t>我方完全同意按询价公告商务部分要求中质保、售后和现场服务要求执行。</w:t>
      </w:r>
    </w:p>
    <w:p w14:paraId="4DEB8509">
      <w:pPr>
        <w:pStyle w:val="10"/>
        <w:rPr>
          <w:rFonts w:hint="eastAsia"/>
          <w:lang w:eastAsia="zh-CN"/>
        </w:rPr>
      </w:pPr>
    </w:p>
    <w:p w14:paraId="39A722F9">
      <w:pPr>
        <w:widowControl/>
        <w:spacing w:line="460" w:lineRule="exact"/>
        <w:ind w:firstLine="560" w:firstLineChars="200"/>
        <w:rPr>
          <w:rFonts w:ascii="仿宋" w:hAnsi="仿宋" w:eastAsia="仿宋" w:cs="仿宋"/>
          <w:color w:val="333333"/>
          <w:kern w:val="0"/>
          <w:sz w:val="28"/>
          <w:szCs w:val="28"/>
        </w:rPr>
      </w:pPr>
      <w:r>
        <w:rPr>
          <w:rFonts w:hint="eastAsia" w:ascii="仿宋" w:hAnsi="仿宋" w:eastAsia="仿宋" w:cs="仿宋"/>
          <w:color w:val="333333"/>
          <w:kern w:val="0"/>
          <w:sz w:val="28"/>
          <w:szCs w:val="28"/>
        </w:rPr>
        <w:t>与本项目有关的一切往来通讯请寄：</w:t>
      </w:r>
    </w:p>
    <w:p w14:paraId="779F9047">
      <w:pPr>
        <w:spacing w:line="520" w:lineRule="exact"/>
        <w:ind w:firstLine="560" w:firstLineChars="200"/>
        <w:rPr>
          <w:rFonts w:ascii="仿宋" w:hAnsi="仿宋" w:eastAsia="仿宋" w:cs="仿宋"/>
          <w:color w:val="000000"/>
          <w:sz w:val="28"/>
          <w:szCs w:val="28"/>
        </w:rPr>
      </w:pPr>
    </w:p>
    <w:p w14:paraId="5CD45A32">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　　　　　　　　　　　　　邮编：</w:t>
      </w:r>
    </w:p>
    <w:p w14:paraId="74B62FEA">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　　　　　　　　　　　　　传真：</w:t>
      </w:r>
    </w:p>
    <w:p w14:paraId="6BEB33BA">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投标代表姓名：　　　　　　　　职务：</w:t>
      </w:r>
    </w:p>
    <w:p w14:paraId="0486D513">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报价单位名称（加盖单位公章）：</w:t>
      </w:r>
    </w:p>
    <w:p w14:paraId="1FB7C1B5">
      <w:pPr>
        <w:spacing w:line="52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000000"/>
          <w:sz w:val="28"/>
          <w:szCs w:val="28"/>
        </w:rPr>
        <w:t>日期：        年     月      日</w:t>
      </w:r>
    </w:p>
    <w:p w14:paraId="0F4A23D2">
      <w:pPr>
        <w:rPr>
          <w:rFonts w:hint="eastAsia" w:ascii="宋体" w:hAnsi="宋体" w:eastAsia="宋体" w:cs="宋体"/>
          <w:b/>
          <w:color w:val="333333"/>
          <w:kern w:val="0"/>
          <w:sz w:val="28"/>
          <w:szCs w:val="28"/>
          <w:shd w:val="clear" w:color="auto" w:fill="FFFFFF"/>
          <w:lang w:eastAsia="zh-CN"/>
        </w:rPr>
      </w:pPr>
      <w:r>
        <w:rPr>
          <w:rFonts w:hint="eastAsia" w:ascii="宋体" w:hAnsi="宋体" w:eastAsia="宋体" w:cs="宋体"/>
          <w:b/>
          <w:color w:val="333333"/>
          <w:kern w:val="0"/>
          <w:sz w:val="28"/>
          <w:szCs w:val="28"/>
          <w:shd w:val="clear" w:color="auto" w:fill="FFFFFF"/>
          <w:lang w:eastAsia="zh-CN"/>
        </w:rPr>
        <w:br w:type="page"/>
      </w:r>
    </w:p>
    <w:p w14:paraId="4920A5CF">
      <w:pPr>
        <w:widowControl/>
        <w:spacing w:line="460" w:lineRule="exact"/>
        <w:jc w:val="left"/>
        <w:rPr>
          <w:rFonts w:hint="eastAsia" w:ascii="宋体" w:hAnsi="宋体" w:eastAsia="宋体" w:cs="宋体"/>
          <w:b/>
          <w:color w:val="333333"/>
          <w:kern w:val="0"/>
          <w:sz w:val="28"/>
          <w:szCs w:val="28"/>
          <w:shd w:val="clear" w:color="auto" w:fill="FFFFFF"/>
          <w:lang w:eastAsia="zh-CN"/>
        </w:rPr>
      </w:pPr>
      <w:r>
        <w:rPr>
          <w:rFonts w:hint="eastAsia" w:ascii="宋体" w:hAnsi="宋体" w:eastAsia="宋体" w:cs="宋体"/>
          <w:b/>
          <w:color w:val="333333"/>
          <w:kern w:val="0"/>
          <w:sz w:val="28"/>
          <w:szCs w:val="28"/>
          <w:shd w:val="clear" w:color="auto" w:fill="FFFFFF"/>
          <w:lang w:eastAsia="zh-CN"/>
        </w:rPr>
        <w:t>附件六：</w:t>
      </w:r>
    </w:p>
    <w:p w14:paraId="17A4CA10">
      <w:pPr>
        <w:widowControl/>
        <w:spacing w:line="460" w:lineRule="exact"/>
        <w:jc w:val="center"/>
        <w:rPr>
          <w:rFonts w:hint="eastAsia" w:ascii="宋体" w:hAnsi="宋体" w:eastAsia="宋体" w:cs="宋体"/>
          <w:b/>
          <w:color w:val="333333"/>
          <w:kern w:val="0"/>
          <w:sz w:val="28"/>
          <w:szCs w:val="28"/>
          <w:shd w:val="clear" w:color="auto" w:fill="FFFFFF"/>
          <w:lang w:eastAsia="zh-CN"/>
        </w:rPr>
      </w:pPr>
      <w:r>
        <w:rPr>
          <w:rFonts w:hint="eastAsia" w:ascii="宋体" w:hAnsi="宋体" w:eastAsia="宋体" w:cs="宋体"/>
          <w:b/>
          <w:color w:val="333333"/>
          <w:kern w:val="0"/>
          <w:sz w:val="28"/>
          <w:szCs w:val="28"/>
          <w:shd w:val="clear" w:color="auto" w:fill="FFFFFF"/>
          <w:lang w:eastAsia="zh-CN"/>
        </w:rPr>
        <w:t>启东市日新河粮库地磅采购与安装项目</w:t>
      </w:r>
    </w:p>
    <w:p w14:paraId="56562695">
      <w:pPr>
        <w:widowControl/>
        <w:spacing w:line="460" w:lineRule="exact"/>
        <w:jc w:val="center"/>
        <w:rPr>
          <w:rFonts w:ascii="宋体" w:hAnsi="宋体" w:eastAsia="宋体" w:cs="宋体"/>
          <w:b/>
          <w:color w:val="333333"/>
          <w:kern w:val="0"/>
          <w:sz w:val="28"/>
          <w:szCs w:val="28"/>
          <w:shd w:val="clear" w:color="auto" w:fill="FFFFFF"/>
        </w:rPr>
      </w:pPr>
      <w:r>
        <w:rPr>
          <w:rFonts w:hint="eastAsia" w:ascii="宋体" w:hAnsi="宋体" w:eastAsia="宋体" w:cs="宋体"/>
          <w:b/>
          <w:color w:val="333333"/>
          <w:kern w:val="0"/>
          <w:sz w:val="28"/>
          <w:szCs w:val="28"/>
          <w:shd w:val="clear" w:color="auto" w:fill="FFFFFF"/>
          <w:lang w:eastAsia="zh-CN"/>
        </w:rPr>
        <w:t>投标</w:t>
      </w:r>
      <w:r>
        <w:rPr>
          <w:rFonts w:hint="eastAsia" w:ascii="宋体" w:hAnsi="宋体" w:eastAsia="宋体" w:cs="宋体"/>
          <w:b/>
          <w:color w:val="333333"/>
          <w:kern w:val="0"/>
          <w:sz w:val="28"/>
          <w:szCs w:val="28"/>
          <w:shd w:val="clear" w:color="auto" w:fill="FFFFFF"/>
        </w:rPr>
        <w:t>报价表</w:t>
      </w:r>
    </w:p>
    <w:p w14:paraId="4E80C322">
      <w:pPr>
        <w:widowControl/>
        <w:spacing w:line="300" w:lineRule="exact"/>
        <w:jc w:val="left"/>
        <w:rPr>
          <w:rFonts w:hint="eastAsia"/>
        </w:rPr>
      </w:pPr>
    </w:p>
    <w:tbl>
      <w:tblPr>
        <w:tblStyle w:val="1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835"/>
        <w:gridCol w:w="3727"/>
        <w:gridCol w:w="1667"/>
      </w:tblGrid>
      <w:tr w14:paraId="2516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92" w:type="dxa"/>
            <w:noWrap w:val="0"/>
            <w:vAlign w:val="center"/>
          </w:tcPr>
          <w:p w14:paraId="055B1015">
            <w:pPr>
              <w:spacing w:line="400" w:lineRule="exact"/>
              <w:jc w:val="center"/>
              <w:rPr>
                <w:rFonts w:ascii="宋体" w:hAnsi="宋体" w:eastAsia="宋体" w:cs="仿宋_GB2312"/>
                <w:b/>
                <w:sz w:val="24"/>
              </w:rPr>
            </w:pPr>
            <w:r>
              <w:rPr>
                <w:rFonts w:hint="eastAsia" w:ascii="宋体" w:hAnsi="宋体" w:eastAsia="宋体" w:cs="仿宋_GB2312"/>
                <w:b/>
                <w:sz w:val="24"/>
              </w:rPr>
              <w:t>序号</w:t>
            </w:r>
          </w:p>
        </w:tc>
        <w:tc>
          <w:tcPr>
            <w:tcW w:w="2835" w:type="dxa"/>
            <w:noWrap w:val="0"/>
            <w:vAlign w:val="center"/>
          </w:tcPr>
          <w:p w14:paraId="5BFA840B">
            <w:pPr>
              <w:spacing w:line="400" w:lineRule="exact"/>
              <w:jc w:val="center"/>
              <w:rPr>
                <w:rFonts w:ascii="宋体" w:hAnsi="宋体" w:eastAsia="宋体" w:cs="仿宋_GB2312"/>
                <w:b/>
                <w:sz w:val="24"/>
              </w:rPr>
            </w:pPr>
            <w:r>
              <w:rPr>
                <w:rFonts w:hint="eastAsia" w:ascii="宋体" w:hAnsi="宋体" w:eastAsia="宋体" w:cs="仿宋_GB2312"/>
                <w:b/>
                <w:sz w:val="24"/>
              </w:rPr>
              <w:t>项目名称</w:t>
            </w:r>
          </w:p>
        </w:tc>
        <w:tc>
          <w:tcPr>
            <w:tcW w:w="3727" w:type="dxa"/>
            <w:noWrap w:val="0"/>
            <w:vAlign w:val="center"/>
          </w:tcPr>
          <w:p w14:paraId="546F1065">
            <w:pPr>
              <w:spacing w:line="400" w:lineRule="exact"/>
              <w:jc w:val="center"/>
              <w:rPr>
                <w:rFonts w:ascii="宋体" w:hAnsi="宋体" w:eastAsia="宋体" w:cs="仿宋_GB2312"/>
                <w:b/>
                <w:sz w:val="24"/>
              </w:rPr>
            </w:pPr>
            <w:r>
              <w:rPr>
                <w:rFonts w:hint="eastAsia" w:ascii="宋体" w:hAnsi="宋体" w:eastAsia="宋体" w:cs="仿宋_GB2312"/>
                <w:b/>
                <w:sz w:val="24"/>
              </w:rPr>
              <w:t>投标报价（元）</w:t>
            </w:r>
          </w:p>
        </w:tc>
        <w:tc>
          <w:tcPr>
            <w:tcW w:w="1667" w:type="dxa"/>
            <w:noWrap w:val="0"/>
            <w:vAlign w:val="center"/>
          </w:tcPr>
          <w:p w14:paraId="1990B747">
            <w:pPr>
              <w:spacing w:line="400" w:lineRule="exact"/>
              <w:jc w:val="center"/>
              <w:rPr>
                <w:rFonts w:ascii="宋体" w:hAnsi="宋体" w:eastAsia="宋体" w:cs="仿宋_GB2312"/>
                <w:b/>
                <w:sz w:val="24"/>
              </w:rPr>
            </w:pPr>
            <w:r>
              <w:rPr>
                <w:rFonts w:hint="eastAsia" w:ascii="宋体" w:hAnsi="宋体" w:eastAsia="宋体" w:cs="仿宋_GB2312"/>
                <w:b/>
                <w:sz w:val="24"/>
              </w:rPr>
              <w:t>备注</w:t>
            </w:r>
          </w:p>
        </w:tc>
      </w:tr>
      <w:tr w14:paraId="6A36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492" w:type="dxa"/>
            <w:noWrap w:val="0"/>
            <w:vAlign w:val="center"/>
          </w:tcPr>
          <w:p w14:paraId="272A5990">
            <w:pPr>
              <w:spacing w:line="400" w:lineRule="exact"/>
              <w:jc w:val="center"/>
              <w:rPr>
                <w:rFonts w:ascii="宋体" w:hAnsi="宋体" w:eastAsia="宋体" w:cs="仿宋_GB2312"/>
                <w:sz w:val="24"/>
              </w:rPr>
            </w:pPr>
            <w:r>
              <w:rPr>
                <w:rFonts w:hint="eastAsia" w:ascii="宋体" w:hAnsi="宋体" w:eastAsia="宋体" w:cs="仿宋_GB2312"/>
                <w:sz w:val="24"/>
              </w:rPr>
              <w:t>1</w:t>
            </w:r>
          </w:p>
        </w:tc>
        <w:tc>
          <w:tcPr>
            <w:tcW w:w="2835" w:type="dxa"/>
            <w:noWrap w:val="0"/>
            <w:vAlign w:val="center"/>
          </w:tcPr>
          <w:p w14:paraId="0F66C5B9">
            <w:pPr>
              <w:spacing w:line="400" w:lineRule="exact"/>
              <w:jc w:val="center"/>
              <w:rPr>
                <w:rFonts w:ascii="宋体" w:hAnsi="宋体" w:eastAsia="宋体" w:cs="仿宋_GB2312"/>
                <w:sz w:val="24"/>
                <w:lang w:val="zh-CN"/>
              </w:rPr>
            </w:pPr>
            <w:r>
              <w:rPr>
                <w:rFonts w:hint="eastAsia" w:ascii="宋体" w:hAnsi="宋体" w:eastAsia="宋体" w:cs="仿宋_GB2312"/>
                <w:sz w:val="24"/>
                <w:lang w:val="zh-CN" w:eastAsia="zh-CN"/>
              </w:rPr>
              <w:t>启东市日新河粮库地磅采购与安装项目</w:t>
            </w:r>
          </w:p>
        </w:tc>
        <w:tc>
          <w:tcPr>
            <w:tcW w:w="3727" w:type="dxa"/>
            <w:noWrap w:val="0"/>
            <w:vAlign w:val="center"/>
          </w:tcPr>
          <w:p w14:paraId="5E5A2EAF">
            <w:pPr>
              <w:spacing w:line="400" w:lineRule="exact"/>
              <w:jc w:val="left"/>
              <w:rPr>
                <w:rFonts w:hint="eastAsia" w:ascii="宋体" w:hAnsi="宋体" w:eastAsia="宋体" w:cs="仿宋_GB2312"/>
                <w:sz w:val="24"/>
                <w:u w:val="single"/>
              </w:rPr>
            </w:pPr>
            <w:r>
              <w:rPr>
                <w:rFonts w:hint="eastAsia" w:ascii="宋体" w:hAnsi="宋体" w:eastAsia="宋体" w:cs="仿宋_GB2312"/>
                <w:sz w:val="24"/>
              </w:rPr>
              <w:t>大写：</w:t>
            </w:r>
            <w:r>
              <w:rPr>
                <w:rFonts w:hint="eastAsia" w:ascii="宋体" w:hAnsi="宋体" w:eastAsia="宋体" w:cs="仿宋_GB2312"/>
                <w:sz w:val="24"/>
                <w:u w:val="single"/>
              </w:rPr>
              <w:t xml:space="preserve">               </w:t>
            </w:r>
          </w:p>
          <w:p w14:paraId="1C2CBE4F">
            <w:pPr>
              <w:spacing w:line="400" w:lineRule="exact"/>
              <w:jc w:val="left"/>
              <w:rPr>
                <w:rFonts w:hint="default" w:ascii="宋体" w:hAnsi="宋体" w:eastAsia="宋体" w:cs="仿宋_GB2312"/>
                <w:sz w:val="24"/>
                <w:lang w:val="en-US" w:eastAsia="zh-CN"/>
              </w:rPr>
            </w:pPr>
            <w:r>
              <w:rPr>
                <w:rFonts w:hint="eastAsia" w:ascii="宋体" w:hAnsi="宋体" w:eastAsia="宋体" w:cs="仿宋_GB2312"/>
                <w:sz w:val="24"/>
                <w:lang w:eastAsia="zh-CN"/>
              </w:rPr>
              <w:t>小写：¥</w:t>
            </w:r>
            <w:r>
              <w:rPr>
                <w:rFonts w:hint="eastAsia" w:ascii="宋体" w:hAnsi="宋体" w:eastAsia="宋体" w:cs="仿宋_GB2312"/>
                <w:sz w:val="24"/>
              </w:rPr>
              <w:t xml:space="preserve">        </w:t>
            </w:r>
            <w:r>
              <w:rPr>
                <w:rFonts w:hint="eastAsia" w:ascii="宋体" w:hAnsi="宋体" w:eastAsia="宋体" w:cs="仿宋_GB2312"/>
                <w:sz w:val="24"/>
                <w:lang w:val="en-US" w:eastAsia="zh-CN"/>
              </w:rPr>
              <w:t xml:space="preserve">      元</w:t>
            </w:r>
          </w:p>
        </w:tc>
        <w:tc>
          <w:tcPr>
            <w:tcW w:w="1667" w:type="dxa"/>
            <w:noWrap w:val="0"/>
            <w:vAlign w:val="center"/>
          </w:tcPr>
          <w:p w14:paraId="2B6C4E17">
            <w:pPr>
              <w:spacing w:line="400" w:lineRule="exact"/>
              <w:jc w:val="center"/>
              <w:rPr>
                <w:rFonts w:hint="eastAsia" w:ascii="宋体" w:hAnsi="宋体" w:eastAsia="宋体" w:cs="仿宋_GB2312"/>
                <w:sz w:val="24"/>
                <w:lang w:eastAsia="zh-CN"/>
              </w:rPr>
            </w:pPr>
            <w:r>
              <w:rPr>
                <w:rFonts w:hint="eastAsia" w:ascii="宋体" w:hAnsi="宋体" w:eastAsia="宋体" w:cs="仿宋_GB2312"/>
                <w:sz w:val="24"/>
                <w:lang w:eastAsia="zh-CN"/>
              </w:rPr>
              <w:t>完全响应询价公告要求</w:t>
            </w:r>
          </w:p>
        </w:tc>
      </w:tr>
    </w:tbl>
    <w:p w14:paraId="3E7AED25">
      <w:pPr>
        <w:spacing w:line="440" w:lineRule="exact"/>
        <w:jc w:val="both"/>
        <w:rPr>
          <w:rFonts w:hint="eastAsia" w:ascii="宋体" w:hAnsi="宋体" w:eastAsia="宋体" w:cs="Times New Roman"/>
          <w:sz w:val="28"/>
          <w:szCs w:val="28"/>
          <w:lang w:val="en-US" w:eastAsia="zh-CN"/>
        </w:rPr>
      </w:pPr>
    </w:p>
    <w:p w14:paraId="0AAE3402">
      <w:pPr>
        <w:widowControl/>
        <w:spacing w:line="500" w:lineRule="exact"/>
        <w:jc w:val="left"/>
        <w:rPr>
          <w:rFonts w:ascii="黑体" w:hAnsi="黑体" w:eastAsia="黑体" w:cs="黑体"/>
          <w:color w:val="333333"/>
          <w:kern w:val="0"/>
          <w:sz w:val="28"/>
          <w:szCs w:val="28"/>
        </w:rPr>
      </w:pPr>
      <w:r>
        <w:rPr>
          <w:rFonts w:hint="eastAsia" w:ascii="黑体" w:hAnsi="黑体" w:eastAsia="黑体" w:cs="黑体"/>
          <w:color w:val="333333"/>
          <w:kern w:val="0"/>
          <w:sz w:val="28"/>
          <w:szCs w:val="28"/>
        </w:rPr>
        <w:t>说明：</w:t>
      </w:r>
    </w:p>
    <w:p w14:paraId="45767B2A">
      <w:pPr>
        <w:pStyle w:val="14"/>
        <w:widowControl/>
        <w:spacing w:line="500" w:lineRule="exact"/>
        <w:jc w:val="both"/>
        <w:rPr>
          <w:rFonts w:eastAsia="仿宋"/>
          <w:sz w:val="21"/>
          <w:szCs w:val="21"/>
        </w:rPr>
      </w:pPr>
      <w:r>
        <w:rPr>
          <w:rFonts w:hint="eastAsia" w:ascii="仿宋" w:hAnsi="仿宋" w:eastAsia="仿宋" w:cs="仿宋"/>
          <w:color w:val="333333"/>
          <w:sz w:val="28"/>
          <w:szCs w:val="28"/>
          <w:u w:val="single"/>
          <w:shd w:val="clear" w:color="auto" w:fill="FFFFFF"/>
        </w:rPr>
        <w:t>本报价表须机打并加盖报价单位公章，手填无效。报价最多保留二位小数，否则视为无效报价。</w:t>
      </w:r>
    </w:p>
    <w:p w14:paraId="512DAB63">
      <w:pPr>
        <w:pStyle w:val="14"/>
        <w:widowControl/>
        <w:spacing w:line="500" w:lineRule="exact"/>
        <w:jc w:val="both"/>
        <w:rPr>
          <w:rFonts w:ascii="仿宋" w:hAnsi="仿宋" w:eastAsia="仿宋" w:cs="仿宋"/>
          <w:color w:val="333333"/>
          <w:sz w:val="28"/>
          <w:szCs w:val="28"/>
          <w:shd w:val="clear" w:color="auto" w:fill="FFFFFF"/>
        </w:rPr>
      </w:pPr>
    </w:p>
    <w:p w14:paraId="30651F88">
      <w:pPr>
        <w:pStyle w:val="14"/>
        <w:widowControl/>
        <w:spacing w:line="500" w:lineRule="exact"/>
        <w:jc w:val="both"/>
        <w:rPr>
          <w:b/>
          <w:bCs/>
          <w:sz w:val="21"/>
          <w:szCs w:val="21"/>
        </w:rPr>
      </w:pPr>
      <w:r>
        <w:rPr>
          <w:rFonts w:hint="eastAsia" w:ascii="仿宋" w:hAnsi="仿宋" w:eastAsia="仿宋" w:cs="仿宋"/>
          <w:b/>
          <w:bCs/>
          <w:color w:val="333333"/>
          <w:sz w:val="28"/>
          <w:szCs w:val="28"/>
          <w:shd w:val="clear" w:color="auto" w:fill="FFFFFF"/>
        </w:rPr>
        <w:t>报价单位（盖章）：</w:t>
      </w:r>
    </w:p>
    <w:p w14:paraId="39C0C15F">
      <w:pPr>
        <w:pStyle w:val="14"/>
        <w:widowControl/>
        <w:spacing w:line="500" w:lineRule="exact"/>
        <w:jc w:val="both"/>
        <w:rPr>
          <w:rFonts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法人代表人或被授权人（签字或盖章）： </w:t>
      </w:r>
    </w:p>
    <w:p w14:paraId="69C1C0EF">
      <w:pPr>
        <w:pStyle w:val="14"/>
        <w:widowControl/>
        <w:spacing w:line="500" w:lineRule="exact"/>
        <w:jc w:val="both"/>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                年   月   日</w:t>
      </w:r>
    </w:p>
    <w:p w14:paraId="5003A6F9">
      <w:pPr>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br w:type="page"/>
      </w:r>
    </w:p>
    <w:p w14:paraId="5BFA2935">
      <w:pPr>
        <w:pStyle w:val="14"/>
        <w:widowControl/>
        <w:spacing w:line="500" w:lineRule="exact"/>
        <w:jc w:val="both"/>
        <w:rPr>
          <w:rFonts w:hint="eastAsia" w:ascii="仿宋" w:hAnsi="仿宋" w:eastAsia="仿宋" w:cs="仿宋"/>
          <w:b/>
          <w:bCs/>
          <w:color w:val="333333"/>
          <w:sz w:val="28"/>
          <w:szCs w:val="28"/>
          <w:shd w:val="clear" w:color="auto" w:fill="FFFFFF"/>
          <w:lang w:eastAsia="zh-CN"/>
        </w:rPr>
      </w:pPr>
      <w:r>
        <w:rPr>
          <w:rFonts w:hint="eastAsia" w:ascii="仿宋" w:hAnsi="仿宋" w:eastAsia="仿宋" w:cs="仿宋"/>
          <w:b/>
          <w:bCs/>
          <w:color w:val="333333"/>
          <w:sz w:val="28"/>
          <w:szCs w:val="28"/>
          <w:shd w:val="clear" w:color="auto" w:fill="FFFFFF"/>
          <w:lang w:eastAsia="zh-CN"/>
        </w:rPr>
        <w:t>附件七：技术要求</w:t>
      </w:r>
    </w:p>
    <w:p w14:paraId="08EA00D3">
      <w:pPr>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
          <w:bCs/>
          <w:szCs w:val="21"/>
          <w:lang w:eastAsia="ja-JP"/>
        </w:rPr>
      </w:pPr>
      <w:bookmarkStart w:id="0" w:name="_Toc503519498"/>
      <w:bookmarkStart w:id="1" w:name="_Toc503866552"/>
      <w:r>
        <w:rPr>
          <w:rFonts w:ascii="宋体" w:hAnsi="宋体"/>
          <w:b/>
          <w:bCs/>
          <w:szCs w:val="21"/>
          <w:lang w:eastAsia="ja-JP"/>
        </w:rPr>
        <w:t xml:space="preserve">1 </w:t>
      </w:r>
      <w:r>
        <w:rPr>
          <w:rFonts w:hint="eastAsia" w:ascii="宋体" w:hAnsi="宋体"/>
          <w:b/>
          <w:bCs/>
          <w:szCs w:val="21"/>
          <w:lang w:eastAsia="ja-JP"/>
        </w:rPr>
        <w:t>总则</w:t>
      </w:r>
      <w:bookmarkEnd w:id="0"/>
      <w:bookmarkEnd w:id="1"/>
    </w:p>
    <w:p w14:paraId="01D59FE0">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1.1 </w:t>
      </w:r>
      <w:r>
        <w:rPr>
          <w:rFonts w:hint="eastAsia" w:ascii="宋体" w:hAnsi="宋体"/>
          <w:szCs w:val="21"/>
        </w:rPr>
        <w:t>本技术规格书提出了静态汽车衡的性能、构造等设计、制造、安装和试验方面的技术要求。</w:t>
      </w:r>
    </w:p>
    <w:p w14:paraId="2BC17EF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1.2 </w:t>
      </w:r>
      <w:r>
        <w:rPr>
          <w:rFonts w:hint="eastAsia" w:ascii="宋体" w:hAnsi="宋体"/>
          <w:szCs w:val="21"/>
        </w:rPr>
        <w:t>本规格书提出的是最低限度的技术要求，并未对一切技术细节作出规定，也未充分引述有关标准和规范的条文，投标人应提供符合本规格书和有关工业标准的优质产品。对国家有关安全、环保等强制性标准，必须满足其要求。</w:t>
      </w:r>
    </w:p>
    <w:p w14:paraId="00F8CAD2">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1.</w:t>
      </w:r>
      <w:r>
        <w:rPr>
          <w:rFonts w:hint="eastAsia" w:ascii="宋体" w:hAnsi="宋体"/>
          <w:szCs w:val="21"/>
          <w:lang w:val="en-US" w:eastAsia="zh-CN"/>
        </w:rPr>
        <w:t>3</w:t>
      </w:r>
      <w:r>
        <w:rPr>
          <w:rFonts w:ascii="宋体" w:hAnsi="宋体"/>
          <w:szCs w:val="21"/>
        </w:rPr>
        <w:t xml:space="preserve"> </w:t>
      </w:r>
      <w:r>
        <w:rPr>
          <w:rFonts w:hint="eastAsia" w:ascii="宋体" w:hAnsi="宋体"/>
          <w:szCs w:val="21"/>
        </w:rPr>
        <w:t>如果投标人没有以书面形式对本规格书的条文提出异议，则意味着投标人提供的设备完全符合本规格书的要求，如有异议，应按本招标文件投标格式中“投标货物和服务规格及技术参数响应表”的格式和要求在投标文件中予以详细反映。</w:t>
      </w:r>
    </w:p>
    <w:p w14:paraId="50C54DFF">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1.</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称重设备采用的专利涉及到的全部费用均被认为已包含在设备报价中，投标人应保证买方不承担有关设备专利权、商标权、著作权或其它知识产权的一切责任。</w:t>
      </w:r>
    </w:p>
    <w:p w14:paraId="353707DA">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1.</w:t>
      </w:r>
      <w:r>
        <w:rPr>
          <w:rFonts w:hint="eastAsia" w:ascii="宋体" w:hAnsi="宋体"/>
          <w:szCs w:val="21"/>
          <w:lang w:val="en-US" w:eastAsia="zh-CN"/>
        </w:rPr>
        <w:t>5</w:t>
      </w:r>
      <w:r>
        <w:rPr>
          <w:rFonts w:ascii="宋体" w:hAnsi="宋体"/>
          <w:szCs w:val="21"/>
        </w:rPr>
        <w:t xml:space="preserve"> </w:t>
      </w:r>
      <w:r>
        <w:rPr>
          <w:rFonts w:hint="eastAsia" w:ascii="宋体" w:hAnsi="宋体"/>
          <w:szCs w:val="21"/>
        </w:rPr>
        <w:t>本规格书所使用的标准如遇与投标人所执行的标准发生矛盾时，按较高的最新版本的标准执行。</w:t>
      </w:r>
    </w:p>
    <w:p w14:paraId="240D4214">
      <w:pPr>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
          <w:bCs/>
          <w:szCs w:val="21"/>
          <w:lang w:eastAsia="ja-JP"/>
        </w:rPr>
      </w:pPr>
      <w:bookmarkStart w:id="2" w:name="_Toc503519499"/>
      <w:bookmarkStart w:id="3" w:name="_Toc503866553"/>
      <w:r>
        <w:rPr>
          <w:rFonts w:ascii="宋体" w:hAnsi="宋体"/>
          <w:b/>
          <w:bCs/>
          <w:szCs w:val="21"/>
          <w:lang w:eastAsia="ja-JP"/>
        </w:rPr>
        <w:t xml:space="preserve">2 </w:t>
      </w:r>
      <w:r>
        <w:rPr>
          <w:rFonts w:hint="eastAsia" w:ascii="宋体" w:hAnsi="宋体"/>
          <w:b/>
          <w:bCs/>
          <w:szCs w:val="21"/>
          <w:lang w:eastAsia="ja-JP"/>
        </w:rPr>
        <w:t>供货范围</w:t>
      </w:r>
      <w:bookmarkEnd w:id="2"/>
      <w:bookmarkEnd w:id="3"/>
    </w:p>
    <w:p w14:paraId="20EEB6EA">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2.1 </w:t>
      </w:r>
      <w:r>
        <w:rPr>
          <w:rFonts w:hint="eastAsia" w:ascii="宋体" w:hAnsi="宋体"/>
          <w:szCs w:val="21"/>
        </w:rPr>
        <w:t>按照本技术规格书要求向买方提供</w:t>
      </w:r>
      <w:r>
        <w:rPr>
          <w:rFonts w:hint="eastAsia" w:ascii="宋体" w:hAnsi="宋体"/>
          <w:szCs w:val="21"/>
          <w:lang w:val="en-US" w:eastAsia="zh-CN"/>
        </w:rPr>
        <w:t>1</w:t>
      </w:r>
      <w:r>
        <w:rPr>
          <w:rFonts w:hint="eastAsia" w:ascii="宋体" w:hAnsi="宋体"/>
          <w:szCs w:val="21"/>
        </w:rPr>
        <w:t>台</w:t>
      </w:r>
      <w:r>
        <w:rPr>
          <w:rFonts w:hint="eastAsia" w:ascii="宋体" w:hAnsi="宋体"/>
          <w:szCs w:val="21"/>
          <w:lang w:val="en-US" w:eastAsia="zh-CN"/>
        </w:rPr>
        <w:t>60</w:t>
      </w:r>
      <w:r>
        <w:rPr>
          <w:rFonts w:hint="eastAsia" w:ascii="宋体" w:hAnsi="宋体"/>
          <w:szCs w:val="21"/>
        </w:rPr>
        <w:t>吨3</w:t>
      </w:r>
      <w:r>
        <w:rPr>
          <w:rFonts w:hint="eastAsia" w:ascii="宋体" w:hAnsi="宋体"/>
          <w:szCs w:val="21"/>
          <w:lang w:val="en-US" w:eastAsia="zh-CN"/>
        </w:rPr>
        <w:t>.2</w:t>
      </w:r>
      <w:r>
        <w:rPr>
          <w:rFonts w:hint="eastAsia" w:ascii="宋体" w:hAnsi="宋体"/>
          <w:szCs w:val="21"/>
        </w:rPr>
        <w:t>米宽</w:t>
      </w:r>
      <w:r>
        <w:rPr>
          <w:rFonts w:hint="eastAsia" w:ascii="宋体" w:hAnsi="宋体"/>
          <w:szCs w:val="21"/>
          <w:lang w:val="en-US" w:eastAsia="zh-CN"/>
        </w:rPr>
        <w:t>9</w:t>
      </w:r>
      <w:r>
        <w:rPr>
          <w:rFonts w:hint="eastAsia" w:ascii="宋体" w:hAnsi="宋体"/>
          <w:szCs w:val="21"/>
        </w:rPr>
        <w:t>米长静态汽车衡设备及服务。它包括以下内容但不仅限于以下内容：</w:t>
      </w:r>
      <w:r>
        <w:rPr>
          <w:rFonts w:hint="eastAsia" w:ascii="宋体" w:hAnsi="宋体"/>
          <w:szCs w:val="21"/>
          <w:lang w:val="en-US" w:eastAsia="zh-CN"/>
        </w:rPr>
        <w:t>60</w:t>
      </w:r>
      <w:r>
        <w:rPr>
          <w:rFonts w:hint="eastAsia" w:ascii="宋体" w:hAnsi="宋体"/>
          <w:szCs w:val="21"/>
        </w:rPr>
        <w:t>吨静态汽车衡的设计、制造、运输、安装、调试、初次检定、验收、技术培训、售后服务、基础预埋件</w:t>
      </w:r>
      <w:r>
        <w:rPr>
          <w:rFonts w:hint="eastAsia" w:ascii="宋体" w:hAnsi="宋体"/>
          <w:szCs w:val="21"/>
          <w:lang w:val="en-US" w:eastAsia="zh-CN"/>
        </w:rPr>
        <w:t>及基础</w:t>
      </w:r>
      <w:r>
        <w:rPr>
          <w:rFonts w:hint="eastAsia" w:ascii="宋体" w:hAnsi="宋体"/>
          <w:szCs w:val="21"/>
        </w:rPr>
        <w:t>等供货内容；</w:t>
      </w:r>
    </w:p>
    <w:p w14:paraId="31DE761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2.2 </w:t>
      </w:r>
      <w:r>
        <w:rPr>
          <w:rFonts w:hint="eastAsia" w:ascii="宋体" w:hAnsi="宋体"/>
          <w:szCs w:val="21"/>
        </w:rPr>
        <w:t>提供基础图</w:t>
      </w:r>
      <w:r>
        <w:rPr>
          <w:rFonts w:ascii="宋体" w:hAnsi="宋体"/>
          <w:szCs w:val="21"/>
        </w:rPr>
        <w:t>(</w:t>
      </w:r>
      <w:r>
        <w:rPr>
          <w:rFonts w:hint="eastAsia" w:ascii="宋体" w:hAnsi="宋体"/>
          <w:szCs w:val="21"/>
        </w:rPr>
        <w:t>含电子文档</w:t>
      </w:r>
      <w:r>
        <w:rPr>
          <w:rFonts w:ascii="宋体" w:hAnsi="宋体"/>
          <w:szCs w:val="21"/>
        </w:rPr>
        <w:t>)</w:t>
      </w:r>
      <w:r>
        <w:rPr>
          <w:rFonts w:hint="eastAsia" w:ascii="宋体" w:hAnsi="宋体"/>
          <w:szCs w:val="21"/>
          <w:lang w:eastAsia="zh-CN"/>
        </w:rPr>
        <w:t>，</w:t>
      </w:r>
      <w:r>
        <w:rPr>
          <w:rFonts w:hint="eastAsia" w:ascii="宋体" w:hAnsi="宋体"/>
          <w:szCs w:val="21"/>
        </w:rPr>
        <w:t>并确认土建基础尺寸</w:t>
      </w:r>
      <w:r>
        <w:rPr>
          <w:rFonts w:hint="eastAsia" w:ascii="宋体" w:hAnsi="宋体"/>
          <w:szCs w:val="21"/>
          <w:lang w:val="en-US" w:eastAsia="zh-CN"/>
        </w:rPr>
        <w:t>及施工</w:t>
      </w:r>
      <w:r>
        <w:rPr>
          <w:rFonts w:hint="eastAsia" w:ascii="宋体" w:hAnsi="宋体"/>
          <w:szCs w:val="21"/>
        </w:rPr>
        <w:t>；</w:t>
      </w:r>
    </w:p>
    <w:p w14:paraId="0CCF38D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2.3 </w:t>
      </w:r>
      <w:r>
        <w:rPr>
          <w:rFonts w:hint="eastAsia" w:ascii="宋体" w:hAnsi="宋体"/>
          <w:szCs w:val="21"/>
        </w:rPr>
        <w:t>设备使用说明书、基础图等</w:t>
      </w:r>
      <w:r>
        <w:rPr>
          <w:rFonts w:hint="eastAsia" w:ascii="宋体" w:hAnsi="宋体"/>
          <w:szCs w:val="21"/>
          <w:lang w:val="en-US" w:eastAsia="zh-CN"/>
        </w:rPr>
        <w:t>1</w:t>
      </w:r>
      <w:r>
        <w:rPr>
          <w:rFonts w:hint="eastAsia" w:ascii="宋体" w:hAnsi="宋体"/>
          <w:szCs w:val="21"/>
        </w:rPr>
        <w:t>套；</w:t>
      </w:r>
    </w:p>
    <w:p w14:paraId="3ED47B2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highlight w:val="none"/>
        </w:rPr>
      </w:pPr>
      <w:r>
        <w:rPr>
          <w:rFonts w:ascii="宋体" w:hAnsi="宋体"/>
          <w:szCs w:val="21"/>
          <w:highlight w:val="none"/>
        </w:rPr>
        <w:t>2.4</w:t>
      </w:r>
      <w:r>
        <w:rPr>
          <w:rFonts w:hint="eastAsia" w:ascii="宋体" w:hAnsi="宋体"/>
          <w:szCs w:val="21"/>
          <w:highlight w:val="none"/>
          <w:lang w:val="en-US" w:eastAsia="zh-CN"/>
        </w:rPr>
        <w:t>启东市市场监督管理局计量检定</w:t>
      </w:r>
      <w:r>
        <w:rPr>
          <w:rFonts w:hint="eastAsia" w:ascii="宋体" w:hAnsi="宋体"/>
          <w:szCs w:val="21"/>
          <w:highlight w:val="none"/>
        </w:rPr>
        <w:t>证书等</w:t>
      </w:r>
      <w:r>
        <w:rPr>
          <w:rFonts w:hint="eastAsia" w:ascii="宋体" w:hAnsi="宋体"/>
          <w:szCs w:val="21"/>
          <w:highlight w:val="none"/>
          <w:lang w:val="en-US" w:eastAsia="zh-CN"/>
        </w:rPr>
        <w:t>1</w:t>
      </w:r>
      <w:r>
        <w:rPr>
          <w:rFonts w:hint="eastAsia" w:ascii="宋体" w:hAnsi="宋体"/>
          <w:szCs w:val="21"/>
          <w:highlight w:val="none"/>
        </w:rPr>
        <w:t>套；</w:t>
      </w:r>
    </w:p>
    <w:p w14:paraId="58D5BA4A">
      <w:pPr>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
          <w:bCs/>
          <w:szCs w:val="21"/>
          <w:lang w:eastAsia="ja-JP"/>
        </w:rPr>
      </w:pPr>
      <w:bookmarkStart w:id="4" w:name="_Toc503866554"/>
      <w:bookmarkStart w:id="5" w:name="_Toc503519500"/>
      <w:r>
        <w:rPr>
          <w:rFonts w:ascii="宋体" w:hAnsi="宋体"/>
          <w:b/>
          <w:bCs/>
          <w:szCs w:val="21"/>
          <w:lang w:eastAsia="ja-JP"/>
        </w:rPr>
        <w:t xml:space="preserve">3 </w:t>
      </w:r>
      <w:r>
        <w:rPr>
          <w:rFonts w:hint="eastAsia" w:ascii="宋体" w:hAnsi="宋体"/>
          <w:b/>
          <w:bCs/>
          <w:szCs w:val="21"/>
          <w:lang w:eastAsia="ja-JP"/>
        </w:rPr>
        <w:t>投标货物设计条件</w:t>
      </w:r>
      <w:bookmarkEnd w:id="4"/>
      <w:bookmarkEnd w:id="5"/>
    </w:p>
    <w:p w14:paraId="0D9E7FF0">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3.1 </w:t>
      </w:r>
      <w:r>
        <w:rPr>
          <w:rFonts w:hint="eastAsia" w:ascii="宋体" w:hAnsi="宋体"/>
          <w:szCs w:val="21"/>
        </w:rPr>
        <w:t>称重货物：</w:t>
      </w:r>
      <w:r>
        <w:rPr>
          <w:rFonts w:hint="eastAsia" w:ascii="宋体" w:hAnsi="宋体"/>
          <w:szCs w:val="21"/>
          <w:lang w:val="en-US" w:eastAsia="zh-CN"/>
        </w:rPr>
        <w:t>粮食</w:t>
      </w:r>
      <w:r>
        <w:rPr>
          <w:rFonts w:hint="eastAsia" w:ascii="宋体" w:hAnsi="宋体"/>
          <w:szCs w:val="21"/>
        </w:rPr>
        <w:t>；</w:t>
      </w:r>
    </w:p>
    <w:p w14:paraId="5E93972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3.2 </w:t>
      </w:r>
      <w:r>
        <w:rPr>
          <w:rFonts w:hint="eastAsia" w:ascii="宋体" w:hAnsi="宋体"/>
          <w:szCs w:val="21"/>
        </w:rPr>
        <w:t>设计风速</w:t>
      </w:r>
    </w:p>
    <w:p w14:paraId="77C4B58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工作状态风速：</w:t>
      </w:r>
      <w:r>
        <w:rPr>
          <w:rFonts w:ascii="宋体" w:hAnsi="宋体"/>
          <w:szCs w:val="21"/>
        </w:rPr>
        <w:t xml:space="preserve">      20</w:t>
      </w:r>
      <w:r>
        <w:rPr>
          <w:rFonts w:hint="eastAsia" w:ascii="宋体" w:hAnsi="宋体"/>
          <w:szCs w:val="21"/>
        </w:rPr>
        <w:t>米</w:t>
      </w:r>
      <w:r>
        <w:rPr>
          <w:rFonts w:ascii="宋体" w:hAnsi="宋体"/>
          <w:szCs w:val="21"/>
        </w:rPr>
        <w:t>/</w:t>
      </w:r>
      <w:r>
        <w:rPr>
          <w:rFonts w:hint="eastAsia" w:ascii="宋体" w:hAnsi="宋体"/>
          <w:szCs w:val="21"/>
        </w:rPr>
        <w:t>秒</w:t>
      </w:r>
    </w:p>
    <w:p w14:paraId="64949DA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非工作状态最大风速：</w:t>
      </w:r>
      <w:r>
        <w:rPr>
          <w:rFonts w:ascii="宋体" w:hAnsi="宋体"/>
          <w:szCs w:val="21"/>
        </w:rPr>
        <w:t>55</w:t>
      </w:r>
      <w:r>
        <w:rPr>
          <w:rFonts w:hint="eastAsia" w:ascii="宋体" w:hAnsi="宋体"/>
          <w:szCs w:val="21"/>
        </w:rPr>
        <w:t>米</w:t>
      </w:r>
      <w:r>
        <w:rPr>
          <w:rFonts w:ascii="宋体" w:hAnsi="宋体"/>
          <w:szCs w:val="21"/>
        </w:rPr>
        <w:t>/</w:t>
      </w:r>
      <w:r>
        <w:rPr>
          <w:rFonts w:hint="eastAsia" w:ascii="宋体" w:hAnsi="宋体"/>
          <w:szCs w:val="21"/>
        </w:rPr>
        <w:t>秒</w:t>
      </w:r>
    </w:p>
    <w:p w14:paraId="3AEB9776">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3.3</w:t>
      </w:r>
      <w:r>
        <w:rPr>
          <w:rFonts w:hint="eastAsia" w:ascii="宋体" w:hAnsi="宋体"/>
          <w:szCs w:val="21"/>
        </w:rPr>
        <w:t>环境温度：</w:t>
      </w:r>
      <w:r>
        <w:rPr>
          <w:rFonts w:ascii="宋体" w:hAnsi="宋体"/>
          <w:szCs w:val="21"/>
        </w:rPr>
        <w:t xml:space="preserve">      </w:t>
      </w:r>
      <w:r>
        <w:rPr>
          <w:rFonts w:hint="eastAsia" w:ascii="宋体" w:hAnsi="宋体"/>
          <w:szCs w:val="21"/>
        </w:rPr>
        <w:t>最高</w:t>
      </w:r>
      <w:r>
        <w:rPr>
          <w:rFonts w:ascii="宋体" w:hAnsi="宋体"/>
          <w:szCs w:val="21"/>
        </w:rPr>
        <w:t xml:space="preserve"> 40</w:t>
      </w:r>
      <w:r>
        <w:rPr>
          <w:rFonts w:hint="eastAsia" w:ascii="宋体" w:hAnsi="宋体"/>
          <w:szCs w:val="21"/>
        </w:rPr>
        <w:t>℃</w:t>
      </w:r>
    </w:p>
    <w:p w14:paraId="6E37D61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最低：</w:t>
      </w:r>
      <w:r>
        <w:rPr>
          <w:rFonts w:ascii="宋体" w:hAnsi="宋体"/>
          <w:szCs w:val="21"/>
        </w:rPr>
        <w:t>- 10</w:t>
      </w:r>
      <w:r>
        <w:rPr>
          <w:rFonts w:hint="eastAsia" w:ascii="宋体" w:hAnsi="宋体"/>
          <w:szCs w:val="21"/>
        </w:rPr>
        <w:t>℃</w:t>
      </w:r>
    </w:p>
    <w:p w14:paraId="252544F6">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3.4 </w:t>
      </w:r>
      <w:r>
        <w:rPr>
          <w:rFonts w:hint="eastAsia" w:ascii="宋体" w:hAnsi="宋体"/>
          <w:szCs w:val="21"/>
        </w:rPr>
        <w:t>湿度</w:t>
      </w:r>
    </w:p>
    <w:p w14:paraId="64F7DEB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最大湿度：</w:t>
      </w:r>
      <w:r>
        <w:rPr>
          <w:rFonts w:ascii="宋体" w:hAnsi="宋体"/>
          <w:szCs w:val="21"/>
        </w:rPr>
        <w:t xml:space="preserve">          100</w:t>
      </w:r>
      <w:r>
        <w:rPr>
          <w:rFonts w:hint="eastAsia" w:ascii="宋体" w:hAnsi="宋体"/>
          <w:szCs w:val="21"/>
        </w:rPr>
        <w:t>％</w:t>
      </w:r>
    </w:p>
    <w:p w14:paraId="1FF00E12">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年平均相对湿度：</w:t>
      </w:r>
      <w:r>
        <w:rPr>
          <w:rFonts w:ascii="宋体" w:hAnsi="宋体"/>
          <w:szCs w:val="21"/>
        </w:rPr>
        <w:t xml:space="preserve">    85</w:t>
      </w:r>
      <w:r>
        <w:rPr>
          <w:rFonts w:hint="eastAsia" w:ascii="宋体" w:hAnsi="宋体"/>
          <w:szCs w:val="21"/>
        </w:rPr>
        <w:t>％</w:t>
      </w:r>
    </w:p>
    <w:p w14:paraId="6C9B1D25">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3.5 </w:t>
      </w:r>
      <w:r>
        <w:rPr>
          <w:rFonts w:hint="eastAsia" w:ascii="宋体" w:hAnsi="宋体"/>
          <w:szCs w:val="21"/>
        </w:rPr>
        <w:t>地震：地震基本烈度为</w:t>
      </w:r>
      <w:r>
        <w:rPr>
          <w:rFonts w:ascii="宋体" w:hAnsi="宋体"/>
          <w:szCs w:val="21"/>
        </w:rPr>
        <w:t>7</w:t>
      </w:r>
      <w:r>
        <w:rPr>
          <w:rFonts w:hint="eastAsia" w:ascii="宋体" w:hAnsi="宋体"/>
          <w:szCs w:val="21"/>
        </w:rPr>
        <w:t>度，动峰值加速度为</w:t>
      </w:r>
      <w:r>
        <w:rPr>
          <w:rFonts w:ascii="宋体" w:hAnsi="宋体"/>
          <w:szCs w:val="21"/>
        </w:rPr>
        <w:t>0.1g</w:t>
      </w:r>
      <w:r>
        <w:rPr>
          <w:rFonts w:hint="eastAsia" w:ascii="宋体" w:hAnsi="宋体"/>
          <w:szCs w:val="21"/>
        </w:rPr>
        <w:t>；</w:t>
      </w:r>
    </w:p>
    <w:p w14:paraId="5C660835">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3.6 </w:t>
      </w:r>
      <w:r>
        <w:rPr>
          <w:rFonts w:hint="eastAsia" w:ascii="宋体" w:hAnsi="宋体"/>
          <w:szCs w:val="21"/>
        </w:rPr>
        <w:t>气候条件：有雾气、雷暴气候侵蚀；</w:t>
      </w:r>
    </w:p>
    <w:p w14:paraId="265D1310">
      <w:pPr>
        <w:keepNext/>
        <w:keepLines/>
        <w:pageBreakBefore w:val="0"/>
        <w:widowControl w:val="0"/>
        <w:kinsoku/>
        <w:wordWrap/>
        <w:overflowPunct/>
        <w:topLinePunct w:val="0"/>
        <w:autoSpaceDE/>
        <w:autoSpaceDN/>
        <w:bidi w:val="0"/>
        <w:adjustRightInd/>
        <w:snapToGrid/>
        <w:spacing w:line="440" w:lineRule="exact"/>
        <w:textAlignment w:val="auto"/>
        <w:outlineLvl w:val="1"/>
        <w:rPr>
          <w:rFonts w:ascii="宋体" w:hAnsi="宋体"/>
          <w:b/>
          <w:bCs/>
          <w:szCs w:val="21"/>
          <w:lang w:eastAsia="ja-JP"/>
        </w:rPr>
      </w:pPr>
      <w:bookmarkStart w:id="6" w:name="_Toc503866555"/>
      <w:bookmarkStart w:id="7" w:name="_Toc503519501"/>
      <w:r>
        <w:rPr>
          <w:rFonts w:ascii="宋体" w:hAnsi="宋体"/>
          <w:b/>
          <w:bCs/>
          <w:szCs w:val="21"/>
          <w:lang w:eastAsia="ja-JP"/>
        </w:rPr>
        <w:t xml:space="preserve">4 </w:t>
      </w:r>
      <w:r>
        <w:rPr>
          <w:rFonts w:hint="eastAsia" w:ascii="宋体" w:hAnsi="宋体"/>
          <w:b/>
          <w:bCs/>
          <w:szCs w:val="21"/>
          <w:lang w:eastAsia="ja-JP"/>
        </w:rPr>
        <w:t>标准和规范</w:t>
      </w:r>
      <w:bookmarkEnd w:id="6"/>
      <w:bookmarkEnd w:id="7"/>
    </w:p>
    <w:p w14:paraId="798F7F4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hint="eastAsia" w:ascii="宋体" w:hAnsi="宋体"/>
          <w:szCs w:val="21"/>
        </w:rPr>
        <w:t>静态汽车衡的设计、制造、试验等应符合下列标准</w:t>
      </w:r>
      <w:r>
        <w:rPr>
          <w:rFonts w:ascii="宋体" w:hAnsi="宋体"/>
          <w:szCs w:val="21"/>
        </w:rPr>
        <w:t>(</w:t>
      </w:r>
      <w:r>
        <w:rPr>
          <w:rFonts w:hint="eastAsia" w:ascii="宋体" w:hAnsi="宋体"/>
          <w:szCs w:val="21"/>
        </w:rPr>
        <w:t>最新版本</w:t>
      </w:r>
      <w:r>
        <w:rPr>
          <w:rFonts w:ascii="宋体" w:hAnsi="宋体"/>
          <w:szCs w:val="21"/>
        </w:rPr>
        <w:t>)</w:t>
      </w:r>
      <w:r>
        <w:rPr>
          <w:rFonts w:hint="eastAsia" w:ascii="宋体" w:hAnsi="宋体"/>
          <w:szCs w:val="21"/>
        </w:rPr>
        <w:t>或具有相同水平的其他标准，供方投标时应说明所采用的设计标准。</w:t>
      </w:r>
    </w:p>
    <w:p w14:paraId="3DBE9C4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GB7723           </w:t>
      </w:r>
      <w:r>
        <w:rPr>
          <w:rFonts w:hint="eastAsia" w:ascii="宋体" w:hAnsi="宋体"/>
          <w:szCs w:val="21"/>
        </w:rPr>
        <w:t>固定式电子衡</w:t>
      </w:r>
    </w:p>
    <w:p w14:paraId="4E37F770">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GB/T14249.2      </w:t>
      </w:r>
      <w:r>
        <w:rPr>
          <w:rFonts w:hint="eastAsia" w:ascii="宋体" w:hAnsi="宋体"/>
          <w:szCs w:val="21"/>
        </w:rPr>
        <w:t>电子衡器通用技术条件</w:t>
      </w:r>
    </w:p>
    <w:p w14:paraId="0B446EC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GB/T7551         </w:t>
      </w:r>
      <w:r>
        <w:rPr>
          <w:rFonts w:hint="eastAsia" w:ascii="宋体" w:hAnsi="宋体"/>
          <w:szCs w:val="21"/>
        </w:rPr>
        <w:t>称重传感器</w:t>
      </w:r>
    </w:p>
    <w:p w14:paraId="628E0B14">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GB/T7724         </w:t>
      </w:r>
      <w:r>
        <w:rPr>
          <w:rFonts w:hint="eastAsia" w:ascii="宋体" w:hAnsi="宋体"/>
          <w:szCs w:val="21"/>
        </w:rPr>
        <w:t>称重显示控制器</w:t>
      </w:r>
    </w:p>
    <w:p w14:paraId="2AF6257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JJG539           </w:t>
      </w:r>
      <w:r>
        <w:rPr>
          <w:rFonts w:hint="eastAsia" w:ascii="宋体" w:hAnsi="宋体"/>
          <w:szCs w:val="21"/>
        </w:rPr>
        <w:t>数字指示秤</w:t>
      </w:r>
    </w:p>
    <w:p w14:paraId="13E100C6">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JJG669           </w:t>
      </w:r>
      <w:r>
        <w:rPr>
          <w:rFonts w:hint="eastAsia" w:ascii="宋体" w:hAnsi="宋体"/>
          <w:szCs w:val="21"/>
        </w:rPr>
        <w:t>称重传感器检定规程</w:t>
      </w:r>
    </w:p>
    <w:p w14:paraId="58B4F4F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GB985            </w:t>
      </w:r>
      <w:r>
        <w:rPr>
          <w:rFonts w:hint="eastAsia" w:ascii="宋体" w:hAnsi="宋体"/>
          <w:szCs w:val="21"/>
        </w:rPr>
        <w:t>气焊、手工电弧焊及气体保护焊焊缝坡口的基本形式与尺寸</w:t>
      </w:r>
    </w:p>
    <w:p w14:paraId="7AA6E5A4">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GB986            </w:t>
      </w:r>
      <w:r>
        <w:rPr>
          <w:rFonts w:hint="eastAsia" w:ascii="宋体" w:hAnsi="宋体"/>
          <w:szCs w:val="21"/>
        </w:rPr>
        <w:t>埋弧焊焊缝坡口的基本形式和尺寸</w:t>
      </w:r>
    </w:p>
    <w:p w14:paraId="62BC465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GB/T1804         </w:t>
      </w:r>
      <w:r>
        <w:rPr>
          <w:rFonts w:hint="eastAsia" w:ascii="宋体" w:hAnsi="宋体"/>
          <w:szCs w:val="21"/>
        </w:rPr>
        <w:t>一般公差线性尺寸的未注公差</w:t>
      </w:r>
    </w:p>
    <w:p w14:paraId="19F6CD8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GB1764           </w:t>
      </w:r>
      <w:r>
        <w:rPr>
          <w:rFonts w:hint="eastAsia" w:ascii="宋体" w:hAnsi="宋体"/>
          <w:szCs w:val="21"/>
        </w:rPr>
        <w:t>漆膜厚度测定法</w:t>
      </w:r>
    </w:p>
    <w:p w14:paraId="678DC47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GB8923           </w:t>
      </w:r>
      <w:r>
        <w:rPr>
          <w:rFonts w:hint="eastAsia" w:ascii="宋体" w:hAnsi="宋体"/>
          <w:szCs w:val="21"/>
        </w:rPr>
        <w:t>涂装前钢材表面锈蚀等级和除锈等级</w:t>
      </w:r>
    </w:p>
    <w:p w14:paraId="47AFDB41">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JB/ZQ4286        </w:t>
      </w:r>
      <w:r>
        <w:rPr>
          <w:rFonts w:hint="eastAsia" w:ascii="宋体" w:hAnsi="宋体"/>
          <w:szCs w:val="21"/>
        </w:rPr>
        <w:t>包装通用技术条件</w:t>
      </w:r>
    </w:p>
    <w:p w14:paraId="272B5E51">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QB842.4          </w:t>
      </w:r>
      <w:r>
        <w:rPr>
          <w:rFonts w:hint="eastAsia" w:ascii="宋体" w:hAnsi="宋体"/>
          <w:szCs w:val="21"/>
        </w:rPr>
        <w:t>轻工机械衡器通用技术条件</w:t>
      </w:r>
    </w:p>
    <w:p w14:paraId="70F56214">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GB/T191          </w:t>
      </w:r>
      <w:r>
        <w:rPr>
          <w:rFonts w:hint="eastAsia" w:ascii="宋体" w:hAnsi="宋体"/>
          <w:szCs w:val="21"/>
        </w:rPr>
        <w:t>包装储运图示标志</w:t>
      </w:r>
    </w:p>
    <w:p w14:paraId="6EA04CDC">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GB/T13384        </w:t>
      </w:r>
      <w:r>
        <w:rPr>
          <w:rFonts w:hint="eastAsia" w:ascii="宋体" w:hAnsi="宋体"/>
          <w:szCs w:val="21"/>
        </w:rPr>
        <w:t>机电产品包装通用技术条件</w:t>
      </w:r>
    </w:p>
    <w:p w14:paraId="2BC0573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GB/T14250        </w:t>
      </w:r>
      <w:r>
        <w:rPr>
          <w:rFonts w:hint="eastAsia" w:ascii="宋体" w:hAnsi="宋体"/>
          <w:szCs w:val="21"/>
        </w:rPr>
        <w:t>衡器术语</w:t>
      </w:r>
    </w:p>
    <w:p w14:paraId="5CA05EF6">
      <w:pPr>
        <w:keepNext/>
        <w:keepLines/>
        <w:pageBreakBefore w:val="0"/>
        <w:widowControl w:val="0"/>
        <w:kinsoku/>
        <w:wordWrap/>
        <w:overflowPunct/>
        <w:topLinePunct w:val="0"/>
        <w:autoSpaceDE/>
        <w:autoSpaceDN/>
        <w:bidi w:val="0"/>
        <w:snapToGrid/>
        <w:spacing w:line="480" w:lineRule="exact"/>
        <w:outlineLvl w:val="1"/>
        <w:rPr>
          <w:rFonts w:ascii="宋体" w:hAnsi="宋体" w:eastAsia="MS Mincho"/>
          <w:b/>
          <w:bCs/>
          <w:szCs w:val="21"/>
          <w:lang w:eastAsia="ja-JP"/>
        </w:rPr>
      </w:pPr>
      <w:bookmarkStart w:id="8" w:name="_Toc503519502"/>
      <w:bookmarkStart w:id="9" w:name="_Toc503866556"/>
      <w:r>
        <w:rPr>
          <w:rFonts w:ascii="宋体" w:hAnsi="宋体"/>
          <w:b/>
          <w:bCs/>
          <w:szCs w:val="21"/>
          <w:lang w:eastAsia="ja-JP"/>
        </w:rPr>
        <w:t xml:space="preserve">5 </w:t>
      </w:r>
      <w:r>
        <w:rPr>
          <w:rFonts w:hint="eastAsia" w:ascii="宋体" w:hAnsi="宋体"/>
          <w:b/>
          <w:bCs/>
          <w:szCs w:val="21"/>
          <w:lang w:eastAsia="ja-JP"/>
        </w:rPr>
        <w:t>技术性能一览表</w:t>
      </w:r>
      <w:bookmarkEnd w:id="8"/>
      <w:bookmarkEnd w:id="9"/>
    </w:p>
    <w:tbl>
      <w:tblPr>
        <w:tblStyle w:val="16"/>
        <w:tblW w:w="9628" w:type="dxa"/>
        <w:jc w:val="center"/>
        <w:tblLayout w:type="fixed"/>
        <w:tblCellMar>
          <w:top w:w="0" w:type="dxa"/>
          <w:left w:w="108" w:type="dxa"/>
          <w:bottom w:w="0" w:type="dxa"/>
          <w:right w:w="108" w:type="dxa"/>
        </w:tblCellMar>
      </w:tblPr>
      <w:tblGrid>
        <w:gridCol w:w="1207"/>
        <w:gridCol w:w="1846"/>
        <w:gridCol w:w="1799"/>
        <w:gridCol w:w="2461"/>
        <w:gridCol w:w="2315"/>
      </w:tblGrid>
      <w:tr w14:paraId="324BAE14">
        <w:tblPrEx>
          <w:tblCellMar>
            <w:top w:w="0" w:type="dxa"/>
            <w:left w:w="108" w:type="dxa"/>
            <w:bottom w:w="0" w:type="dxa"/>
            <w:right w:w="108" w:type="dxa"/>
          </w:tblCellMar>
        </w:tblPrEx>
        <w:trPr>
          <w:trHeight w:val="567" w:hRule="atLeast"/>
          <w:jc w:val="center"/>
        </w:trPr>
        <w:tc>
          <w:tcPr>
            <w:tcW w:w="1207"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236BFC97">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序号</w:t>
            </w:r>
          </w:p>
        </w:tc>
        <w:tc>
          <w:tcPr>
            <w:tcW w:w="3645" w:type="dxa"/>
            <w:gridSpan w:val="2"/>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7409B2B4">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技术标准</w:t>
            </w:r>
          </w:p>
        </w:tc>
        <w:tc>
          <w:tcPr>
            <w:tcW w:w="2461"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5C3E3322">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技术参数</w:t>
            </w:r>
          </w:p>
        </w:tc>
        <w:tc>
          <w:tcPr>
            <w:tcW w:w="2315"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4C8F5D38">
            <w:pPr>
              <w:pageBreakBefore w:val="0"/>
              <w:widowControl w:val="0"/>
              <w:kinsoku/>
              <w:wordWrap/>
              <w:overflowPunct/>
              <w:topLinePunct w:val="0"/>
              <w:autoSpaceDE/>
              <w:autoSpaceDN/>
              <w:bidi w:val="0"/>
              <w:snapToGrid/>
              <w:spacing w:line="480" w:lineRule="exact"/>
              <w:jc w:val="center"/>
              <w:rPr>
                <w:rFonts w:hint="eastAsia" w:ascii="宋体" w:eastAsia="宋体"/>
                <w:b/>
                <w:kern w:val="0"/>
                <w:szCs w:val="21"/>
                <w:lang w:eastAsia="zh-CN"/>
              </w:rPr>
            </w:pPr>
            <w:r>
              <w:rPr>
                <w:rFonts w:hint="eastAsia" w:ascii="宋体"/>
                <w:b/>
                <w:kern w:val="0"/>
                <w:szCs w:val="21"/>
                <w:lang w:eastAsia="zh-CN"/>
              </w:rPr>
              <w:t>推荐品牌</w:t>
            </w:r>
          </w:p>
        </w:tc>
      </w:tr>
      <w:tr w14:paraId="51267845">
        <w:tblPrEx>
          <w:tblCellMar>
            <w:top w:w="0" w:type="dxa"/>
            <w:left w:w="108" w:type="dxa"/>
            <w:bottom w:w="0" w:type="dxa"/>
            <w:right w:w="108" w:type="dxa"/>
          </w:tblCellMar>
        </w:tblPrEx>
        <w:trPr>
          <w:trHeight w:val="567" w:hRule="atLeast"/>
          <w:jc w:val="center"/>
        </w:trPr>
        <w:tc>
          <w:tcPr>
            <w:tcW w:w="1207"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5FAC433E">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1</w:t>
            </w:r>
          </w:p>
        </w:tc>
        <w:tc>
          <w:tcPr>
            <w:tcW w:w="3645" w:type="dxa"/>
            <w:gridSpan w:val="2"/>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3802FBCC">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额定称重量</w:t>
            </w:r>
          </w:p>
        </w:tc>
        <w:tc>
          <w:tcPr>
            <w:tcW w:w="2461" w:type="dxa"/>
            <w:tcBorders>
              <w:top w:val="single" w:color="000000" w:sz="2" w:space="0"/>
              <w:left w:val="single" w:color="auto" w:sz="4" w:space="0"/>
              <w:bottom w:val="single" w:color="auto" w:sz="4" w:space="0"/>
              <w:right w:val="single" w:color="auto" w:sz="4" w:space="0"/>
            </w:tcBorders>
            <w:shd w:val="clear" w:color="000000" w:fill="FFFFFF"/>
            <w:noWrap w:val="0"/>
            <w:vAlign w:val="center"/>
          </w:tcPr>
          <w:p w14:paraId="6EA698B0">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lang w:val="en-US" w:eastAsia="zh-CN"/>
              </w:rPr>
              <w:t>60</w:t>
            </w:r>
            <w:r>
              <w:rPr>
                <w:rFonts w:ascii="宋体" w:hAnsi="宋体"/>
                <w:kern w:val="0"/>
                <w:szCs w:val="21"/>
              </w:rPr>
              <w:t>t</w:t>
            </w:r>
          </w:p>
        </w:tc>
        <w:tc>
          <w:tcPr>
            <w:tcW w:w="2315" w:type="dxa"/>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5751561A">
            <w:pPr>
              <w:pageBreakBefore w:val="0"/>
              <w:widowControl w:val="0"/>
              <w:kinsoku/>
              <w:wordWrap/>
              <w:overflowPunct/>
              <w:topLinePunct w:val="0"/>
              <w:autoSpaceDE/>
              <w:autoSpaceDN/>
              <w:bidi w:val="0"/>
              <w:snapToGrid/>
              <w:spacing w:line="480" w:lineRule="exact"/>
              <w:jc w:val="center"/>
              <w:rPr>
                <w:rFonts w:ascii="宋体"/>
                <w:b/>
                <w:kern w:val="0"/>
                <w:szCs w:val="21"/>
              </w:rPr>
            </w:pPr>
          </w:p>
        </w:tc>
      </w:tr>
      <w:tr w14:paraId="15539E48">
        <w:tblPrEx>
          <w:tblCellMar>
            <w:top w:w="0" w:type="dxa"/>
            <w:left w:w="108" w:type="dxa"/>
            <w:bottom w:w="0" w:type="dxa"/>
            <w:right w:w="108" w:type="dxa"/>
          </w:tblCellMar>
        </w:tblPrEx>
        <w:trPr>
          <w:trHeight w:val="567" w:hRule="atLeast"/>
          <w:jc w:val="center"/>
        </w:trPr>
        <w:tc>
          <w:tcPr>
            <w:tcW w:w="1207"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170A8911">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2</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F94B17F">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静态准确度等级</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5B98C7">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szCs w:val="21"/>
              </w:rPr>
              <w:t>OIML  III</w:t>
            </w:r>
          </w:p>
        </w:tc>
        <w:tc>
          <w:tcPr>
            <w:tcW w:w="2315" w:type="dxa"/>
            <w:tcBorders>
              <w:top w:val="single" w:color="000000" w:sz="2" w:space="0"/>
              <w:left w:val="single" w:color="000000" w:sz="2" w:space="0"/>
              <w:right w:val="single" w:color="auto" w:sz="4" w:space="0"/>
            </w:tcBorders>
            <w:shd w:val="clear" w:color="000000" w:fill="FFFFFF"/>
            <w:noWrap w:val="0"/>
            <w:vAlign w:val="center"/>
          </w:tcPr>
          <w:p w14:paraId="202C1B53">
            <w:pPr>
              <w:pageBreakBefore w:val="0"/>
              <w:widowControl w:val="0"/>
              <w:kinsoku/>
              <w:wordWrap/>
              <w:overflowPunct/>
              <w:topLinePunct w:val="0"/>
              <w:autoSpaceDE/>
              <w:autoSpaceDN/>
              <w:bidi w:val="0"/>
              <w:snapToGrid/>
              <w:spacing w:line="480" w:lineRule="exact"/>
              <w:jc w:val="center"/>
              <w:rPr>
                <w:rFonts w:ascii="宋体"/>
                <w:szCs w:val="21"/>
              </w:rPr>
            </w:pPr>
          </w:p>
        </w:tc>
      </w:tr>
      <w:tr w14:paraId="61C26A86">
        <w:tblPrEx>
          <w:tblCellMar>
            <w:top w:w="0" w:type="dxa"/>
            <w:left w:w="108" w:type="dxa"/>
            <w:bottom w:w="0" w:type="dxa"/>
            <w:right w:w="108" w:type="dxa"/>
          </w:tblCellMar>
        </w:tblPrEx>
        <w:trPr>
          <w:trHeight w:val="567" w:hRule="atLeast"/>
          <w:jc w:val="center"/>
        </w:trPr>
        <w:tc>
          <w:tcPr>
            <w:tcW w:w="1207" w:type="dxa"/>
            <w:tcBorders>
              <w:top w:val="single" w:color="000000" w:sz="4" w:space="0"/>
              <w:left w:val="single" w:color="000000" w:sz="4" w:space="0"/>
              <w:bottom w:val="single" w:color="000000" w:sz="4" w:space="0"/>
              <w:right w:val="single" w:color="auto" w:sz="4" w:space="0"/>
            </w:tcBorders>
            <w:shd w:val="clear" w:color="000000" w:fill="FFFFFF"/>
            <w:noWrap w:val="0"/>
            <w:vAlign w:val="center"/>
          </w:tcPr>
          <w:p w14:paraId="2023316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3</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8E6AA2F">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安全超载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8727D4">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rPr>
              <w:t>≥</w:t>
            </w:r>
            <w:r>
              <w:rPr>
                <w:rFonts w:ascii="宋体" w:hAnsi="宋体"/>
                <w:szCs w:val="21"/>
              </w:rPr>
              <w:t>125%FS</w:t>
            </w:r>
          </w:p>
        </w:tc>
        <w:tc>
          <w:tcPr>
            <w:tcW w:w="2315" w:type="dxa"/>
            <w:tcBorders>
              <w:top w:val="single" w:color="000000" w:sz="4" w:space="0"/>
              <w:left w:val="single" w:color="000000" w:sz="4" w:space="0"/>
              <w:bottom w:val="single" w:color="auto" w:sz="4" w:space="0"/>
              <w:right w:val="single" w:color="000000" w:sz="4" w:space="0"/>
            </w:tcBorders>
            <w:shd w:val="clear" w:color="000000" w:fill="FFFFFF"/>
            <w:noWrap w:val="0"/>
            <w:vAlign w:val="center"/>
          </w:tcPr>
          <w:p w14:paraId="2932C3DC">
            <w:pPr>
              <w:pageBreakBefore w:val="0"/>
              <w:widowControl w:val="0"/>
              <w:kinsoku/>
              <w:wordWrap/>
              <w:overflowPunct/>
              <w:topLinePunct w:val="0"/>
              <w:autoSpaceDE/>
              <w:autoSpaceDN/>
              <w:bidi w:val="0"/>
              <w:snapToGrid/>
              <w:spacing w:line="480" w:lineRule="exact"/>
              <w:jc w:val="center"/>
              <w:rPr>
                <w:rFonts w:ascii="宋体"/>
                <w:szCs w:val="21"/>
              </w:rPr>
            </w:pPr>
          </w:p>
        </w:tc>
      </w:tr>
      <w:tr w14:paraId="3852A98A">
        <w:tblPrEx>
          <w:tblCellMar>
            <w:top w:w="0" w:type="dxa"/>
            <w:left w:w="108" w:type="dxa"/>
            <w:bottom w:w="0" w:type="dxa"/>
            <w:right w:w="108" w:type="dxa"/>
          </w:tblCellMar>
        </w:tblPrEx>
        <w:trPr>
          <w:trHeight w:val="567" w:hRule="atLeast"/>
          <w:jc w:val="center"/>
        </w:trPr>
        <w:tc>
          <w:tcPr>
            <w:tcW w:w="1207" w:type="dxa"/>
            <w:tcBorders>
              <w:top w:val="single" w:color="000000" w:sz="4" w:space="0"/>
              <w:left w:val="single" w:color="000000" w:sz="2" w:space="0"/>
              <w:bottom w:val="single" w:color="auto" w:sz="4" w:space="0"/>
              <w:right w:val="single" w:color="auto" w:sz="4" w:space="0"/>
            </w:tcBorders>
            <w:shd w:val="clear" w:color="000000" w:fill="FFFFFF"/>
            <w:noWrap w:val="0"/>
            <w:vAlign w:val="center"/>
          </w:tcPr>
          <w:p w14:paraId="5A7C1666">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4</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16E239">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承重台超载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35742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rPr>
              <w:t>≥</w:t>
            </w:r>
            <w:r>
              <w:rPr>
                <w:rFonts w:ascii="宋体" w:hAnsi="宋体"/>
                <w:szCs w:val="21"/>
              </w:rPr>
              <w:t>200%FS</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60E0F0">
            <w:pPr>
              <w:pageBreakBefore w:val="0"/>
              <w:widowControl w:val="0"/>
              <w:kinsoku/>
              <w:wordWrap/>
              <w:overflowPunct/>
              <w:topLinePunct w:val="0"/>
              <w:autoSpaceDE/>
              <w:autoSpaceDN/>
              <w:bidi w:val="0"/>
              <w:snapToGrid/>
              <w:spacing w:line="480" w:lineRule="exact"/>
              <w:jc w:val="center"/>
              <w:rPr>
                <w:rFonts w:ascii="宋体"/>
                <w:szCs w:val="21"/>
              </w:rPr>
            </w:pPr>
          </w:p>
        </w:tc>
      </w:tr>
      <w:tr w14:paraId="50C8DBF1">
        <w:tblPrEx>
          <w:tblCellMar>
            <w:top w:w="0" w:type="dxa"/>
            <w:left w:w="108" w:type="dxa"/>
            <w:bottom w:w="0" w:type="dxa"/>
            <w:right w:w="108" w:type="dxa"/>
          </w:tblCellMar>
        </w:tblPrEx>
        <w:trPr>
          <w:trHeight w:val="494" w:hRule="atLeast"/>
          <w:jc w:val="center"/>
        </w:trPr>
        <w:tc>
          <w:tcPr>
            <w:tcW w:w="1207" w:type="dxa"/>
            <w:tcBorders>
              <w:top w:val="single" w:color="auto" w:sz="4" w:space="0"/>
              <w:left w:val="single" w:color="000000" w:sz="2" w:space="0"/>
              <w:bottom w:val="single" w:color="000000" w:sz="2" w:space="0"/>
              <w:right w:val="single" w:color="auto" w:sz="4" w:space="0"/>
            </w:tcBorders>
            <w:shd w:val="clear" w:color="000000" w:fill="FFFFFF"/>
            <w:noWrap w:val="0"/>
            <w:vAlign w:val="center"/>
          </w:tcPr>
          <w:p w14:paraId="3E90718A">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5</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8E457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基坑形式</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98D16D">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lang w:val="en-US" w:eastAsia="zh-CN"/>
              </w:rPr>
              <w:t>无</w:t>
            </w:r>
            <w:r>
              <w:rPr>
                <w:rFonts w:hint="eastAsia" w:ascii="宋体" w:hAnsi="宋体"/>
                <w:szCs w:val="21"/>
              </w:rPr>
              <w:t>基坑</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E82E2B">
            <w:pPr>
              <w:pageBreakBefore w:val="0"/>
              <w:widowControl w:val="0"/>
              <w:kinsoku/>
              <w:wordWrap/>
              <w:overflowPunct/>
              <w:topLinePunct w:val="0"/>
              <w:autoSpaceDE/>
              <w:autoSpaceDN/>
              <w:bidi w:val="0"/>
              <w:snapToGrid/>
              <w:spacing w:line="480" w:lineRule="exact"/>
              <w:jc w:val="center"/>
              <w:rPr>
                <w:rFonts w:ascii="宋体"/>
                <w:szCs w:val="21"/>
              </w:rPr>
            </w:pPr>
          </w:p>
        </w:tc>
      </w:tr>
      <w:tr w14:paraId="4C14047D">
        <w:tblPrEx>
          <w:tblCellMar>
            <w:top w:w="0" w:type="dxa"/>
            <w:left w:w="108" w:type="dxa"/>
            <w:bottom w:w="0" w:type="dxa"/>
            <w:right w:w="108" w:type="dxa"/>
          </w:tblCellMar>
        </w:tblPrEx>
        <w:trPr>
          <w:trHeight w:val="398" w:hRule="atLeast"/>
          <w:jc w:val="center"/>
        </w:trPr>
        <w:tc>
          <w:tcPr>
            <w:tcW w:w="1207" w:type="dxa"/>
            <w:tcBorders>
              <w:top w:val="single" w:color="000000" w:sz="2" w:space="0"/>
              <w:left w:val="single" w:color="000000" w:sz="2" w:space="0"/>
              <w:bottom w:val="single" w:color="auto" w:sz="4" w:space="0"/>
              <w:right w:val="single" w:color="auto" w:sz="4" w:space="0"/>
            </w:tcBorders>
            <w:shd w:val="clear" w:color="000000" w:fill="FFFFFF"/>
            <w:noWrap w:val="0"/>
            <w:vAlign w:val="center"/>
          </w:tcPr>
          <w:p w14:paraId="4016B848">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6</w:t>
            </w:r>
          </w:p>
        </w:tc>
        <w:tc>
          <w:tcPr>
            <w:tcW w:w="3645"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0597B5">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检定分度值</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615D18">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szCs w:val="21"/>
                <w:lang w:val="en-US" w:eastAsia="zh-CN"/>
              </w:rPr>
              <w:t>1</w:t>
            </w:r>
            <w:r>
              <w:rPr>
                <w:rFonts w:ascii="宋体" w:hAnsi="宋体"/>
                <w:szCs w:val="21"/>
              </w:rPr>
              <w:t>0kg</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5DF56">
            <w:pPr>
              <w:pageBreakBefore w:val="0"/>
              <w:widowControl w:val="0"/>
              <w:kinsoku/>
              <w:wordWrap/>
              <w:overflowPunct/>
              <w:topLinePunct w:val="0"/>
              <w:autoSpaceDE/>
              <w:autoSpaceDN/>
              <w:bidi w:val="0"/>
              <w:snapToGrid/>
              <w:spacing w:line="480" w:lineRule="exact"/>
              <w:jc w:val="center"/>
              <w:rPr>
                <w:rFonts w:ascii="宋体"/>
                <w:szCs w:val="21"/>
              </w:rPr>
            </w:pPr>
          </w:p>
        </w:tc>
      </w:tr>
      <w:tr w14:paraId="050200A8">
        <w:tblPrEx>
          <w:tblCellMar>
            <w:top w:w="0" w:type="dxa"/>
            <w:left w:w="108" w:type="dxa"/>
            <w:bottom w:w="0" w:type="dxa"/>
            <w:right w:w="108" w:type="dxa"/>
          </w:tblCellMar>
        </w:tblPrEx>
        <w:trPr>
          <w:trHeight w:val="567"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98859F">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7</w:t>
            </w:r>
          </w:p>
        </w:tc>
        <w:tc>
          <w:tcPr>
            <w:tcW w:w="184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A0F9D9">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秤台</w:t>
            </w:r>
          </w:p>
          <w:p w14:paraId="6CEDC385">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8455A2">
            <w:pPr>
              <w:pageBreakBefore w:val="0"/>
              <w:widowControl w:val="0"/>
              <w:kinsoku/>
              <w:wordWrap/>
              <w:overflowPunct/>
              <w:topLinePunct w:val="0"/>
              <w:autoSpaceDE/>
              <w:autoSpaceDN/>
              <w:bidi w:val="0"/>
              <w:snapToGrid/>
              <w:spacing w:line="480" w:lineRule="exact"/>
              <w:jc w:val="center"/>
              <w:rPr>
                <w:rFonts w:hint="default" w:ascii="宋体" w:eastAsia="宋体"/>
                <w:kern w:val="0"/>
                <w:szCs w:val="21"/>
                <w:lang w:val="en-US" w:eastAsia="zh-CN"/>
              </w:rPr>
            </w:pPr>
            <w:r>
              <w:rPr>
                <w:rFonts w:hint="eastAsia" w:ascii="宋体" w:hAnsi="宋体"/>
                <w:kern w:val="0"/>
                <w:szCs w:val="21"/>
                <w:lang w:val="en-US" w:eastAsia="zh-CN"/>
              </w:rPr>
              <w:t>秤台数量</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7C5AD9">
            <w:pPr>
              <w:pageBreakBefore w:val="0"/>
              <w:widowControl w:val="0"/>
              <w:kinsoku/>
              <w:wordWrap/>
              <w:overflowPunct/>
              <w:topLinePunct w:val="0"/>
              <w:autoSpaceDE/>
              <w:autoSpaceDN/>
              <w:bidi w:val="0"/>
              <w:snapToGrid/>
              <w:spacing w:line="480" w:lineRule="exact"/>
              <w:jc w:val="center"/>
              <w:rPr>
                <w:rFonts w:hint="default" w:ascii="宋体" w:eastAsia="宋体"/>
                <w:kern w:val="0"/>
                <w:szCs w:val="21"/>
                <w:lang w:val="en-US" w:eastAsia="zh-CN"/>
              </w:rPr>
            </w:pPr>
            <w:r>
              <w:rPr>
                <w:rFonts w:hint="eastAsia" w:ascii="宋体"/>
                <w:kern w:val="0"/>
                <w:szCs w:val="21"/>
                <w:lang w:val="en-US" w:eastAsia="zh-CN"/>
              </w:rPr>
              <w:t>2节</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304E29">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414347A3">
        <w:tblPrEx>
          <w:tblCellMar>
            <w:top w:w="0" w:type="dxa"/>
            <w:left w:w="108" w:type="dxa"/>
            <w:bottom w:w="0" w:type="dxa"/>
            <w:right w:w="108" w:type="dxa"/>
          </w:tblCellMar>
        </w:tblPrEx>
        <w:trPr>
          <w:trHeight w:val="567" w:hRule="atLeast"/>
          <w:jc w:val="center"/>
        </w:trPr>
        <w:tc>
          <w:tcPr>
            <w:tcW w:w="1207" w:type="dxa"/>
            <w:vMerge w:val="continue"/>
            <w:tcBorders>
              <w:top w:val="single" w:color="auto" w:sz="4" w:space="0"/>
              <w:left w:val="single" w:color="auto" w:sz="4" w:space="0"/>
              <w:right w:val="single" w:color="auto" w:sz="4" w:space="0"/>
            </w:tcBorders>
            <w:shd w:val="clear" w:color="000000" w:fill="FFFFFF"/>
            <w:noWrap w:val="0"/>
            <w:vAlign w:val="center"/>
          </w:tcPr>
          <w:p w14:paraId="0C55BE20">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A2F98E">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F32C9A5">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秤体刚度</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69E20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优于</w:t>
            </w:r>
            <w:r>
              <w:rPr>
                <w:rFonts w:ascii="宋体" w:hAnsi="宋体"/>
                <w:kern w:val="0"/>
                <w:szCs w:val="21"/>
              </w:rPr>
              <w:t>1/</w:t>
            </w:r>
            <w:r>
              <w:rPr>
                <w:rFonts w:hint="eastAsia" w:ascii="宋体" w:hAnsi="宋体"/>
                <w:kern w:val="0"/>
                <w:szCs w:val="21"/>
              </w:rPr>
              <w:t>800</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913F3A">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055C824B">
        <w:tblPrEx>
          <w:tblCellMar>
            <w:top w:w="0" w:type="dxa"/>
            <w:left w:w="108" w:type="dxa"/>
            <w:bottom w:w="0" w:type="dxa"/>
            <w:right w:w="108" w:type="dxa"/>
          </w:tblCellMar>
        </w:tblPrEx>
        <w:trPr>
          <w:trHeight w:val="567"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0BA700F2">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758679">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5D1127">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r>
              <w:rPr>
                <w:rFonts w:hint="eastAsia" w:ascii="宋体" w:hAnsi="宋体"/>
                <w:kern w:val="0"/>
                <w:szCs w:val="21"/>
              </w:rPr>
              <w:t>面板厚度</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0EC995">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r>
              <w:rPr>
                <w:rFonts w:hint="eastAsia" w:ascii="宋体" w:hAnsi="宋体"/>
                <w:kern w:val="0"/>
                <w:szCs w:val="21"/>
              </w:rPr>
              <w:t>≥</w:t>
            </w:r>
            <w:r>
              <w:rPr>
                <w:rFonts w:ascii="宋体" w:hAnsi="宋体"/>
                <w:kern w:val="0"/>
                <w:szCs w:val="21"/>
              </w:rPr>
              <w:t>1</w:t>
            </w:r>
            <w:r>
              <w:rPr>
                <w:rFonts w:hint="eastAsia" w:ascii="宋体" w:hAnsi="宋体"/>
                <w:kern w:val="0"/>
                <w:szCs w:val="21"/>
              </w:rPr>
              <w:t>0</w:t>
            </w:r>
            <w:r>
              <w:rPr>
                <w:rFonts w:ascii="宋体" w:hAnsi="宋体"/>
                <w:kern w:val="0"/>
                <w:szCs w:val="21"/>
              </w:rPr>
              <w:t>mm</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D1DD75">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p>
        </w:tc>
      </w:tr>
      <w:tr w14:paraId="64572120">
        <w:tblPrEx>
          <w:tblCellMar>
            <w:top w:w="0" w:type="dxa"/>
            <w:left w:w="108" w:type="dxa"/>
            <w:bottom w:w="0" w:type="dxa"/>
            <w:right w:w="108" w:type="dxa"/>
          </w:tblCellMar>
        </w:tblPrEx>
        <w:trPr>
          <w:trHeight w:val="567"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351AF0DE">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11F1F3">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2E9EC1">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r>
              <w:rPr>
                <w:rFonts w:hint="eastAsia" w:ascii="宋体" w:hAnsi="宋体"/>
                <w:kern w:val="0"/>
                <w:szCs w:val="21"/>
                <w:lang w:val="en-US" w:eastAsia="zh-CN"/>
              </w:rPr>
              <w:t>大梁</w:t>
            </w:r>
            <w:r>
              <w:rPr>
                <w:rFonts w:hint="eastAsia" w:ascii="宋体" w:hAnsi="宋体"/>
                <w:kern w:val="0"/>
                <w:szCs w:val="21"/>
              </w:rPr>
              <w:t>厚度</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9D5F923">
            <w:pPr>
              <w:pageBreakBefore w:val="0"/>
              <w:widowControl w:val="0"/>
              <w:kinsoku/>
              <w:wordWrap/>
              <w:overflowPunct/>
              <w:topLinePunct w:val="0"/>
              <w:autoSpaceDE/>
              <w:autoSpaceDN/>
              <w:bidi w:val="0"/>
              <w:snapToGrid/>
              <w:spacing w:line="480" w:lineRule="exact"/>
              <w:jc w:val="center"/>
              <w:rPr>
                <w:rFonts w:hint="default" w:ascii="宋体" w:hAnsi="Times New Roman" w:eastAsia="宋体" w:cs="Times New Roman"/>
                <w:kern w:val="0"/>
                <w:sz w:val="21"/>
                <w:szCs w:val="21"/>
                <w:lang w:val="en-US" w:eastAsia="zh-CN" w:bidi="ar-SA"/>
              </w:rPr>
            </w:pPr>
            <w:r>
              <w:rPr>
                <w:rFonts w:hint="eastAsia" w:ascii="宋体" w:hAnsi="宋体"/>
                <w:kern w:val="0"/>
                <w:szCs w:val="21"/>
              </w:rPr>
              <w:t>≥</w:t>
            </w:r>
            <w:r>
              <w:rPr>
                <w:rFonts w:hint="eastAsia" w:ascii="宋体" w:hAnsi="宋体"/>
                <w:kern w:val="0"/>
                <w:szCs w:val="21"/>
                <w:lang w:val="en-US" w:eastAsia="zh-CN"/>
              </w:rPr>
              <w:t>5</w:t>
            </w:r>
            <w:r>
              <w:rPr>
                <w:rFonts w:ascii="宋体" w:hAnsi="宋体"/>
                <w:kern w:val="0"/>
                <w:szCs w:val="21"/>
              </w:rPr>
              <w:t>mm</w:t>
            </w:r>
            <w:r>
              <w:rPr>
                <w:rFonts w:hint="eastAsia" w:ascii="宋体" w:hAnsi="宋体"/>
                <w:kern w:val="0"/>
                <w:szCs w:val="21"/>
                <w:lang w:eastAsia="zh-CN"/>
              </w:rPr>
              <w:t>（</w:t>
            </w:r>
            <w:r>
              <w:rPr>
                <w:rFonts w:hint="eastAsia" w:ascii="宋体" w:hAnsi="宋体"/>
                <w:kern w:val="0"/>
                <w:szCs w:val="21"/>
                <w:lang w:val="en-US" w:eastAsia="zh-CN"/>
              </w:rPr>
              <w:t>不少于6道）</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C1FD74">
            <w:pPr>
              <w:pageBreakBefore w:val="0"/>
              <w:widowControl w:val="0"/>
              <w:kinsoku/>
              <w:wordWrap/>
              <w:overflowPunct/>
              <w:topLinePunct w:val="0"/>
              <w:autoSpaceDE/>
              <w:autoSpaceDN/>
              <w:bidi w:val="0"/>
              <w:snapToGrid/>
              <w:spacing w:line="480" w:lineRule="exact"/>
              <w:jc w:val="center"/>
              <w:rPr>
                <w:rFonts w:ascii="宋体" w:hAnsi="Times New Roman" w:eastAsia="宋体" w:cs="Times New Roman"/>
                <w:kern w:val="0"/>
                <w:sz w:val="21"/>
                <w:szCs w:val="21"/>
                <w:lang w:val="en-US" w:eastAsia="zh-CN" w:bidi="ar-SA"/>
              </w:rPr>
            </w:pPr>
          </w:p>
        </w:tc>
      </w:tr>
      <w:tr w14:paraId="6F196020">
        <w:tblPrEx>
          <w:tblCellMar>
            <w:top w:w="0" w:type="dxa"/>
            <w:left w:w="108" w:type="dxa"/>
            <w:bottom w:w="0" w:type="dxa"/>
            <w:right w:w="108" w:type="dxa"/>
          </w:tblCellMar>
        </w:tblPrEx>
        <w:trPr>
          <w:trHeight w:val="567"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129D977A">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B78B46D">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657950">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设计轴载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B2A573">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w:t>
            </w:r>
            <w:r>
              <w:rPr>
                <w:rFonts w:ascii="宋体" w:hAnsi="宋体"/>
                <w:kern w:val="0"/>
                <w:szCs w:val="21"/>
              </w:rPr>
              <w:t>40t</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302B99">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68346FF2">
        <w:tblPrEx>
          <w:tblCellMar>
            <w:top w:w="0" w:type="dxa"/>
            <w:left w:w="108" w:type="dxa"/>
            <w:bottom w:w="0" w:type="dxa"/>
            <w:right w:w="108" w:type="dxa"/>
          </w:tblCellMar>
        </w:tblPrEx>
        <w:trPr>
          <w:trHeight w:val="567"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3EEC44F3">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A8DE31">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2044C7">
            <w:pPr>
              <w:pageBreakBefore w:val="0"/>
              <w:widowControl w:val="0"/>
              <w:kinsoku/>
              <w:wordWrap/>
              <w:overflowPunct/>
              <w:topLinePunct w:val="0"/>
              <w:autoSpaceDE/>
              <w:autoSpaceDN/>
              <w:bidi w:val="0"/>
              <w:snapToGrid/>
              <w:spacing w:line="48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秤台自重</w:t>
            </w:r>
          </w:p>
        </w:tc>
        <w:tc>
          <w:tcPr>
            <w:tcW w:w="24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C44126">
            <w:pPr>
              <w:pageBreakBefore w:val="0"/>
              <w:widowControl w:val="0"/>
              <w:kinsoku/>
              <w:wordWrap/>
              <w:overflowPunct/>
              <w:topLinePunct w:val="0"/>
              <w:autoSpaceDE/>
              <w:autoSpaceDN/>
              <w:bidi w:val="0"/>
              <w:snapToGrid/>
              <w:spacing w:line="480" w:lineRule="exact"/>
              <w:jc w:val="center"/>
              <w:rPr>
                <w:rFonts w:hint="eastAsia" w:ascii="宋体" w:hAnsi="宋体"/>
                <w:kern w:val="0"/>
                <w:szCs w:val="21"/>
              </w:rPr>
            </w:pPr>
            <w:r>
              <w:rPr>
                <w:rFonts w:hint="eastAsia" w:ascii="宋体" w:hAnsi="宋体"/>
                <w:kern w:val="0"/>
                <w:szCs w:val="21"/>
              </w:rPr>
              <w:t>≥</w:t>
            </w:r>
            <w:r>
              <w:rPr>
                <w:rFonts w:hint="eastAsia" w:ascii="宋体"/>
                <w:kern w:val="0"/>
                <w:szCs w:val="21"/>
                <w:lang w:val="en-US" w:eastAsia="zh-CN"/>
              </w:rPr>
              <w:t>4.5吨</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E50AD7">
            <w:pPr>
              <w:pStyle w:val="6"/>
              <w:pageBreakBefore w:val="0"/>
              <w:widowControl w:val="0"/>
              <w:kinsoku/>
              <w:wordWrap/>
              <w:overflowPunct/>
              <w:topLinePunct w:val="0"/>
              <w:autoSpaceDE/>
              <w:autoSpaceDN/>
              <w:bidi w:val="0"/>
              <w:snapToGrid/>
              <w:spacing w:line="480" w:lineRule="exact"/>
              <w:rPr>
                <w:rFonts w:hint="eastAsia" w:ascii="宋体" w:hAnsi="宋体"/>
                <w:i w:val="0"/>
                <w:szCs w:val="21"/>
              </w:rPr>
            </w:pPr>
          </w:p>
        </w:tc>
      </w:tr>
      <w:tr w14:paraId="1C6110D8">
        <w:tblPrEx>
          <w:tblCellMar>
            <w:top w:w="0" w:type="dxa"/>
            <w:left w:w="108" w:type="dxa"/>
            <w:bottom w:w="0" w:type="dxa"/>
            <w:right w:w="108" w:type="dxa"/>
          </w:tblCellMar>
        </w:tblPrEx>
        <w:trPr>
          <w:trHeight w:val="634" w:hRule="atLeast"/>
          <w:jc w:val="center"/>
        </w:trPr>
        <w:tc>
          <w:tcPr>
            <w:tcW w:w="1207" w:type="dxa"/>
            <w:vMerge w:val="continue"/>
            <w:tcBorders>
              <w:left w:val="single" w:color="auto" w:sz="4" w:space="0"/>
              <w:right w:val="single" w:color="auto" w:sz="4" w:space="0"/>
            </w:tcBorders>
            <w:shd w:val="clear" w:color="000000" w:fill="FFFFFF"/>
            <w:noWrap w:val="0"/>
            <w:vAlign w:val="center"/>
          </w:tcPr>
          <w:p w14:paraId="73075DB1">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217BB7">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2B0948">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设计、制作工艺评价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DA59A1">
            <w:pPr>
              <w:pageBreakBefore w:val="0"/>
              <w:widowControl w:val="0"/>
              <w:kinsoku/>
              <w:wordWrap/>
              <w:overflowPunct/>
              <w:topLinePunct w:val="0"/>
              <w:autoSpaceDE/>
              <w:autoSpaceDN/>
              <w:bidi w:val="0"/>
              <w:snapToGrid/>
              <w:spacing w:line="480" w:lineRule="exact"/>
              <w:jc w:val="center"/>
              <w:rPr>
                <w:rFonts w:hint="default" w:ascii="宋体" w:eastAsia="宋体"/>
                <w:kern w:val="0"/>
                <w:szCs w:val="21"/>
                <w:lang w:val="en-US" w:eastAsia="zh-CN"/>
              </w:rPr>
            </w:pPr>
            <w:r>
              <w:rPr>
                <w:rFonts w:hint="eastAsia" w:ascii="宋体"/>
                <w:kern w:val="0"/>
                <w:szCs w:val="21"/>
              </w:rPr>
              <w:t>设计工艺</w:t>
            </w:r>
            <w:r>
              <w:rPr>
                <w:rFonts w:hint="eastAsia" w:ascii="宋体"/>
                <w:kern w:val="0"/>
                <w:szCs w:val="21"/>
                <w:lang w:eastAsia="zh-CN"/>
              </w:rPr>
              <w:t>（</w:t>
            </w:r>
            <w:r>
              <w:rPr>
                <w:rFonts w:hint="eastAsia" w:ascii="宋体"/>
                <w:kern w:val="0"/>
                <w:szCs w:val="21"/>
                <w:lang w:val="en-US" w:eastAsia="zh-CN"/>
              </w:rPr>
              <w:t>自动焊）</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569542">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1984C96C">
        <w:tblPrEx>
          <w:tblCellMar>
            <w:top w:w="0" w:type="dxa"/>
            <w:left w:w="108" w:type="dxa"/>
            <w:bottom w:w="0" w:type="dxa"/>
            <w:right w:w="108" w:type="dxa"/>
          </w:tblCellMar>
        </w:tblPrEx>
        <w:trPr>
          <w:trHeight w:val="611" w:hRule="atLeast"/>
          <w:jc w:val="center"/>
        </w:trPr>
        <w:tc>
          <w:tcPr>
            <w:tcW w:w="1207" w:type="dxa"/>
            <w:vMerge w:val="continue"/>
            <w:tcBorders>
              <w:left w:val="single" w:color="auto" w:sz="4" w:space="0"/>
              <w:bottom w:val="single" w:color="000000" w:sz="4" w:space="0"/>
              <w:right w:val="single" w:color="auto" w:sz="4" w:space="0"/>
            </w:tcBorders>
            <w:shd w:val="clear" w:color="000000" w:fill="FFFFFF"/>
            <w:noWrap w:val="0"/>
            <w:vAlign w:val="center"/>
          </w:tcPr>
          <w:p w14:paraId="0042415A">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2B74FF">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A26365">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827F47">
            <w:pPr>
              <w:pageBreakBefore w:val="0"/>
              <w:widowControl w:val="0"/>
              <w:kinsoku/>
              <w:wordWrap/>
              <w:overflowPunct/>
              <w:topLinePunct w:val="0"/>
              <w:autoSpaceDE/>
              <w:autoSpaceDN/>
              <w:bidi w:val="0"/>
              <w:snapToGrid/>
              <w:spacing w:line="480" w:lineRule="exact"/>
              <w:jc w:val="center"/>
              <w:rPr>
                <w:rFonts w:hint="default" w:eastAsia="宋体"/>
                <w:kern w:val="0"/>
                <w:lang w:val="en-US" w:eastAsia="zh-CN"/>
              </w:rPr>
            </w:pPr>
            <w:r>
              <w:rPr>
                <w:rFonts w:hint="eastAsia"/>
                <w:kern w:val="0"/>
              </w:rPr>
              <w:t>制造工艺</w:t>
            </w:r>
            <w:r>
              <w:rPr>
                <w:rFonts w:hint="eastAsia"/>
                <w:kern w:val="0"/>
                <w:lang w:eastAsia="zh-CN"/>
              </w:rPr>
              <w:t>（</w:t>
            </w:r>
            <w:r>
              <w:rPr>
                <w:rFonts w:hint="eastAsia"/>
                <w:kern w:val="0"/>
                <w:lang w:val="en-US" w:eastAsia="zh-CN"/>
              </w:rPr>
              <w:t>喷砂抛丸）</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94A4A6C">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r>
      <w:tr w14:paraId="5A7E6231">
        <w:tblPrEx>
          <w:tblCellMar>
            <w:top w:w="0" w:type="dxa"/>
            <w:left w:w="108" w:type="dxa"/>
            <w:bottom w:w="0" w:type="dxa"/>
            <w:right w:w="108" w:type="dxa"/>
          </w:tblCellMar>
        </w:tblPrEx>
        <w:trPr>
          <w:trHeight w:val="567" w:hRule="atLeast"/>
          <w:jc w:val="center"/>
        </w:trPr>
        <w:tc>
          <w:tcPr>
            <w:tcW w:w="1207" w:type="dxa"/>
            <w:tcBorders>
              <w:top w:val="single" w:color="000000" w:sz="2" w:space="0"/>
              <w:left w:val="single" w:color="000000" w:sz="2" w:space="0"/>
              <w:bottom w:val="single" w:color="000000" w:sz="2" w:space="0"/>
              <w:right w:val="single" w:color="auto" w:sz="4" w:space="0"/>
            </w:tcBorders>
            <w:shd w:val="clear" w:color="000000" w:fill="FFFFFF"/>
            <w:noWrap w:val="0"/>
            <w:vAlign w:val="center"/>
          </w:tcPr>
          <w:p w14:paraId="3BECC6D3">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序号</w:t>
            </w:r>
          </w:p>
        </w:tc>
        <w:tc>
          <w:tcPr>
            <w:tcW w:w="3645" w:type="dxa"/>
            <w:gridSpan w:val="2"/>
            <w:tcBorders>
              <w:top w:val="single" w:color="auto" w:sz="4" w:space="0"/>
              <w:left w:val="single" w:color="000000" w:sz="2" w:space="0"/>
              <w:bottom w:val="single" w:color="000000" w:sz="2" w:space="0"/>
              <w:right w:val="single" w:color="auto" w:sz="4" w:space="0"/>
            </w:tcBorders>
            <w:shd w:val="clear" w:color="000000" w:fill="FFFFFF"/>
            <w:noWrap w:val="0"/>
            <w:vAlign w:val="center"/>
          </w:tcPr>
          <w:p w14:paraId="5741C100">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技术标准</w:t>
            </w:r>
          </w:p>
        </w:tc>
        <w:tc>
          <w:tcPr>
            <w:tcW w:w="2461" w:type="dxa"/>
            <w:tcBorders>
              <w:top w:val="single" w:color="auto" w:sz="4" w:space="0"/>
              <w:left w:val="single" w:color="000000" w:sz="2" w:space="0"/>
              <w:bottom w:val="single" w:color="000000" w:sz="2" w:space="0"/>
              <w:right w:val="single" w:color="auto" w:sz="4" w:space="0"/>
            </w:tcBorders>
            <w:shd w:val="clear" w:color="000000" w:fill="FFFFFF"/>
            <w:noWrap w:val="0"/>
            <w:vAlign w:val="center"/>
          </w:tcPr>
          <w:p w14:paraId="5CA61B79">
            <w:pPr>
              <w:pageBreakBefore w:val="0"/>
              <w:widowControl w:val="0"/>
              <w:kinsoku/>
              <w:wordWrap/>
              <w:overflowPunct/>
              <w:topLinePunct w:val="0"/>
              <w:autoSpaceDE/>
              <w:autoSpaceDN/>
              <w:bidi w:val="0"/>
              <w:snapToGrid/>
              <w:spacing w:line="480" w:lineRule="exact"/>
              <w:jc w:val="center"/>
              <w:rPr>
                <w:rFonts w:ascii="宋体"/>
                <w:b/>
                <w:kern w:val="0"/>
                <w:szCs w:val="21"/>
              </w:rPr>
            </w:pPr>
            <w:r>
              <w:rPr>
                <w:rFonts w:hint="eastAsia" w:ascii="宋体" w:hAnsi="宋体"/>
                <w:b/>
                <w:kern w:val="0"/>
                <w:szCs w:val="21"/>
              </w:rPr>
              <w:t>技术参数</w:t>
            </w:r>
          </w:p>
        </w:tc>
        <w:tc>
          <w:tcPr>
            <w:tcW w:w="2315" w:type="dxa"/>
            <w:tcBorders>
              <w:top w:val="single" w:color="auto" w:sz="4" w:space="0"/>
              <w:left w:val="single" w:color="000000" w:sz="2" w:space="0"/>
              <w:bottom w:val="single" w:color="000000" w:sz="2" w:space="0"/>
              <w:right w:val="single" w:color="auto" w:sz="4" w:space="0"/>
            </w:tcBorders>
            <w:shd w:val="clear" w:color="000000" w:fill="FFFFFF"/>
            <w:noWrap w:val="0"/>
            <w:vAlign w:val="center"/>
          </w:tcPr>
          <w:p w14:paraId="616A2F10">
            <w:pPr>
              <w:pageBreakBefore w:val="0"/>
              <w:widowControl w:val="0"/>
              <w:kinsoku/>
              <w:wordWrap/>
              <w:overflowPunct/>
              <w:topLinePunct w:val="0"/>
              <w:autoSpaceDE/>
              <w:autoSpaceDN/>
              <w:bidi w:val="0"/>
              <w:snapToGrid/>
              <w:spacing w:line="480" w:lineRule="exact"/>
              <w:jc w:val="center"/>
              <w:rPr>
                <w:rFonts w:ascii="宋体"/>
                <w:b/>
                <w:kern w:val="0"/>
                <w:szCs w:val="21"/>
              </w:rPr>
            </w:pPr>
          </w:p>
        </w:tc>
      </w:tr>
      <w:tr w14:paraId="630D4363">
        <w:tblPrEx>
          <w:tblCellMar>
            <w:top w:w="0" w:type="dxa"/>
            <w:left w:w="108" w:type="dxa"/>
            <w:bottom w:w="0" w:type="dxa"/>
            <w:right w:w="108" w:type="dxa"/>
          </w:tblCellMar>
        </w:tblPrEx>
        <w:trPr>
          <w:trHeight w:val="567" w:hRule="atLeast"/>
          <w:jc w:val="center"/>
        </w:trPr>
        <w:tc>
          <w:tcPr>
            <w:tcW w:w="1207" w:type="dxa"/>
            <w:vMerge w:val="restart"/>
            <w:tcBorders>
              <w:top w:val="single" w:color="000000" w:sz="4" w:space="0"/>
              <w:left w:val="single" w:color="000000" w:sz="4" w:space="0"/>
              <w:right w:val="single" w:color="000000" w:sz="4" w:space="0"/>
            </w:tcBorders>
            <w:shd w:val="clear" w:color="000000" w:fill="FFFFFF"/>
            <w:noWrap w:val="0"/>
            <w:vAlign w:val="center"/>
          </w:tcPr>
          <w:p w14:paraId="3FEBEA31">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8</w:t>
            </w:r>
          </w:p>
        </w:tc>
        <w:tc>
          <w:tcPr>
            <w:tcW w:w="1846" w:type="dxa"/>
            <w:vMerge w:val="restart"/>
            <w:tcBorders>
              <w:top w:val="single" w:color="000000" w:sz="4" w:space="0"/>
              <w:left w:val="single" w:color="000000" w:sz="4" w:space="0"/>
              <w:right w:val="single" w:color="000000" w:sz="4" w:space="0"/>
            </w:tcBorders>
            <w:shd w:val="clear" w:color="000000" w:fill="FFFFFF"/>
            <w:noWrap w:val="0"/>
            <w:vAlign w:val="center"/>
          </w:tcPr>
          <w:p w14:paraId="02C5829E">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重量传感器</w:t>
            </w:r>
          </w:p>
          <w:p w14:paraId="3A97D40F">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E79D71">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关键性要求</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F98834">
            <w:pPr>
              <w:pageBreakBefore w:val="0"/>
              <w:widowControl w:val="0"/>
              <w:kinsoku/>
              <w:wordWrap/>
              <w:overflowPunct/>
              <w:topLinePunct w:val="0"/>
              <w:autoSpaceDE/>
              <w:autoSpaceDN/>
              <w:bidi w:val="0"/>
              <w:snapToGrid/>
              <w:spacing w:line="480" w:lineRule="exact"/>
              <w:jc w:val="center"/>
              <w:rPr>
                <w:rFonts w:hint="eastAsia" w:ascii="宋体"/>
                <w:kern w:val="0"/>
                <w:szCs w:val="21"/>
              </w:rPr>
            </w:pPr>
            <w:r>
              <w:rPr>
                <w:rFonts w:hint="eastAsia" w:ascii="宋体" w:hAnsi="宋体"/>
                <w:kern w:val="0"/>
                <w:szCs w:val="21"/>
              </w:rPr>
              <w:t>传感器，仪表</w:t>
            </w:r>
            <w:r>
              <w:rPr>
                <w:rFonts w:hint="eastAsia" w:ascii="宋体" w:hAnsi="宋体"/>
                <w:kern w:val="0"/>
                <w:szCs w:val="21"/>
                <w:lang w:eastAsia="zh-CN"/>
              </w:rPr>
              <w:t>，</w:t>
            </w:r>
            <w:r>
              <w:rPr>
                <w:rFonts w:hint="eastAsia" w:ascii="宋体" w:hAnsi="宋体"/>
                <w:kern w:val="0"/>
                <w:szCs w:val="21"/>
                <w:lang w:val="en-US" w:eastAsia="zh-CN"/>
              </w:rPr>
              <w:t>秤台</w:t>
            </w:r>
            <w:r>
              <w:rPr>
                <w:rFonts w:hint="eastAsia" w:ascii="宋体" w:hAnsi="宋体"/>
                <w:kern w:val="0"/>
                <w:szCs w:val="21"/>
              </w:rPr>
              <w:t>都由同一厂家生产</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9D25CF">
            <w:pPr>
              <w:pageBreakBefore w:val="0"/>
              <w:widowControl w:val="0"/>
              <w:kinsoku/>
              <w:wordWrap/>
              <w:overflowPunct/>
              <w:topLinePunct w:val="0"/>
              <w:autoSpaceDE/>
              <w:autoSpaceDN/>
              <w:bidi w:val="0"/>
              <w:snapToGrid/>
              <w:spacing w:line="480" w:lineRule="exact"/>
              <w:rPr>
                <w:rFonts w:hint="default" w:ascii="宋体" w:eastAsia="宋体"/>
                <w:kern w:val="0"/>
                <w:szCs w:val="21"/>
                <w:lang w:val="en-US" w:eastAsia="zh-CN"/>
              </w:rPr>
            </w:pPr>
            <w:r>
              <w:rPr>
                <w:rFonts w:hint="eastAsia" w:ascii="宋体"/>
                <w:kern w:val="0"/>
                <w:szCs w:val="21"/>
                <w:lang w:val="en-US" w:eastAsia="zh-CN"/>
              </w:rPr>
              <w:t>梅特勒托利多，山东金钟，江苏恒成</w:t>
            </w:r>
          </w:p>
        </w:tc>
      </w:tr>
      <w:tr w14:paraId="576FD018">
        <w:tblPrEx>
          <w:tblCellMar>
            <w:top w:w="0" w:type="dxa"/>
            <w:left w:w="108" w:type="dxa"/>
            <w:bottom w:w="0" w:type="dxa"/>
            <w:right w:w="108" w:type="dxa"/>
          </w:tblCellMar>
        </w:tblPrEx>
        <w:trPr>
          <w:trHeight w:val="567" w:hRule="atLeast"/>
          <w:jc w:val="center"/>
        </w:trPr>
        <w:tc>
          <w:tcPr>
            <w:tcW w:w="1207" w:type="dxa"/>
            <w:vMerge w:val="continue"/>
            <w:tcBorders>
              <w:left w:val="single" w:color="000000" w:sz="4" w:space="0"/>
              <w:right w:val="single" w:color="000000" w:sz="4" w:space="0"/>
            </w:tcBorders>
            <w:shd w:val="clear" w:color="000000" w:fill="FFFFFF"/>
            <w:noWrap w:val="0"/>
            <w:vAlign w:val="center"/>
          </w:tcPr>
          <w:p w14:paraId="6B00BD3F">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right w:val="single" w:color="000000" w:sz="4" w:space="0"/>
            </w:tcBorders>
            <w:shd w:val="clear" w:color="000000" w:fill="FFFFFF"/>
            <w:noWrap w:val="0"/>
            <w:vAlign w:val="center"/>
          </w:tcPr>
          <w:p w14:paraId="3576E2FC">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nil"/>
              <w:left w:val="nil"/>
              <w:bottom w:val="single" w:color="auto" w:sz="4" w:space="0"/>
              <w:right w:val="single" w:color="auto" w:sz="4" w:space="0"/>
            </w:tcBorders>
            <w:shd w:val="clear" w:color="auto" w:fill="auto"/>
            <w:noWrap w:val="0"/>
            <w:vAlign w:val="center"/>
          </w:tcPr>
          <w:p w14:paraId="4F12BB1E">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防护等级</w:t>
            </w:r>
          </w:p>
        </w:tc>
        <w:tc>
          <w:tcPr>
            <w:tcW w:w="2461" w:type="dxa"/>
            <w:tcBorders>
              <w:top w:val="nil"/>
              <w:left w:val="nil"/>
              <w:bottom w:val="single" w:color="auto" w:sz="4" w:space="0"/>
              <w:right w:val="single" w:color="auto" w:sz="4" w:space="0"/>
            </w:tcBorders>
            <w:shd w:val="clear" w:color="auto" w:fill="auto"/>
            <w:noWrap w:val="0"/>
            <w:vAlign w:val="center"/>
          </w:tcPr>
          <w:p w14:paraId="746E52EE">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ascii="宋体" w:hAnsi="宋体"/>
                <w:kern w:val="0"/>
                <w:szCs w:val="21"/>
              </w:rPr>
              <w:t>IP68/IP69K</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B5556C">
            <w:pPr>
              <w:pageBreakBefore w:val="0"/>
              <w:widowControl w:val="0"/>
              <w:kinsoku/>
              <w:wordWrap/>
              <w:overflowPunct/>
              <w:topLinePunct w:val="0"/>
              <w:autoSpaceDE/>
              <w:autoSpaceDN/>
              <w:bidi w:val="0"/>
              <w:snapToGrid/>
              <w:spacing w:line="480" w:lineRule="exact"/>
              <w:rPr>
                <w:rFonts w:hint="eastAsia" w:ascii="宋体"/>
                <w:kern w:val="0"/>
                <w:szCs w:val="21"/>
              </w:rPr>
            </w:pPr>
          </w:p>
        </w:tc>
      </w:tr>
      <w:tr w14:paraId="4E25E30F">
        <w:tblPrEx>
          <w:tblCellMar>
            <w:top w:w="0" w:type="dxa"/>
            <w:left w:w="108" w:type="dxa"/>
            <w:bottom w:w="0" w:type="dxa"/>
            <w:right w:w="108" w:type="dxa"/>
          </w:tblCellMar>
        </w:tblPrEx>
        <w:trPr>
          <w:trHeight w:val="468" w:hRule="atLeast"/>
          <w:jc w:val="center"/>
        </w:trPr>
        <w:tc>
          <w:tcPr>
            <w:tcW w:w="1207" w:type="dxa"/>
            <w:vMerge w:val="continue"/>
            <w:tcBorders>
              <w:left w:val="single" w:color="000000" w:sz="4" w:space="0"/>
              <w:right w:val="single" w:color="000000" w:sz="4" w:space="0"/>
            </w:tcBorders>
            <w:shd w:val="clear" w:color="000000" w:fill="FFFFFF"/>
            <w:noWrap w:val="0"/>
            <w:vAlign w:val="center"/>
          </w:tcPr>
          <w:p w14:paraId="2601B42E">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right w:val="single" w:color="000000" w:sz="4" w:space="0"/>
            </w:tcBorders>
            <w:shd w:val="clear" w:color="000000" w:fill="FFFFFF"/>
            <w:noWrap w:val="0"/>
            <w:vAlign w:val="center"/>
          </w:tcPr>
          <w:p w14:paraId="7711FE7D">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000000" w:sz="4" w:space="0"/>
              <w:left w:val="single" w:color="000000" w:sz="4" w:space="0"/>
              <w:bottom w:val="single" w:color="000000" w:sz="2" w:space="0"/>
              <w:right w:val="single" w:color="000000" w:sz="2" w:space="0"/>
            </w:tcBorders>
            <w:shd w:val="clear" w:color="000000" w:fill="FFFFFF"/>
            <w:noWrap w:val="0"/>
            <w:vAlign w:val="center"/>
          </w:tcPr>
          <w:p w14:paraId="103E0AC2">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抗干扰</w:t>
            </w:r>
          </w:p>
        </w:tc>
        <w:tc>
          <w:tcPr>
            <w:tcW w:w="2461" w:type="dxa"/>
            <w:tcBorders>
              <w:top w:val="single" w:color="000000" w:sz="4" w:space="0"/>
              <w:left w:val="single" w:color="000000" w:sz="2" w:space="0"/>
              <w:bottom w:val="single" w:color="000000" w:sz="2" w:space="0"/>
              <w:right w:val="single" w:color="000000" w:sz="2" w:space="0"/>
            </w:tcBorders>
            <w:shd w:val="clear" w:color="000000" w:fill="FFFFFF"/>
            <w:noWrap w:val="0"/>
            <w:vAlign w:val="center"/>
          </w:tcPr>
          <w:p w14:paraId="1538EB98">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EMC抗干扰</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40D08C">
            <w:pPr>
              <w:pageBreakBefore w:val="0"/>
              <w:widowControl w:val="0"/>
              <w:kinsoku/>
              <w:wordWrap/>
              <w:overflowPunct/>
              <w:topLinePunct w:val="0"/>
              <w:autoSpaceDE/>
              <w:autoSpaceDN/>
              <w:bidi w:val="0"/>
              <w:snapToGrid/>
              <w:spacing w:line="480" w:lineRule="exact"/>
              <w:rPr>
                <w:rFonts w:ascii="宋体"/>
                <w:szCs w:val="21"/>
              </w:rPr>
            </w:pPr>
          </w:p>
        </w:tc>
      </w:tr>
      <w:tr w14:paraId="3FB54215">
        <w:tblPrEx>
          <w:tblCellMar>
            <w:top w:w="0" w:type="dxa"/>
            <w:left w:w="108" w:type="dxa"/>
            <w:bottom w:w="0" w:type="dxa"/>
            <w:right w:w="108" w:type="dxa"/>
          </w:tblCellMar>
        </w:tblPrEx>
        <w:trPr>
          <w:trHeight w:val="454" w:hRule="atLeast"/>
          <w:jc w:val="center"/>
        </w:trPr>
        <w:tc>
          <w:tcPr>
            <w:tcW w:w="1207" w:type="dxa"/>
            <w:vMerge w:val="continue"/>
            <w:tcBorders>
              <w:left w:val="single" w:color="000000" w:sz="4" w:space="0"/>
              <w:right w:val="single" w:color="000000" w:sz="4" w:space="0"/>
            </w:tcBorders>
            <w:shd w:val="clear" w:color="000000" w:fill="FFFFFF"/>
            <w:noWrap w:val="0"/>
            <w:vAlign w:val="center"/>
          </w:tcPr>
          <w:p w14:paraId="696CDB10">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right w:val="single" w:color="000000" w:sz="4" w:space="0"/>
            </w:tcBorders>
            <w:shd w:val="clear" w:color="000000" w:fill="FFFFFF"/>
            <w:noWrap w:val="0"/>
            <w:vAlign w:val="center"/>
          </w:tcPr>
          <w:p w14:paraId="54902E9B">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000000" w:sz="2" w:space="0"/>
              <w:left w:val="single" w:color="000000" w:sz="4" w:space="0"/>
              <w:bottom w:val="single" w:color="000000" w:sz="2" w:space="0"/>
              <w:right w:val="single" w:color="000000" w:sz="2" w:space="0"/>
            </w:tcBorders>
            <w:shd w:val="clear" w:color="000000" w:fill="FFFFFF"/>
            <w:noWrap w:val="0"/>
            <w:vAlign w:val="center"/>
          </w:tcPr>
          <w:p w14:paraId="12B79818">
            <w:pPr>
              <w:pageBreakBefore w:val="0"/>
              <w:widowControl w:val="0"/>
              <w:kinsoku/>
              <w:wordWrap/>
              <w:overflowPunct/>
              <w:topLinePunct w:val="0"/>
              <w:autoSpaceDE/>
              <w:autoSpaceDN/>
              <w:bidi w:val="0"/>
              <w:snapToGrid/>
              <w:spacing w:line="48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rPr>
              <w:t>精度</w:t>
            </w:r>
          </w:p>
        </w:tc>
        <w:tc>
          <w:tcPr>
            <w:tcW w:w="246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65DD82AB">
            <w:pPr>
              <w:pageBreakBefore w:val="0"/>
              <w:widowControl w:val="0"/>
              <w:kinsoku/>
              <w:wordWrap/>
              <w:overflowPunct/>
              <w:topLinePunct w:val="0"/>
              <w:autoSpaceDE/>
              <w:autoSpaceDN/>
              <w:bidi w:val="0"/>
              <w:snapToGrid/>
              <w:spacing w:line="480" w:lineRule="exact"/>
              <w:jc w:val="center"/>
              <w:rPr>
                <w:rFonts w:hint="default" w:ascii="宋体" w:hAnsi="宋体" w:eastAsia="宋体" w:cs="Times New Roman"/>
                <w:kern w:val="0"/>
                <w:sz w:val="21"/>
                <w:szCs w:val="21"/>
                <w:lang w:val="en-US" w:eastAsia="zh-CN" w:bidi="ar-SA"/>
              </w:rPr>
            </w:pPr>
            <w:r>
              <w:rPr>
                <w:rFonts w:hint="eastAsia" w:ascii="宋体" w:hAnsi="宋体"/>
                <w:kern w:val="0"/>
                <w:szCs w:val="21"/>
                <w:lang w:val="en-US" w:eastAsia="zh-CN"/>
              </w:rPr>
              <w:t>C3</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9DE64E">
            <w:pPr>
              <w:pageBreakBefore w:val="0"/>
              <w:widowControl w:val="0"/>
              <w:kinsoku/>
              <w:wordWrap/>
              <w:overflowPunct/>
              <w:topLinePunct w:val="0"/>
              <w:autoSpaceDE/>
              <w:autoSpaceDN/>
              <w:bidi w:val="0"/>
              <w:snapToGrid/>
              <w:spacing w:line="480" w:lineRule="exact"/>
              <w:rPr>
                <w:rFonts w:ascii="宋体" w:hAnsi="Times New Roman" w:eastAsia="宋体" w:cs="Times New Roman"/>
                <w:kern w:val="2"/>
                <w:sz w:val="21"/>
                <w:szCs w:val="21"/>
                <w:lang w:val="en-US" w:eastAsia="zh-CN" w:bidi="ar-SA"/>
              </w:rPr>
            </w:pPr>
          </w:p>
        </w:tc>
      </w:tr>
      <w:tr w14:paraId="585EA603">
        <w:tblPrEx>
          <w:tblCellMar>
            <w:top w:w="0" w:type="dxa"/>
            <w:left w:w="108" w:type="dxa"/>
            <w:bottom w:w="0" w:type="dxa"/>
            <w:right w:w="108" w:type="dxa"/>
          </w:tblCellMar>
        </w:tblPrEx>
        <w:trPr>
          <w:trHeight w:val="90" w:hRule="atLeast"/>
          <w:jc w:val="center"/>
        </w:trPr>
        <w:tc>
          <w:tcPr>
            <w:tcW w:w="1207" w:type="dxa"/>
            <w:vMerge w:val="continue"/>
            <w:tcBorders>
              <w:left w:val="single" w:color="000000" w:sz="4" w:space="0"/>
              <w:right w:val="single" w:color="000000" w:sz="4" w:space="0"/>
            </w:tcBorders>
            <w:shd w:val="clear" w:color="000000" w:fill="FFFFFF"/>
            <w:noWrap w:val="0"/>
            <w:vAlign w:val="center"/>
          </w:tcPr>
          <w:p w14:paraId="431B3175">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right w:val="single" w:color="000000" w:sz="4" w:space="0"/>
            </w:tcBorders>
            <w:shd w:val="clear" w:color="000000" w:fill="FFFFFF"/>
            <w:noWrap w:val="0"/>
            <w:vAlign w:val="center"/>
          </w:tcPr>
          <w:p w14:paraId="5D0ACF0B">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000000" w:sz="2" w:space="0"/>
              <w:left w:val="single" w:color="000000" w:sz="4" w:space="0"/>
              <w:bottom w:val="single" w:color="000000" w:sz="4" w:space="0"/>
              <w:right w:val="single" w:color="000000" w:sz="2" w:space="0"/>
            </w:tcBorders>
            <w:shd w:val="clear" w:color="000000" w:fill="FFFFFF"/>
            <w:noWrap w:val="0"/>
            <w:vAlign w:val="center"/>
          </w:tcPr>
          <w:p w14:paraId="62D4783D">
            <w:pPr>
              <w:pageBreakBefore w:val="0"/>
              <w:widowControl w:val="0"/>
              <w:kinsoku/>
              <w:wordWrap/>
              <w:overflowPunct/>
              <w:topLinePunct w:val="0"/>
              <w:autoSpaceDE/>
              <w:autoSpaceDN/>
              <w:bidi w:val="0"/>
              <w:snapToGrid/>
              <w:spacing w:line="480" w:lineRule="exact"/>
              <w:jc w:val="center"/>
              <w:rPr>
                <w:rFonts w:hint="eastAsia" w:ascii="宋体" w:hAnsi="Times New Roman" w:eastAsia="宋体" w:cs="Times New Roman"/>
                <w:kern w:val="0"/>
                <w:sz w:val="21"/>
                <w:szCs w:val="21"/>
                <w:lang w:val="en-US" w:eastAsia="zh-CN" w:bidi="ar-SA"/>
              </w:rPr>
            </w:pPr>
            <w:r>
              <w:rPr>
                <w:rFonts w:hint="eastAsia" w:ascii="宋体" w:hAnsi="宋体"/>
                <w:kern w:val="0"/>
                <w:szCs w:val="21"/>
              </w:rPr>
              <w:t>额定荷载</w:t>
            </w:r>
          </w:p>
        </w:tc>
        <w:tc>
          <w:tcPr>
            <w:tcW w:w="2461" w:type="dxa"/>
            <w:tcBorders>
              <w:top w:val="single" w:color="000000" w:sz="2" w:space="0"/>
              <w:left w:val="single" w:color="000000" w:sz="2" w:space="0"/>
              <w:bottom w:val="single" w:color="000000" w:sz="4" w:space="0"/>
              <w:right w:val="single" w:color="000000" w:sz="2" w:space="0"/>
            </w:tcBorders>
            <w:shd w:val="clear" w:color="000000" w:fill="FFFFFF"/>
            <w:noWrap w:val="0"/>
            <w:vAlign w:val="center"/>
          </w:tcPr>
          <w:p w14:paraId="595D6729">
            <w:pPr>
              <w:pageBreakBefore w:val="0"/>
              <w:widowControl w:val="0"/>
              <w:kinsoku/>
              <w:wordWrap/>
              <w:overflowPunct/>
              <w:topLinePunct w:val="0"/>
              <w:autoSpaceDE/>
              <w:autoSpaceDN/>
              <w:bidi w:val="0"/>
              <w:snapToGrid/>
              <w:spacing w:line="480" w:lineRule="exact"/>
              <w:jc w:val="center"/>
              <w:rPr>
                <w:rFonts w:hint="default" w:ascii="宋体" w:hAnsi="Times New Roman" w:eastAsia="宋体" w:cs="Times New Roman"/>
                <w:kern w:val="2"/>
                <w:sz w:val="21"/>
                <w:szCs w:val="21"/>
                <w:lang w:val="en-US" w:eastAsia="zh-CN" w:bidi="ar-SA"/>
              </w:rPr>
            </w:pPr>
            <w:r>
              <w:rPr>
                <w:rFonts w:hint="eastAsia" w:ascii="宋体" w:hAnsi="宋体"/>
                <w:szCs w:val="21"/>
              </w:rPr>
              <w:t>≥</w:t>
            </w:r>
            <w:r>
              <w:rPr>
                <w:rFonts w:hint="eastAsia" w:ascii="宋体" w:hAnsi="宋体"/>
                <w:szCs w:val="21"/>
                <w:lang w:val="en-US" w:eastAsia="zh-CN"/>
              </w:rPr>
              <w:t>3</w:t>
            </w:r>
            <w:r>
              <w:rPr>
                <w:rFonts w:ascii="宋体" w:hAnsi="宋体"/>
                <w:szCs w:val="21"/>
              </w:rPr>
              <w:t>0t</w:t>
            </w:r>
          </w:p>
        </w:tc>
        <w:tc>
          <w:tcPr>
            <w:tcW w:w="231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E3E415">
            <w:pPr>
              <w:pageBreakBefore w:val="0"/>
              <w:widowControl w:val="0"/>
              <w:kinsoku/>
              <w:wordWrap/>
              <w:overflowPunct/>
              <w:topLinePunct w:val="0"/>
              <w:autoSpaceDE/>
              <w:autoSpaceDN/>
              <w:bidi w:val="0"/>
              <w:snapToGrid/>
              <w:spacing w:line="480" w:lineRule="exact"/>
              <w:rPr>
                <w:rFonts w:ascii="宋体" w:hAnsi="Times New Roman" w:eastAsia="宋体" w:cs="Times New Roman"/>
                <w:kern w:val="2"/>
                <w:sz w:val="21"/>
                <w:szCs w:val="21"/>
                <w:lang w:val="en-US" w:eastAsia="zh-CN" w:bidi="ar-SA"/>
              </w:rPr>
            </w:pPr>
          </w:p>
        </w:tc>
      </w:tr>
      <w:tr w14:paraId="208B1601">
        <w:tblPrEx>
          <w:tblCellMar>
            <w:top w:w="0" w:type="dxa"/>
            <w:left w:w="108" w:type="dxa"/>
            <w:bottom w:w="0" w:type="dxa"/>
            <w:right w:w="108" w:type="dxa"/>
          </w:tblCellMar>
        </w:tblPrEx>
        <w:trPr>
          <w:trHeight w:val="567" w:hRule="atLeast"/>
          <w:jc w:val="center"/>
        </w:trPr>
        <w:tc>
          <w:tcPr>
            <w:tcW w:w="1207" w:type="dxa"/>
            <w:vMerge w:val="continue"/>
            <w:tcBorders>
              <w:left w:val="single" w:color="000000" w:sz="4" w:space="0"/>
              <w:bottom w:val="single" w:color="auto" w:sz="4" w:space="0"/>
              <w:right w:val="single" w:color="000000" w:sz="4" w:space="0"/>
            </w:tcBorders>
            <w:shd w:val="clear" w:color="000000" w:fill="FFFFFF"/>
            <w:noWrap w:val="0"/>
            <w:vAlign w:val="center"/>
          </w:tcPr>
          <w:p w14:paraId="2F4CF422">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left w:val="single" w:color="000000" w:sz="4" w:space="0"/>
              <w:bottom w:val="single" w:color="auto" w:sz="4" w:space="0"/>
              <w:right w:val="single" w:color="000000" w:sz="4" w:space="0"/>
            </w:tcBorders>
            <w:shd w:val="clear" w:color="000000" w:fill="FFFFFF"/>
            <w:noWrap w:val="0"/>
            <w:vAlign w:val="center"/>
          </w:tcPr>
          <w:p w14:paraId="5EDBEF14">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left w:val="single" w:color="000000" w:sz="4" w:space="0"/>
              <w:bottom w:val="single" w:color="auto" w:sz="4" w:space="0"/>
              <w:right w:val="single" w:color="000000" w:sz="4" w:space="0"/>
            </w:tcBorders>
            <w:shd w:val="clear" w:color="000000" w:fill="FFFFFF"/>
            <w:noWrap w:val="0"/>
            <w:vAlign w:val="center"/>
          </w:tcPr>
          <w:p w14:paraId="3DC32B09">
            <w:pPr>
              <w:pageBreakBefore w:val="0"/>
              <w:widowControl w:val="0"/>
              <w:kinsoku/>
              <w:wordWrap/>
              <w:overflowPunct/>
              <w:topLinePunct w:val="0"/>
              <w:autoSpaceDE/>
              <w:autoSpaceDN/>
              <w:bidi w:val="0"/>
              <w:snapToGrid/>
              <w:spacing w:line="480" w:lineRule="exact"/>
              <w:jc w:val="center"/>
              <w:rPr>
                <w:rFonts w:hint="eastAsia" w:ascii="宋体" w:hAnsi="Times New Roman" w:eastAsia="宋体" w:cs="Times New Roman"/>
                <w:kern w:val="0"/>
                <w:sz w:val="21"/>
                <w:szCs w:val="21"/>
                <w:lang w:val="en-US" w:eastAsia="zh-CN" w:bidi="ar-SA"/>
              </w:rPr>
            </w:pPr>
            <w:r>
              <w:rPr>
                <w:rFonts w:hint="eastAsia" w:ascii="宋体" w:hAnsi="宋体"/>
                <w:kern w:val="0"/>
                <w:szCs w:val="21"/>
                <w:lang w:val="en-US" w:eastAsia="zh-CN"/>
              </w:rPr>
              <w:t>数量</w:t>
            </w:r>
          </w:p>
        </w:tc>
        <w:tc>
          <w:tcPr>
            <w:tcW w:w="2461" w:type="dxa"/>
            <w:tcBorders>
              <w:left w:val="single" w:color="000000" w:sz="4" w:space="0"/>
              <w:bottom w:val="single" w:color="auto" w:sz="4" w:space="0"/>
              <w:right w:val="single" w:color="000000" w:sz="4" w:space="0"/>
            </w:tcBorders>
            <w:shd w:val="clear" w:color="000000" w:fill="FFFFFF"/>
            <w:noWrap w:val="0"/>
            <w:vAlign w:val="center"/>
          </w:tcPr>
          <w:p w14:paraId="2E3045B4">
            <w:pPr>
              <w:pageBreakBefore w:val="0"/>
              <w:widowControl w:val="0"/>
              <w:kinsoku/>
              <w:wordWrap/>
              <w:overflowPunct/>
              <w:topLinePunct w:val="0"/>
              <w:autoSpaceDE/>
              <w:autoSpaceDN/>
              <w:bidi w:val="0"/>
              <w:snapToGrid/>
              <w:spacing w:line="480" w:lineRule="exact"/>
              <w:jc w:val="center"/>
              <w:rPr>
                <w:rFonts w:hint="default" w:ascii="宋体" w:hAnsi="Times New Roman" w:eastAsia="宋体" w:cs="Times New Roman"/>
                <w:kern w:val="2"/>
                <w:sz w:val="21"/>
                <w:szCs w:val="21"/>
                <w:lang w:val="en-US" w:eastAsia="zh-CN" w:bidi="ar-SA"/>
              </w:rPr>
            </w:pPr>
            <w:r>
              <w:rPr>
                <w:rFonts w:hint="eastAsia" w:ascii="宋体" w:hAnsi="宋体"/>
                <w:szCs w:val="21"/>
                <w:lang w:val="en-US" w:eastAsia="zh-CN"/>
              </w:rPr>
              <w:t>6套</w:t>
            </w:r>
          </w:p>
        </w:tc>
        <w:tc>
          <w:tcPr>
            <w:tcW w:w="2315" w:type="dxa"/>
            <w:tcBorders>
              <w:left w:val="single" w:color="000000" w:sz="4" w:space="0"/>
              <w:bottom w:val="single" w:color="auto" w:sz="4" w:space="0"/>
              <w:right w:val="single" w:color="000000" w:sz="4" w:space="0"/>
            </w:tcBorders>
            <w:shd w:val="clear" w:color="000000" w:fill="FFFFFF"/>
            <w:noWrap w:val="0"/>
            <w:vAlign w:val="center"/>
          </w:tcPr>
          <w:p w14:paraId="2B37302D">
            <w:pPr>
              <w:pageBreakBefore w:val="0"/>
              <w:widowControl w:val="0"/>
              <w:kinsoku/>
              <w:wordWrap/>
              <w:overflowPunct/>
              <w:topLinePunct w:val="0"/>
              <w:autoSpaceDE/>
              <w:autoSpaceDN/>
              <w:bidi w:val="0"/>
              <w:snapToGrid/>
              <w:spacing w:line="480" w:lineRule="exact"/>
              <w:rPr>
                <w:rFonts w:ascii="宋体" w:hAnsi="Times New Roman" w:eastAsia="宋体" w:cs="Times New Roman"/>
                <w:kern w:val="2"/>
                <w:sz w:val="21"/>
                <w:szCs w:val="21"/>
                <w:lang w:val="en-US" w:eastAsia="zh-CN" w:bidi="ar-SA"/>
              </w:rPr>
            </w:pPr>
          </w:p>
        </w:tc>
      </w:tr>
      <w:tr w14:paraId="3ECE05A5">
        <w:tblPrEx>
          <w:tblCellMar>
            <w:top w:w="0" w:type="dxa"/>
            <w:left w:w="108" w:type="dxa"/>
            <w:bottom w:w="0" w:type="dxa"/>
            <w:right w:w="108" w:type="dxa"/>
          </w:tblCellMar>
        </w:tblPrEx>
        <w:trPr>
          <w:trHeight w:val="388"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0E1584">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9</w:t>
            </w:r>
          </w:p>
          <w:p w14:paraId="1CACD831">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A52230">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显示仪表</w:t>
            </w:r>
          </w:p>
          <w:p w14:paraId="37061D94">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E79C2C">
            <w:pPr>
              <w:pageBreakBefore w:val="0"/>
              <w:widowControl w:val="0"/>
              <w:kinsoku/>
              <w:wordWrap/>
              <w:overflowPunct/>
              <w:topLinePunct w:val="0"/>
              <w:autoSpaceDE/>
              <w:autoSpaceDN/>
              <w:bidi w:val="0"/>
              <w:snapToGrid/>
              <w:spacing w:line="480" w:lineRule="exact"/>
              <w:jc w:val="center"/>
              <w:rPr>
                <w:rFonts w:hint="eastAsia" w:ascii="宋体" w:hAnsi="宋体" w:eastAsia="宋体"/>
                <w:lang w:eastAsia="zh-CN"/>
              </w:rPr>
            </w:pPr>
            <w:r>
              <w:rPr>
                <w:rFonts w:hint="eastAsia" w:ascii="宋体" w:hAnsi="宋体"/>
                <w:lang w:val="en-US" w:eastAsia="zh-CN"/>
              </w:rPr>
              <w:t>数量</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5226CC">
            <w:pPr>
              <w:pageBreakBefore w:val="0"/>
              <w:widowControl w:val="0"/>
              <w:kinsoku/>
              <w:wordWrap/>
              <w:overflowPunct/>
              <w:topLinePunct w:val="0"/>
              <w:autoSpaceDE/>
              <w:autoSpaceDN/>
              <w:bidi w:val="0"/>
              <w:snapToGrid/>
              <w:spacing w:line="48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1套</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034451">
            <w:pPr>
              <w:pageBreakBefore w:val="0"/>
              <w:widowControl w:val="0"/>
              <w:kinsoku/>
              <w:wordWrap/>
              <w:overflowPunct/>
              <w:topLinePunct w:val="0"/>
              <w:autoSpaceDE/>
              <w:autoSpaceDN/>
              <w:bidi w:val="0"/>
              <w:snapToGrid/>
              <w:spacing w:line="480" w:lineRule="exact"/>
              <w:jc w:val="center"/>
              <w:rPr>
                <w:rFonts w:hint="default" w:ascii="宋体" w:hAnsi="宋体" w:eastAsia="宋体"/>
                <w:kern w:val="0"/>
                <w:szCs w:val="21"/>
                <w:lang w:val="en-US" w:eastAsia="zh-CN"/>
              </w:rPr>
            </w:pPr>
          </w:p>
        </w:tc>
      </w:tr>
      <w:tr w14:paraId="362703D0">
        <w:tblPrEx>
          <w:tblCellMar>
            <w:top w:w="0" w:type="dxa"/>
            <w:left w:w="108" w:type="dxa"/>
            <w:bottom w:w="0" w:type="dxa"/>
            <w:right w:w="108" w:type="dxa"/>
          </w:tblCellMar>
        </w:tblPrEx>
        <w:trPr>
          <w:trHeight w:val="602"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FD4E80">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A24C2E">
            <w:pPr>
              <w:pageBreakBefore w:val="0"/>
              <w:widowControl w:val="0"/>
              <w:kinsoku/>
              <w:wordWrap/>
              <w:overflowPunct/>
              <w:topLinePunct w:val="0"/>
              <w:autoSpaceDE/>
              <w:autoSpaceDN/>
              <w:bidi w:val="0"/>
              <w:snapToGrid/>
              <w:spacing w:line="480" w:lineRule="exact"/>
              <w:jc w:val="center"/>
              <w:rPr>
                <w:rFonts w:hint="eastAsia" w:ascii="宋体" w:hAns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3E58BE">
            <w:pPr>
              <w:pageBreakBefore w:val="0"/>
              <w:widowControl w:val="0"/>
              <w:kinsoku/>
              <w:wordWrap/>
              <w:overflowPunct/>
              <w:topLinePunct w:val="0"/>
              <w:autoSpaceDE/>
              <w:autoSpaceDN/>
              <w:bidi w:val="0"/>
              <w:snapToGrid/>
              <w:spacing w:line="480" w:lineRule="exact"/>
              <w:jc w:val="center"/>
              <w:rPr>
                <w:rFonts w:hint="eastAsia" w:ascii="Arial" w:hAnsi="Arial"/>
                <w:szCs w:val="21"/>
                <w:lang w:eastAsia="de-DE"/>
              </w:rPr>
            </w:pPr>
            <w:r>
              <w:rPr>
                <w:rFonts w:hint="eastAsia" w:ascii="Arial" w:hAnsi="Arial"/>
                <w:szCs w:val="21"/>
                <w:lang w:eastAsia="de-DE"/>
              </w:rPr>
              <w:t>仪表自诊断</w:t>
            </w:r>
            <w:r>
              <w:rPr>
                <w:rFonts w:hint="eastAsia"/>
                <w:kern w:val="0"/>
              </w:rPr>
              <w:t>功能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AB2012">
            <w:pPr>
              <w:pageBreakBefore w:val="0"/>
              <w:widowControl w:val="0"/>
              <w:kinsoku/>
              <w:wordWrap/>
              <w:overflowPunct/>
              <w:topLinePunct w:val="0"/>
              <w:autoSpaceDE/>
              <w:autoSpaceDN/>
              <w:bidi w:val="0"/>
              <w:snapToGrid/>
              <w:spacing w:line="480" w:lineRule="exact"/>
              <w:jc w:val="center"/>
              <w:rPr>
                <w:rFonts w:hint="eastAsia"/>
                <w:kern w:val="0"/>
              </w:rPr>
            </w:pPr>
            <w:r>
              <w:rPr>
                <w:rFonts w:hint="eastAsia"/>
                <w:kern w:val="0"/>
              </w:rPr>
              <w:t>符合技术规格书</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95FE77">
            <w:pPr>
              <w:pageBreakBefore w:val="0"/>
              <w:widowControl w:val="0"/>
              <w:kinsoku/>
              <w:wordWrap/>
              <w:overflowPunct/>
              <w:topLinePunct w:val="0"/>
              <w:autoSpaceDE/>
              <w:autoSpaceDN/>
              <w:bidi w:val="0"/>
              <w:snapToGrid/>
              <w:spacing w:line="480" w:lineRule="exact"/>
              <w:jc w:val="center"/>
              <w:rPr>
                <w:rFonts w:hint="eastAsia" w:ascii="宋体" w:hAnsi="宋体"/>
                <w:kern w:val="0"/>
                <w:szCs w:val="21"/>
              </w:rPr>
            </w:pPr>
          </w:p>
        </w:tc>
      </w:tr>
      <w:tr w14:paraId="1628140F">
        <w:tblPrEx>
          <w:tblCellMar>
            <w:top w:w="0" w:type="dxa"/>
            <w:left w:w="108" w:type="dxa"/>
            <w:bottom w:w="0" w:type="dxa"/>
            <w:right w:w="108" w:type="dxa"/>
          </w:tblCellMar>
        </w:tblPrEx>
        <w:trPr>
          <w:trHeight w:val="816"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08EFB99">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43AD10">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FA3F31">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品牌</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B7903D">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传感器，仪表</w:t>
            </w:r>
            <w:r>
              <w:rPr>
                <w:rFonts w:hint="eastAsia" w:ascii="宋体" w:hAnsi="宋体"/>
                <w:kern w:val="0"/>
                <w:szCs w:val="21"/>
                <w:lang w:eastAsia="zh-CN"/>
              </w:rPr>
              <w:t>，</w:t>
            </w:r>
            <w:r>
              <w:rPr>
                <w:rFonts w:hint="eastAsia" w:ascii="宋体" w:hAnsi="宋体"/>
                <w:kern w:val="0"/>
                <w:szCs w:val="21"/>
                <w:lang w:val="en-US" w:eastAsia="zh-CN"/>
              </w:rPr>
              <w:t>秤台</w:t>
            </w:r>
            <w:r>
              <w:rPr>
                <w:rFonts w:hint="eastAsia" w:ascii="宋体" w:hAnsi="宋体"/>
                <w:kern w:val="0"/>
                <w:szCs w:val="21"/>
              </w:rPr>
              <w:t>都由同一厂家生产</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9C535B">
            <w:pPr>
              <w:pageBreakBefore w:val="0"/>
              <w:widowControl w:val="0"/>
              <w:kinsoku/>
              <w:wordWrap/>
              <w:overflowPunct/>
              <w:topLinePunct w:val="0"/>
              <w:autoSpaceDE/>
              <w:autoSpaceDN/>
              <w:bidi w:val="0"/>
              <w:snapToGrid/>
              <w:spacing w:line="480" w:lineRule="exact"/>
              <w:rPr>
                <w:rFonts w:hint="default" w:ascii="宋体"/>
                <w:kern w:val="0"/>
                <w:szCs w:val="21"/>
                <w:lang w:val="en-US"/>
              </w:rPr>
            </w:pPr>
            <w:r>
              <w:rPr>
                <w:rFonts w:hint="eastAsia" w:ascii="宋体"/>
                <w:kern w:val="0"/>
                <w:szCs w:val="21"/>
                <w:lang w:val="en-US" w:eastAsia="zh-CN"/>
              </w:rPr>
              <w:t>梅特勒托利多，山东金钟，江苏恒成</w:t>
            </w:r>
          </w:p>
        </w:tc>
      </w:tr>
      <w:tr w14:paraId="72FE775E">
        <w:tblPrEx>
          <w:tblCellMar>
            <w:top w:w="0" w:type="dxa"/>
            <w:left w:w="108" w:type="dxa"/>
            <w:bottom w:w="0" w:type="dxa"/>
            <w:right w:w="108" w:type="dxa"/>
          </w:tblCellMar>
        </w:tblPrEx>
        <w:trPr>
          <w:trHeight w:val="567"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2E6C3A">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3BA972">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56288E">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功能</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B74A3D">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符合技术规格书要求</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B7A414">
            <w:pPr>
              <w:pageBreakBefore w:val="0"/>
              <w:widowControl w:val="0"/>
              <w:kinsoku/>
              <w:wordWrap/>
              <w:overflowPunct/>
              <w:topLinePunct w:val="0"/>
              <w:autoSpaceDE/>
              <w:autoSpaceDN/>
              <w:bidi w:val="0"/>
              <w:snapToGrid/>
              <w:spacing w:line="480" w:lineRule="exact"/>
              <w:jc w:val="center"/>
              <w:rPr>
                <w:rFonts w:ascii="宋体"/>
                <w:kern w:val="0"/>
                <w:szCs w:val="21"/>
              </w:rPr>
            </w:pPr>
          </w:p>
        </w:tc>
      </w:tr>
      <w:tr w14:paraId="5A8FD8B0">
        <w:tblPrEx>
          <w:tblCellMar>
            <w:top w:w="0" w:type="dxa"/>
            <w:left w:w="108" w:type="dxa"/>
            <w:bottom w:w="0" w:type="dxa"/>
            <w:right w:w="108" w:type="dxa"/>
          </w:tblCellMar>
        </w:tblPrEx>
        <w:trPr>
          <w:trHeight w:val="476"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29692D">
            <w:pPr>
              <w:pageBreakBefore w:val="0"/>
              <w:widowControl w:val="0"/>
              <w:kinsoku/>
              <w:wordWrap/>
              <w:overflowPunct/>
              <w:topLinePunct w:val="0"/>
              <w:autoSpaceDE/>
              <w:autoSpaceDN/>
              <w:bidi w:val="0"/>
              <w:snapToGrid/>
              <w:spacing w:line="480" w:lineRule="exact"/>
              <w:jc w:val="center"/>
              <w:rPr>
                <w:rFonts w:ascii="宋体"/>
                <w:kern w:val="0"/>
                <w:szCs w:val="21"/>
              </w:rPr>
            </w:pPr>
            <w:r>
              <w:rPr>
                <w:rFonts w:ascii="宋体" w:hAnsi="宋体"/>
                <w:kern w:val="0"/>
                <w:szCs w:val="21"/>
              </w:rPr>
              <w:t>10</w:t>
            </w:r>
          </w:p>
        </w:tc>
        <w:tc>
          <w:tcPr>
            <w:tcW w:w="1846"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52C329">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防雷保护</w:t>
            </w:r>
          </w:p>
          <w:p w14:paraId="0FD47079">
            <w:pPr>
              <w:pageBreakBefore w:val="0"/>
              <w:widowControl w:val="0"/>
              <w:kinsoku/>
              <w:wordWrap/>
              <w:overflowPunct/>
              <w:topLinePunct w:val="0"/>
              <w:autoSpaceDE/>
              <w:autoSpaceDN/>
              <w:bidi w:val="0"/>
              <w:snapToGrid/>
              <w:spacing w:line="480" w:lineRule="exact"/>
              <w:jc w:val="center"/>
              <w:rPr>
                <w:rFonts w:asci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5EBD75">
            <w:pPr>
              <w:pageBreakBefore w:val="0"/>
              <w:widowControl w:val="0"/>
              <w:kinsoku/>
              <w:wordWrap/>
              <w:overflowPunct/>
              <w:topLinePunct w:val="0"/>
              <w:autoSpaceDE/>
              <w:autoSpaceDN/>
              <w:bidi w:val="0"/>
              <w:snapToGrid/>
              <w:spacing w:line="480" w:lineRule="exact"/>
              <w:jc w:val="center"/>
              <w:rPr>
                <w:rFonts w:ascii="宋体"/>
                <w:kern w:val="0"/>
                <w:szCs w:val="21"/>
              </w:rPr>
            </w:pPr>
            <w:r>
              <w:rPr>
                <w:rFonts w:hint="eastAsia" w:ascii="宋体" w:hAnsi="宋体"/>
                <w:kern w:val="0"/>
                <w:szCs w:val="21"/>
              </w:rPr>
              <w:t>称重传感器防雷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B7E5A8">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具备</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CD3BFC">
            <w:pPr>
              <w:pageBreakBefore w:val="0"/>
              <w:widowControl w:val="0"/>
              <w:kinsoku/>
              <w:wordWrap/>
              <w:overflowPunct/>
              <w:topLinePunct w:val="0"/>
              <w:autoSpaceDE/>
              <w:autoSpaceDN/>
              <w:bidi w:val="0"/>
              <w:snapToGrid/>
              <w:spacing w:line="480" w:lineRule="exact"/>
              <w:jc w:val="center"/>
              <w:rPr>
                <w:rFonts w:ascii="宋体"/>
                <w:szCs w:val="21"/>
              </w:rPr>
            </w:pPr>
          </w:p>
        </w:tc>
      </w:tr>
      <w:tr w14:paraId="3C851179">
        <w:tblPrEx>
          <w:tblCellMar>
            <w:top w:w="0" w:type="dxa"/>
            <w:left w:w="108" w:type="dxa"/>
            <w:bottom w:w="0" w:type="dxa"/>
            <w:right w:w="108" w:type="dxa"/>
          </w:tblCellMar>
        </w:tblPrEx>
        <w:trPr>
          <w:trHeight w:val="363"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739BA10">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4829E5">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3AA99F">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仪表防雷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5C2E155">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具备</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4E8E786">
            <w:pPr>
              <w:pageBreakBefore w:val="0"/>
              <w:widowControl w:val="0"/>
              <w:kinsoku/>
              <w:wordWrap/>
              <w:overflowPunct/>
              <w:topLinePunct w:val="0"/>
              <w:autoSpaceDE/>
              <w:autoSpaceDN/>
              <w:bidi w:val="0"/>
              <w:snapToGrid/>
              <w:spacing w:line="480" w:lineRule="exact"/>
              <w:jc w:val="both"/>
              <w:rPr>
                <w:rFonts w:hint="eastAsia" w:ascii="宋体" w:hAnsi="宋体"/>
                <w:kern w:val="0"/>
                <w:szCs w:val="21"/>
              </w:rPr>
            </w:pPr>
          </w:p>
        </w:tc>
      </w:tr>
      <w:tr w14:paraId="5C363BA3">
        <w:tblPrEx>
          <w:tblCellMar>
            <w:top w:w="0" w:type="dxa"/>
            <w:left w:w="108" w:type="dxa"/>
            <w:bottom w:w="0" w:type="dxa"/>
            <w:right w:w="108" w:type="dxa"/>
          </w:tblCellMar>
        </w:tblPrEx>
        <w:trPr>
          <w:trHeight w:val="77"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72DDA0D">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846"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A03BEE">
            <w:pPr>
              <w:pageBreakBefore w:val="0"/>
              <w:widowControl w:val="0"/>
              <w:kinsoku/>
              <w:wordWrap/>
              <w:overflowPunct/>
              <w:topLinePunct w:val="0"/>
              <w:autoSpaceDE/>
              <w:autoSpaceDN/>
              <w:bidi w:val="0"/>
              <w:snapToGrid/>
              <w:spacing w:line="480" w:lineRule="exact"/>
              <w:jc w:val="center"/>
              <w:rPr>
                <w:rFonts w:ascii="宋体" w:hAnsi="宋体"/>
                <w:kern w:val="0"/>
                <w:szCs w:val="21"/>
              </w:rPr>
            </w:pPr>
          </w:p>
        </w:tc>
        <w:tc>
          <w:tcPr>
            <w:tcW w:w="17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A333F6">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系统防雷</w:t>
            </w:r>
          </w:p>
        </w:tc>
        <w:tc>
          <w:tcPr>
            <w:tcW w:w="246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DF0D9C">
            <w:pPr>
              <w:pageBreakBefore w:val="0"/>
              <w:widowControl w:val="0"/>
              <w:kinsoku/>
              <w:wordWrap/>
              <w:overflowPunct/>
              <w:topLinePunct w:val="0"/>
              <w:autoSpaceDE/>
              <w:autoSpaceDN/>
              <w:bidi w:val="0"/>
              <w:snapToGrid/>
              <w:spacing w:line="480" w:lineRule="exact"/>
              <w:jc w:val="center"/>
              <w:rPr>
                <w:rFonts w:ascii="宋体" w:hAnsi="宋体"/>
                <w:kern w:val="0"/>
                <w:szCs w:val="21"/>
              </w:rPr>
            </w:pPr>
            <w:r>
              <w:rPr>
                <w:rFonts w:hint="eastAsia" w:ascii="宋体" w:hAnsi="宋体"/>
                <w:kern w:val="0"/>
                <w:szCs w:val="21"/>
              </w:rPr>
              <w:t>具备</w:t>
            </w:r>
          </w:p>
        </w:tc>
        <w:tc>
          <w:tcPr>
            <w:tcW w:w="2315"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766D0543">
            <w:pPr>
              <w:pageBreakBefore w:val="0"/>
              <w:widowControl w:val="0"/>
              <w:kinsoku/>
              <w:wordWrap/>
              <w:overflowPunct/>
              <w:topLinePunct w:val="0"/>
              <w:autoSpaceDE/>
              <w:autoSpaceDN/>
              <w:bidi w:val="0"/>
              <w:snapToGrid/>
              <w:spacing w:line="480" w:lineRule="exact"/>
              <w:rPr>
                <w:rFonts w:hint="eastAsia" w:ascii="宋体" w:hAnsi="宋体"/>
                <w:kern w:val="0"/>
                <w:szCs w:val="21"/>
              </w:rPr>
            </w:pPr>
          </w:p>
        </w:tc>
      </w:tr>
    </w:tbl>
    <w:p w14:paraId="1992EB02">
      <w:pPr>
        <w:keepNext w:val="0"/>
        <w:keepLines w:val="0"/>
        <w:pageBreakBefore w:val="0"/>
        <w:widowControl w:val="0"/>
        <w:kinsoku/>
        <w:wordWrap/>
        <w:overflowPunct/>
        <w:topLinePunct w:val="0"/>
        <w:autoSpaceDE/>
        <w:autoSpaceDN/>
        <w:bidi w:val="0"/>
        <w:snapToGrid/>
        <w:spacing w:line="480" w:lineRule="exact"/>
        <w:outlineLvl w:val="9"/>
        <w:rPr>
          <w:rFonts w:hint="eastAsia" w:ascii="Times New Roman" w:hAnsi="Times New Roman"/>
          <w:b w:val="0"/>
          <w:bCs w:val="0"/>
          <w:szCs w:val="24"/>
          <w:highlight w:val="none"/>
          <w:lang w:eastAsia="ja-JP"/>
        </w:rPr>
      </w:pPr>
      <w:r>
        <w:rPr>
          <w:rFonts w:hint="eastAsia" w:ascii="Times New Roman" w:hAnsi="Times New Roman"/>
          <w:b/>
          <w:bCs/>
          <w:szCs w:val="24"/>
          <w:highlight w:val="none"/>
          <w:lang w:eastAsia="ja-JP"/>
        </w:rPr>
        <w:t>注：项目中的推荐品牌，只是推荐所采购产品（设备）的档次。报价供应商如拟投产品不在推荐品牌之列的，报价货物品牌的技术参数不得低于推荐的品牌，同时报价供应商应当在投标截止时间前3日，向采购单位提供货物的技术资料、相关证明材料及相关单位的成功使用案例，采购单位将组织进行评审，当三分之二及以上评委认定，所投品牌、型号档次等于或高于建议品牌档次的，将以补充通知的形式在相关网站予以公布，所投品牌档次低于推荐品牌档次的，则不予受理。投标文件中报价品牌、型号为非推荐品牌且未在规定时间内经采购单位评审通过以补充通知形式发布的，将被视作无效报价。</w:t>
      </w:r>
    </w:p>
    <w:p w14:paraId="54F2F61D">
      <w:pPr>
        <w:keepNext/>
        <w:keepLines/>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b/>
          <w:bCs/>
          <w:szCs w:val="21"/>
          <w:lang w:eastAsia="ja-JP"/>
        </w:rPr>
      </w:pPr>
      <w:bookmarkStart w:id="10" w:name="_Toc503866557"/>
      <w:bookmarkStart w:id="11" w:name="_Toc503519503"/>
      <w:r>
        <w:rPr>
          <w:rFonts w:ascii="宋体" w:hAnsi="宋体"/>
          <w:b/>
          <w:bCs/>
          <w:szCs w:val="21"/>
          <w:lang w:eastAsia="ja-JP"/>
        </w:rPr>
        <w:t xml:space="preserve">6 </w:t>
      </w:r>
      <w:r>
        <w:rPr>
          <w:rFonts w:hint="eastAsia" w:ascii="宋体" w:hAnsi="宋体"/>
          <w:b/>
          <w:bCs/>
          <w:szCs w:val="21"/>
          <w:lang w:eastAsia="ja-JP"/>
        </w:rPr>
        <w:t>汽车衡及各部件性能要求</w:t>
      </w:r>
      <w:bookmarkEnd w:id="10"/>
      <w:bookmarkEnd w:id="11"/>
    </w:p>
    <w:p w14:paraId="104EE16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6.1 </w:t>
      </w:r>
      <w:r>
        <w:rPr>
          <w:rFonts w:hint="eastAsia" w:ascii="宋体" w:hAnsi="宋体"/>
          <w:szCs w:val="21"/>
        </w:rPr>
        <w:t>汽车衡性总体要求</w:t>
      </w:r>
    </w:p>
    <w:p w14:paraId="7BC67BE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(1) </w:t>
      </w:r>
      <w:r>
        <w:rPr>
          <w:rFonts w:hint="eastAsia" w:ascii="宋体" w:hAnsi="宋体"/>
          <w:szCs w:val="21"/>
          <w:lang w:val="en-US" w:eastAsia="zh-CN"/>
        </w:rPr>
        <w:t>1</w:t>
      </w:r>
      <w:r>
        <w:rPr>
          <w:rFonts w:hint="eastAsia" w:ascii="宋体" w:hAnsi="宋体"/>
          <w:szCs w:val="21"/>
        </w:rPr>
        <w:t>台汽车衡安装在称重区域，汽车衡的秤台长度为</w:t>
      </w:r>
      <w:r>
        <w:rPr>
          <w:rFonts w:hint="eastAsia" w:ascii="宋体" w:hAnsi="宋体"/>
          <w:szCs w:val="21"/>
          <w:lang w:val="en-US" w:eastAsia="zh-CN"/>
        </w:rPr>
        <w:t>9</w:t>
      </w:r>
      <w:r>
        <w:rPr>
          <w:rFonts w:hint="eastAsia" w:ascii="宋体" w:hAnsi="宋体"/>
          <w:szCs w:val="21"/>
        </w:rPr>
        <w:t>米，宽度为</w:t>
      </w:r>
      <w:r>
        <w:rPr>
          <w:rFonts w:ascii="宋体" w:hAnsi="宋体"/>
          <w:szCs w:val="21"/>
        </w:rPr>
        <w:t>3</w:t>
      </w:r>
      <w:r>
        <w:rPr>
          <w:rFonts w:hint="eastAsia" w:ascii="宋体" w:hAnsi="宋体"/>
          <w:szCs w:val="21"/>
          <w:lang w:val="en-US" w:eastAsia="zh-CN"/>
        </w:rPr>
        <w:t>.2</w:t>
      </w:r>
      <w:r>
        <w:rPr>
          <w:rFonts w:hint="eastAsia" w:ascii="宋体" w:hAnsi="宋体"/>
          <w:szCs w:val="21"/>
        </w:rPr>
        <w:t>米，最大称重量为</w:t>
      </w:r>
      <w:r>
        <w:rPr>
          <w:rFonts w:hint="eastAsia" w:ascii="宋体" w:hAnsi="宋体"/>
          <w:szCs w:val="21"/>
          <w:lang w:val="en-US" w:eastAsia="zh-CN"/>
        </w:rPr>
        <w:t>60</w:t>
      </w:r>
      <w:r>
        <w:rPr>
          <w:rFonts w:hint="eastAsia" w:ascii="宋体" w:hAnsi="宋体"/>
          <w:szCs w:val="21"/>
        </w:rPr>
        <w:t>吨。</w:t>
      </w:r>
    </w:p>
    <w:p w14:paraId="0D4A74D3">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 </w:t>
      </w:r>
      <w:r>
        <w:rPr>
          <w:rFonts w:hint="eastAsia" w:ascii="宋体" w:hAnsi="宋体"/>
          <w:szCs w:val="21"/>
        </w:rPr>
        <w:t>汽车衡静态称重精度为国家</w:t>
      </w:r>
      <w:r>
        <w:rPr>
          <w:rFonts w:ascii="宋体" w:hAnsi="宋体"/>
          <w:szCs w:val="21"/>
        </w:rPr>
        <w:t>III</w:t>
      </w:r>
      <w:r>
        <w:rPr>
          <w:rFonts w:hint="eastAsia" w:ascii="宋体" w:hAnsi="宋体"/>
          <w:szCs w:val="21"/>
        </w:rPr>
        <w:t>级以上标准，能承受</w:t>
      </w:r>
      <w:r>
        <w:rPr>
          <w:rFonts w:ascii="宋体" w:hAnsi="宋体"/>
          <w:szCs w:val="21"/>
        </w:rPr>
        <w:t>125%</w:t>
      </w:r>
      <w:r>
        <w:rPr>
          <w:rFonts w:hint="eastAsia" w:ascii="宋体" w:hAnsi="宋体"/>
          <w:szCs w:val="21"/>
        </w:rPr>
        <w:t>额定负载，并具有良好的防潮性和防滑性。汽车衡必须满足防止雾气湿气侵蚀的要求。</w:t>
      </w:r>
    </w:p>
    <w:p w14:paraId="56FAD703">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6.2 </w:t>
      </w:r>
      <w:r>
        <w:rPr>
          <w:rFonts w:hint="eastAsia" w:ascii="宋体" w:hAnsi="宋体"/>
          <w:szCs w:val="21"/>
        </w:rPr>
        <w:t>汽车衡秤台要求</w:t>
      </w:r>
    </w:p>
    <w:p w14:paraId="5B3F00D5">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(1)</w:t>
      </w:r>
      <w:r>
        <w:rPr>
          <w:rFonts w:hint="eastAsia" w:ascii="宋体" w:hAnsi="宋体"/>
          <w:szCs w:val="21"/>
        </w:rPr>
        <w:t>电子汽车衡安装位置尺寸</w:t>
      </w:r>
      <w:r>
        <w:rPr>
          <w:rFonts w:hint="eastAsia" w:ascii="宋体" w:hAnsi="宋体"/>
          <w:szCs w:val="21"/>
          <w:lang w:val="en-US" w:eastAsia="zh-CN"/>
        </w:rPr>
        <w:t>9</w:t>
      </w:r>
      <w:r>
        <w:rPr>
          <w:rFonts w:ascii="宋体" w:hAnsi="宋体"/>
          <w:szCs w:val="21"/>
        </w:rPr>
        <w:t xml:space="preserve">000mm (L) </w:t>
      </w:r>
      <w:r>
        <w:rPr>
          <w:rFonts w:hint="eastAsia" w:ascii="宋体" w:hAnsi="宋体"/>
          <w:szCs w:val="21"/>
        </w:rPr>
        <w:t>×</w:t>
      </w:r>
      <w:r>
        <w:rPr>
          <w:rFonts w:ascii="宋体" w:hAnsi="宋体"/>
          <w:szCs w:val="21"/>
        </w:rPr>
        <w:t xml:space="preserve"> 3</w:t>
      </w:r>
      <w:r>
        <w:rPr>
          <w:rFonts w:hint="eastAsia" w:ascii="宋体" w:hAnsi="宋体"/>
          <w:szCs w:val="21"/>
          <w:lang w:val="en-US" w:eastAsia="zh-CN"/>
        </w:rPr>
        <w:t>2</w:t>
      </w:r>
      <w:r>
        <w:rPr>
          <w:rFonts w:ascii="宋体" w:hAnsi="宋体"/>
          <w:szCs w:val="21"/>
        </w:rPr>
        <w:t>00mm(W)</w:t>
      </w:r>
      <w:r>
        <w:rPr>
          <w:rFonts w:hint="eastAsia" w:ascii="宋体" w:hAnsi="宋体"/>
          <w:szCs w:val="21"/>
        </w:rPr>
        <w:t>。外露部件做防锈处理，钢结构制作和防腐处理要符合国标</w:t>
      </w:r>
      <w:r>
        <w:rPr>
          <w:rFonts w:ascii="宋体" w:hAnsi="宋体"/>
          <w:szCs w:val="21"/>
        </w:rPr>
        <w:t>GB50205-2001</w:t>
      </w:r>
      <w:r>
        <w:rPr>
          <w:rFonts w:hint="eastAsia" w:ascii="宋体" w:hAnsi="宋体"/>
          <w:szCs w:val="21"/>
        </w:rPr>
        <w:t>，秤体刚度优于</w:t>
      </w:r>
      <w:r>
        <w:rPr>
          <w:rFonts w:ascii="宋体" w:hAnsi="宋体"/>
          <w:szCs w:val="21"/>
        </w:rPr>
        <w:t>1/800</w:t>
      </w:r>
      <w:r>
        <w:rPr>
          <w:rFonts w:hint="eastAsia" w:ascii="宋体" w:hAnsi="宋体"/>
          <w:szCs w:val="21"/>
        </w:rPr>
        <w:t>。秤体采用全钢模块化结构，设计合理，有足够的强度。</w:t>
      </w:r>
    </w:p>
    <w:p w14:paraId="18CA854A">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 </w:t>
      </w:r>
      <w:r>
        <w:rPr>
          <w:rFonts w:hint="eastAsia" w:ascii="宋体" w:hAnsi="宋体"/>
          <w:szCs w:val="21"/>
        </w:rPr>
        <w:t>秤体承重主梁在秤台宽度方向均匀布置，承载台面板的厚度应不小于</w:t>
      </w:r>
      <w:r>
        <w:rPr>
          <w:rFonts w:ascii="宋体" w:hAnsi="宋体"/>
          <w:szCs w:val="21"/>
        </w:rPr>
        <w:t>1</w:t>
      </w:r>
      <w:r>
        <w:rPr>
          <w:rFonts w:hint="eastAsia" w:ascii="宋体" w:hAnsi="宋体"/>
          <w:szCs w:val="21"/>
        </w:rPr>
        <w:t>0</w:t>
      </w:r>
      <w:r>
        <w:rPr>
          <w:rFonts w:ascii="宋体" w:hAnsi="宋体"/>
          <w:szCs w:val="21"/>
        </w:rPr>
        <w:t>mm</w:t>
      </w:r>
      <w:r>
        <w:rPr>
          <w:rFonts w:hint="eastAsia" w:ascii="宋体" w:hAnsi="宋体"/>
          <w:color w:val="FF0000"/>
          <w:szCs w:val="21"/>
          <w:lang w:eastAsia="zh-CN"/>
        </w:rPr>
        <w:t>（</w:t>
      </w:r>
      <w:r>
        <w:rPr>
          <w:rFonts w:hint="eastAsia" w:ascii="宋体" w:hAnsi="宋体"/>
          <w:color w:val="FF0000"/>
          <w:szCs w:val="21"/>
        </w:rPr>
        <w:t>★</w:t>
      </w:r>
      <w:r>
        <w:rPr>
          <w:rFonts w:hint="eastAsia" w:ascii="宋体" w:hAnsi="宋体"/>
          <w:b/>
          <w:bCs/>
          <w:color w:val="FF0000"/>
          <w:szCs w:val="21"/>
          <w:lang w:eastAsia="zh-CN"/>
        </w:rPr>
        <w:t>投标时提供秤体形式检验报告，承载台面板厚度不足10mm视为资格审查不通过</w:t>
      </w:r>
      <w:r>
        <w:rPr>
          <w:rFonts w:hint="eastAsia" w:ascii="宋体" w:hAnsi="宋体"/>
          <w:color w:val="FF0000"/>
          <w:szCs w:val="21"/>
          <w:lang w:eastAsia="zh-CN"/>
        </w:rPr>
        <w:t>）</w:t>
      </w:r>
      <w:r>
        <w:rPr>
          <w:rFonts w:hint="eastAsia" w:ascii="宋体" w:hAnsi="宋体"/>
          <w:szCs w:val="21"/>
        </w:rPr>
        <w:t>；传感器安装位置设计合理，秤台连接采用立体搭接结构，强度足够。</w:t>
      </w:r>
    </w:p>
    <w:p w14:paraId="49172A6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 </w:t>
      </w:r>
      <w:r>
        <w:rPr>
          <w:rFonts w:hint="eastAsia" w:ascii="宋体" w:hAnsi="宋体"/>
          <w:szCs w:val="21"/>
        </w:rPr>
        <w:t>秤台台面为整体结构，不允许有任何盖板和螺栓、螺母等附着物，基础设计应预留检修位置及举升工具位置、易耗件更换位置、限位螺丝调节位置等。</w:t>
      </w:r>
    </w:p>
    <w:p w14:paraId="3256D01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(4) </w:t>
      </w:r>
      <w:r>
        <w:rPr>
          <w:rFonts w:hint="eastAsia" w:ascii="宋体" w:hAnsi="宋体"/>
          <w:szCs w:val="21"/>
        </w:rPr>
        <w:t>汽车衡结构必须符合</w:t>
      </w:r>
      <w:r>
        <w:rPr>
          <w:rFonts w:ascii="宋体" w:hAnsi="宋体"/>
          <w:szCs w:val="21"/>
        </w:rPr>
        <w:t xml:space="preserve">GB50017-2003 </w:t>
      </w:r>
      <w:r>
        <w:rPr>
          <w:rFonts w:hint="eastAsia" w:ascii="宋体" w:hAnsi="宋体"/>
          <w:szCs w:val="21"/>
        </w:rPr>
        <w:t>钢结构设计规范，所选主要材料不得低于</w:t>
      </w:r>
      <w:r>
        <w:rPr>
          <w:rFonts w:ascii="宋体" w:hAnsi="宋体"/>
          <w:szCs w:val="21"/>
        </w:rPr>
        <w:t>Q345B</w:t>
      </w:r>
      <w:r>
        <w:rPr>
          <w:rFonts w:hint="eastAsia" w:ascii="宋体" w:hAnsi="宋体"/>
          <w:szCs w:val="21"/>
        </w:rPr>
        <w:t>，</w:t>
      </w:r>
      <w:r>
        <w:rPr>
          <w:rFonts w:ascii="宋体" w:hAnsi="宋体"/>
          <w:szCs w:val="21"/>
        </w:rPr>
        <w:t xml:space="preserve"> </w:t>
      </w:r>
      <w:r>
        <w:rPr>
          <w:rFonts w:hint="eastAsia" w:ascii="宋体" w:hAnsi="宋体"/>
          <w:szCs w:val="21"/>
        </w:rPr>
        <w:t>且必须满足能够承受</w:t>
      </w:r>
      <w:r>
        <w:rPr>
          <w:rFonts w:hint="eastAsia" w:ascii="宋体" w:hAnsi="宋体"/>
          <w:szCs w:val="21"/>
          <w:lang w:val="en-US" w:eastAsia="zh-CN"/>
        </w:rPr>
        <w:t>60</w:t>
      </w:r>
      <w:r>
        <w:rPr>
          <w:rFonts w:hint="eastAsia" w:ascii="宋体" w:hAnsi="宋体"/>
          <w:szCs w:val="21"/>
        </w:rPr>
        <w:t>吨</w:t>
      </w:r>
      <w:r>
        <w:rPr>
          <w:rFonts w:ascii="宋体" w:hAnsi="宋体"/>
          <w:szCs w:val="21"/>
        </w:rPr>
        <w:t>2</w:t>
      </w:r>
      <w:r>
        <w:rPr>
          <w:rFonts w:hint="eastAsia" w:ascii="宋体" w:hAnsi="宋体"/>
          <w:szCs w:val="21"/>
        </w:rPr>
        <w:t>倍以上的载重压力。</w:t>
      </w:r>
    </w:p>
    <w:p w14:paraId="4D4E664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(5) </w:t>
      </w:r>
      <w:r>
        <w:rPr>
          <w:rFonts w:hint="eastAsia" w:ascii="宋体" w:hAnsi="宋体"/>
          <w:szCs w:val="21"/>
        </w:rPr>
        <w:t>秤台采用采用施压的方法预拱成型，采用自动</w:t>
      </w:r>
      <w:r>
        <w:rPr>
          <w:rFonts w:ascii="宋体" w:hAnsi="宋体"/>
          <w:szCs w:val="21"/>
        </w:rPr>
        <w:t>CO2</w:t>
      </w:r>
      <w:r>
        <w:rPr>
          <w:rFonts w:hint="eastAsia" w:ascii="宋体" w:hAnsi="宋体"/>
          <w:szCs w:val="21"/>
        </w:rPr>
        <w:t>气体保护焊连续焊接缝，表面光滑平整；</w:t>
      </w:r>
    </w:p>
    <w:p w14:paraId="7281E852">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 </w:t>
      </w:r>
      <w:r>
        <w:rPr>
          <w:rFonts w:hint="eastAsia" w:ascii="宋体" w:hAnsi="宋体"/>
          <w:szCs w:val="21"/>
        </w:rPr>
        <w:t>严格按照国际通用涂装工艺进行钢板预处理和油漆。秤台表面</w:t>
      </w:r>
      <w:r>
        <w:rPr>
          <w:rFonts w:ascii="宋体" w:hAnsi="宋体"/>
          <w:szCs w:val="21"/>
        </w:rPr>
        <w:t>(</w:t>
      </w:r>
      <w:r>
        <w:rPr>
          <w:rFonts w:hint="eastAsia" w:ascii="宋体" w:hAnsi="宋体"/>
          <w:szCs w:val="21"/>
        </w:rPr>
        <w:t>包括焊缝</w:t>
      </w:r>
      <w:r>
        <w:rPr>
          <w:rFonts w:ascii="宋体" w:hAnsi="宋体"/>
          <w:szCs w:val="21"/>
        </w:rPr>
        <w:t>)</w:t>
      </w:r>
      <w:r>
        <w:rPr>
          <w:rFonts w:hint="eastAsia" w:ascii="宋体" w:hAnsi="宋体"/>
          <w:szCs w:val="21"/>
        </w:rPr>
        <w:t>进行自动抛丸处理，处理效果至少应达到《</w:t>
      </w:r>
      <w:r>
        <w:rPr>
          <w:rFonts w:ascii="宋体" w:hAnsi="宋体"/>
          <w:szCs w:val="21"/>
        </w:rPr>
        <w:t xml:space="preserve">GB8923-98 </w:t>
      </w:r>
      <w:r>
        <w:rPr>
          <w:rFonts w:hint="eastAsia" w:ascii="宋体" w:hAnsi="宋体"/>
          <w:szCs w:val="21"/>
        </w:rPr>
        <w:t>涂装前钢材表面锈蚀等级和除锈等级》中</w:t>
      </w:r>
      <w:r>
        <w:rPr>
          <w:rFonts w:ascii="宋体" w:hAnsi="宋体"/>
          <w:szCs w:val="21"/>
        </w:rPr>
        <w:t>Sa2.5</w:t>
      </w:r>
      <w:r>
        <w:rPr>
          <w:rFonts w:hint="eastAsia" w:ascii="宋体" w:hAnsi="宋体"/>
          <w:szCs w:val="21"/>
        </w:rPr>
        <w:t>级以上；漆膜色泽均匀，不准存在漏漆、起皱流痕、划伤和脱落等缺陷，涂装总漆干膜厚度≥</w:t>
      </w:r>
      <w:r>
        <w:rPr>
          <w:rFonts w:ascii="宋体" w:hAnsi="宋体"/>
          <w:szCs w:val="21"/>
        </w:rPr>
        <w:t>200</w:t>
      </w:r>
      <w:r>
        <w:rPr>
          <w:rFonts w:hint="eastAsia" w:ascii="宋体" w:hAnsi="宋体"/>
          <w:szCs w:val="21"/>
        </w:rPr>
        <w:t>μ</w:t>
      </w:r>
      <w:r>
        <w:rPr>
          <w:rFonts w:ascii="宋体" w:hAnsi="宋体"/>
          <w:szCs w:val="21"/>
        </w:rPr>
        <w:t>m</w:t>
      </w:r>
      <w:r>
        <w:rPr>
          <w:rFonts w:hint="eastAsia" w:ascii="宋体" w:hAnsi="宋体"/>
          <w:szCs w:val="21"/>
        </w:rPr>
        <w:t>；油漆优先选用</w:t>
      </w:r>
      <w:r>
        <w:rPr>
          <w:rFonts w:ascii="宋体" w:hAnsi="宋体"/>
          <w:szCs w:val="21"/>
        </w:rPr>
        <w:t>Hempel</w:t>
      </w:r>
      <w:r>
        <w:rPr>
          <w:rFonts w:hint="eastAsia" w:ascii="宋体" w:hAnsi="宋体"/>
          <w:szCs w:val="21"/>
        </w:rPr>
        <w:t>、</w:t>
      </w:r>
      <w:r>
        <w:rPr>
          <w:rFonts w:ascii="宋体" w:hAnsi="宋体"/>
          <w:szCs w:val="21"/>
        </w:rPr>
        <w:t>JOTUN</w:t>
      </w:r>
      <w:r>
        <w:rPr>
          <w:rFonts w:hint="eastAsia" w:ascii="宋体" w:hAnsi="宋体"/>
          <w:szCs w:val="21"/>
        </w:rPr>
        <w:t>、</w:t>
      </w:r>
      <w:r>
        <w:rPr>
          <w:rFonts w:ascii="宋体" w:hAnsi="宋体"/>
          <w:szCs w:val="21"/>
        </w:rPr>
        <w:t>Internaitional</w:t>
      </w:r>
      <w:r>
        <w:rPr>
          <w:rFonts w:hint="eastAsia" w:ascii="宋体" w:hAnsi="宋体"/>
          <w:szCs w:val="21"/>
        </w:rPr>
        <w:t>品牌，如选用其它品牌的油漆须得到买方的认可</w:t>
      </w:r>
    </w:p>
    <w:p w14:paraId="64DCACE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(7) </w:t>
      </w:r>
      <w:r>
        <w:rPr>
          <w:rFonts w:hint="eastAsia" w:ascii="宋体" w:hAnsi="宋体"/>
          <w:szCs w:val="21"/>
        </w:rPr>
        <w:t>投标人的投标文件中应提供详细的秤台设计方案和制造工艺。</w:t>
      </w:r>
    </w:p>
    <w:p w14:paraId="310AD6D1">
      <w:pPr>
        <w:keepNext/>
        <w:keepLines/>
        <w:pageBreakBefore w:val="0"/>
        <w:widowControl w:val="0"/>
        <w:kinsoku/>
        <w:wordWrap/>
        <w:overflowPunct/>
        <w:topLinePunct w:val="0"/>
        <w:autoSpaceDE/>
        <w:autoSpaceDN/>
        <w:bidi w:val="0"/>
        <w:adjustRightInd/>
        <w:snapToGrid/>
        <w:spacing w:line="440" w:lineRule="exact"/>
        <w:textAlignment w:val="auto"/>
        <w:outlineLvl w:val="1"/>
        <w:rPr>
          <w:rFonts w:hint="default" w:eastAsia="宋体"/>
          <w:highlight w:val="none"/>
          <w:lang w:val="en-US" w:eastAsia="zh-CN"/>
        </w:rPr>
      </w:pPr>
      <w:r>
        <w:rPr>
          <w:rFonts w:ascii="宋体" w:hAnsi="宋体"/>
          <w:szCs w:val="21"/>
        </w:rPr>
        <w:t xml:space="preserve">(8) </w:t>
      </w:r>
      <w:r>
        <w:rPr>
          <w:rFonts w:hint="eastAsia" w:ascii="宋体" w:hAnsi="宋体"/>
          <w:szCs w:val="21"/>
        </w:rPr>
        <w:t>称台应由投标货物的制造商制造，不得分包。</w:t>
      </w:r>
      <w:r>
        <w:rPr>
          <w:rFonts w:hint="eastAsia" w:ascii="宋体" w:hAnsi="宋体"/>
          <w:color w:val="FF0000"/>
          <w:szCs w:val="21"/>
        </w:rPr>
        <w:t>★</w:t>
      </w:r>
      <w:r>
        <w:rPr>
          <w:rFonts w:hint="eastAsia" w:ascii="宋体" w:hAnsi="宋体"/>
          <w:b/>
          <w:bCs/>
          <w:color w:val="FF0000"/>
          <w:szCs w:val="21"/>
          <w:highlight w:val="none"/>
          <w:lang w:eastAsia="zh-CN"/>
        </w:rPr>
        <w:t>投标时须提供</w:t>
      </w:r>
      <w:r>
        <w:rPr>
          <w:rFonts w:hint="eastAsia" w:ascii="宋体" w:hAnsi="宋体"/>
          <w:b/>
          <w:bCs/>
          <w:color w:val="FF0000"/>
          <w:szCs w:val="21"/>
          <w:highlight w:val="none"/>
        </w:rPr>
        <w:t>汽车衡计量器具及部件的生产许可证</w:t>
      </w:r>
      <w:r>
        <w:rPr>
          <w:rFonts w:hint="eastAsia" w:ascii="宋体" w:hAnsi="宋体"/>
          <w:b/>
          <w:bCs/>
          <w:color w:val="FF0000"/>
          <w:szCs w:val="21"/>
          <w:highlight w:val="none"/>
          <w:lang w:eastAsia="zh-CN"/>
        </w:rPr>
        <w:t>原件复印件（未提供视为资格审查不通过）</w:t>
      </w:r>
    </w:p>
    <w:p w14:paraId="3B1D7B59">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highlight w:val="none"/>
        </w:rPr>
      </w:pPr>
      <w:r>
        <w:rPr>
          <w:rFonts w:ascii="宋体" w:hAnsi="宋体"/>
          <w:szCs w:val="21"/>
          <w:highlight w:val="none"/>
        </w:rPr>
        <w:t xml:space="preserve">6.3 </w:t>
      </w:r>
      <w:r>
        <w:rPr>
          <w:rFonts w:hint="eastAsia" w:ascii="宋体" w:hAnsi="宋体"/>
          <w:szCs w:val="21"/>
          <w:highlight w:val="none"/>
        </w:rPr>
        <w:t>称重传感器要求</w:t>
      </w:r>
    </w:p>
    <w:p w14:paraId="4D2EE817">
      <w:pPr>
        <w:pageBreakBefore w:val="0"/>
        <w:widowControl w:val="0"/>
        <w:kinsoku/>
        <w:wordWrap/>
        <w:overflowPunct/>
        <w:topLinePunct w:val="0"/>
        <w:autoSpaceDE/>
        <w:autoSpaceDN/>
        <w:bidi w:val="0"/>
        <w:adjustRightInd/>
        <w:snapToGrid/>
        <w:spacing w:line="440" w:lineRule="exact"/>
        <w:ind w:firstLine="210" w:firstLineChars="100"/>
        <w:textAlignment w:val="auto"/>
        <w:rPr>
          <w:rFonts w:ascii="宋体" w:hAnsi="宋体"/>
          <w:szCs w:val="21"/>
        </w:rPr>
      </w:pPr>
      <w:r>
        <w:rPr>
          <w:rFonts w:ascii="宋体" w:hAnsi="宋体"/>
          <w:szCs w:val="21"/>
          <w:highlight w:val="none"/>
        </w:rPr>
        <w:t xml:space="preserve">(1) </w:t>
      </w:r>
      <w:r>
        <w:rPr>
          <w:rFonts w:hint="eastAsia" w:ascii="宋体" w:hAnsi="宋体"/>
          <w:szCs w:val="21"/>
          <w:highlight w:val="none"/>
        </w:rPr>
        <w:t>采用纯数字补偿技术，保证传感器的精度达到</w:t>
      </w:r>
      <w:r>
        <w:rPr>
          <w:rFonts w:ascii="宋体" w:hAnsi="宋体"/>
          <w:szCs w:val="21"/>
          <w:highlight w:val="none"/>
        </w:rPr>
        <w:t>C3</w:t>
      </w:r>
      <w:r>
        <w:rPr>
          <w:rFonts w:hint="eastAsia" w:ascii="宋体" w:hAnsi="宋体"/>
          <w:szCs w:val="21"/>
          <w:highlight w:val="none"/>
        </w:rPr>
        <w:t>或以上</w:t>
      </w:r>
      <w:r>
        <w:rPr>
          <w:rFonts w:hint="eastAsia" w:ascii="宋体" w:hAnsi="宋体"/>
          <w:szCs w:val="21"/>
        </w:rPr>
        <w:t>，确保传感器性能的一致性，保证将来更换的传感器与原秤性能保持一致；采用买方认可的</w:t>
      </w:r>
      <w:r>
        <w:rPr>
          <w:rFonts w:hint="eastAsia" w:ascii="宋体" w:hAnsi="宋体"/>
          <w:szCs w:val="21"/>
          <w:lang w:val="en-US" w:eastAsia="zh-CN"/>
        </w:rPr>
        <w:t>国内外</w:t>
      </w:r>
      <w:r>
        <w:rPr>
          <w:rFonts w:hint="eastAsia" w:ascii="宋体" w:hAnsi="宋体"/>
          <w:szCs w:val="21"/>
        </w:rPr>
        <w:t>著名品牌。</w:t>
      </w:r>
    </w:p>
    <w:p w14:paraId="5AFC806F">
      <w:pPr>
        <w:pageBreakBefore w:val="0"/>
        <w:widowControl w:val="0"/>
        <w:kinsoku/>
        <w:wordWrap/>
        <w:overflowPunct/>
        <w:topLinePunct w:val="0"/>
        <w:autoSpaceDE/>
        <w:autoSpaceDN/>
        <w:bidi w:val="0"/>
        <w:adjustRightInd/>
        <w:snapToGrid/>
        <w:spacing w:line="440" w:lineRule="exact"/>
        <w:ind w:firstLine="210" w:firstLineChars="100"/>
        <w:textAlignment w:val="auto"/>
        <w:rPr>
          <w:rFonts w:hint="eastAsia" w:ascii="宋体" w:hAnsi="宋体"/>
          <w:szCs w:val="21"/>
        </w:rPr>
      </w:pPr>
      <w:r>
        <w:rPr>
          <w:rFonts w:hint="eastAsia" w:ascii="宋体" w:hAnsi="宋体"/>
          <w:szCs w:val="21"/>
        </w:rPr>
        <w:t>（2）优先采用通过EMC抗干扰测试、疲劳测试的传感器，测试报告应满足国际要求和</w:t>
      </w:r>
      <w:r>
        <w:rPr>
          <w:rFonts w:ascii="宋体" w:hAnsi="宋体"/>
          <w:szCs w:val="21"/>
        </w:rPr>
        <w:t>/</w:t>
      </w:r>
      <w:r>
        <w:rPr>
          <w:rFonts w:hint="eastAsia" w:ascii="宋体" w:hAnsi="宋体"/>
          <w:szCs w:val="21"/>
        </w:rPr>
        <w:t>或企业标准</w:t>
      </w:r>
      <w:r>
        <w:rPr>
          <w:rFonts w:ascii="宋体" w:hAnsi="宋体"/>
          <w:szCs w:val="21"/>
        </w:rPr>
        <w:t>(</w:t>
      </w:r>
      <w:r>
        <w:rPr>
          <w:rFonts w:hint="eastAsia" w:ascii="宋体" w:hAnsi="宋体"/>
          <w:szCs w:val="21"/>
        </w:rPr>
        <w:t>以要求高者为准</w:t>
      </w:r>
      <w:r>
        <w:rPr>
          <w:rFonts w:ascii="宋体" w:hAnsi="宋体"/>
          <w:szCs w:val="21"/>
        </w:rPr>
        <w:t>)</w:t>
      </w:r>
    </w:p>
    <w:p w14:paraId="2190FF3A">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传感器外壳需采用不锈钢材质、全密封结构，防护等级须达</w:t>
      </w:r>
      <w:r>
        <w:rPr>
          <w:rFonts w:ascii="宋体" w:hAnsi="宋体"/>
          <w:szCs w:val="21"/>
        </w:rPr>
        <w:t>IP68</w:t>
      </w:r>
      <w:r>
        <w:rPr>
          <w:rFonts w:hint="eastAsia" w:ascii="宋体" w:hAnsi="宋体"/>
          <w:szCs w:val="21"/>
        </w:rPr>
        <w:t>及以上。</w:t>
      </w:r>
    </w:p>
    <w:p w14:paraId="66B19FD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传感器内部需有惰性气体保护专用电路。</w:t>
      </w:r>
    </w:p>
    <w:p w14:paraId="41006483">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5</w:t>
      </w:r>
      <w:r>
        <w:rPr>
          <w:rFonts w:ascii="宋体" w:hAnsi="宋体"/>
          <w:szCs w:val="21"/>
        </w:rPr>
        <w:t xml:space="preserve">) </w:t>
      </w:r>
      <w:r>
        <w:rPr>
          <w:rFonts w:hint="eastAsia" w:ascii="宋体" w:hAnsi="宋体"/>
          <w:szCs w:val="21"/>
        </w:rPr>
        <w:t>配套传感器的双屏蔽通讯电缆采用和传感器分离式的设计，电缆损坏时不需要整体更换传感器，节省后续的维护费用。</w:t>
      </w:r>
    </w:p>
    <w:p w14:paraId="7D6904AB">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6</w:t>
      </w:r>
      <w:r>
        <w:rPr>
          <w:rFonts w:ascii="宋体" w:hAnsi="宋体"/>
          <w:szCs w:val="21"/>
        </w:rPr>
        <w:t xml:space="preserve">) </w:t>
      </w:r>
      <w:r>
        <w:rPr>
          <w:rFonts w:hint="eastAsia" w:ascii="宋体" w:hAnsi="宋体"/>
          <w:szCs w:val="21"/>
        </w:rPr>
        <w:t>数传感器采用纯数字补偿技术</w:t>
      </w:r>
      <w:r>
        <w:rPr>
          <w:rFonts w:ascii="宋体"/>
          <w:szCs w:val="21"/>
        </w:rPr>
        <w:t>,</w:t>
      </w:r>
      <w:r>
        <w:rPr>
          <w:rFonts w:hint="eastAsia" w:ascii="宋体" w:hAnsi="宋体"/>
          <w:szCs w:val="21"/>
        </w:rPr>
        <w:t>包括对非线性，滞后，蠕变和温度的补偿，来保证传感器的精度标准及性能的一致性。传感器输出信号即为数字信号，不得另加</w:t>
      </w:r>
      <w:r>
        <w:rPr>
          <w:rFonts w:ascii="宋体" w:hAnsi="宋体"/>
          <w:szCs w:val="21"/>
        </w:rPr>
        <w:t>A/D</w:t>
      </w:r>
      <w:r>
        <w:rPr>
          <w:rFonts w:hint="eastAsia" w:ascii="宋体" w:hAnsi="宋体"/>
          <w:szCs w:val="21"/>
        </w:rPr>
        <w:t>转换装置。</w:t>
      </w:r>
    </w:p>
    <w:p w14:paraId="21E553D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7</w:t>
      </w:r>
      <w:r>
        <w:rPr>
          <w:rFonts w:ascii="宋体" w:hAnsi="宋体"/>
          <w:szCs w:val="21"/>
        </w:rPr>
        <w:t xml:space="preserve">) </w:t>
      </w:r>
      <w:r>
        <w:rPr>
          <w:rFonts w:hint="eastAsia" w:ascii="宋体" w:hAnsi="宋体"/>
          <w:szCs w:val="21"/>
        </w:rPr>
        <w:t>传感器数据需在仪表中储存，仪表与传感器能实现通讯，以方便维修保养并且在更换传感器时可以免标定。</w:t>
      </w:r>
    </w:p>
    <w:p w14:paraId="56262A5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8</w:t>
      </w:r>
      <w:r>
        <w:rPr>
          <w:rFonts w:ascii="宋体" w:hAnsi="宋体"/>
          <w:szCs w:val="21"/>
        </w:rPr>
        <w:t xml:space="preserve">) </w:t>
      </w:r>
      <w:r>
        <w:rPr>
          <w:rFonts w:hint="eastAsia" w:ascii="宋体" w:hAnsi="宋体"/>
          <w:szCs w:val="21"/>
        </w:rPr>
        <w:t>应具有防转的连接件设计</w:t>
      </w:r>
      <w:r>
        <w:rPr>
          <w:rFonts w:ascii="宋体"/>
          <w:szCs w:val="21"/>
        </w:rPr>
        <w:t>,</w:t>
      </w:r>
      <w:r>
        <w:rPr>
          <w:rFonts w:hint="eastAsia" w:ascii="宋体" w:hAnsi="宋体"/>
          <w:szCs w:val="21"/>
        </w:rPr>
        <w:t>上下连接件优先使用不锈钢材料。</w:t>
      </w:r>
    </w:p>
    <w:p w14:paraId="2ABC1DE2">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9</w:t>
      </w:r>
      <w:r>
        <w:rPr>
          <w:rFonts w:ascii="宋体" w:hAnsi="宋体"/>
          <w:szCs w:val="21"/>
        </w:rPr>
        <w:t xml:space="preserve">) </w:t>
      </w:r>
      <w:r>
        <w:rPr>
          <w:rFonts w:hint="eastAsia" w:ascii="宋体" w:hAnsi="宋体"/>
          <w:szCs w:val="21"/>
        </w:rPr>
        <w:t>传感器应具有专业的防尘设计，防止散料、金属粉末侵入传感器支承处而影响计量精度，影响传感器的使用寿命。</w:t>
      </w:r>
    </w:p>
    <w:p w14:paraId="4E2E85A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w:t>
      </w:r>
      <w:r>
        <w:rPr>
          <w:rFonts w:hint="eastAsia" w:ascii="宋体" w:hAnsi="宋体"/>
          <w:szCs w:val="21"/>
        </w:rPr>
        <w:t>10</w:t>
      </w:r>
      <w:r>
        <w:rPr>
          <w:rFonts w:ascii="宋体" w:hAnsi="宋体"/>
          <w:szCs w:val="21"/>
        </w:rPr>
        <w:t xml:space="preserve">) </w:t>
      </w:r>
      <w:r>
        <w:rPr>
          <w:rFonts w:hint="eastAsia" w:ascii="宋体" w:hAnsi="宋体"/>
          <w:szCs w:val="21"/>
        </w:rPr>
        <w:t>传感器具有智能自诊断功能，可进行故障报警。</w:t>
      </w:r>
    </w:p>
    <w:p w14:paraId="06E06676">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szCs w:val="21"/>
        </w:rPr>
      </w:pPr>
      <w:r>
        <w:rPr>
          <w:rFonts w:ascii="宋体" w:hAnsi="宋体"/>
          <w:szCs w:val="21"/>
        </w:rPr>
        <w:t>(</w:t>
      </w:r>
      <w:r>
        <w:rPr>
          <w:rFonts w:hint="eastAsia" w:ascii="宋体" w:hAnsi="宋体"/>
          <w:szCs w:val="21"/>
        </w:rPr>
        <w:t>11</w:t>
      </w:r>
      <w:r>
        <w:rPr>
          <w:rFonts w:ascii="宋体" w:hAnsi="宋体"/>
          <w:szCs w:val="21"/>
        </w:rPr>
        <w:t xml:space="preserve">) </w:t>
      </w:r>
      <w:r>
        <w:rPr>
          <w:rFonts w:hint="eastAsia" w:ascii="宋体" w:hAnsi="宋体"/>
          <w:szCs w:val="21"/>
        </w:rPr>
        <w:t>具有可靠的防雷击性能。</w:t>
      </w:r>
    </w:p>
    <w:p w14:paraId="3300A395">
      <w:pPr>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color w:val="FF0000"/>
          <w:szCs w:val="21"/>
          <w:highlight w:val="none"/>
        </w:rPr>
      </w:pPr>
      <w:r>
        <w:rPr>
          <w:rFonts w:ascii="宋体" w:hAnsi="宋体"/>
          <w:b/>
          <w:bCs/>
          <w:color w:val="FF0000"/>
          <w:szCs w:val="21"/>
          <w:highlight w:val="none"/>
        </w:rPr>
        <w:t>(</w:t>
      </w:r>
      <w:r>
        <w:rPr>
          <w:rFonts w:hint="eastAsia" w:ascii="宋体" w:hAnsi="宋体"/>
          <w:color w:val="FF0000"/>
          <w:szCs w:val="21"/>
          <w:highlight w:val="none"/>
        </w:rPr>
        <w:t>★</w:t>
      </w:r>
      <w:r>
        <w:rPr>
          <w:rFonts w:hint="eastAsia" w:ascii="宋体" w:hAnsi="宋体"/>
          <w:b/>
          <w:bCs/>
          <w:color w:val="FF0000"/>
          <w:szCs w:val="21"/>
          <w:highlight w:val="none"/>
          <w:lang w:eastAsia="zh-CN"/>
        </w:rPr>
        <w:t>投标时须</w:t>
      </w:r>
      <w:r>
        <w:rPr>
          <w:rFonts w:hint="eastAsia" w:ascii="宋体" w:hAnsi="宋体"/>
          <w:b/>
          <w:bCs/>
          <w:color w:val="FF0000"/>
          <w:szCs w:val="21"/>
          <w:highlight w:val="none"/>
        </w:rPr>
        <w:t>提供有资质的第三方机构出具的认证</w:t>
      </w:r>
      <w:r>
        <w:rPr>
          <w:rFonts w:hint="eastAsia" w:ascii="宋体" w:hAnsi="宋体"/>
          <w:b/>
          <w:bCs/>
          <w:color w:val="FF0000"/>
          <w:szCs w:val="21"/>
          <w:highlight w:val="none"/>
          <w:lang w:eastAsia="zh-CN"/>
        </w:rPr>
        <w:t>证</w:t>
      </w:r>
      <w:r>
        <w:rPr>
          <w:rFonts w:hint="eastAsia" w:ascii="宋体" w:hAnsi="宋体"/>
          <w:b/>
          <w:bCs/>
          <w:color w:val="FF0000"/>
          <w:szCs w:val="21"/>
          <w:highlight w:val="none"/>
        </w:rPr>
        <w:t>书</w:t>
      </w:r>
      <w:r>
        <w:rPr>
          <w:rFonts w:hint="eastAsia" w:ascii="宋体" w:hAnsi="宋体"/>
          <w:b/>
          <w:bCs/>
          <w:color w:val="FF0000"/>
          <w:szCs w:val="21"/>
          <w:highlight w:val="none"/>
          <w:lang w:eastAsia="zh-CN"/>
        </w:rPr>
        <w:t>，未提供视为资格审查不通过</w:t>
      </w:r>
      <w:r>
        <w:rPr>
          <w:rFonts w:ascii="宋体" w:hAnsi="宋体"/>
          <w:b/>
          <w:bCs/>
          <w:color w:val="FF0000"/>
          <w:szCs w:val="21"/>
          <w:highlight w:val="none"/>
        </w:rPr>
        <w:t>)</w:t>
      </w:r>
      <w:r>
        <w:rPr>
          <w:rFonts w:hint="eastAsia" w:ascii="宋体" w:hAnsi="宋体"/>
          <w:color w:val="FF0000"/>
          <w:szCs w:val="21"/>
          <w:highlight w:val="none"/>
        </w:rPr>
        <w:t>。</w:t>
      </w:r>
    </w:p>
    <w:p w14:paraId="022635AD">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6.4 </w:t>
      </w:r>
      <w:r>
        <w:rPr>
          <w:rFonts w:hint="eastAsia" w:ascii="宋体" w:hAnsi="宋体"/>
          <w:szCs w:val="21"/>
        </w:rPr>
        <w:t>仪表系统</w:t>
      </w:r>
    </w:p>
    <w:p w14:paraId="7160E5BE">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(1) </w:t>
      </w:r>
      <w:r>
        <w:rPr>
          <w:rFonts w:hint="eastAsia" w:ascii="宋体" w:hAnsi="宋体"/>
          <w:szCs w:val="21"/>
        </w:rPr>
        <w:t>与传感器配套的数字式称重控制仪表要求选用与传感器同一品牌或在行业得到广泛应用的国内</w:t>
      </w:r>
      <w:r>
        <w:rPr>
          <w:rFonts w:hint="eastAsia" w:ascii="宋体" w:hAnsi="宋体"/>
          <w:szCs w:val="21"/>
          <w:lang w:val="en-US" w:eastAsia="zh-CN"/>
        </w:rPr>
        <w:t>外</w:t>
      </w:r>
      <w:r>
        <w:rPr>
          <w:rFonts w:hint="eastAsia" w:ascii="宋体" w:hAnsi="宋体"/>
          <w:szCs w:val="21"/>
        </w:rPr>
        <w:t>著名品牌产品，防护等级</w:t>
      </w:r>
      <w:r>
        <w:rPr>
          <w:rFonts w:ascii="宋体" w:hAnsi="宋体"/>
          <w:szCs w:val="21"/>
        </w:rPr>
        <w:t>IP65</w:t>
      </w:r>
      <w:r>
        <w:rPr>
          <w:rFonts w:hint="eastAsia" w:ascii="宋体" w:hAnsi="宋体"/>
          <w:szCs w:val="21"/>
        </w:rPr>
        <w:t>及以上，适合户外工作环境，能够满足系统对硬件的要求，同时满足海关系统对仪表接口软硬件方面所有要求。称重控制仪表具有长期内存断电保护功能。</w:t>
      </w:r>
    </w:p>
    <w:p w14:paraId="3F8A20D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(2) </w:t>
      </w:r>
      <w:r>
        <w:rPr>
          <w:rFonts w:hint="eastAsia" w:ascii="宋体" w:hAnsi="宋体"/>
          <w:szCs w:val="21"/>
        </w:rPr>
        <w:t>全中文显示操作界面，大屏幕高亮度点阵</w:t>
      </w:r>
      <w:r>
        <w:rPr>
          <w:rFonts w:ascii="宋体" w:hAnsi="宋体"/>
          <w:szCs w:val="21"/>
        </w:rPr>
        <w:t>LCD</w:t>
      </w:r>
      <w:r>
        <w:rPr>
          <w:rFonts w:hint="eastAsia" w:ascii="宋体" w:hAnsi="宋体"/>
          <w:szCs w:val="21"/>
        </w:rPr>
        <w:t>显示器，可显示的信息量大。。</w:t>
      </w:r>
    </w:p>
    <w:p w14:paraId="45716A28">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(3) </w:t>
      </w:r>
      <w:r>
        <w:rPr>
          <w:rFonts w:hint="eastAsia" w:ascii="宋体" w:hAnsi="宋体"/>
          <w:szCs w:val="21"/>
        </w:rPr>
        <w:t>基本称重功能：清零，去皮，清皮，毛重和净重状态自动零跟踪，数字滤波技术。</w:t>
      </w:r>
    </w:p>
    <w:p w14:paraId="35C27A3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(4) </w:t>
      </w:r>
      <w:r>
        <w:rPr>
          <w:rFonts w:hint="eastAsia" w:ascii="宋体" w:hAnsi="宋体"/>
          <w:szCs w:val="21"/>
        </w:rPr>
        <w:t>至少</w:t>
      </w:r>
      <w:r>
        <w:rPr>
          <w:rFonts w:ascii="宋体" w:hAnsi="宋体"/>
          <w:szCs w:val="21"/>
        </w:rPr>
        <w:t>2</w:t>
      </w:r>
      <w:r>
        <w:rPr>
          <w:rFonts w:hint="eastAsia" w:ascii="宋体" w:hAnsi="宋体"/>
          <w:szCs w:val="21"/>
        </w:rPr>
        <w:t>个串行口：</w:t>
      </w:r>
      <w:r>
        <w:rPr>
          <w:rFonts w:ascii="宋体" w:hAnsi="宋体"/>
          <w:szCs w:val="21"/>
        </w:rPr>
        <w:t>RS232 / RS485</w:t>
      </w:r>
      <w:r>
        <w:rPr>
          <w:rFonts w:hint="eastAsia" w:ascii="宋体" w:hAnsi="宋体"/>
          <w:szCs w:val="21"/>
        </w:rPr>
        <w:t>，可接电脑和大屏幕显示器；</w:t>
      </w:r>
    </w:p>
    <w:p w14:paraId="113B89F7">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(5) </w:t>
      </w:r>
      <w:r>
        <w:rPr>
          <w:rFonts w:hint="eastAsia" w:ascii="宋体" w:hAnsi="宋体"/>
          <w:szCs w:val="21"/>
        </w:rPr>
        <w:t>网络接口：以太网接口，用于联网和数据传输；</w:t>
      </w:r>
    </w:p>
    <w:p w14:paraId="51B9F324">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szCs w:val="21"/>
        </w:rPr>
      </w:pPr>
      <w:r>
        <w:rPr>
          <w:rFonts w:ascii="宋体" w:hAnsi="宋体"/>
          <w:szCs w:val="21"/>
        </w:rPr>
        <w:t xml:space="preserve">(6) </w:t>
      </w:r>
      <w:r>
        <w:rPr>
          <w:rFonts w:hint="eastAsia" w:ascii="宋体" w:hAnsi="宋体"/>
          <w:szCs w:val="21"/>
        </w:rPr>
        <w:t>数字传感器信号实时监测功能：防作弊；</w:t>
      </w:r>
    </w:p>
    <w:p w14:paraId="780B2F04">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仿宋" w:hAnsi="仿宋" w:eastAsia="仿宋" w:cs="仿宋"/>
          <w:b/>
          <w:bCs/>
          <w:color w:val="333333"/>
          <w:sz w:val="28"/>
          <w:szCs w:val="28"/>
          <w:shd w:val="clear" w:color="auto" w:fill="FFFFFF"/>
          <w:lang w:eastAsia="zh-CN"/>
        </w:rPr>
      </w:pPr>
      <w:r>
        <w:rPr>
          <w:rFonts w:hint="eastAsia" w:ascii="宋体" w:hAnsi="宋体"/>
          <w:szCs w:val="21"/>
        </w:rPr>
        <w:t>(7) 仪表自诊断功能：帮助用户快速发现故障。传感器外壳破裂及时报警；</w:t>
      </w:r>
    </w:p>
    <w:p w14:paraId="725E5153">
      <w:pPr>
        <w:rPr>
          <w:rFonts w:hint="eastAsia" w:ascii="仿宋" w:hAnsi="仿宋" w:eastAsia="仿宋" w:cs="仿宋"/>
          <w:color w:val="333333"/>
          <w:sz w:val="28"/>
          <w:szCs w:val="28"/>
          <w:shd w:val="clear" w:color="auto" w:fill="FFFFFF"/>
          <w:lang w:eastAsia="zh-CN"/>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3F6E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D64F1FB">
                          <w:pPr>
                            <w:pStyle w:val="1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pYU0AAAAAMBAAAPAAAAAAAAAAEAIAAAACIAAABkcnMvZG93bnJldi54bWxQSwEC&#10;FAAUAAAACACHTuJAnXWQvfwBAAAEBAAADgAAAAAAAAABACAAAAAfAQAAZHJzL2Uyb0RvYy54bWxQ&#10;SwUGAAAAAAYABgBZAQAAjQUAAAAA&#10;">
              <v:fill on="f" focussize="0,0"/>
              <v:stroke on="f"/>
              <v:imagedata o:title=""/>
              <o:lock v:ext="edit" aspectratio="f"/>
              <v:textbox inset="0mm,0mm,0mm,0mm" style="mso-fit-shape-to-text:t;">
                <w:txbxContent>
                  <w:p w14:paraId="5D64F1FB">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5NmJjYTRiYjVkYjczNGQ0ZWFlMjM1ZDdiNDg0ZjAifQ=="/>
  </w:docVars>
  <w:rsids>
    <w:rsidRoot w:val="009C41AC"/>
    <w:rsid w:val="00002124"/>
    <w:rsid w:val="00004C31"/>
    <w:rsid w:val="00017A8A"/>
    <w:rsid w:val="00020AC2"/>
    <w:rsid w:val="000234BC"/>
    <w:rsid w:val="000275A1"/>
    <w:rsid w:val="000276F4"/>
    <w:rsid w:val="00042F62"/>
    <w:rsid w:val="000819C0"/>
    <w:rsid w:val="00087B6A"/>
    <w:rsid w:val="000B73E8"/>
    <w:rsid w:val="000C4093"/>
    <w:rsid w:val="000D0613"/>
    <w:rsid w:val="001046B2"/>
    <w:rsid w:val="00113CD3"/>
    <w:rsid w:val="00116CEF"/>
    <w:rsid w:val="00121166"/>
    <w:rsid w:val="00125967"/>
    <w:rsid w:val="00137AB9"/>
    <w:rsid w:val="00150CCE"/>
    <w:rsid w:val="00196179"/>
    <w:rsid w:val="001B4F3F"/>
    <w:rsid w:val="001B76A8"/>
    <w:rsid w:val="001E1E18"/>
    <w:rsid w:val="001E3629"/>
    <w:rsid w:val="00210C17"/>
    <w:rsid w:val="002400F2"/>
    <w:rsid w:val="00242CE9"/>
    <w:rsid w:val="00243987"/>
    <w:rsid w:val="00243F98"/>
    <w:rsid w:val="00247CA2"/>
    <w:rsid w:val="00256121"/>
    <w:rsid w:val="0027355E"/>
    <w:rsid w:val="002A2B01"/>
    <w:rsid w:val="002A349A"/>
    <w:rsid w:val="002C7C0C"/>
    <w:rsid w:val="002E51E2"/>
    <w:rsid w:val="003027FC"/>
    <w:rsid w:val="00305A5D"/>
    <w:rsid w:val="003117FB"/>
    <w:rsid w:val="00313685"/>
    <w:rsid w:val="00317CF0"/>
    <w:rsid w:val="0032143E"/>
    <w:rsid w:val="00361F61"/>
    <w:rsid w:val="00362B49"/>
    <w:rsid w:val="0038361C"/>
    <w:rsid w:val="003A210E"/>
    <w:rsid w:val="003A4353"/>
    <w:rsid w:val="003C0A05"/>
    <w:rsid w:val="003C0FD1"/>
    <w:rsid w:val="003C1C7F"/>
    <w:rsid w:val="003C49F2"/>
    <w:rsid w:val="003D018F"/>
    <w:rsid w:val="003D4CAB"/>
    <w:rsid w:val="003F3000"/>
    <w:rsid w:val="004008C6"/>
    <w:rsid w:val="004036FE"/>
    <w:rsid w:val="00411728"/>
    <w:rsid w:val="00412F31"/>
    <w:rsid w:val="00425623"/>
    <w:rsid w:val="00430989"/>
    <w:rsid w:val="0043261F"/>
    <w:rsid w:val="004369A6"/>
    <w:rsid w:val="00456EC4"/>
    <w:rsid w:val="00461636"/>
    <w:rsid w:val="004620FE"/>
    <w:rsid w:val="004640C7"/>
    <w:rsid w:val="00473F29"/>
    <w:rsid w:val="00474A75"/>
    <w:rsid w:val="00480ADC"/>
    <w:rsid w:val="00486C62"/>
    <w:rsid w:val="00487E99"/>
    <w:rsid w:val="00494733"/>
    <w:rsid w:val="004A0A7A"/>
    <w:rsid w:val="004B2B3C"/>
    <w:rsid w:val="004F2DC4"/>
    <w:rsid w:val="004F6E7E"/>
    <w:rsid w:val="00506C58"/>
    <w:rsid w:val="0051019D"/>
    <w:rsid w:val="0052191B"/>
    <w:rsid w:val="00521BC5"/>
    <w:rsid w:val="00524F93"/>
    <w:rsid w:val="0052700E"/>
    <w:rsid w:val="005312A6"/>
    <w:rsid w:val="005322B4"/>
    <w:rsid w:val="00532AD4"/>
    <w:rsid w:val="00533523"/>
    <w:rsid w:val="0055244B"/>
    <w:rsid w:val="005525A2"/>
    <w:rsid w:val="005649E2"/>
    <w:rsid w:val="00577312"/>
    <w:rsid w:val="00580FA2"/>
    <w:rsid w:val="005905A2"/>
    <w:rsid w:val="005926D9"/>
    <w:rsid w:val="005946F4"/>
    <w:rsid w:val="005948D2"/>
    <w:rsid w:val="00595122"/>
    <w:rsid w:val="005A7E10"/>
    <w:rsid w:val="005B2071"/>
    <w:rsid w:val="005B28A9"/>
    <w:rsid w:val="005B7C3E"/>
    <w:rsid w:val="005B7E06"/>
    <w:rsid w:val="005C7FD9"/>
    <w:rsid w:val="005E1F38"/>
    <w:rsid w:val="00602869"/>
    <w:rsid w:val="00604CFD"/>
    <w:rsid w:val="00610449"/>
    <w:rsid w:val="00612E75"/>
    <w:rsid w:val="00637667"/>
    <w:rsid w:val="0064221F"/>
    <w:rsid w:val="006612F5"/>
    <w:rsid w:val="00674095"/>
    <w:rsid w:val="00675D22"/>
    <w:rsid w:val="00681D8A"/>
    <w:rsid w:val="006A0CD0"/>
    <w:rsid w:val="006A349D"/>
    <w:rsid w:val="006C622D"/>
    <w:rsid w:val="006D6F59"/>
    <w:rsid w:val="006E707D"/>
    <w:rsid w:val="006F2817"/>
    <w:rsid w:val="00725558"/>
    <w:rsid w:val="00726578"/>
    <w:rsid w:val="0074191F"/>
    <w:rsid w:val="007507DA"/>
    <w:rsid w:val="00751ABB"/>
    <w:rsid w:val="00756E48"/>
    <w:rsid w:val="0075783A"/>
    <w:rsid w:val="00760786"/>
    <w:rsid w:val="00771210"/>
    <w:rsid w:val="00790472"/>
    <w:rsid w:val="007A157D"/>
    <w:rsid w:val="007B21F0"/>
    <w:rsid w:val="007B6F8B"/>
    <w:rsid w:val="007C48E4"/>
    <w:rsid w:val="007C7F07"/>
    <w:rsid w:val="007D1769"/>
    <w:rsid w:val="007F34EE"/>
    <w:rsid w:val="00801BBC"/>
    <w:rsid w:val="008117F8"/>
    <w:rsid w:val="00816B40"/>
    <w:rsid w:val="00830BBF"/>
    <w:rsid w:val="00885FEA"/>
    <w:rsid w:val="008A7FAA"/>
    <w:rsid w:val="008B1CE8"/>
    <w:rsid w:val="008B5DA5"/>
    <w:rsid w:val="008C2A1B"/>
    <w:rsid w:val="008C7822"/>
    <w:rsid w:val="008D6BC0"/>
    <w:rsid w:val="008E22AE"/>
    <w:rsid w:val="008F215B"/>
    <w:rsid w:val="00903AF8"/>
    <w:rsid w:val="00903CC4"/>
    <w:rsid w:val="00914E17"/>
    <w:rsid w:val="00921705"/>
    <w:rsid w:val="009222EB"/>
    <w:rsid w:val="00922ABD"/>
    <w:rsid w:val="009533E3"/>
    <w:rsid w:val="0098355D"/>
    <w:rsid w:val="0098379A"/>
    <w:rsid w:val="0099178B"/>
    <w:rsid w:val="00995C23"/>
    <w:rsid w:val="009A1022"/>
    <w:rsid w:val="009A1D2A"/>
    <w:rsid w:val="009C0B5E"/>
    <w:rsid w:val="009C41AC"/>
    <w:rsid w:val="009D2BE1"/>
    <w:rsid w:val="009D3E59"/>
    <w:rsid w:val="009E13D4"/>
    <w:rsid w:val="009E6F61"/>
    <w:rsid w:val="00A1073D"/>
    <w:rsid w:val="00A30479"/>
    <w:rsid w:val="00A37962"/>
    <w:rsid w:val="00A45204"/>
    <w:rsid w:val="00A62F9F"/>
    <w:rsid w:val="00A8125C"/>
    <w:rsid w:val="00A81869"/>
    <w:rsid w:val="00A916AE"/>
    <w:rsid w:val="00A978C8"/>
    <w:rsid w:val="00AA51EA"/>
    <w:rsid w:val="00AB2CD4"/>
    <w:rsid w:val="00AB45E0"/>
    <w:rsid w:val="00AB67FC"/>
    <w:rsid w:val="00AC77C3"/>
    <w:rsid w:val="00AD0592"/>
    <w:rsid w:val="00B059A0"/>
    <w:rsid w:val="00B062A7"/>
    <w:rsid w:val="00B50058"/>
    <w:rsid w:val="00B97E10"/>
    <w:rsid w:val="00BB4719"/>
    <w:rsid w:val="00BC12D1"/>
    <w:rsid w:val="00BD1113"/>
    <w:rsid w:val="00BE5A2D"/>
    <w:rsid w:val="00BF3DA9"/>
    <w:rsid w:val="00C01D59"/>
    <w:rsid w:val="00C1147E"/>
    <w:rsid w:val="00C14022"/>
    <w:rsid w:val="00C31ED8"/>
    <w:rsid w:val="00C35A8A"/>
    <w:rsid w:val="00C530CA"/>
    <w:rsid w:val="00C56767"/>
    <w:rsid w:val="00C62F0D"/>
    <w:rsid w:val="00C7010B"/>
    <w:rsid w:val="00C94A37"/>
    <w:rsid w:val="00C9698C"/>
    <w:rsid w:val="00CD054B"/>
    <w:rsid w:val="00CD3009"/>
    <w:rsid w:val="00CE05A9"/>
    <w:rsid w:val="00CE2D1A"/>
    <w:rsid w:val="00CF3944"/>
    <w:rsid w:val="00D15A98"/>
    <w:rsid w:val="00D20953"/>
    <w:rsid w:val="00D37669"/>
    <w:rsid w:val="00D4467E"/>
    <w:rsid w:val="00D46874"/>
    <w:rsid w:val="00D54DED"/>
    <w:rsid w:val="00D82BBC"/>
    <w:rsid w:val="00D940DF"/>
    <w:rsid w:val="00D97579"/>
    <w:rsid w:val="00DA1D99"/>
    <w:rsid w:val="00DA538A"/>
    <w:rsid w:val="00DB142F"/>
    <w:rsid w:val="00DC095A"/>
    <w:rsid w:val="00DD6ACC"/>
    <w:rsid w:val="00DE5E8F"/>
    <w:rsid w:val="00DF310E"/>
    <w:rsid w:val="00E05078"/>
    <w:rsid w:val="00E16FB0"/>
    <w:rsid w:val="00E22236"/>
    <w:rsid w:val="00E237CA"/>
    <w:rsid w:val="00E37454"/>
    <w:rsid w:val="00E454A7"/>
    <w:rsid w:val="00E468DD"/>
    <w:rsid w:val="00E51049"/>
    <w:rsid w:val="00E53576"/>
    <w:rsid w:val="00E740F7"/>
    <w:rsid w:val="00E74387"/>
    <w:rsid w:val="00E75A9C"/>
    <w:rsid w:val="00E8400F"/>
    <w:rsid w:val="00EA41B0"/>
    <w:rsid w:val="00EB4270"/>
    <w:rsid w:val="00EC044D"/>
    <w:rsid w:val="00EE4D4D"/>
    <w:rsid w:val="00F24DD6"/>
    <w:rsid w:val="00F35EDA"/>
    <w:rsid w:val="00F45C2D"/>
    <w:rsid w:val="00F50548"/>
    <w:rsid w:val="00F52CAF"/>
    <w:rsid w:val="00F70D91"/>
    <w:rsid w:val="00F84AA8"/>
    <w:rsid w:val="00F86F6E"/>
    <w:rsid w:val="00FB1ECC"/>
    <w:rsid w:val="00FB487C"/>
    <w:rsid w:val="00FC6634"/>
    <w:rsid w:val="00FD4961"/>
    <w:rsid w:val="00FD7D78"/>
    <w:rsid w:val="00FF121A"/>
    <w:rsid w:val="00FF6F02"/>
    <w:rsid w:val="01063582"/>
    <w:rsid w:val="03123582"/>
    <w:rsid w:val="050F5940"/>
    <w:rsid w:val="05324361"/>
    <w:rsid w:val="056E4F45"/>
    <w:rsid w:val="056E6D78"/>
    <w:rsid w:val="05902010"/>
    <w:rsid w:val="066D63CF"/>
    <w:rsid w:val="0744760C"/>
    <w:rsid w:val="09202E95"/>
    <w:rsid w:val="0946032A"/>
    <w:rsid w:val="09F95BE7"/>
    <w:rsid w:val="0A503FC3"/>
    <w:rsid w:val="0AEA1712"/>
    <w:rsid w:val="0B8C0505"/>
    <w:rsid w:val="0BE12DB9"/>
    <w:rsid w:val="0F24069B"/>
    <w:rsid w:val="0F6A48A4"/>
    <w:rsid w:val="10B50490"/>
    <w:rsid w:val="1106616F"/>
    <w:rsid w:val="11252B50"/>
    <w:rsid w:val="117A36D6"/>
    <w:rsid w:val="11FD23E6"/>
    <w:rsid w:val="12364185"/>
    <w:rsid w:val="12624760"/>
    <w:rsid w:val="128C16D7"/>
    <w:rsid w:val="12D83BCF"/>
    <w:rsid w:val="13241FE2"/>
    <w:rsid w:val="138C4AC5"/>
    <w:rsid w:val="15317EAD"/>
    <w:rsid w:val="15352CF0"/>
    <w:rsid w:val="15AA19CF"/>
    <w:rsid w:val="162C6CCB"/>
    <w:rsid w:val="16366CEE"/>
    <w:rsid w:val="178B1FDA"/>
    <w:rsid w:val="18B42944"/>
    <w:rsid w:val="18C00FD9"/>
    <w:rsid w:val="18F241B5"/>
    <w:rsid w:val="197A3374"/>
    <w:rsid w:val="1BDC2DB7"/>
    <w:rsid w:val="1C3558F1"/>
    <w:rsid w:val="1CC30840"/>
    <w:rsid w:val="1DA26D6C"/>
    <w:rsid w:val="1E0C7743"/>
    <w:rsid w:val="1EC012EC"/>
    <w:rsid w:val="1F0C5F65"/>
    <w:rsid w:val="1FA01E7F"/>
    <w:rsid w:val="20A80054"/>
    <w:rsid w:val="221E19EC"/>
    <w:rsid w:val="2265761B"/>
    <w:rsid w:val="22686E74"/>
    <w:rsid w:val="22BD6263"/>
    <w:rsid w:val="25115226"/>
    <w:rsid w:val="254E1123"/>
    <w:rsid w:val="26A55C9F"/>
    <w:rsid w:val="27660CCA"/>
    <w:rsid w:val="27E57F4F"/>
    <w:rsid w:val="2858552C"/>
    <w:rsid w:val="29CE2DD2"/>
    <w:rsid w:val="29D8674D"/>
    <w:rsid w:val="2BB17A88"/>
    <w:rsid w:val="2C084BE8"/>
    <w:rsid w:val="2C2F3115"/>
    <w:rsid w:val="2C5919A9"/>
    <w:rsid w:val="2C615704"/>
    <w:rsid w:val="2D7F6C5E"/>
    <w:rsid w:val="2F0B492A"/>
    <w:rsid w:val="306A53C9"/>
    <w:rsid w:val="306E54CA"/>
    <w:rsid w:val="30B45169"/>
    <w:rsid w:val="32291D65"/>
    <w:rsid w:val="332D4C61"/>
    <w:rsid w:val="333E529B"/>
    <w:rsid w:val="337C5DF6"/>
    <w:rsid w:val="33A10CBE"/>
    <w:rsid w:val="340F284B"/>
    <w:rsid w:val="348F77DB"/>
    <w:rsid w:val="37B10785"/>
    <w:rsid w:val="38FD71B0"/>
    <w:rsid w:val="3A52568E"/>
    <w:rsid w:val="3A8A213E"/>
    <w:rsid w:val="3B6159A0"/>
    <w:rsid w:val="3C585833"/>
    <w:rsid w:val="3D3C66AD"/>
    <w:rsid w:val="3D521427"/>
    <w:rsid w:val="3E085010"/>
    <w:rsid w:val="3E69495B"/>
    <w:rsid w:val="3F3B522C"/>
    <w:rsid w:val="3F5550F9"/>
    <w:rsid w:val="3FD95FBC"/>
    <w:rsid w:val="40F66774"/>
    <w:rsid w:val="40FA31CC"/>
    <w:rsid w:val="412521B9"/>
    <w:rsid w:val="412F75E2"/>
    <w:rsid w:val="42584642"/>
    <w:rsid w:val="446217B4"/>
    <w:rsid w:val="44DA759D"/>
    <w:rsid w:val="45FC51ED"/>
    <w:rsid w:val="47AA579E"/>
    <w:rsid w:val="48121EE9"/>
    <w:rsid w:val="483A5A6F"/>
    <w:rsid w:val="4BF54138"/>
    <w:rsid w:val="4D176C10"/>
    <w:rsid w:val="4DAA395A"/>
    <w:rsid w:val="4DE17BEE"/>
    <w:rsid w:val="4F555B9A"/>
    <w:rsid w:val="50C03AEB"/>
    <w:rsid w:val="512545BC"/>
    <w:rsid w:val="51F15F26"/>
    <w:rsid w:val="52E9459B"/>
    <w:rsid w:val="54210E23"/>
    <w:rsid w:val="54E66480"/>
    <w:rsid w:val="553B01B8"/>
    <w:rsid w:val="555818F7"/>
    <w:rsid w:val="55934D11"/>
    <w:rsid w:val="562C552A"/>
    <w:rsid w:val="56463E38"/>
    <w:rsid w:val="57232B77"/>
    <w:rsid w:val="58935F89"/>
    <w:rsid w:val="5ACC76EF"/>
    <w:rsid w:val="5B09463D"/>
    <w:rsid w:val="5E30666F"/>
    <w:rsid w:val="5E4E4CEE"/>
    <w:rsid w:val="5EFC5AF2"/>
    <w:rsid w:val="5F532FE0"/>
    <w:rsid w:val="5F660E28"/>
    <w:rsid w:val="5FAF21C7"/>
    <w:rsid w:val="61984044"/>
    <w:rsid w:val="61DC7777"/>
    <w:rsid w:val="65084916"/>
    <w:rsid w:val="680E1C7E"/>
    <w:rsid w:val="687F43DB"/>
    <w:rsid w:val="68981D02"/>
    <w:rsid w:val="6921348C"/>
    <w:rsid w:val="692C6117"/>
    <w:rsid w:val="69E01741"/>
    <w:rsid w:val="69E21C37"/>
    <w:rsid w:val="6A35732F"/>
    <w:rsid w:val="6BBD4870"/>
    <w:rsid w:val="6C3B3A6D"/>
    <w:rsid w:val="6C7F3A6D"/>
    <w:rsid w:val="6D554A9B"/>
    <w:rsid w:val="6E6E1C1F"/>
    <w:rsid w:val="6FC83EC5"/>
    <w:rsid w:val="6FEE22F0"/>
    <w:rsid w:val="706E2011"/>
    <w:rsid w:val="707F6C14"/>
    <w:rsid w:val="71E004B1"/>
    <w:rsid w:val="71F81C57"/>
    <w:rsid w:val="733E3653"/>
    <w:rsid w:val="75ED3F0F"/>
    <w:rsid w:val="767B2838"/>
    <w:rsid w:val="77A00150"/>
    <w:rsid w:val="77B743D2"/>
    <w:rsid w:val="784368AB"/>
    <w:rsid w:val="789A1563"/>
    <w:rsid w:val="79F923CE"/>
    <w:rsid w:val="7A7C3B38"/>
    <w:rsid w:val="7ABB2379"/>
    <w:rsid w:val="7ACE4925"/>
    <w:rsid w:val="7B925CE5"/>
    <w:rsid w:val="7CEB0450"/>
    <w:rsid w:val="7E131F2D"/>
    <w:rsid w:val="7E8D6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jc w:val="left"/>
      <w:outlineLvl w:val="0"/>
    </w:pPr>
    <w:rPr>
      <w:rFonts w:hint="eastAsia" w:ascii="宋体" w:hAnsi="宋体" w:eastAsia="宋体" w:cs="Times New Roman"/>
      <w:kern w:val="44"/>
      <w:sz w:val="24"/>
    </w:rPr>
  </w:style>
  <w:style w:type="paragraph" w:styleId="6">
    <w:name w:val="heading 4"/>
    <w:basedOn w:val="1"/>
    <w:next w:val="1"/>
    <w:qFormat/>
    <w:uiPriority w:val="0"/>
    <w:pPr>
      <w:keepNext/>
      <w:adjustRightInd w:val="0"/>
      <w:spacing w:line="420" w:lineRule="atLeast"/>
      <w:ind w:firstLine="454"/>
      <w:jc w:val="center"/>
      <w:textAlignment w:val="baseline"/>
      <w:outlineLvl w:val="3"/>
    </w:pPr>
    <w:rPr>
      <w:i/>
      <w:kern w:val="0"/>
      <w:szCs w:val="2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7">
    <w:name w:val="Normal Indent"/>
    <w:basedOn w:val="1"/>
    <w:autoRedefine/>
    <w:qFormat/>
    <w:uiPriority w:val="0"/>
    <w:pPr>
      <w:adjustRightInd w:val="0"/>
      <w:ind w:firstLine="420"/>
      <w:jc w:val="left"/>
      <w:textAlignment w:val="baseline"/>
    </w:pPr>
    <w:rPr>
      <w:rFonts w:ascii="Calibri" w:hAnsi="Calibri" w:eastAsia="楷体_GB2312"/>
      <w:kern w:val="0"/>
      <w:sz w:val="24"/>
    </w:rPr>
  </w:style>
  <w:style w:type="paragraph" w:styleId="8">
    <w:name w:val="annotation text"/>
    <w:basedOn w:val="1"/>
    <w:link w:val="47"/>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2"/>
    <w:basedOn w:val="1"/>
    <w:qFormat/>
    <w:uiPriority w:val="0"/>
    <w:pPr>
      <w:spacing w:line="360" w:lineRule="exact"/>
      <w:ind w:firstLine="600" w:firstLineChars="250"/>
      <w:jc w:val="left"/>
    </w:pPr>
    <w:rPr>
      <w:sz w:val="24"/>
    </w:rPr>
  </w:style>
  <w:style w:type="paragraph" w:styleId="11">
    <w:name w:val="Balloon Text"/>
    <w:basedOn w:val="1"/>
    <w:link w:val="40"/>
    <w:autoRedefine/>
    <w:qFormat/>
    <w:uiPriority w:val="0"/>
    <w:rPr>
      <w:sz w:val="18"/>
      <w:szCs w:val="18"/>
    </w:rPr>
  </w:style>
  <w:style w:type="paragraph" w:styleId="12">
    <w:name w:val="footer"/>
    <w:basedOn w:val="1"/>
    <w:link w:val="37"/>
    <w:autoRedefine/>
    <w:qFormat/>
    <w:uiPriority w:val="0"/>
    <w:pPr>
      <w:tabs>
        <w:tab w:val="center" w:pos="4153"/>
        <w:tab w:val="right" w:pos="8306"/>
      </w:tabs>
      <w:snapToGrid w:val="0"/>
      <w:jc w:val="left"/>
    </w:pPr>
    <w:rPr>
      <w:sz w:val="18"/>
      <w:szCs w:val="18"/>
    </w:rPr>
  </w:style>
  <w:style w:type="paragraph" w:styleId="13">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pPr>
      <w:jc w:val="left"/>
    </w:pPr>
    <w:rPr>
      <w:rFonts w:cs="Times New Roman"/>
      <w:kern w:val="0"/>
      <w:sz w:val="24"/>
    </w:rPr>
  </w:style>
  <w:style w:type="paragraph" w:styleId="15">
    <w:name w:val="annotation subject"/>
    <w:basedOn w:val="8"/>
    <w:next w:val="8"/>
    <w:link w:val="48"/>
    <w:autoRedefine/>
    <w:qFormat/>
    <w:uiPriority w:val="0"/>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style>
  <w:style w:type="character" w:styleId="20">
    <w:name w:val="FollowedHyperlink"/>
    <w:basedOn w:val="18"/>
    <w:autoRedefine/>
    <w:qFormat/>
    <w:uiPriority w:val="0"/>
    <w:rPr>
      <w:color w:val="800080"/>
      <w:u w:val="none"/>
    </w:rPr>
  </w:style>
  <w:style w:type="character" w:styleId="21">
    <w:name w:val="Emphasis"/>
    <w:basedOn w:val="18"/>
    <w:autoRedefine/>
    <w:qFormat/>
    <w:uiPriority w:val="20"/>
  </w:style>
  <w:style w:type="character" w:styleId="22">
    <w:name w:val="HTML Definition"/>
    <w:basedOn w:val="18"/>
    <w:autoRedefine/>
    <w:qFormat/>
    <w:uiPriority w:val="0"/>
  </w:style>
  <w:style w:type="character" w:styleId="23">
    <w:name w:val="HTML Typewriter"/>
    <w:basedOn w:val="18"/>
    <w:autoRedefine/>
    <w:qFormat/>
    <w:uiPriority w:val="0"/>
    <w:rPr>
      <w:rFonts w:hint="default" w:ascii="monospace" w:hAnsi="monospace" w:eastAsia="monospace" w:cs="monospace"/>
      <w:sz w:val="20"/>
    </w:rPr>
  </w:style>
  <w:style w:type="character" w:styleId="24">
    <w:name w:val="HTML Acronym"/>
    <w:basedOn w:val="18"/>
    <w:autoRedefine/>
    <w:qFormat/>
    <w:uiPriority w:val="0"/>
  </w:style>
  <w:style w:type="character" w:styleId="25">
    <w:name w:val="HTML Variable"/>
    <w:basedOn w:val="18"/>
    <w:autoRedefine/>
    <w:qFormat/>
    <w:uiPriority w:val="0"/>
  </w:style>
  <w:style w:type="character" w:styleId="26">
    <w:name w:val="Hyperlink"/>
    <w:basedOn w:val="18"/>
    <w:autoRedefine/>
    <w:qFormat/>
    <w:uiPriority w:val="0"/>
    <w:rPr>
      <w:color w:val="0000FF"/>
      <w:u w:val="none"/>
    </w:rPr>
  </w:style>
  <w:style w:type="character" w:styleId="27">
    <w:name w:val="HTML Code"/>
    <w:basedOn w:val="18"/>
    <w:autoRedefine/>
    <w:qFormat/>
    <w:uiPriority w:val="0"/>
    <w:rPr>
      <w:rFonts w:ascii="monospace" w:hAnsi="monospace" w:eastAsia="monospace" w:cs="monospace"/>
      <w:sz w:val="20"/>
    </w:rPr>
  </w:style>
  <w:style w:type="character" w:styleId="28">
    <w:name w:val="annotation reference"/>
    <w:basedOn w:val="18"/>
    <w:autoRedefine/>
    <w:qFormat/>
    <w:uiPriority w:val="0"/>
    <w:rPr>
      <w:sz w:val="21"/>
      <w:szCs w:val="21"/>
    </w:rPr>
  </w:style>
  <w:style w:type="character" w:styleId="29">
    <w:name w:val="HTML Cite"/>
    <w:basedOn w:val="18"/>
    <w:autoRedefine/>
    <w:qFormat/>
    <w:uiPriority w:val="0"/>
  </w:style>
  <w:style w:type="character" w:styleId="30">
    <w:name w:val="HTML Keyboard"/>
    <w:basedOn w:val="18"/>
    <w:autoRedefine/>
    <w:qFormat/>
    <w:uiPriority w:val="0"/>
    <w:rPr>
      <w:rFonts w:hint="default" w:ascii="monospace" w:hAnsi="monospace" w:eastAsia="monospace" w:cs="monospace"/>
      <w:sz w:val="20"/>
    </w:rPr>
  </w:style>
  <w:style w:type="character" w:styleId="31">
    <w:name w:val="HTML Sample"/>
    <w:basedOn w:val="18"/>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4">
    <w:name w:val="info-sources"/>
    <w:basedOn w:val="1"/>
    <w:autoRedefine/>
    <w:qFormat/>
    <w:uiPriority w:val="0"/>
    <w:pPr>
      <w:spacing w:before="150" w:line="270" w:lineRule="atLeast"/>
      <w:jc w:val="center"/>
    </w:pPr>
    <w:rPr>
      <w:rFonts w:cs="Times New Roman"/>
      <w:color w:val="999999"/>
      <w:kern w:val="0"/>
    </w:rPr>
  </w:style>
  <w:style w:type="paragraph" w:styleId="35">
    <w:name w:val="List Paragraph"/>
    <w:basedOn w:val="1"/>
    <w:autoRedefine/>
    <w:qFormat/>
    <w:uiPriority w:val="0"/>
    <w:pPr>
      <w:ind w:firstLine="420" w:firstLineChars="200"/>
    </w:pPr>
    <w:rPr>
      <w:rFonts w:ascii="Calibri" w:hAnsi="Calibri"/>
      <w:szCs w:val="22"/>
    </w:rPr>
  </w:style>
  <w:style w:type="character" w:customStyle="1" w:styleId="36">
    <w:name w:val="页眉 字符"/>
    <w:basedOn w:val="18"/>
    <w:link w:val="13"/>
    <w:autoRedefine/>
    <w:qFormat/>
    <w:uiPriority w:val="0"/>
    <w:rPr>
      <w:kern w:val="2"/>
      <w:sz w:val="18"/>
      <w:szCs w:val="18"/>
    </w:rPr>
  </w:style>
  <w:style w:type="character" w:customStyle="1" w:styleId="37">
    <w:name w:val="页脚 字符"/>
    <w:basedOn w:val="18"/>
    <w:link w:val="12"/>
    <w:autoRedefine/>
    <w:qFormat/>
    <w:uiPriority w:val="0"/>
    <w:rPr>
      <w:kern w:val="2"/>
      <w:sz w:val="18"/>
      <w:szCs w:val="18"/>
    </w:rPr>
  </w:style>
  <w:style w:type="paragraph" w:customStyle="1" w:styleId="38">
    <w:name w:val="样式5"/>
    <w:basedOn w:val="1"/>
    <w:autoRedefine/>
    <w:qFormat/>
    <w:uiPriority w:val="0"/>
    <w:rPr>
      <w:rFonts w:ascii="宋体" w:hAnsi="Times New Roman" w:eastAsia="宋体" w:cs="宋体"/>
      <w:sz w:val="24"/>
    </w:rPr>
  </w:style>
  <w:style w:type="paragraph" w:customStyle="1" w:styleId="39">
    <w:name w:val="正文缩进2格"/>
    <w:basedOn w:val="1"/>
    <w:autoRedefine/>
    <w:qFormat/>
    <w:uiPriority w:val="0"/>
    <w:pPr>
      <w:spacing w:line="600" w:lineRule="exact"/>
      <w:ind w:firstLine="639" w:firstLineChars="206"/>
    </w:pPr>
    <w:rPr>
      <w:rFonts w:ascii="仿宋_GB2312" w:hAnsi="宋体" w:eastAsia="仿宋_GB2312" w:cs="Times New Roman"/>
      <w:sz w:val="31"/>
      <w:szCs w:val="28"/>
    </w:rPr>
  </w:style>
  <w:style w:type="character" w:customStyle="1" w:styleId="40">
    <w:name w:val="批注框文本 字符"/>
    <w:basedOn w:val="18"/>
    <w:link w:val="11"/>
    <w:autoRedefine/>
    <w:qFormat/>
    <w:uiPriority w:val="0"/>
    <w:rPr>
      <w:rFonts w:asciiTheme="minorHAnsi" w:hAnsiTheme="minorHAnsi" w:eastAsiaTheme="minorEastAsia" w:cstheme="minorBidi"/>
      <w:kern w:val="2"/>
      <w:sz w:val="18"/>
      <w:szCs w:val="18"/>
    </w:rPr>
  </w:style>
  <w:style w:type="character" w:customStyle="1" w:styleId="41">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42">
    <w:name w:val="BodyText"/>
    <w:basedOn w:val="1"/>
    <w:next w:val="1"/>
    <w:autoRedefine/>
    <w:qFormat/>
    <w:uiPriority w:val="0"/>
    <w:pPr>
      <w:spacing w:after="120"/>
      <w:textAlignment w:val="baseline"/>
    </w:pPr>
  </w:style>
  <w:style w:type="character" w:customStyle="1" w:styleId="43">
    <w:name w:val="font31"/>
    <w:basedOn w:val="18"/>
    <w:autoRedefine/>
    <w:qFormat/>
    <w:uiPriority w:val="0"/>
    <w:rPr>
      <w:rFonts w:hint="eastAsia" w:ascii="宋体" w:hAnsi="宋体" w:eastAsia="宋体" w:cs="宋体"/>
      <w:b/>
      <w:bCs/>
      <w:color w:val="000000"/>
      <w:sz w:val="22"/>
      <w:szCs w:val="22"/>
      <w:u w:val="none"/>
    </w:rPr>
  </w:style>
  <w:style w:type="character" w:customStyle="1" w:styleId="44">
    <w:name w:val="font21"/>
    <w:basedOn w:val="18"/>
    <w:autoRedefine/>
    <w:qFormat/>
    <w:uiPriority w:val="0"/>
    <w:rPr>
      <w:rFonts w:ascii="宋体" w:hAnsi="宋体" w:eastAsia="宋体" w:cs="宋体"/>
      <w:b/>
      <w:bCs/>
      <w:color w:val="000000"/>
      <w:sz w:val="22"/>
      <w:szCs w:val="22"/>
      <w:u w:val="none"/>
    </w:rPr>
  </w:style>
  <w:style w:type="character" w:customStyle="1" w:styleId="45">
    <w:name w:val="font01"/>
    <w:basedOn w:val="18"/>
    <w:autoRedefine/>
    <w:qFormat/>
    <w:uiPriority w:val="0"/>
    <w:rPr>
      <w:rFonts w:ascii="宋体" w:hAnsi="宋体" w:eastAsia="宋体" w:cs="宋体"/>
      <w:b/>
      <w:bCs/>
      <w:color w:val="000000"/>
      <w:sz w:val="22"/>
      <w:szCs w:val="22"/>
      <w:u w:val="none"/>
    </w:rPr>
  </w:style>
  <w:style w:type="paragraph" w:customStyle="1" w:styleId="46">
    <w:name w:val="正文_0_0"/>
    <w:basedOn w:val="1"/>
    <w:autoRedefine/>
    <w:qFormat/>
    <w:uiPriority w:val="0"/>
    <w:rPr>
      <w:rFonts w:ascii="Times New Roman" w:hAnsi="Times New Roman" w:eastAsia="宋体" w:cs="Times New Roman"/>
    </w:rPr>
  </w:style>
  <w:style w:type="character" w:customStyle="1" w:styleId="47">
    <w:name w:val="批注文字 字符"/>
    <w:basedOn w:val="18"/>
    <w:link w:val="8"/>
    <w:autoRedefine/>
    <w:qFormat/>
    <w:uiPriority w:val="0"/>
    <w:rPr>
      <w:rFonts w:asciiTheme="minorHAnsi" w:hAnsiTheme="minorHAnsi" w:eastAsiaTheme="minorEastAsia" w:cstheme="minorBidi"/>
      <w:kern w:val="2"/>
      <w:sz w:val="21"/>
      <w:szCs w:val="24"/>
    </w:rPr>
  </w:style>
  <w:style w:type="character" w:customStyle="1" w:styleId="48">
    <w:name w:val="批注主题 字符"/>
    <w:basedOn w:val="47"/>
    <w:link w:val="15"/>
    <w:autoRedefine/>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FC343-9944-40A7-B546-56212F2170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8166</Words>
  <Characters>8713</Characters>
  <Lines>42</Lines>
  <Paragraphs>11</Paragraphs>
  <TotalTime>3</TotalTime>
  <ScaleCrop>false</ScaleCrop>
  <LinksUpToDate>false</LinksUpToDate>
  <CharactersWithSpaces>9542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2023-10-23T08:06:00Z</dcterms:created>
  <dc:creator>Administrator</dc:creator>
  <cp:lastModifiedBy>qzuser</cp:lastModifiedBy>
  <cp:lastPrinted>2020-11-24T07:47:00Z</cp:lastPrinted>
  <dcterms:modified xsi:type="dcterms:W3CDTF">2025-05-20T01:59:14Z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F61ABBA8066249DC9BCBBEC8A504E252</vt:lpwstr>
  </property>
  <property fmtid="{D5CDD505-2E9C-101B-9397-08002B2CF9AE}" pid="4" name="KSOTemplateDocerSaveRecord">
    <vt:lpwstr>eyJoZGlkIjoiZjI5NmJjYTRiYjVkYjczNGQ0ZWFlMjM1ZDdiNDg0ZjAiLCJ1c2VySWQiOiIzMTA2NTMwNjIifQ==</vt:lpwstr>
  </property>
</Properties>
</file>