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91" w:rsidRDefault="00737F91" w:rsidP="00737F91">
      <w:pPr>
        <w:spacing w:line="500" w:lineRule="exact"/>
        <w:outlineLvl w:val="1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</w:t>
      </w:r>
      <w:r>
        <w:rPr>
          <w:rFonts w:ascii="宋体" w:hAnsi="宋体" w:cs="宋体" w:hint="eastAsia"/>
          <w:bCs/>
          <w:sz w:val="28"/>
          <w:szCs w:val="28"/>
        </w:rPr>
        <w:t>：</w:t>
      </w:r>
    </w:p>
    <w:p w:rsidR="00737F91" w:rsidRDefault="00737F91" w:rsidP="00737F91">
      <w:pPr>
        <w:spacing w:line="500" w:lineRule="exact"/>
        <w:jc w:val="center"/>
        <w:outlineLvl w:val="1"/>
        <w:rPr>
          <w:rFonts w:ascii="宋体" w:hAnsi="宋体" w:cs="宋体" w:hint="eastAsia"/>
          <w:b/>
          <w:bCs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2"/>
          <w:szCs w:val="32"/>
        </w:rPr>
        <w:t>开  标 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一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 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览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  表</w:t>
      </w:r>
    </w:p>
    <w:bookmarkEnd w:id="0"/>
    <w:p w:rsidR="00737F91" w:rsidRDefault="00737F91" w:rsidP="00737F91">
      <w:pPr>
        <w:spacing w:line="500" w:lineRule="exact"/>
        <w:jc w:val="center"/>
        <w:outlineLvl w:val="1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2026年度启东市住宅专项维修资金存款银行管理服务项目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2070"/>
        <w:gridCol w:w="2100"/>
        <w:gridCol w:w="1392"/>
        <w:gridCol w:w="2772"/>
        <w:gridCol w:w="1365"/>
      </w:tblGrid>
      <w:tr w:rsidR="00737F91" w:rsidTr="009C7782">
        <w:trPr>
          <w:cantSplit/>
          <w:trHeight w:val="538"/>
          <w:jc w:val="center"/>
        </w:trPr>
        <w:tc>
          <w:tcPr>
            <w:tcW w:w="951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207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类别</w:t>
            </w:r>
          </w:p>
        </w:tc>
        <w:tc>
          <w:tcPr>
            <w:tcW w:w="210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基准利率浮动基点</w:t>
            </w:r>
          </w:p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(BP)</w:t>
            </w:r>
          </w:p>
        </w:tc>
        <w:tc>
          <w:tcPr>
            <w:tcW w:w="139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投标利率</w:t>
            </w:r>
          </w:p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(%)</w:t>
            </w:r>
          </w:p>
        </w:tc>
        <w:tc>
          <w:tcPr>
            <w:tcW w:w="277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服务质量要求</w:t>
            </w:r>
          </w:p>
        </w:tc>
        <w:tc>
          <w:tcPr>
            <w:tcW w:w="1365" w:type="dxa"/>
            <w:noWrap/>
            <w:vAlign w:val="center"/>
          </w:tcPr>
          <w:p w:rsidR="00737F91" w:rsidRDefault="00737F91" w:rsidP="009C7782">
            <w:pPr>
              <w:adjustRightInd w:val="0"/>
              <w:spacing w:before="100" w:beforeAutospacing="1" w:after="100" w:afterAutospacing="1" w:line="48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Courier New" w:hint="eastAsia"/>
                <w:spacing w:val="10"/>
                <w:kern w:val="0"/>
                <w:sz w:val="24"/>
              </w:rPr>
              <w:t>服务期限</w:t>
            </w:r>
          </w:p>
        </w:tc>
      </w:tr>
      <w:tr w:rsidR="00737F91" w:rsidTr="009C7782">
        <w:trPr>
          <w:cantSplit/>
          <w:trHeight w:val="1086"/>
          <w:jc w:val="center"/>
        </w:trPr>
        <w:tc>
          <w:tcPr>
            <w:tcW w:w="951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207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00" w:firstLine="240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Courier New" w:hint="eastAsia"/>
                <w:sz w:val="24"/>
              </w:rPr>
              <w:t>三</w:t>
            </w:r>
            <w:r>
              <w:rPr>
                <w:rFonts w:ascii="宋体" w:hAnsi="Courier New" w:hint="eastAsia"/>
                <w:b/>
                <w:bCs/>
                <w:sz w:val="24"/>
              </w:rPr>
              <w:t>年期</w:t>
            </w:r>
            <w:r>
              <w:rPr>
                <w:rFonts w:ascii="宋体" w:hAnsi="Courier New" w:hint="eastAsia"/>
                <w:sz w:val="24"/>
              </w:rPr>
              <w:t>定期存款</w:t>
            </w:r>
          </w:p>
        </w:tc>
        <w:tc>
          <w:tcPr>
            <w:tcW w:w="210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139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277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满足招标文件及双方签订合同约定的标准</w:t>
            </w:r>
          </w:p>
        </w:tc>
        <w:tc>
          <w:tcPr>
            <w:tcW w:w="1365" w:type="dxa"/>
            <w:noWrap/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自中标之日起3年内 </w:t>
            </w:r>
          </w:p>
        </w:tc>
      </w:tr>
      <w:tr w:rsidR="00737F91" w:rsidTr="009C7782">
        <w:trPr>
          <w:cantSplit/>
          <w:trHeight w:val="1086"/>
          <w:jc w:val="center"/>
        </w:trPr>
        <w:tc>
          <w:tcPr>
            <w:tcW w:w="951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07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00" w:firstLine="241"/>
              <w:jc w:val="center"/>
              <w:textAlignment w:val="baseline"/>
              <w:rPr>
                <w:rFonts w:ascii="宋体" w:hAnsi="Courier New" w:hint="eastAsia"/>
                <w:sz w:val="24"/>
              </w:rPr>
            </w:pPr>
            <w:r>
              <w:rPr>
                <w:rFonts w:ascii="宋体" w:hAnsi="Courier New" w:hint="eastAsia"/>
                <w:b/>
                <w:bCs/>
                <w:sz w:val="24"/>
              </w:rPr>
              <w:t>二年期</w:t>
            </w:r>
            <w:r>
              <w:rPr>
                <w:rFonts w:ascii="宋体" w:hAnsi="Courier New" w:hint="eastAsia"/>
                <w:sz w:val="24"/>
              </w:rPr>
              <w:t>定期存款</w:t>
            </w:r>
          </w:p>
        </w:tc>
        <w:tc>
          <w:tcPr>
            <w:tcW w:w="210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139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277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满足招标文件及双方签订合同约定的标准</w:t>
            </w:r>
          </w:p>
        </w:tc>
        <w:tc>
          <w:tcPr>
            <w:tcW w:w="1365" w:type="dxa"/>
            <w:noWrap/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自中标之日起3年内 </w:t>
            </w:r>
          </w:p>
        </w:tc>
      </w:tr>
      <w:tr w:rsidR="00737F91" w:rsidTr="009C7782">
        <w:trPr>
          <w:cantSplit/>
          <w:trHeight w:val="1086"/>
          <w:jc w:val="center"/>
        </w:trPr>
        <w:tc>
          <w:tcPr>
            <w:tcW w:w="951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207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00" w:firstLine="240"/>
              <w:jc w:val="center"/>
              <w:textAlignment w:val="baseline"/>
              <w:rPr>
                <w:rFonts w:ascii="宋体" w:hAnsi="Courier New" w:hint="eastAsia"/>
                <w:sz w:val="24"/>
              </w:rPr>
            </w:pPr>
            <w:r>
              <w:rPr>
                <w:rFonts w:ascii="宋体" w:hAnsi="Courier New" w:hint="eastAsia"/>
                <w:sz w:val="24"/>
              </w:rPr>
              <w:t>一</w:t>
            </w:r>
            <w:r>
              <w:rPr>
                <w:rFonts w:ascii="宋体" w:hAnsi="Courier New" w:hint="eastAsia"/>
                <w:b/>
                <w:bCs/>
                <w:sz w:val="24"/>
              </w:rPr>
              <w:t>年期</w:t>
            </w:r>
            <w:r>
              <w:rPr>
                <w:rFonts w:ascii="宋体" w:hAnsi="Courier New" w:hint="eastAsia"/>
                <w:sz w:val="24"/>
              </w:rPr>
              <w:t>定期存款</w:t>
            </w:r>
          </w:p>
        </w:tc>
        <w:tc>
          <w:tcPr>
            <w:tcW w:w="210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139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277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满足招标文件及双方签订合同约定的标准</w:t>
            </w:r>
          </w:p>
        </w:tc>
        <w:tc>
          <w:tcPr>
            <w:tcW w:w="1365" w:type="dxa"/>
            <w:noWrap/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自中标之日起3年内  </w:t>
            </w:r>
          </w:p>
        </w:tc>
      </w:tr>
      <w:tr w:rsidR="00737F91" w:rsidTr="009C7782">
        <w:trPr>
          <w:cantSplit/>
          <w:trHeight w:val="1086"/>
          <w:jc w:val="center"/>
        </w:trPr>
        <w:tc>
          <w:tcPr>
            <w:tcW w:w="951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207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00" w:firstLine="241"/>
              <w:jc w:val="center"/>
              <w:textAlignment w:val="baseline"/>
              <w:rPr>
                <w:rFonts w:ascii="宋体" w:hAnsi="Courier New" w:hint="eastAsia"/>
                <w:sz w:val="24"/>
              </w:rPr>
            </w:pPr>
            <w:r>
              <w:rPr>
                <w:rFonts w:ascii="宋体" w:hAnsi="Courier New" w:hint="eastAsia"/>
                <w:b/>
                <w:bCs/>
                <w:sz w:val="24"/>
              </w:rPr>
              <w:t>六个月</w:t>
            </w:r>
            <w:r>
              <w:rPr>
                <w:rFonts w:ascii="宋体" w:hAnsi="Courier New" w:hint="eastAsia"/>
                <w:sz w:val="24"/>
              </w:rPr>
              <w:t>定期存款</w:t>
            </w:r>
          </w:p>
        </w:tc>
        <w:tc>
          <w:tcPr>
            <w:tcW w:w="210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139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277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满足招标文件及双方签订合同约定的标准</w:t>
            </w:r>
          </w:p>
        </w:tc>
        <w:tc>
          <w:tcPr>
            <w:tcW w:w="1365" w:type="dxa"/>
            <w:noWrap/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自中标之日起3年内 </w:t>
            </w:r>
          </w:p>
        </w:tc>
      </w:tr>
      <w:tr w:rsidR="00737F91" w:rsidTr="009C7782">
        <w:trPr>
          <w:cantSplit/>
          <w:trHeight w:val="1086"/>
          <w:jc w:val="center"/>
        </w:trPr>
        <w:tc>
          <w:tcPr>
            <w:tcW w:w="951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207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00" w:firstLine="241"/>
              <w:jc w:val="center"/>
              <w:textAlignment w:val="baseline"/>
              <w:rPr>
                <w:rFonts w:ascii="宋体" w:hAnsi="Courier New" w:hint="eastAsia"/>
                <w:sz w:val="24"/>
              </w:rPr>
            </w:pPr>
            <w:r>
              <w:rPr>
                <w:rFonts w:ascii="宋体" w:hAnsi="Courier New" w:hint="eastAsia"/>
                <w:b/>
                <w:bCs/>
                <w:sz w:val="24"/>
              </w:rPr>
              <w:t>三个月</w:t>
            </w:r>
            <w:r>
              <w:rPr>
                <w:rFonts w:ascii="宋体" w:hAnsi="Courier New" w:hint="eastAsia"/>
                <w:sz w:val="24"/>
              </w:rPr>
              <w:t>定期存款</w:t>
            </w:r>
          </w:p>
        </w:tc>
        <w:tc>
          <w:tcPr>
            <w:tcW w:w="2100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139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ind w:firstLineChars="150" w:firstLine="360"/>
              <w:textAlignment w:val="baseline"/>
              <w:rPr>
                <w:rFonts w:ascii="宋体" w:hAnsi="Courier New"/>
                <w:sz w:val="24"/>
              </w:rPr>
            </w:pPr>
          </w:p>
        </w:tc>
        <w:tc>
          <w:tcPr>
            <w:tcW w:w="2772" w:type="dxa"/>
            <w:noWrap/>
            <w:tcMar>
              <w:left w:w="28" w:type="dxa"/>
              <w:right w:w="28" w:type="dxa"/>
            </w:tcMar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满足招标文件及双方签订合同约定的标准</w:t>
            </w:r>
          </w:p>
        </w:tc>
        <w:tc>
          <w:tcPr>
            <w:tcW w:w="1365" w:type="dxa"/>
            <w:noWrap/>
            <w:vAlign w:val="center"/>
          </w:tcPr>
          <w:p w:rsidR="00737F91" w:rsidRDefault="00737F91" w:rsidP="009C7782">
            <w:pPr>
              <w:adjustRightInd w:val="0"/>
              <w:spacing w:line="480" w:lineRule="exact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自中标之日起3年内 </w:t>
            </w:r>
          </w:p>
        </w:tc>
      </w:tr>
    </w:tbl>
    <w:p w:rsidR="00737F91" w:rsidRDefault="00737F91" w:rsidP="00737F91">
      <w:pPr>
        <w:adjustRightInd w:val="0"/>
        <w:snapToGrid w:val="0"/>
        <w:jc w:val="left"/>
        <w:rPr>
          <w:rFonts w:ascii="宋体" w:hAnsi="宋体" w:cs="宋体"/>
          <w:bCs/>
          <w:i/>
          <w:iCs/>
          <w:sz w:val="28"/>
          <w:szCs w:val="28"/>
          <w:u w:val="single"/>
        </w:rPr>
      </w:pPr>
      <w:r>
        <w:rPr>
          <w:rFonts w:ascii="宋体" w:hAnsi="宋体" w:cs="宋体" w:hint="eastAsia"/>
          <w:bCs/>
          <w:i/>
          <w:iCs/>
          <w:sz w:val="28"/>
          <w:szCs w:val="28"/>
          <w:u w:val="single"/>
        </w:rPr>
        <w:t>本报表须机打并加盖报价单位公章，</w:t>
      </w:r>
      <w:proofErr w:type="gramStart"/>
      <w:r>
        <w:rPr>
          <w:rFonts w:ascii="宋体" w:hAnsi="宋体" w:cs="宋体" w:hint="eastAsia"/>
          <w:bCs/>
          <w:i/>
          <w:iCs/>
          <w:sz w:val="28"/>
          <w:szCs w:val="28"/>
          <w:u w:val="single"/>
        </w:rPr>
        <w:t>手填无效</w:t>
      </w:r>
      <w:proofErr w:type="gramEnd"/>
      <w:r>
        <w:rPr>
          <w:rFonts w:ascii="宋体" w:hAnsi="宋体" w:cs="宋体" w:hint="eastAsia"/>
          <w:bCs/>
          <w:i/>
          <w:iCs/>
          <w:sz w:val="28"/>
          <w:szCs w:val="28"/>
          <w:u w:val="single"/>
        </w:rPr>
        <w:t>。</w:t>
      </w:r>
    </w:p>
    <w:p w:rsidR="00737F91" w:rsidRDefault="00737F91" w:rsidP="00737F91">
      <w:pPr>
        <w:snapToGrid w:val="0"/>
        <w:spacing w:line="400" w:lineRule="exact"/>
        <w:ind w:firstLineChars="192" w:firstLine="540"/>
        <w:contextualSpacing/>
        <w:rPr>
          <w:rFonts w:ascii="宋体" w:hAnsi="宋体" w:cs="宋体"/>
          <w:b/>
          <w:kern w:val="0"/>
          <w:sz w:val="28"/>
          <w:szCs w:val="28"/>
        </w:rPr>
      </w:pPr>
    </w:p>
    <w:p w:rsidR="00737F91" w:rsidRDefault="00737F91" w:rsidP="00737F91">
      <w:pPr>
        <w:pStyle w:val="a0"/>
        <w:rPr>
          <w:rFonts w:ascii="宋体" w:hAnsi="宋体" w:cs="宋体"/>
          <w:b/>
          <w:sz w:val="28"/>
          <w:szCs w:val="28"/>
        </w:rPr>
      </w:pPr>
    </w:p>
    <w:p w:rsidR="00737F91" w:rsidRDefault="00737F91" w:rsidP="00737F91"/>
    <w:p w:rsidR="00737F91" w:rsidRDefault="00737F91" w:rsidP="00737F91">
      <w:pPr>
        <w:tabs>
          <w:tab w:val="left" w:pos="0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供应商名称（全称并加盖公章）：</w:t>
      </w:r>
    </w:p>
    <w:p w:rsidR="00737F91" w:rsidRDefault="00737F91" w:rsidP="00737F91">
      <w:pPr>
        <w:tabs>
          <w:tab w:val="left" w:pos="0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法定代表人（单位负责人）或被授权人（签字或盖章）：                  </w:t>
      </w:r>
    </w:p>
    <w:p w:rsidR="00737F91" w:rsidRDefault="00737F91" w:rsidP="00737F91">
      <w:pPr>
        <w:tabs>
          <w:tab w:val="left" w:pos="0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联系电话：</w:t>
      </w:r>
    </w:p>
    <w:p w:rsidR="00737F91" w:rsidRDefault="00737F91" w:rsidP="00737F91">
      <w:pPr>
        <w:tabs>
          <w:tab w:val="left" w:pos="0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日期： 年  月  日</w:t>
      </w:r>
    </w:p>
    <w:p w:rsidR="00737F91" w:rsidRDefault="00737F91" w:rsidP="00737F91">
      <w:pPr>
        <w:pStyle w:val="a0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</w:p>
    <w:p w:rsidR="00BC4C73" w:rsidRPr="00737F91" w:rsidRDefault="00BC4C73"/>
    <w:sectPr w:rsidR="00BC4C73" w:rsidRPr="00737F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91"/>
    <w:rsid w:val="00737F91"/>
    <w:rsid w:val="00B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7F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737F91"/>
    <w:rPr>
      <w:rFonts w:ascii="仿宋_GB2312" w:eastAsia="仿宋_GB2312"/>
      <w:kern w:val="0"/>
      <w:sz w:val="24"/>
      <w:szCs w:val="20"/>
    </w:rPr>
  </w:style>
  <w:style w:type="character" w:customStyle="1" w:styleId="Char">
    <w:name w:val="正文文本 Char"/>
    <w:basedOn w:val="a1"/>
    <w:link w:val="a0"/>
    <w:rsid w:val="00737F91"/>
    <w:rPr>
      <w:rFonts w:ascii="仿宋_GB2312" w:eastAsia="仿宋_GB2312" w:hAnsi="Calibri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7F9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737F91"/>
    <w:rPr>
      <w:rFonts w:ascii="仿宋_GB2312" w:eastAsia="仿宋_GB2312"/>
      <w:kern w:val="0"/>
      <w:sz w:val="24"/>
      <w:szCs w:val="20"/>
    </w:rPr>
  </w:style>
  <w:style w:type="character" w:customStyle="1" w:styleId="Char">
    <w:name w:val="正文文本 Char"/>
    <w:basedOn w:val="a1"/>
    <w:link w:val="a0"/>
    <w:rsid w:val="00737F91"/>
    <w:rPr>
      <w:rFonts w:ascii="仿宋_GB2312" w:eastAsia="仿宋_GB2312" w:hAnsi="Calibri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2026-02-13T08:10:00Z</dcterms:created>
  <dcterms:modified xsi:type="dcterms:W3CDTF">2026-02-13T08:11:00Z</dcterms:modified>
</cp:coreProperties>
</file>