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6" w:space="1"/>
        </w:pBdr>
        <w:rPr>
          <w:rFonts w:hint="eastAsia" w:ascii="仿宋_GB2312" w:eastAsia="仿宋_GB2312"/>
          <w:bCs/>
          <w:sz w:val="32"/>
          <w:szCs w:val="32"/>
        </w:rPr>
      </w:pPr>
    </w:p>
    <w:p>
      <w:pPr>
        <w:pBdr>
          <w:bottom w:val="single" w:color="auto" w:sz="6" w:space="1"/>
        </w:pBdr>
        <w:jc w:val="center"/>
        <w:rPr>
          <w:rFonts w:hint="eastAsia" w:ascii="仿宋_GB2312" w:eastAsia="仿宋_GB2312"/>
          <w:b/>
          <w:bCs w:val="0"/>
          <w:sz w:val="52"/>
          <w:szCs w:val="52"/>
          <w:lang w:eastAsia="zh-CN"/>
        </w:rPr>
      </w:pPr>
      <w:r>
        <w:rPr>
          <w:rFonts w:hint="eastAsia" w:ascii="黑体" w:hAnsi="黑体" w:eastAsia="黑体" w:cs="黑体"/>
          <w:b/>
          <w:bCs w:val="0"/>
          <w:sz w:val="52"/>
          <w:szCs w:val="52"/>
          <w:lang w:eastAsia="zh-CN"/>
        </w:rPr>
        <w:t>启东市住房和城乡建设局文件</w:t>
      </w:r>
    </w:p>
    <w:p>
      <w:pPr>
        <w:pBdr>
          <w:bottom w:val="single" w:color="auto" w:sz="6" w:space="1"/>
        </w:pBdr>
        <w:rPr>
          <w:rFonts w:hint="eastAsia" w:ascii="仿宋_GB2312" w:eastAsia="仿宋_GB2312"/>
          <w:bCs/>
          <w:sz w:val="32"/>
          <w:szCs w:val="32"/>
        </w:rPr>
      </w:pPr>
    </w:p>
    <w:p>
      <w:pPr>
        <w:pBdr>
          <w:bottom w:val="single" w:color="auto" w:sz="6" w:space="1"/>
        </w:pBdr>
        <w:rPr>
          <w:rFonts w:hint="eastAsia" w:ascii="仿宋_GB2312" w:eastAsia="仿宋_GB2312"/>
          <w:bCs/>
          <w:sz w:val="32"/>
          <w:szCs w:val="32"/>
        </w:rPr>
      </w:pPr>
    </w:p>
    <w:p>
      <w:pPr>
        <w:pBdr>
          <w:bottom w:val="single" w:color="auto" w:sz="6" w:space="1"/>
        </w:pBdr>
        <w:ind w:firstLine="320" w:firstLineChars="100"/>
        <w:rPr>
          <w:rFonts w:hint="eastAsia" w:ascii="仿宋_GB2312" w:eastAsia="仿宋_GB2312"/>
          <w:bCs/>
          <w:sz w:val="32"/>
          <w:szCs w:val="32"/>
          <w:lang w:eastAsia="zh-CN"/>
        </w:rPr>
      </w:pPr>
      <w:r>
        <w:rPr>
          <w:rFonts w:hint="eastAsia" w:ascii="仿宋_GB2312" w:eastAsia="仿宋_GB2312"/>
          <w:bCs/>
          <w:sz w:val="32"/>
          <w:szCs w:val="32"/>
          <w:lang w:eastAsia="zh-CN"/>
        </w:rPr>
        <w:t>启住建</w:t>
      </w:r>
      <w:r>
        <w:rPr>
          <w:rFonts w:hint="eastAsia" w:ascii="仿宋_GB2312" w:eastAsia="仿宋_GB2312"/>
          <w:bCs/>
          <w:sz w:val="32"/>
          <w:szCs w:val="32"/>
        </w:rPr>
        <w:t>[201</w:t>
      </w:r>
      <w:r>
        <w:rPr>
          <w:rFonts w:hint="eastAsia" w:ascii="仿宋_GB2312" w:eastAsia="仿宋_GB2312"/>
          <w:bCs/>
          <w:sz w:val="32"/>
          <w:szCs w:val="32"/>
          <w:lang w:val="en-US" w:eastAsia="zh-CN"/>
        </w:rPr>
        <w:t>9</w:t>
      </w:r>
      <w:r>
        <w:rPr>
          <w:rFonts w:hint="eastAsia" w:ascii="仿宋_GB2312" w:eastAsia="仿宋_GB2312"/>
          <w:bCs/>
          <w:sz w:val="32"/>
          <w:szCs w:val="32"/>
        </w:rPr>
        <w:t>]</w:t>
      </w:r>
      <w:r>
        <w:rPr>
          <w:rFonts w:hint="eastAsia" w:ascii="仿宋_GB2312" w:eastAsia="仿宋_GB2312"/>
          <w:bCs/>
          <w:sz w:val="32"/>
          <w:szCs w:val="32"/>
          <w:lang w:val="en-US" w:eastAsia="zh-CN"/>
        </w:rPr>
        <w:t>92</w:t>
      </w:r>
      <w:r>
        <w:rPr>
          <w:rFonts w:hint="eastAsia" w:ascii="仿宋_GB2312" w:eastAsia="仿宋_GB2312"/>
          <w:bCs/>
          <w:sz w:val="32"/>
          <w:szCs w:val="32"/>
        </w:rPr>
        <w:t xml:space="preserve">号                     </w:t>
      </w:r>
      <w:r>
        <w:rPr>
          <w:rFonts w:hint="eastAsia" w:ascii="仿宋_GB2312" w:eastAsia="仿宋_GB2312"/>
          <w:bCs/>
          <w:sz w:val="32"/>
          <w:szCs w:val="32"/>
          <w:lang w:val="en-US" w:eastAsia="zh-CN"/>
        </w:rPr>
        <w:t xml:space="preserve"> </w:t>
      </w:r>
      <w:bookmarkStart w:id="0" w:name="_GoBack"/>
      <w:bookmarkEnd w:id="0"/>
      <w:r>
        <w:rPr>
          <w:rFonts w:hint="eastAsia" w:ascii="仿宋_GB2312" w:eastAsia="仿宋_GB2312"/>
          <w:bCs/>
          <w:sz w:val="32"/>
          <w:szCs w:val="32"/>
        </w:rPr>
        <w:t>签发人：</w:t>
      </w:r>
      <w:r>
        <w:rPr>
          <w:rFonts w:hint="eastAsia" w:ascii="仿宋_GB2312" w:eastAsia="仿宋_GB2312"/>
          <w:bCs/>
          <w:sz w:val="32"/>
          <w:szCs w:val="32"/>
          <w:lang w:eastAsia="zh-CN"/>
        </w:rPr>
        <w:t>朱海荣</w:t>
      </w:r>
    </w:p>
    <w:p>
      <w:pPr>
        <w:ind w:firstLine="660"/>
        <w:jc w:val="center"/>
        <w:rPr>
          <w:rFonts w:hint="eastAsia" w:ascii="黑体" w:eastAsia="黑体"/>
          <w:b/>
          <w:szCs w:val="32"/>
        </w:rPr>
      </w:pPr>
    </w:p>
    <w:p>
      <w:pPr>
        <w:jc w:val="both"/>
        <w:rPr>
          <w:rFonts w:hint="eastAsia" w:ascii="黑体" w:eastAsia="黑体"/>
          <w:b/>
          <w:sz w:val="48"/>
          <w:szCs w:val="48"/>
          <w:lang w:eastAsia="zh-CN"/>
        </w:rPr>
      </w:pPr>
    </w:p>
    <w:p>
      <w:pPr>
        <w:ind w:firstLine="1928" w:firstLineChars="400"/>
        <w:jc w:val="both"/>
        <w:rPr>
          <w:rFonts w:hint="eastAsia" w:ascii="黑体" w:eastAsia="黑体"/>
          <w:b/>
          <w:sz w:val="48"/>
          <w:szCs w:val="48"/>
          <w:lang w:eastAsia="zh-CN"/>
        </w:rPr>
      </w:pPr>
      <w:r>
        <w:rPr>
          <w:rFonts w:hint="eastAsia" w:ascii="黑体" w:eastAsia="黑体"/>
          <w:b/>
          <w:sz w:val="48"/>
          <w:szCs w:val="48"/>
          <w:lang w:eastAsia="zh-CN"/>
        </w:rPr>
        <w:t>启东市住房和城乡建设局</w:t>
      </w:r>
    </w:p>
    <w:p>
      <w:pPr>
        <w:ind w:left="2394" w:leftChars="1140" w:firstLine="482" w:firstLineChars="100"/>
        <w:jc w:val="both"/>
        <w:rPr>
          <w:rFonts w:hint="eastAsia" w:ascii="黑体" w:eastAsia="黑体"/>
          <w:b/>
          <w:sz w:val="48"/>
          <w:szCs w:val="48"/>
        </w:rPr>
      </w:pPr>
      <w:r>
        <w:rPr>
          <w:rFonts w:hint="eastAsia" w:ascii="黑体" w:eastAsia="黑体"/>
          <w:b/>
          <w:sz w:val="48"/>
          <w:szCs w:val="48"/>
          <w:lang w:eastAsia="zh-CN"/>
        </w:rPr>
        <w:t>法治政府建设</w:t>
      </w:r>
      <w:r>
        <w:rPr>
          <w:rFonts w:hint="eastAsia" w:ascii="黑体" w:eastAsia="黑体"/>
          <w:b/>
          <w:sz w:val="48"/>
          <w:szCs w:val="48"/>
        </w:rPr>
        <w:t>报告</w:t>
      </w:r>
    </w:p>
    <w:p>
      <w:pPr>
        <w:ind w:firstLine="660"/>
        <w:jc w:val="center"/>
        <w:rPr>
          <w:rFonts w:hint="default" w:ascii="黑体" w:eastAsia="黑体"/>
          <w:b/>
          <w:sz w:val="48"/>
          <w:szCs w:val="48"/>
          <w:lang w:val="en-US" w:eastAsia="zh-CN"/>
        </w:rPr>
      </w:pPr>
      <w:r>
        <w:rPr>
          <w:rFonts w:hint="eastAsia" w:ascii="楷体" w:hAnsi="楷体" w:eastAsia="楷体" w:cs="楷体"/>
          <w:b/>
          <w:sz w:val="28"/>
          <w:szCs w:val="28"/>
          <w:lang w:val="en-US" w:eastAsia="zh-CN"/>
        </w:rPr>
        <w:t>(2019年半年度）</w:t>
      </w:r>
    </w:p>
    <w:p>
      <w:pPr>
        <w:jc w:val="left"/>
        <w:rPr>
          <w:rFonts w:hint="eastAsia" w:ascii="仿宋_GB2312" w:eastAsia="仿宋_GB2312"/>
          <w:bCs/>
          <w:sz w:val="32"/>
          <w:szCs w:val="32"/>
        </w:rPr>
      </w:pPr>
      <w:r>
        <w:rPr>
          <w:rFonts w:hint="eastAsia" w:ascii="仿宋_GB2312" w:eastAsia="仿宋_GB2312"/>
          <w:bCs/>
          <w:sz w:val="32"/>
          <w:szCs w:val="32"/>
        </w:rPr>
        <w:t>启东市人民政府：</w:t>
      </w:r>
    </w:p>
    <w:p>
      <w:pPr>
        <w:ind w:firstLine="640"/>
        <w:jc w:val="left"/>
        <w:rPr>
          <w:rFonts w:hint="eastAsia" w:ascii="仿宋_GB2312" w:hAnsi="Tahoma" w:eastAsia="仿宋_GB2312" w:cs="仿宋_GB2312"/>
          <w:i w:val="0"/>
          <w:caps w:val="0"/>
          <w:color w:val="000000"/>
          <w:spacing w:val="0"/>
          <w:kern w:val="0"/>
          <w:sz w:val="32"/>
          <w:szCs w:val="32"/>
          <w:u w:val="none"/>
          <w:shd w:val="clear" w:fill="FFFFFF"/>
          <w:lang w:val="en-US" w:eastAsia="zh-CN" w:bidi="ar"/>
        </w:rPr>
      </w:pPr>
      <w:r>
        <w:rPr>
          <w:rFonts w:hint="default" w:ascii="仿宋_GB2312" w:hAnsi="Tahoma" w:eastAsia="仿宋_GB2312" w:cs="仿宋_GB2312"/>
          <w:i w:val="0"/>
          <w:caps w:val="0"/>
          <w:color w:val="000000"/>
          <w:spacing w:val="0"/>
          <w:kern w:val="0"/>
          <w:sz w:val="32"/>
          <w:szCs w:val="32"/>
          <w:u w:val="none"/>
          <w:shd w:val="clear" w:fill="FFFFFF"/>
          <w:lang w:val="en-US" w:eastAsia="zh-CN" w:bidi="ar"/>
        </w:rPr>
        <w:t>201</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9</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年，</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启东市住建局紧紧围绕市委市政府关于法治政府建设的总体部署和工作要求，</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全面落实依法行政、法治政府创建工作的各项目标任务，着力提高住建工作依法管理水平，严格做到有法必依、执法必严、违法必究，维护法律权威，有力地促进了</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市</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住建各项工作的顺利完成，现将我局依法行政、法治政府创建工作开展情况汇报如下</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w:t>
      </w:r>
    </w:p>
    <w:p>
      <w:pPr>
        <w:numPr>
          <w:ilvl w:val="0"/>
          <w:numId w:val="1"/>
        </w:numPr>
        <w:ind w:firstLine="640"/>
        <w:jc w:val="left"/>
        <w:rPr>
          <w:rFonts w:hint="eastAsia"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加快完善依法行政制度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0"/>
        <w:jc w:val="both"/>
        <w:rPr>
          <w:rFonts w:hint="default"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 xml:space="preserve"> 2019年上半年我局根据</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法治政府建设年度工作计划，定期召开</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了</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专题研究依法行政、法治政府建设工作会议，确保依法行政、法治政府建设工作顺利开展。同时，建立健全领导负责制，加强工作的组织领导，形成“主要领导亲自抓，</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分</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管领导具体负责，一级抓一级、层层抓落实”的工作机制，将依法行政、法治政府建设工作落到实处。</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leftChars="0" w:right="0" w:firstLine="640" w:firstLineChars="0"/>
        <w:jc w:val="both"/>
        <w:rPr>
          <w:rFonts w:hint="eastAsia"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规范行政执法工作</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640" w:leftChars="0" w:right="0" w:rightChars="0"/>
        <w:jc w:val="both"/>
        <w:rPr>
          <w:rFonts w:hint="eastAsia"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做好规范性文件的审查和清理。2019年上半年我局</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right="0" w:rightChars="0"/>
        <w:jc w:val="both"/>
        <w:rPr>
          <w:rFonts w:hint="default"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印发了《经济适用房上市交易管理办法》和《启东市既有多层住宅增设电梯指导意见》（试行），</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严格遵守</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了</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规范性文件的制定程序和备案审查制度。</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与此同时我局</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定期开展规范性文件清理工作</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，对涉及产权保护，涉及招标投标、地方保护、涉及公平竞争等行政规范性文件开展专项清理</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，按要求提报清理目录和清理报告，确保无遗漏。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right="0" w:rightChars="0" w:firstLine="640" w:firstLineChars="200"/>
        <w:jc w:val="both"/>
        <w:rPr>
          <w:rFonts w:hint="default" w:ascii="仿宋_GB2312" w:hAnsi="Times New Roman" w:eastAsia="仿宋_GB2312" w:cs="仿宋_GB2312"/>
          <w:b w:val="0"/>
          <w:i w:val="0"/>
          <w:caps w:val="0"/>
          <w:color w:val="3D3D3D"/>
          <w:spacing w:val="0"/>
          <w:sz w:val="31"/>
          <w:szCs w:val="31"/>
          <w:shd w:val="clear" w:fill="FFFFFF"/>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（二）</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落实重大行政决策程序制度</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明确公众参与、专家论</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right="0" w:rightChars="0"/>
        <w:jc w:val="both"/>
        <w:rPr>
          <w:rFonts w:hint="default" w:ascii="仿宋_GB2312" w:hAnsi="Tahoma" w:eastAsia="仿宋_GB2312" w:cs="仿宋_GB2312"/>
          <w:i w:val="0"/>
          <w:caps w:val="0"/>
          <w:color w:val="000000"/>
          <w:spacing w:val="0"/>
          <w:kern w:val="0"/>
          <w:sz w:val="32"/>
          <w:szCs w:val="32"/>
          <w:u w:val="none"/>
          <w:shd w:val="clear" w:fill="FFFFFF"/>
          <w:lang w:val="en-US" w:eastAsia="zh-CN" w:bidi="ar"/>
        </w:rPr>
      </w:pPr>
      <w:r>
        <w:rPr>
          <w:rFonts w:hint="default" w:ascii="仿宋_GB2312" w:hAnsi="Tahoma" w:eastAsia="仿宋_GB2312" w:cs="仿宋_GB2312"/>
          <w:i w:val="0"/>
          <w:caps w:val="0"/>
          <w:color w:val="000000"/>
          <w:spacing w:val="0"/>
          <w:kern w:val="0"/>
          <w:sz w:val="32"/>
          <w:szCs w:val="32"/>
          <w:u w:val="none"/>
          <w:shd w:val="clear" w:fill="FFFFFF"/>
          <w:lang w:val="en-US" w:eastAsia="zh-CN" w:bidi="ar"/>
        </w:rPr>
        <w:t>证、风险评估、合法性审查和集体讨论决定等法定程序，不断完善公众参与机制，实行重大决策预公开制度</w:t>
      </w:r>
      <w:r>
        <w:rPr>
          <w:rFonts w:hint="default" w:ascii="仿宋_GB2312" w:hAnsi="Times New Roman" w:eastAsia="仿宋_GB2312" w:cs="仿宋_GB2312"/>
          <w:b w:val="0"/>
          <w:i w:val="0"/>
          <w:caps w:val="0"/>
          <w:color w:val="3D3D3D"/>
          <w:spacing w:val="0"/>
          <w:sz w:val="31"/>
          <w:szCs w:val="31"/>
          <w:shd w:val="clear" w:fill="FFFFFF"/>
        </w:rPr>
        <w:t>，</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切实加强了对权力运行的制约和监督，把权力关进制度的笼子里，形成不敢腐的惩戒机制、不能腐的防范机制、不易腐的保障机制。</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0" w:leftChars="0" w:right="0" w:rightChars="0"/>
        <w:jc w:val="left"/>
        <w:rPr>
          <w:rFonts w:hint="eastAsia" w:ascii="仿宋_GB2312" w:hAnsi="Times New Roman" w:eastAsia="仿宋_GB2312" w:cs="仿宋_GB2312"/>
          <w:b w:val="0"/>
          <w:i w:val="0"/>
          <w:caps w:val="0"/>
          <w:color w:val="3D3D3D"/>
          <w:spacing w:val="0"/>
          <w:sz w:val="31"/>
          <w:szCs w:val="31"/>
          <w:shd w:val="clear" w:fill="FFFFFF"/>
          <w:lang w:val="en-US" w:eastAsia="zh-CN"/>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（三）有效规范行政执法程序。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20" w:firstLineChars="200"/>
        <w:jc w:val="left"/>
        <w:rPr>
          <w:rFonts w:hint="default"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imes New Roman" w:eastAsia="仿宋_GB2312" w:cs="仿宋_GB2312"/>
          <w:b w:val="0"/>
          <w:i w:val="0"/>
          <w:caps w:val="0"/>
          <w:color w:val="3D3D3D"/>
          <w:spacing w:val="0"/>
          <w:sz w:val="31"/>
          <w:szCs w:val="31"/>
          <w:shd w:val="clear" w:fill="FFFFFF"/>
          <w:lang w:val="en-US" w:eastAsia="zh-CN"/>
        </w:rPr>
        <w:t>1.</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落实执法人员持证上岗和资格管理制度。定期</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组织行</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政</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_GB2312" w:hAnsi="Tahoma" w:eastAsia="仿宋_GB2312" w:cs="仿宋_GB2312"/>
          <w:i w:val="0"/>
          <w:caps w:val="0"/>
          <w:color w:val="000000"/>
          <w:spacing w:val="0"/>
          <w:kern w:val="0"/>
          <w:sz w:val="32"/>
          <w:szCs w:val="32"/>
          <w:u w:val="none"/>
          <w:shd w:val="clear" w:fill="FFFFFF"/>
          <w:lang w:val="en-US" w:eastAsia="zh-CN" w:bidi="ar"/>
        </w:rPr>
      </w:pPr>
      <w:r>
        <w:rPr>
          <w:rFonts w:hint="default" w:ascii="仿宋_GB2312" w:hAnsi="Tahoma" w:eastAsia="仿宋_GB2312" w:cs="仿宋_GB2312"/>
          <w:i w:val="0"/>
          <w:caps w:val="0"/>
          <w:color w:val="000000"/>
          <w:spacing w:val="0"/>
          <w:kern w:val="0"/>
          <w:sz w:val="32"/>
          <w:szCs w:val="32"/>
          <w:u w:val="none"/>
          <w:shd w:val="clear" w:fill="FFFFFF"/>
          <w:lang w:val="en-US" w:eastAsia="zh-CN" w:bidi="ar"/>
        </w:rPr>
        <w:t>执法人员</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进行</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法律知识培训、考试，确保行政执法资格考试通过率达到</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100%。在执法过程中，严格按照规定由2名以上行政执法人员到场，并做到持证上岗，通过文明执法、公正执法，树立执法机关良好形象。</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20" w:leftChars="0" w:right="0" w:rightChars="0"/>
        <w:jc w:val="left"/>
        <w:rPr>
          <w:rFonts w:hint="eastAsia"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2.依法开展监督检查工作。我局通过定期、不定期检查以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left"/>
        <w:rPr>
          <w:rFonts w:hint="eastAsia"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及群众举报相结合的模式，积极开展在建房屋质量安全、市政公用行业、房地产企业等一系列监督检查工作，对检查中发现的问题签发整改单，对问题较多企业进行通报批评，督促其整改落实到位。</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left"/>
        <w:rPr>
          <w:rFonts w:hint="default"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3.全面推行行政执法三项制度。我局积极推进行政执法公示制度、执法全过程记录制度、重大执法决定法制审核制度，确保企业、群众的权益将得到更加有力的保障，获取相关执法信息更加便捷、执法过程中更有安全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3"/>
        <w:jc w:val="both"/>
        <w:rPr>
          <w:rFonts w:hint="default"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（四）</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认真做好行政复议、行政应诉工作。</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今年我局在诉行政诉讼案件一共有7个，其中一个因为当事人死亡，案件终结，行政复议案件一共有两个，一个是当事人主动撤回，另一个进入了行政诉讼程序当事人主动撤诉。2019年度我局积极主动地</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配合行政复议机关做好行政复议工作，认真履行行政复议决定和行政复议建议书、意见书，严格履行行政机关负责人出庭应诉职责，出庭应诉率达到100%。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firstLine="420"/>
        <w:jc w:val="left"/>
        <w:rPr>
          <w:rFonts w:hint="default"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（五）</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健全建设领域矛盾纠纷多元化解机制。紧紧围绕当前安全生产形势严峻、工程建设领域矛盾突发、城中村改造过程中历史遗留问题突出等热点难点问题，充分运用法治思维和法治方式解决问题矛盾</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加强</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法制</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工作人</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的</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员法律教育培训</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，使其能够</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及时收集分析矛盾纠纷信息，加强群体性、突发性事件预警监测</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强化依法应对和处置群体性事件机制和能力。加强和改进信访工作</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把住建系统信访纳入法治化轨道，进一步规范信访工作程序，</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2019年我局通过设立的信访接待室有效化解群众纠纷，</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保障</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群众</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合理合法诉求</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得到</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有效解决。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3"/>
        <w:jc w:val="both"/>
        <w:rPr>
          <w:rFonts w:hint="eastAsia"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（六）做好行政权力事项调整工作。由于机构合并，我局的权利事项发生了变动，2019年上半年我局就相关权利事项调整工作与规划、城管、地震等部门做好衔接，并根据新的三定方案进行了权力清单的梳理。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3"/>
        <w:jc w:val="both"/>
        <w:rPr>
          <w:rFonts w:hint="eastAsia"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七）做好信息发布和政策解读工作。充分发挥互联网优势，通过政府门户网站、政府信息公开网站、微信公众号等多种网络平台，及时、有效地发布建设动态信息，多角度、多领域依法依规开展政务公开工作，实行“阳光行政”。积极建设房屋交易、住房保障等专户网站，及时公布新建楼盘预售信息和最新住房成交情况。通过优化网络平台功能，丰富信息公开内容，便于群众第一时间了解掌握最新动态。另外，我局共收到政府信息依申请公开64件，均在20个工作日内依法依规答复办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3"/>
        <w:jc w:val="both"/>
        <w:rPr>
          <w:rFonts w:hint="eastAsia"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三、开展行政普法工作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2"/>
        <w:jc w:val="both"/>
        <w:rPr>
          <w:rFonts w:hint="default"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（一）</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完善了领导干部带头学法用法制度</w:t>
      </w:r>
      <w:r>
        <w:rPr>
          <w:rFonts w:hint="eastAsia" w:ascii="仿宋_GB2312" w:hAnsi="Tahoma" w:eastAsia="仿宋_GB2312" w:cs="仿宋_GB2312"/>
          <w:i w:val="0"/>
          <w:caps w:val="0"/>
          <w:color w:val="000000"/>
          <w:spacing w:val="0"/>
          <w:kern w:val="0"/>
          <w:sz w:val="32"/>
          <w:szCs w:val="32"/>
          <w:u w:val="none"/>
          <w:shd w:val="clear" w:fill="FFFFFF"/>
          <w:lang w:val="en-US" w:eastAsia="zh-CN" w:bidi="ar"/>
        </w:rPr>
        <w:t>。</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把法治教育纳入干部教育培训总体规划，在组织的各类业务培训中融入法治教育内容。不断加强干部职工法治修养，提高依法行政能力，养成尊法学法守法用法良好习惯，努力营造办事依法、遇事找法、解决问题用法、化解矛盾靠法的良好法治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2"/>
        <w:jc w:val="both"/>
        <w:rPr>
          <w:rFonts w:hint="eastAsia"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（二）落实“谁执法谁普法”的普法责任制。根据2019年的普法任务清单，逐月完成普法任务，做好台账工作。今年以来我局共发放平安工地创建、扫黑除恶等宣传资料 200 多份，悬挂横幅126多幅，围挡宣传30多幅，宣传海报800多份，公益广告牌36处。我局属事业单位征收管理办公室举办了2019年房屋征收与补偿业务知识培训班，进一步提升广大征收人员业务知识水平，打造阳光依法征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482"/>
        <w:jc w:val="both"/>
        <w:rPr>
          <w:rFonts w:hint="default"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（三）召开以案释法宣讲会，保证每月进行一次以案释法宣讲活动，通过相关案例宣讲能够在实践中更灵活的去运用法律知识解决矛盾纠纷。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right="0" w:firstLine="640" w:firstLineChars="200"/>
        <w:jc w:val="both"/>
        <w:rPr>
          <w:rFonts w:hint="eastAsia" w:ascii="仿宋_GB2312" w:hAnsi="Tahoma" w:eastAsia="仿宋_GB2312" w:cs="仿宋_GB2312"/>
          <w:i w:val="0"/>
          <w:caps w:val="0"/>
          <w:color w:val="000000"/>
          <w:spacing w:val="0"/>
          <w:kern w:val="0"/>
          <w:sz w:val="32"/>
          <w:szCs w:val="32"/>
          <w:u w:val="none"/>
          <w:shd w:val="clear" w:fill="FFFFFF"/>
          <w:lang w:val="en-US" w:eastAsia="zh-CN" w:bidi="ar"/>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四、存在的问题和不足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仿宋_GB2312" w:hAnsi="Tahoma" w:eastAsia="仿宋_GB2312" w:cs="仿宋_GB2312"/>
          <w:i w:val="0"/>
          <w:caps w:val="0"/>
          <w:color w:val="000000"/>
          <w:spacing w:val="0"/>
          <w:kern w:val="0"/>
          <w:sz w:val="32"/>
          <w:szCs w:val="32"/>
          <w:u w:val="none"/>
          <w:shd w:val="clear" w:fill="FFFFFF"/>
          <w:lang w:val="en-US" w:eastAsia="zh-CN" w:bidi="ar"/>
        </w:rPr>
      </w:pPr>
      <w:r>
        <w:rPr>
          <w:rFonts w:hint="default" w:ascii="仿宋_GB2312" w:hAnsi="Tahoma" w:eastAsia="仿宋_GB2312" w:cs="仿宋_GB2312"/>
          <w:i w:val="0"/>
          <w:caps w:val="0"/>
          <w:color w:val="000000"/>
          <w:spacing w:val="0"/>
          <w:kern w:val="0"/>
          <w:sz w:val="32"/>
          <w:szCs w:val="32"/>
          <w:u w:val="none"/>
          <w:shd w:val="clear" w:fill="FFFFFF"/>
          <w:lang w:val="en-US" w:eastAsia="zh-CN" w:bidi="ar"/>
        </w:rPr>
        <w:t>今年以来，虽然在推进依法行政、法治政府建设方面取得一定成绩，但也存在着一些不足：一是运用法治思维、法治手段解决问题的意识和能力还不强；二是部分干部、执法人员法律法规学习的主动性不够、执法水平有待提高；三是法治教育培训还不系统，还没有形成长效制度。</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eastAsia" w:ascii="黑体" w:hAnsi="宋体" w:eastAsia="黑体" w:cs="黑体"/>
          <w:i w:val="0"/>
          <w:caps w:val="0"/>
          <w:color w:val="000000"/>
          <w:spacing w:val="0"/>
          <w:kern w:val="0"/>
          <w:sz w:val="32"/>
          <w:szCs w:val="32"/>
          <w:u w:val="none"/>
          <w:shd w:val="clear" w:fill="FFFFFF"/>
          <w:lang w:val="en-US" w:eastAsia="zh-CN" w:bidi="ar"/>
        </w:rPr>
      </w:pPr>
      <w:r>
        <w:rPr>
          <w:rFonts w:hint="eastAsia" w:ascii="黑体" w:hAnsi="宋体" w:eastAsia="黑体" w:cs="黑体"/>
          <w:i w:val="0"/>
          <w:caps w:val="0"/>
          <w:color w:val="000000"/>
          <w:spacing w:val="0"/>
          <w:kern w:val="0"/>
          <w:sz w:val="32"/>
          <w:szCs w:val="32"/>
          <w:u w:val="none"/>
          <w:shd w:val="clear" w:fill="FFFFFF"/>
          <w:lang w:val="en-US" w:eastAsia="zh-CN" w:bidi="ar"/>
        </w:rPr>
        <w:t>改进措施</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640" w:leftChars="0" w:right="0" w:rightChars="0"/>
        <w:jc w:val="both"/>
        <w:rPr>
          <w:rFonts w:hint="default" w:ascii="仿宋_GB2312" w:hAnsi="Tahoma" w:eastAsia="仿宋_GB2312" w:cs="仿宋_GB2312"/>
          <w:i w:val="0"/>
          <w:caps w:val="0"/>
          <w:color w:val="000000"/>
          <w:spacing w:val="0"/>
          <w:kern w:val="0"/>
          <w:sz w:val="32"/>
          <w:szCs w:val="32"/>
          <w:u w:val="none"/>
          <w:shd w:val="clear" w:fill="FFFFFF"/>
          <w:lang w:val="en-US" w:eastAsia="zh-CN" w:bidi="ar"/>
        </w:rPr>
      </w:pPr>
      <w:r>
        <w:rPr>
          <w:rFonts w:hint="default" w:ascii="仿宋_GB2312" w:hAnsi="Tahoma" w:eastAsia="仿宋_GB2312" w:cs="仿宋_GB2312"/>
          <w:i w:val="0"/>
          <w:caps w:val="0"/>
          <w:color w:val="000000"/>
          <w:spacing w:val="0"/>
          <w:kern w:val="0"/>
          <w:sz w:val="32"/>
          <w:szCs w:val="32"/>
          <w:u w:val="none"/>
          <w:shd w:val="clear" w:fill="FFFFFF"/>
          <w:lang w:val="en-US" w:eastAsia="zh-CN" w:bidi="ar"/>
        </w:rPr>
        <w:t>加强执法人员的业务培训，不断增强执法水平，使行</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right="0" w:rightChars="0"/>
        <w:jc w:val="both"/>
        <w:rPr>
          <w:rFonts w:hint="default" w:ascii="Tahoma" w:hAnsi="Tahoma" w:eastAsia="Tahoma" w:cs="Tahoma"/>
          <w:i w:val="0"/>
          <w:caps w:val="0"/>
          <w:color w:val="000000"/>
          <w:spacing w:val="0"/>
          <w:sz w:val="22"/>
          <w:szCs w:val="22"/>
          <w:u w:val="none"/>
        </w:rPr>
      </w:pPr>
      <w:r>
        <w:rPr>
          <w:rFonts w:hint="default" w:ascii="仿宋_GB2312" w:hAnsi="Tahoma" w:eastAsia="仿宋_GB2312" w:cs="仿宋_GB2312"/>
          <w:i w:val="0"/>
          <w:caps w:val="0"/>
          <w:color w:val="000000"/>
          <w:spacing w:val="0"/>
          <w:kern w:val="0"/>
          <w:sz w:val="32"/>
          <w:szCs w:val="32"/>
          <w:u w:val="none"/>
          <w:shd w:val="clear" w:fill="FFFFFF"/>
          <w:lang w:val="en-US" w:eastAsia="zh-CN" w:bidi="ar"/>
        </w:rPr>
        <w:t>政执法人员适应新的执法要求。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ahoma" w:hAnsi="Tahoma" w:eastAsia="Tahoma" w:cs="Tahoma"/>
          <w:i w:val="0"/>
          <w:caps w:val="0"/>
          <w:color w:val="000000"/>
          <w:spacing w:val="0"/>
          <w:sz w:val="22"/>
          <w:szCs w:val="22"/>
          <w:u w:val="none"/>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（二）</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强化执法队伍的能力建设，严格执法纪律，遵守检查审核程序，规范执法检查行为。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right="0" w:firstLine="640" w:firstLineChars="200"/>
        <w:jc w:val="both"/>
        <w:rPr>
          <w:rFonts w:hint="default" w:ascii="Tahoma" w:hAnsi="Tahoma" w:eastAsia="Tahoma" w:cs="Tahoma"/>
          <w:i w:val="0"/>
          <w:caps w:val="0"/>
          <w:color w:val="000000"/>
          <w:spacing w:val="0"/>
          <w:sz w:val="22"/>
          <w:szCs w:val="22"/>
          <w:u w:val="none"/>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（三）</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建立完善长效机制，进一步修订行政执法实施细则，使其具有更好的操作性。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60" w:lineRule="atLeast"/>
        <w:ind w:left="0" w:right="0" w:firstLine="640"/>
        <w:jc w:val="both"/>
        <w:rPr>
          <w:rFonts w:hint="default" w:ascii="Tahoma" w:hAnsi="Tahoma" w:eastAsia="Tahoma" w:cs="Tahoma"/>
          <w:i w:val="0"/>
          <w:caps w:val="0"/>
          <w:color w:val="000000"/>
          <w:spacing w:val="0"/>
          <w:sz w:val="22"/>
          <w:szCs w:val="22"/>
          <w:u w:val="none"/>
        </w:rPr>
      </w:pPr>
      <w:r>
        <w:rPr>
          <w:rFonts w:hint="eastAsia" w:ascii="仿宋_GB2312" w:hAnsi="Tahoma" w:eastAsia="仿宋_GB2312" w:cs="仿宋_GB2312"/>
          <w:i w:val="0"/>
          <w:caps w:val="0"/>
          <w:color w:val="000000"/>
          <w:spacing w:val="0"/>
          <w:kern w:val="0"/>
          <w:sz w:val="32"/>
          <w:szCs w:val="32"/>
          <w:u w:val="none"/>
          <w:shd w:val="clear" w:fill="FFFFFF"/>
          <w:lang w:val="en-US" w:eastAsia="zh-CN" w:bidi="ar"/>
        </w:rPr>
        <w:t>（四）</w:t>
      </w:r>
      <w:r>
        <w:rPr>
          <w:rFonts w:hint="default" w:ascii="仿宋_GB2312" w:hAnsi="Tahoma" w:eastAsia="仿宋_GB2312" w:cs="仿宋_GB2312"/>
          <w:i w:val="0"/>
          <w:caps w:val="0"/>
          <w:color w:val="000000"/>
          <w:spacing w:val="0"/>
          <w:kern w:val="0"/>
          <w:sz w:val="32"/>
          <w:szCs w:val="32"/>
          <w:u w:val="none"/>
          <w:shd w:val="clear" w:fill="FFFFFF"/>
          <w:lang w:val="en-US" w:eastAsia="zh-CN" w:bidi="ar"/>
        </w:rPr>
        <w:t>继续做好群众举报投诉受理工作，自觉接受社会监督。</w:t>
      </w:r>
    </w:p>
    <w:p>
      <w:pPr>
        <w:ind w:right="1120"/>
        <w:jc w:val="both"/>
        <w:rPr>
          <w:rFonts w:hint="eastAsia" w:ascii="仿宋_GB2312" w:eastAsia="仿宋_GB2312"/>
          <w:bCs/>
          <w:sz w:val="32"/>
          <w:szCs w:val="32"/>
        </w:rPr>
      </w:pPr>
    </w:p>
    <w:p>
      <w:pPr>
        <w:ind w:right="1120" w:firstLine="660"/>
        <w:jc w:val="right"/>
        <w:rPr>
          <w:rFonts w:hint="eastAsia" w:ascii="仿宋_GB2312" w:eastAsia="仿宋_GB2312"/>
          <w:bCs/>
          <w:sz w:val="32"/>
          <w:szCs w:val="32"/>
          <w:lang w:val="en-US" w:eastAsia="zh-CN"/>
        </w:rPr>
      </w:pPr>
    </w:p>
    <w:p>
      <w:pPr>
        <w:ind w:right="1120" w:firstLine="660"/>
        <w:jc w:val="right"/>
        <w:rPr>
          <w:rFonts w:hint="eastAsia" w:ascii="仿宋_GB2312" w:eastAsia="仿宋_GB2312"/>
          <w:bCs/>
          <w:sz w:val="32"/>
          <w:szCs w:val="32"/>
          <w:lang w:val="en-US" w:eastAsia="zh-CN"/>
        </w:rPr>
      </w:pPr>
    </w:p>
    <w:p>
      <w:pPr>
        <w:ind w:right="1120" w:firstLine="660"/>
        <w:jc w:val="right"/>
        <w:rPr>
          <w:rFonts w:hint="eastAsia" w:ascii="仿宋_GB2312" w:eastAsia="仿宋_GB2312"/>
          <w:bCs/>
          <w:sz w:val="32"/>
          <w:szCs w:val="32"/>
          <w:lang w:val="en-US" w:eastAsia="zh-CN"/>
        </w:rPr>
      </w:pPr>
      <w:r>
        <w:rPr>
          <w:rFonts w:hint="eastAsia" w:ascii="仿宋_GB2312" w:eastAsia="仿宋_GB2312"/>
          <w:bCs/>
          <w:sz w:val="32"/>
          <w:szCs w:val="32"/>
          <w:lang w:val="en-US" w:eastAsia="zh-CN"/>
        </w:rPr>
        <w:t xml:space="preserve">    </w:t>
      </w:r>
    </w:p>
    <w:p>
      <w:pPr>
        <w:ind w:right="1120" w:firstLine="660"/>
        <w:jc w:val="right"/>
        <w:rPr>
          <w:rFonts w:hint="eastAsia" w:ascii="仿宋_GB2312" w:eastAsia="仿宋_GB2312"/>
          <w:bCs/>
          <w:sz w:val="32"/>
          <w:szCs w:val="32"/>
          <w:lang w:eastAsia="zh-CN"/>
        </w:rPr>
      </w:pPr>
      <w:r>
        <w:rPr>
          <w:rFonts w:hint="eastAsia" w:ascii="仿宋_GB2312" w:eastAsia="仿宋_GB2312"/>
          <w:bCs/>
          <w:sz w:val="32"/>
          <w:szCs w:val="32"/>
          <w:lang w:eastAsia="zh-CN"/>
        </w:rPr>
        <w:t>启东市住房和城乡建设局</w:t>
      </w:r>
    </w:p>
    <w:p>
      <w:pPr>
        <w:ind w:right="320" w:firstLine="4800" w:firstLineChars="1500"/>
        <w:jc w:val="both"/>
        <w:rPr>
          <w:rFonts w:hint="eastAsia" w:ascii="仿宋_GB2312" w:hAnsi="仿宋_GB2312" w:eastAsia="仿宋_GB2312" w:cs="仿宋_GB2312"/>
          <w:sz w:val="32"/>
          <w:szCs w:val="32"/>
        </w:rPr>
      </w:pPr>
      <w:r>
        <w:rPr>
          <w:rFonts w:hint="eastAsia" w:ascii="仿宋_GB2312" w:eastAsia="仿宋_GB2312"/>
          <w:bCs/>
          <w:sz w:val="32"/>
          <w:szCs w:val="32"/>
        </w:rPr>
        <w:t>201</w:t>
      </w:r>
      <w:r>
        <w:rPr>
          <w:rFonts w:hint="eastAsia" w:ascii="仿宋_GB2312" w:eastAsia="仿宋_GB2312"/>
          <w:bCs/>
          <w:sz w:val="32"/>
          <w:szCs w:val="32"/>
          <w:lang w:val="en-US" w:eastAsia="zh-CN"/>
        </w:rPr>
        <w:t>9</w:t>
      </w:r>
      <w:r>
        <w:rPr>
          <w:rFonts w:hint="eastAsia" w:ascii="仿宋_GB2312" w:eastAsia="仿宋_GB2312"/>
          <w:bCs/>
          <w:sz w:val="32"/>
          <w:szCs w:val="32"/>
        </w:rPr>
        <w:t>年</w:t>
      </w:r>
      <w:r>
        <w:rPr>
          <w:rFonts w:hint="eastAsia" w:ascii="仿宋_GB2312" w:eastAsia="仿宋_GB2312"/>
          <w:bCs/>
          <w:sz w:val="32"/>
          <w:szCs w:val="32"/>
          <w:lang w:val="en-US" w:eastAsia="zh-CN"/>
        </w:rPr>
        <w:t xml:space="preserve"> 8 </w:t>
      </w:r>
      <w:r>
        <w:rPr>
          <w:rFonts w:hint="eastAsia" w:ascii="仿宋_GB2312" w:eastAsia="仿宋_GB2312"/>
          <w:bCs/>
          <w:sz w:val="32"/>
          <w:szCs w:val="32"/>
        </w:rPr>
        <w:t xml:space="preserve">月 </w:t>
      </w:r>
      <w:r>
        <w:rPr>
          <w:rFonts w:hint="eastAsia" w:ascii="仿宋_GB2312" w:eastAsia="仿宋_GB2312"/>
          <w:bCs/>
          <w:sz w:val="32"/>
          <w:szCs w:val="32"/>
          <w:lang w:val="en-US" w:eastAsia="zh-CN"/>
        </w:rPr>
        <w:t>8</w:t>
      </w:r>
      <w:r>
        <w:rPr>
          <w:rFonts w:hint="eastAsia" w:ascii="仿宋_GB2312" w:eastAsia="仿宋_GB2312"/>
          <w:bCs/>
          <w:sz w:val="32"/>
          <w:szCs w:val="32"/>
        </w:rPr>
        <w:t xml:space="preserve"> 日</w:t>
      </w:r>
    </w:p>
    <w:p/>
    <w:sectPr>
      <w:footerReference r:id="rId3" w:type="default"/>
      <w:pgSz w:w="11878" w:h="16783" w:orient="landscape"/>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-189865</wp:posOffset>
              </wp:positionV>
              <wp:extent cx="1828800" cy="21907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190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95pt;height:17.25pt;width:144pt;mso-position-horizontal:outside;mso-position-horizontal-relative:margin;mso-wrap-style:none;z-index:251658240;mso-width-relative:page;mso-height-relative:page;" filled="f" stroked="f" coordsize="21600,21600" o:gfxdata="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fC4gdcAAAAGAQAADwAA&#10;AAAAAAABACAAAAAiAAAAZHJzL2Rvd25yZXYueG1sUEsBAhQAFAAAAAgAh07iQGUU/lsXAgAAEgQA&#10;AA4AAAAAAAAAAQAgAAAAJgEAAGRycy9lMm9Eb2MueG1sUEsFBgAAAAAGAAYAWQEAAK8FAAAAAA==&#10;">
              <v:fill on="f" focussize="0,0"/>
              <v:stroke on="f" weight="0.5pt"/>
              <v:imagedata o:title=""/>
              <o:lock v:ext="edit" aspectratio="f"/>
              <v:textbox inset="0mm,0mm,0mm,0mm">
                <w:txbxContent>
                  <w:p>
                    <w:pPr>
                      <w:pStyle w:val="2"/>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667C3B"/>
    <w:multiLevelType w:val="singleLevel"/>
    <w:tmpl w:val="8C667C3B"/>
    <w:lvl w:ilvl="0" w:tentative="0">
      <w:start w:val="1"/>
      <w:numFmt w:val="chineseCounting"/>
      <w:suff w:val="nothing"/>
      <w:lvlText w:val="%1、"/>
      <w:lvlJc w:val="left"/>
      <w:rPr>
        <w:rFonts w:hint="eastAsia"/>
      </w:rPr>
    </w:lvl>
  </w:abstractNum>
  <w:abstractNum w:abstractNumId="1">
    <w:nsid w:val="0988B629"/>
    <w:multiLevelType w:val="singleLevel"/>
    <w:tmpl w:val="0988B629"/>
    <w:lvl w:ilvl="0" w:tentative="0">
      <w:start w:val="1"/>
      <w:numFmt w:val="chineseCounting"/>
      <w:suff w:val="nothing"/>
      <w:lvlText w:val="（%1）"/>
      <w:lvlJc w:val="left"/>
      <w:rPr>
        <w:rFonts w:hint="eastAsia"/>
      </w:rPr>
    </w:lvl>
  </w:abstractNum>
  <w:abstractNum w:abstractNumId="2">
    <w:nsid w:val="1DDCE56A"/>
    <w:multiLevelType w:val="singleLevel"/>
    <w:tmpl w:val="1DDCE56A"/>
    <w:lvl w:ilvl="0" w:tentative="0">
      <w:start w:val="5"/>
      <w:numFmt w:val="chineseCounting"/>
      <w:suff w:val="nothing"/>
      <w:lvlText w:val="%1、"/>
      <w:lvlJc w:val="left"/>
      <w:rPr>
        <w:rFonts w:hint="eastAsia"/>
      </w:rPr>
    </w:lvl>
  </w:abstractNum>
  <w:abstractNum w:abstractNumId="3">
    <w:nsid w:val="5A94D9D3"/>
    <w:multiLevelType w:val="singleLevel"/>
    <w:tmpl w:val="5A94D9D3"/>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D6425"/>
    <w:rsid w:val="181F6601"/>
    <w:rsid w:val="1AE06D7D"/>
    <w:rsid w:val="1E365716"/>
    <w:rsid w:val="31622A3C"/>
    <w:rsid w:val="3EAE2492"/>
    <w:rsid w:val="3FBD0C82"/>
    <w:rsid w:val="4A143B86"/>
    <w:rsid w:val="4F216041"/>
    <w:rsid w:val="5DD76949"/>
    <w:rsid w:val="7B590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2019-08-08T06:52:04Z</cp:lastPrinted>
  <dcterms:modified xsi:type="dcterms:W3CDTF">2019-08-08T07:09:41Z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