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B5D0A">
      <w:pPr>
        <w:ind w:firstLine="2429" w:firstLineChars="550"/>
        <w:rPr>
          <w:rFonts w:hint="eastAsia" w:ascii="宋体" w:hAnsi="宋体" w:eastAsia="宋体" w:cs="宋体"/>
          <w:b/>
          <w:color w:val="auto"/>
          <w:sz w:val="44"/>
        </w:rPr>
      </w:pPr>
    </w:p>
    <w:p w14:paraId="747FEBF2">
      <w:pPr>
        <w:autoSpaceDE w:val="0"/>
        <w:autoSpaceDN w:val="0"/>
        <w:adjustRightInd w:val="0"/>
        <w:jc w:val="center"/>
        <w:rPr>
          <w:rFonts w:hint="eastAsia" w:ascii="宋体" w:hAnsi="宋体" w:eastAsia="宋体" w:cs="宋体"/>
          <w:b/>
          <w:color w:val="auto"/>
          <w:sz w:val="36"/>
          <w:szCs w:val="36"/>
        </w:rPr>
      </w:pPr>
    </w:p>
    <w:p w14:paraId="302A5D5D">
      <w:pPr>
        <w:autoSpaceDE w:val="0"/>
        <w:autoSpaceDN w:val="0"/>
        <w:adjustRightInd w:val="0"/>
        <w:spacing w:line="1000" w:lineRule="exact"/>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lang w:val="zh-CN"/>
        </w:rPr>
        <w:t>政府</w:t>
      </w:r>
      <w:r>
        <w:rPr>
          <w:rFonts w:hint="eastAsia" w:ascii="宋体" w:hAnsi="宋体" w:eastAsia="宋体" w:cs="宋体"/>
          <w:b/>
          <w:bCs/>
          <w:color w:val="auto"/>
          <w:sz w:val="72"/>
          <w:szCs w:val="72"/>
          <w:lang w:val="en-US" w:eastAsia="zh-CN"/>
        </w:rPr>
        <w:t>分散</w:t>
      </w:r>
      <w:r>
        <w:rPr>
          <w:rFonts w:hint="eastAsia" w:ascii="宋体" w:hAnsi="宋体" w:eastAsia="宋体" w:cs="宋体"/>
          <w:b/>
          <w:bCs/>
          <w:color w:val="auto"/>
          <w:sz w:val="72"/>
          <w:szCs w:val="72"/>
          <w:lang w:val="zh-CN"/>
        </w:rPr>
        <w:t>采购竞争性</w:t>
      </w:r>
    </w:p>
    <w:p w14:paraId="13D41143">
      <w:pPr>
        <w:autoSpaceDE w:val="0"/>
        <w:autoSpaceDN w:val="0"/>
        <w:adjustRightInd w:val="0"/>
        <w:spacing w:line="1000" w:lineRule="exact"/>
        <w:jc w:val="center"/>
        <w:rPr>
          <w:rFonts w:hint="eastAsia" w:ascii="宋体" w:hAnsi="宋体" w:eastAsia="宋体" w:cs="宋体"/>
          <w:b/>
          <w:bCs/>
          <w:color w:val="auto"/>
          <w:sz w:val="72"/>
          <w:szCs w:val="72"/>
          <w:lang w:val="zh-CN"/>
        </w:rPr>
      </w:pPr>
      <w:r>
        <w:rPr>
          <w:rFonts w:hint="eastAsia" w:ascii="宋体" w:hAnsi="宋体" w:eastAsia="宋体" w:cs="宋体"/>
          <w:b/>
          <w:bCs/>
          <w:color w:val="auto"/>
          <w:sz w:val="72"/>
          <w:szCs w:val="72"/>
          <w:lang w:val="en-US" w:eastAsia="zh-CN"/>
        </w:rPr>
        <w:t>磋商</w:t>
      </w:r>
      <w:r>
        <w:rPr>
          <w:rFonts w:hint="eastAsia" w:ascii="宋体" w:hAnsi="宋体" w:eastAsia="宋体" w:cs="宋体"/>
          <w:b/>
          <w:bCs/>
          <w:color w:val="auto"/>
          <w:sz w:val="72"/>
          <w:szCs w:val="72"/>
          <w:lang w:val="zh-CN"/>
        </w:rPr>
        <w:t>文件</w:t>
      </w:r>
    </w:p>
    <w:p w14:paraId="582E024A">
      <w:pPr>
        <w:autoSpaceDE w:val="0"/>
        <w:autoSpaceDN w:val="0"/>
        <w:adjustRightInd w:val="0"/>
        <w:spacing w:line="1000" w:lineRule="exact"/>
        <w:jc w:val="center"/>
        <w:rPr>
          <w:rFonts w:hint="eastAsia" w:ascii="宋体" w:hAnsi="宋体" w:eastAsia="宋体" w:cs="宋体"/>
          <w:b/>
          <w:color w:val="auto"/>
          <w:sz w:val="36"/>
          <w:szCs w:val="36"/>
        </w:rPr>
      </w:pPr>
    </w:p>
    <w:p w14:paraId="025031E2">
      <w:pPr>
        <w:autoSpaceDE w:val="0"/>
        <w:autoSpaceDN w:val="0"/>
        <w:adjustRightInd w:val="0"/>
        <w:spacing w:line="1000" w:lineRule="exact"/>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项目名称：</w:t>
      </w:r>
      <w:r>
        <w:rPr>
          <w:rFonts w:hint="eastAsia" w:ascii="宋体" w:hAnsi="宋体" w:eastAsia="宋体" w:cs="宋体"/>
          <w:color w:val="auto"/>
          <w:sz w:val="36"/>
          <w:szCs w:val="36"/>
          <w:lang w:eastAsia="zh-CN"/>
        </w:rPr>
        <w:t>启东市寅阳镇2024-2025年和合苑物业服务项目（</w:t>
      </w:r>
      <w:r>
        <w:rPr>
          <w:rFonts w:hint="eastAsia" w:ascii="宋体" w:hAnsi="宋体" w:eastAsia="宋体" w:cs="宋体"/>
          <w:color w:val="auto"/>
          <w:sz w:val="36"/>
          <w:szCs w:val="36"/>
          <w:lang w:val="en-US" w:eastAsia="zh-CN"/>
        </w:rPr>
        <w:t>二次</w:t>
      </w:r>
      <w:r>
        <w:rPr>
          <w:rFonts w:hint="eastAsia" w:ascii="宋体" w:hAnsi="宋体" w:eastAsia="宋体" w:cs="宋体"/>
          <w:color w:val="auto"/>
          <w:sz w:val="36"/>
          <w:szCs w:val="36"/>
          <w:lang w:eastAsia="zh-CN"/>
        </w:rPr>
        <w:t>）</w:t>
      </w:r>
    </w:p>
    <w:p w14:paraId="5752EA64">
      <w:pPr>
        <w:keepNext/>
        <w:keepLines/>
        <w:autoSpaceDE w:val="0"/>
        <w:autoSpaceDN w:val="0"/>
        <w:adjustRightInd w:val="0"/>
        <w:spacing w:before="260" w:after="260" w:line="600" w:lineRule="exact"/>
        <w:ind w:right="210" w:firstLine="542" w:firstLineChars="150"/>
        <w:outlineLvl w:val="0"/>
        <w:rPr>
          <w:rFonts w:hint="eastAsia" w:ascii="宋体" w:hAnsi="宋体" w:eastAsia="宋体" w:cs="宋体"/>
          <w:b/>
          <w:color w:val="auto"/>
          <w:sz w:val="36"/>
          <w:szCs w:val="36"/>
        </w:rPr>
      </w:pPr>
    </w:p>
    <w:p w14:paraId="16271D14">
      <w:pPr>
        <w:autoSpaceDE w:val="0"/>
        <w:autoSpaceDN w:val="0"/>
        <w:adjustRightInd w:val="0"/>
        <w:spacing w:line="360" w:lineRule="auto"/>
        <w:ind w:firstLine="420"/>
        <w:jc w:val="center"/>
        <w:rPr>
          <w:rFonts w:hint="eastAsia" w:ascii="宋体" w:hAnsi="宋体" w:eastAsia="宋体" w:cs="宋体"/>
          <w:color w:val="auto"/>
          <w:szCs w:val="21"/>
        </w:rPr>
      </w:pPr>
    </w:p>
    <w:p w14:paraId="6F81028E">
      <w:pPr>
        <w:autoSpaceDE w:val="0"/>
        <w:autoSpaceDN w:val="0"/>
        <w:adjustRightInd w:val="0"/>
        <w:spacing w:line="360" w:lineRule="auto"/>
        <w:ind w:firstLine="420"/>
        <w:jc w:val="center"/>
        <w:rPr>
          <w:rFonts w:hint="eastAsia" w:ascii="宋体" w:hAnsi="宋体" w:eastAsia="宋体" w:cs="宋体"/>
          <w:color w:val="auto"/>
          <w:szCs w:val="21"/>
        </w:rPr>
      </w:pPr>
    </w:p>
    <w:p w14:paraId="4CA6C00E">
      <w:pPr>
        <w:autoSpaceDE w:val="0"/>
        <w:autoSpaceDN w:val="0"/>
        <w:adjustRightInd w:val="0"/>
        <w:spacing w:line="360" w:lineRule="auto"/>
        <w:ind w:firstLine="420"/>
        <w:jc w:val="center"/>
        <w:rPr>
          <w:rFonts w:hint="eastAsia" w:ascii="宋体" w:hAnsi="宋体" w:eastAsia="宋体" w:cs="宋体"/>
          <w:color w:val="auto"/>
          <w:szCs w:val="21"/>
        </w:rPr>
      </w:pPr>
    </w:p>
    <w:p w14:paraId="45CD54AB">
      <w:pPr>
        <w:pStyle w:val="2"/>
        <w:rPr>
          <w:rFonts w:hint="eastAsia" w:ascii="宋体" w:hAnsi="宋体" w:eastAsia="宋体" w:cs="宋体"/>
          <w:color w:val="auto"/>
          <w:szCs w:val="21"/>
        </w:rPr>
      </w:pPr>
    </w:p>
    <w:p w14:paraId="55DC369A">
      <w:pPr>
        <w:rPr>
          <w:rFonts w:hint="eastAsia" w:ascii="宋体" w:hAnsi="宋体" w:eastAsia="宋体" w:cs="宋体"/>
          <w:color w:val="auto"/>
          <w:szCs w:val="21"/>
        </w:rPr>
      </w:pPr>
    </w:p>
    <w:p w14:paraId="49CE4A98">
      <w:pPr>
        <w:pStyle w:val="2"/>
        <w:rPr>
          <w:rFonts w:hint="eastAsia" w:ascii="宋体" w:hAnsi="宋体" w:eastAsia="宋体" w:cs="宋体"/>
          <w:color w:val="auto"/>
          <w:szCs w:val="21"/>
        </w:rPr>
      </w:pPr>
    </w:p>
    <w:p w14:paraId="772D36DA">
      <w:pPr>
        <w:rPr>
          <w:rFonts w:hint="eastAsia" w:ascii="宋体" w:hAnsi="宋体" w:eastAsia="宋体" w:cs="宋体"/>
          <w:color w:val="auto"/>
          <w:szCs w:val="21"/>
        </w:rPr>
      </w:pPr>
    </w:p>
    <w:p w14:paraId="09D6E73F">
      <w:pPr>
        <w:pStyle w:val="2"/>
        <w:rPr>
          <w:rFonts w:hint="eastAsia" w:ascii="宋体" w:hAnsi="宋体" w:eastAsia="宋体" w:cs="宋体"/>
          <w:color w:val="auto"/>
        </w:rPr>
      </w:pPr>
    </w:p>
    <w:p w14:paraId="330C9071">
      <w:pPr>
        <w:snapToGrid w:val="0"/>
        <w:spacing w:line="240" w:lineRule="atLeast"/>
        <w:jc w:val="both"/>
        <w:rPr>
          <w:rFonts w:hint="eastAsia" w:ascii="宋体" w:hAnsi="宋体" w:eastAsia="宋体" w:cs="宋体"/>
          <w:color w:val="auto"/>
          <w:sz w:val="32"/>
        </w:rPr>
      </w:pPr>
    </w:p>
    <w:p w14:paraId="4C5B2865">
      <w:pPr>
        <w:autoSpaceDE w:val="0"/>
        <w:autoSpaceDN w:val="0"/>
        <w:adjustRightInd w:val="0"/>
        <w:spacing w:line="360" w:lineRule="auto"/>
        <w:ind w:firstLine="420"/>
        <w:jc w:val="center"/>
        <w:rPr>
          <w:rFonts w:hint="eastAsia" w:ascii="宋体" w:hAnsi="宋体" w:eastAsia="宋体" w:cs="宋体"/>
          <w:color w:val="auto"/>
          <w:szCs w:val="21"/>
        </w:rPr>
      </w:pPr>
    </w:p>
    <w:p w14:paraId="7207D391">
      <w:pPr>
        <w:spacing w:line="500" w:lineRule="exact"/>
        <w:jc w:val="center"/>
        <w:rPr>
          <w:rFonts w:hint="eastAsia" w:ascii="宋体" w:hAnsi="宋体" w:eastAsia="宋体" w:cs="宋体"/>
          <w:b/>
          <w:color w:val="auto"/>
          <w:spacing w:val="20"/>
          <w:sz w:val="32"/>
          <w:szCs w:val="32"/>
          <w:lang w:eastAsia="zh-CN"/>
        </w:rPr>
      </w:pPr>
      <w:r>
        <w:rPr>
          <w:rFonts w:hint="eastAsia" w:ascii="宋体" w:hAnsi="宋体" w:eastAsia="宋体" w:cs="宋体"/>
          <w:b/>
          <w:color w:val="auto"/>
          <w:spacing w:val="20"/>
          <w:sz w:val="44"/>
          <w:lang w:eastAsia="zh-CN"/>
        </w:rPr>
        <w:t>启东市寅阳镇人民政府</w:t>
      </w:r>
    </w:p>
    <w:p w14:paraId="0F944922">
      <w:pPr>
        <w:spacing w:line="500" w:lineRule="exact"/>
        <w:jc w:val="center"/>
        <w:rPr>
          <w:rFonts w:hint="eastAsia" w:ascii="宋体" w:hAnsi="宋体" w:eastAsia="宋体" w:cs="宋体"/>
          <w:b/>
          <w:color w:val="auto"/>
          <w:spacing w:val="20"/>
          <w:sz w:val="44"/>
        </w:rPr>
      </w:pPr>
      <w:r>
        <w:rPr>
          <w:rFonts w:hint="eastAsia" w:ascii="宋体" w:hAnsi="宋体" w:eastAsia="宋体" w:cs="宋体"/>
          <w:b/>
          <w:color w:val="auto"/>
          <w:spacing w:val="20"/>
          <w:sz w:val="44"/>
        </w:rPr>
        <w:t>二○二</w:t>
      </w:r>
      <w:r>
        <w:rPr>
          <w:rFonts w:hint="eastAsia" w:ascii="宋体" w:hAnsi="宋体" w:eastAsia="宋体" w:cs="宋体"/>
          <w:b/>
          <w:color w:val="auto"/>
          <w:spacing w:val="20"/>
          <w:sz w:val="44"/>
          <w:lang w:val="en-US" w:eastAsia="zh-CN"/>
        </w:rPr>
        <w:t>四</w:t>
      </w:r>
      <w:r>
        <w:rPr>
          <w:rFonts w:hint="eastAsia" w:ascii="宋体" w:hAnsi="宋体" w:eastAsia="宋体" w:cs="宋体"/>
          <w:b/>
          <w:color w:val="auto"/>
          <w:spacing w:val="20"/>
          <w:sz w:val="44"/>
        </w:rPr>
        <w:t>年</w:t>
      </w:r>
      <w:r>
        <w:rPr>
          <w:rFonts w:hint="eastAsia" w:ascii="宋体" w:hAnsi="宋体" w:eastAsia="宋体" w:cs="宋体"/>
          <w:b/>
          <w:color w:val="auto"/>
          <w:spacing w:val="20"/>
          <w:sz w:val="44"/>
          <w:lang w:val="en-US" w:eastAsia="zh-CN"/>
        </w:rPr>
        <w:t>十一</w:t>
      </w:r>
      <w:r>
        <w:rPr>
          <w:rFonts w:hint="eastAsia" w:ascii="宋体" w:hAnsi="宋体" w:eastAsia="宋体" w:cs="宋体"/>
          <w:b/>
          <w:color w:val="auto"/>
          <w:spacing w:val="20"/>
          <w:sz w:val="44"/>
        </w:rPr>
        <w:t>月</w:t>
      </w:r>
      <w:r>
        <w:rPr>
          <w:rFonts w:hint="eastAsia" w:ascii="宋体" w:hAnsi="宋体" w:eastAsia="宋体" w:cs="宋体"/>
          <w:b/>
          <w:color w:val="auto"/>
          <w:spacing w:val="20"/>
          <w:sz w:val="44"/>
          <w:lang w:val="en-US" w:eastAsia="zh-CN"/>
        </w:rPr>
        <w:t>二十九</w:t>
      </w:r>
      <w:r>
        <w:rPr>
          <w:rFonts w:hint="eastAsia" w:ascii="宋体" w:hAnsi="宋体" w:eastAsia="宋体" w:cs="宋体"/>
          <w:b/>
          <w:color w:val="auto"/>
          <w:spacing w:val="20"/>
          <w:sz w:val="44"/>
        </w:rPr>
        <w:t>日</w:t>
      </w:r>
    </w:p>
    <w:p w14:paraId="660A4BEE">
      <w:pPr>
        <w:adjustRightInd w:val="0"/>
        <w:snapToGrid w:val="0"/>
        <w:ind w:left="-158" w:leftChars="-75"/>
        <w:rPr>
          <w:rFonts w:hint="eastAsia" w:ascii="宋体" w:hAnsi="宋体" w:eastAsia="宋体" w:cs="宋体"/>
          <w:b/>
          <w:snapToGrid w:val="0"/>
          <w:color w:val="auto"/>
          <w:sz w:val="26"/>
          <w:szCs w:val="28"/>
          <w:u w:val="single"/>
        </w:rPr>
      </w:pPr>
      <w:r>
        <w:rPr>
          <w:rFonts w:hint="eastAsia" w:ascii="宋体" w:hAnsi="宋体" w:eastAsia="宋体" w:cs="宋体"/>
          <w:b/>
          <w:snapToGrid w:val="0"/>
          <w:color w:val="auto"/>
          <w:sz w:val="26"/>
          <w:szCs w:val="28"/>
          <w:u w:val="single"/>
        </w:rPr>
        <w:t xml:space="preserve">                                                                    </w:t>
      </w:r>
    </w:p>
    <w:p w14:paraId="0FA8C47E">
      <w:pPr>
        <w:spacing w:before="26" w:line="219" w:lineRule="auto"/>
        <w:rPr>
          <w:rFonts w:hint="eastAsia" w:ascii="宋体" w:hAnsi="宋体" w:eastAsia="宋体" w:cs="宋体"/>
          <w:color w:val="auto"/>
          <w:sz w:val="24"/>
          <w:szCs w:val="24"/>
          <w:lang w:val="en-US"/>
        </w:rPr>
      </w:pPr>
      <w:r>
        <w:rPr>
          <w:rFonts w:hint="eastAsia" w:ascii="宋体" w:hAnsi="宋体" w:eastAsia="宋体" w:cs="宋体"/>
          <w:b/>
          <w:snapToGrid w:val="0"/>
          <w:color w:val="auto"/>
          <w:sz w:val="24"/>
          <w:szCs w:val="28"/>
        </w:rPr>
        <w:t>地址:</w:t>
      </w:r>
      <w:r>
        <w:rPr>
          <w:rFonts w:hint="eastAsia" w:ascii="宋体" w:hAnsi="宋体" w:eastAsia="宋体" w:cs="宋体"/>
          <w:b/>
          <w:snapToGrid w:val="0"/>
          <w:color w:val="auto"/>
          <w:sz w:val="24"/>
          <w:szCs w:val="28"/>
          <w:lang w:val="en-US" w:eastAsia="zh-CN"/>
        </w:rPr>
        <w:t>启东市寅阳镇人民政府</w:t>
      </w:r>
      <w:r>
        <w:rPr>
          <w:rFonts w:hint="eastAsia" w:ascii="宋体" w:hAnsi="宋体" w:eastAsia="宋体" w:cs="宋体"/>
          <w:b/>
          <w:snapToGrid w:val="0"/>
          <w:color w:val="auto"/>
          <w:sz w:val="24"/>
          <w:szCs w:val="28"/>
        </w:rPr>
        <w:t xml:space="preserve"> </w:t>
      </w:r>
      <w:r>
        <w:rPr>
          <w:rFonts w:hint="eastAsia" w:ascii="宋体" w:hAnsi="宋体" w:eastAsia="宋体" w:cs="宋体"/>
          <w:b/>
          <w:snapToGrid w:val="0"/>
          <w:color w:val="auto"/>
          <w:sz w:val="24"/>
          <w:szCs w:val="28"/>
          <w:lang w:val="en-US" w:eastAsia="zh-CN"/>
        </w:rPr>
        <w:t xml:space="preserve">                          </w:t>
      </w:r>
      <w:r>
        <w:rPr>
          <w:rFonts w:hint="eastAsia" w:ascii="宋体" w:hAnsi="宋体" w:eastAsia="宋体" w:cs="宋体"/>
          <w:b/>
          <w:snapToGrid w:val="0"/>
          <w:color w:val="auto"/>
          <w:sz w:val="24"/>
          <w:szCs w:val="28"/>
        </w:rPr>
        <w:t xml:space="preserve"> 邮政编码：226200 </w:t>
      </w:r>
      <w:r>
        <w:rPr>
          <w:rFonts w:hint="eastAsia" w:ascii="宋体" w:hAnsi="宋体" w:eastAsia="宋体" w:cs="宋体"/>
          <w:snapToGrid w:val="0"/>
          <w:color w:val="auto"/>
          <w:sz w:val="30"/>
          <w:szCs w:val="30"/>
        </w:rPr>
        <w:t xml:space="preserve">     </w:t>
      </w:r>
      <w:r>
        <w:rPr>
          <w:rFonts w:hint="eastAsia" w:ascii="宋体" w:hAnsi="宋体" w:eastAsia="宋体" w:cs="宋体"/>
          <w:b/>
          <w:snapToGrid w:val="0"/>
          <w:color w:val="auto"/>
          <w:sz w:val="26"/>
          <w:szCs w:val="28"/>
        </w:rPr>
        <w:t xml:space="preserve">                                                                  </w:t>
      </w:r>
      <w:r>
        <w:rPr>
          <w:rFonts w:hint="eastAsia" w:ascii="宋体" w:hAnsi="宋体" w:eastAsia="宋体" w:cs="宋体"/>
          <w:b/>
          <w:snapToGrid w:val="0"/>
          <w:color w:val="auto"/>
          <w:sz w:val="24"/>
          <w:szCs w:val="28"/>
          <w:lang w:val="en-US" w:eastAsia="zh-CN"/>
        </w:rPr>
        <w:t>启东市人民政府网</w:t>
      </w:r>
    </w:p>
    <w:p w14:paraId="19D8862C">
      <w:pPr>
        <w:adjustRightInd w:val="0"/>
        <w:snapToGrid w:val="0"/>
        <w:ind w:left="-158" w:leftChars="-75"/>
        <w:rPr>
          <w:rFonts w:hint="eastAsia" w:ascii="宋体" w:hAnsi="宋体" w:eastAsia="宋体" w:cs="宋体"/>
          <w:snapToGrid w:val="0"/>
          <w:color w:val="auto"/>
          <w:sz w:val="26"/>
          <w:szCs w:val="28"/>
        </w:rPr>
      </w:pPr>
      <w:r>
        <w:rPr>
          <w:rFonts w:hint="eastAsia" w:ascii="宋体" w:hAnsi="宋体" w:eastAsia="宋体" w:cs="宋体"/>
          <w:b/>
          <w:snapToGrid w:val="0"/>
          <w:color w:val="auto"/>
          <w:sz w:val="24"/>
          <w:szCs w:val="28"/>
        </w:rPr>
        <w:t xml:space="preserve"> </w:t>
      </w:r>
      <w:r>
        <w:rPr>
          <w:rFonts w:hint="eastAsia" w:ascii="宋体" w:hAnsi="宋体" w:eastAsia="宋体" w:cs="宋体"/>
          <w:snapToGrid w:val="0"/>
          <w:color w:val="auto"/>
          <w:sz w:val="26"/>
          <w:szCs w:val="28"/>
        </w:rPr>
        <w:t xml:space="preserve">   </w:t>
      </w:r>
    </w:p>
    <w:p w14:paraId="5CD999E9">
      <w:pPr>
        <w:pStyle w:val="2"/>
        <w:rPr>
          <w:rFonts w:hint="eastAsia" w:ascii="宋体" w:hAnsi="宋体" w:eastAsia="宋体" w:cs="宋体"/>
          <w:color w:val="auto"/>
          <w:sz w:val="32"/>
          <w:szCs w:val="32"/>
          <w:lang w:val="zh-CN"/>
        </w:rPr>
      </w:pPr>
    </w:p>
    <w:p w14:paraId="4BE0ACF3">
      <w:pPr>
        <w:pStyle w:val="2"/>
        <w:jc w:val="center"/>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磋商文件目录</w:t>
      </w:r>
    </w:p>
    <w:p w14:paraId="0D106C6C">
      <w:pPr>
        <w:pStyle w:val="2"/>
        <w:jc w:val="left"/>
        <w:rPr>
          <w:rFonts w:hint="eastAsia" w:ascii="宋体" w:hAnsi="宋体" w:eastAsia="宋体" w:cs="宋体"/>
          <w:color w:val="auto"/>
          <w:sz w:val="32"/>
          <w:szCs w:val="32"/>
          <w:lang w:val="zh-CN"/>
        </w:rPr>
      </w:pPr>
    </w:p>
    <w:p w14:paraId="5FCF51D9">
      <w:pPr>
        <w:pStyle w:val="2"/>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第一部分  竞争性磋商公告</w:t>
      </w:r>
    </w:p>
    <w:p w14:paraId="287CFB72">
      <w:pPr>
        <w:pStyle w:val="2"/>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第二部分  磋商须知</w:t>
      </w:r>
    </w:p>
    <w:p w14:paraId="5EABB304">
      <w:pPr>
        <w:pStyle w:val="2"/>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第三部分  项目需求</w:t>
      </w:r>
    </w:p>
    <w:p w14:paraId="17151F7E">
      <w:pPr>
        <w:pStyle w:val="2"/>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第四部分  评审方法和评审标准</w:t>
      </w:r>
    </w:p>
    <w:p w14:paraId="66D486BD">
      <w:pPr>
        <w:pStyle w:val="2"/>
        <w:jc w:val="left"/>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第五部分  响应文件格式</w:t>
      </w:r>
    </w:p>
    <w:p w14:paraId="00B7A8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rPr>
      </w:pPr>
    </w:p>
    <w:p w14:paraId="545AF9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28022F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418135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6733CA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1483AD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260693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2DBA80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658BB9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648543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3AB2F2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宋体" w:hAnsi="宋体" w:eastAsia="宋体" w:cs="宋体"/>
          <w:i w:val="0"/>
          <w:iCs w:val="0"/>
          <w:caps w:val="0"/>
          <w:color w:val="auto"/>
          <w:spacing w:val="0"/>
          <w:sz w:val="27"/>
          <w:szCs w:val="27"/>
          <w:shd w:val="clear" w:fill="FFFFFF"/>
        </w:rPr>
      </w:pPr>
    </w:p>
    <w:p w14:paraId="30A0FF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center"/>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 xml:space="preserve">第一部分 </w:t>
      </w:r>
      <w:r>
        <w:rPr>
          <w:rFonts w:hint="eastAsia" w:ascii="宋体" w:hAnsi="宋体" w:eastAsia="宋体" w:cs="宋体"/>
          <w:b/>
          <w:bCs/>
          <w:i w:val="0"/>
          <w:iCs w:val="0"/>
          <w:caps w:val="0"/>
          <w:color w:val="auto"/>
          <w:spacing w:val="0"/>
          <w:sz w:val="32"/>
          <w:szCs w:val="32"/>
          <w:shd w:val="clear" w:fill="FFFFFF"/>
          <w:lang w:val="zh-CN"/>
        </w:rPr>
        <w:t>竞争性磋商公告</w:t>
      </w:r>
    </w:p>
    <w:p w14:paraId="67A706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根据启东市政府采购管理的有关规定，就</w:t>
      </w:r>
      <w:r>
        <w:rPr>
          <w:rFonts w:hint="eastAsia" w:ascii="宋体" w:hAnsi="宋体" w:eastAsia="宋体" w:cs="宋体"/>
          <w:i w:val="0"/>
          <w:iCs w:val="0"/>
          <w:caps w:val="0"/>
          <w:color w:val="auto"/>
          <w:spacing w:val="0"/>
          <w:sz w:val="27"/>
          <w:szCs w:val="27"/>
          <w:shd w:val="clear" w:fill="FFFFFF"/>
          <w:lang w:eastAsia="zh-CN"/>
        </w:rPr>
        <w:t>启东市寅阳镇2024-2025年和合苑物业服务项目（</w:t>
      </w:r>
      <w:r>
        <w:rPr>
          <w:rFonts w:hint="eastAsia" w:ascii="宋体" w:hAnsi="宋体" w:eastAsia="宋体" w:cs="宋体"/>
          <w:i w:val="0"/>
          <w:iCs w:val="0"/>
          <w:caps w:val="0"/>
          <w:color w:val="auto"/>
          <w:spacing w:val="0"/>
          <w:sz w:val="27"/>
          <w:szCs w:val="27"/>
          <w:shd w:val="clear" w:fill="FFFFFF"/>
          <w:lang w:val="en-US" w:eastAsia="zh-CN"/>
        </w:rPr>
        <w:t>二次</w:t>
      </w:r>
      <w:r>
        <w:rPr>
          <w:rFonts w:hint="eastAsia" w:ascii="宋体" w:hAnsi="宋体" w:eastAsia="宋体" w:cs="宋体"/>
          <w:i w:val="0"/>
          <w:iCs w:val="0"/>
          <w:caps w:val="0"/>
          <w:color w:val="auto"/>
          <w:spacing w:val="0"/>
          <w:sz w:val="27"/>
          <w:szCs w:val="27"/>
          <w:shd w:val="clear" w:fill="FFFFFF"/>
          <w:lang w:eastAsia="zh-CN"/>
        </w:rPr>
        <w:t>）</w:t>
      </w:r>
      <w:r>
        <w:rPr>
          <w:rFonts w:hint="eastAsia" w:ascii="宋体" w:hAnsi="宋体" w:eastAsia="宋体" w:cs="宋体"/>
          <w:i w:val="0"/>
          <w:iCs w:val="0"/>
          <w:caps w:val="0"/>
          <w:color w:val="auto"/>
          <w:spacing w:val="0"/>
          <w:sz w:val="27"/>
          <w:szCs w:val="27"/>
          <w:shd w:val="clear" w:fill="FFFFFF"/>
        </w:rPr>
        <w:t>进行竞争性磋商，欢迎具备《政府采购法》第22条所规定的，具有相应资质及法律法规规定应具备的其他条件的投标人前来参与磋商。</w:t>
      </w:r>
    </w:p>
    <w:p w14:paraId="216AE0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一、项目</w:t>
      </w:r>
      <w:r>
        <w:rPr>
          <w:rFonts w:hint="eastAsia" w:ascii="宋体" w:hAnsi="宋体" w:eastAsia="宋体" w:cs="宋体"/>
          <w:i w:val="0"/>
          <w:iCs w:val="0"/>
          <w:caps w:val="0"/>
          <w:color w:val="auto"/>
          <w:spacing w:val="0"/>
          <w:sz w:val="27"/>
          <w:szCs w:val="27"/>
          <w:shd w:val="clear" w:fill="FFFFFF"/>
          <w:lang w:val="en-US" w:eastAsia="zh-CN"/>
        </w:rPr>
        <w:t>基本情况</w:t>
      </w:r>
      <w:r>
        <w:rPr>
          <w:rFonts w:hint="eastAsia" w:ascii="宋体" w:hAnsi="宋体" w:eastAsia="宋体" w:cs="宋体"/>
          <w:i w:val="0"/>
          <w:iCs w:val="0"/>
          <w:caps w:val="0"/>
          <w:color w:val="auto"/>
          <w:spacing w:val="0"/>
          <w:sz w:val="27"/>
          <w:szCs w:val="27"/>
          <w:shd w:val="clear" w:fill="FFFFFF"/>
        </w:rPr>
        <w:t>：</w:t>
      </w:r>
    </w:p>
    <w:p w14:paraId="0D3477F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项目名称：启东市寅阳镇2024-2025年和合苑物业服务项目（</w:t>
      </w:r>
      <w:r>
        <w:rPr>
          <w:rFonts w:hint="eastAsia" w:ascii="宋体" w:hAnsi="宋体" w:eastAsia="宋体" w:cs="宋体"/>
          <w:i w:val="0"/>
          <w:iCs w:val="0"/>
          <w:caps w:val="0"/>
          <w:color w:val="auto"/>
          <w:spacing w:val="0"/>
          <w:sz w:val="27"/>
          <w:szCs w:val="27"/>
          <w:shd w:val="clear" w:fill="FFFFFF"/>
          <w:lang w:val="en-US" w:eastAsia="zh-CN"/>
        </w:rPr>
        <w:t>二次</w:t>
      </w:r>
      <w:r>
        <w:rPr>
          <w:rFonts w:hint="eastAsia" w:ascii="宋体" w:hAnsi="宋体" w:eastAsia="宋体" w:cs="宋体"/>
          <w:i w:val="0"/>
          <w:iCs w:val="0"/>
          <w:caps w:val="0"/>
          <w:color w:val="auto"/>
          <w:spacing w:val="0"/>
          <w:sz w:val="27"/>
          <w:szCs w:val="27"/>
          <w:shd w:val="clear" w:fill="FFFFFF"/>
          <w:lang w:eastAsia="zh-CN"/>
        </w:rPr>
        <w:t>）</w:t>
      </w:r>
    </w:p>
    <w:p w14:paraId="2546B26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项目类型：服务</w:t>
      </w:r>
    </w:p>
    <w:p w14:paraId="0729796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最高限价：</w:t>
      </w:r>
      <w:r>
        <w:rPr>
          <w:rFonts w:hint="eastAsia" w:ascii="宋体" w:hAnsi="宋体" w:eastAsia="宋体" w:cs="宋体"/>
          <w:i w:val="0"/>
          <w:iCs w:val="0"/>
          <w:caps w:val="0"/>
          <w:color w:val="auto"/>
          <w:spacing w:val="0"/>
          <w:sz w:val="27"/>
          <w:szCs w:val="27"/>
          <w:shd w:val="clear" w:fill="FFFFFF"/>
          <w:lang w:val="en-US" w:eastAsia="zh-CN"/>
        </w:rPr>
        <w:t>415636.61元/年度，</w:t>
      </w:r>
      <w:r>
        <w:rPr>
          <w:rFonts w:hint="eastAsia" w:ascii="宋体" w:hAnsi="宋体" w:eastAsia="宋体" w:cs="宋体"/>
          <w:i w:val="0"/>
          <w:iCs w:val="0"/>
          <w:caps w:val="0"/>
          <w:color w:val="auto"/>
          <w:spacing w:val="0"/>
          <w:sz w:val="27"/>
          <w:szCs w:val="27"/>
          <w:shd w:val="clear" w:fill="FFFFFF"/>
          <w:lang w:eastAsia="zh-CN"/>
        </w:rPr>
        <w:t>单价最高限价为0.4元/㎡/月</w:t>
      </w:r>
      <w:r>
        <w:rPr>
          <w:rFonts w:hint="eastAsia" w:ascii="宋体" w:hAnsi="宋体" w:eastAsia="宋体" w:cs="宋体"/>
          <w:i w:val="0"/>
          <w:iCs w:val="0"/>
          <w:caps w:val="0"/>
          <w:color w:val="auto"/>
          <w:spacing w:val="0"/>
          <w:sz w:val="27"/>
          <w:szCs w:val="27"/>
          <w:shd w:val="clear" w:fill="FFFFFF"/>
          <w:lang w:val="en-US" w:eastAsia="zh-CN"/>
        </w:rPr>
        <w:t>。投标报价大于最高限价的为无效报价</w:t>
      </w:r>
    </w:p>
    <w:p w14:paraId="76E0C8D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采购需求：详见磋商文件，请仔细研究。</w:t>
      </w:r>
    </w:p>
    <w:p w14:paraId="56826E6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合同履行期限：详见磋商文件第三部分项目需求。</w:t>
      </w:r>
    </w:p>
    <w:p w14:paraId="548B115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本项目是否接受联合体投标：否。</w:t>
      </w:r>
    </w:p>
    <w:p w14:paraId="5B8352F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本项目是否接受分包：否。</w:t>
      </w:r>
    </w:p>
    <w:p w14:paraId="6BAFA6AE">
      <w:pPr>
        <w:adjustRightInd w:val="0"/>
        <w:snapToGrid w:val="0"/>
        <w:spacing w:line="500" w:lineRule="exact"/>
        <w:ind w:firstLine="562" w:firstLineChars="200"/>
        <w:rPr>
          <w:rFonts w:eastAsia="方正仿宋_GBK"/>
          <w:b/>
          <w:sz w:val="28"/>
          <w:szCs w:val="28"/>
        </w:rPr>
      </w:pPr>
      <w:r>
        <w:rPr>
          <w:rFonts w:eastAsia="方正仿宋_GBK"/>
          <w:b/>
          <w:sz w:val="28"/>
          <w:szCs w:val="28"/>
        </w:rPr>
        <w:t>二、供应商的资格要求：</w:t>
      </w:r>
    </w:p>
    <w:p w14:paraId="5139786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1.满足《中华人民共和国政府采购法》第二十二条规定。</w:t>
      </w:r>
    </w:p>
    <w:p w14:paraId="69A7540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2.落实政府采购政策需满足的资格要求：</w:t>
      </w:r>
      <w:r>
        <w:rPr>
          <w:rFonts w:hint="eastAsia" w:ascii="宋体" w:hAnsi="宋体" w:eastAsia="宋体" w:cs="宋体"/>
          <w:i w:val="0"/>
          <w:iCs w:val="0"/>
          <w:caps w:val="0"/>
          <w:color w:val="auto"/>
          <w:spacing w:val="0"/>
          <w:sz w:val="27"/>
          <w:szCs w:val="27"/>
          <w:shd w:val="clear" w:fill="FFFFFF"/>
          <w:lang w:val="en-US" w:eastAsia="zh-CN"/>
        </w:rPr>
        <w:t>本项目属于专门面向中小企业采购的项目,服务提供商应为中小微企业、监狱和戒毒企业、残疾人福利性单位。并按照采购文件要求提供《中小企业声明函》、《残疾人福利性单位声明函》或监狱和戒毒企业证明材料</w:t>
      </w:r>
    </w:p>
    <w:p w14:paraId="46A0FFA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3.本项目的特定资格要求：未被“信用中国”网站（www.creditchina.gov.cn）列入失信被执行人、重大税收违法案件当事人名单、政府采购严重失信行为记录名单。</w:t>
      </w:r>
    </w:p>
    <w:p w14:paraId="2BC023A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三、获取采购文件</w:t>
      </w:r>
    </w:p>
    <w:p w14:paraId="1DD9731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时间：自本公告发布之日起至</w:t>
      </w:r>
      <w:r>
        <w:rPr>
          <w:rFonts w:hint="eastAsia" w:ascii="宋体" w:hAnsi="宋体" w:eastAsia="宋体" w:cs="宋体"/>
          <w:i w:val="0"/>
          <w:iCs w:val="0"/>
          <w:caps w:val="0"/>
          <w:color w:val="auto"/>
          <w:spacing w:val="0"/>
          <w:sz w:val="27"/>
          <w:szCs w:val="27"/>
          <w:shd w:val="clear" w:fill="FFFFFF"/>
          <w:lang w:val="en-US" w:eastAsia="zh-CN"/>
        </w:rPr>
        <w:t>2024</w:t>
      </w:r>
      <w:r>
        <w:rPr>
          <w:rFonts w:hint="eastAsia" w:ascii="宋体" w:hAnsi="宋体" w:eastAsia="宋体" w:cs="宋体"/>
          <w:i w:val="0"/>
          <w:iCs w:val="0"/>
          <w:caps w:val="0"/>
          <w:color w:val="auto"/>
          <w:spacing w:val="0"/>
          <w:sz w:val="27"/>
          <w:szCs w:val="27"/>
          <w:shd w:val="clear" w:fill="FFFFFF"/>
          <w:lang w:eastAsia="zh-CN"/>
        </w:rPr>
        <w:t>年</w:t>
      </w:r>
      <w:r>
        <w:rPr>
          <w:rFonts w:hint="eastAsia" w:ascii="宋体" w:hAnsi="宋体" w:eastAsia="宋体" w:cs="宋体"/>
          <w:i w:val="0"/>
          <w:iCs w:val="0"/>
          <w:caps w:val="0"/>
          <w:color w:val="auto"/>
          <w:spacing w:val="0"/>
          <w:sz w:val="27"/>
          <w:szCs w:val="27"/>
          <w:shd w:val="clear" w:fill="FFFFFF"/>
          <w:lang w:val="en-US" w:eastAsia="zh-CN"/>
        </w:rPr>
        <w:t>12</w:t>
      </w:r>
      <w:r>
        <w:rPr>
          <w:rFonts w:hint="eastAsia" w:ascii="宋体" w:hAnsi="宋体" w:eastAsia="宋体" w:cs="宋体"/>
          <w:i w:val="0"/>
          <w:iCs w:val="0"/>
          <w:caps w:val="0"/>
          <w:color w:val="auto"/>
          <w:spacing w:val="0"/>
          <w:sz w:val="27"/>
          <w:szCs w:val="27"/>
          <w:shd w:val="clear" w:fill="FFFFFF"/>
          <w:lang w:eastAsia="zh-CN"/>
        </w:rPr>
        <w:t>月</w:t>
      </w:r>
      <w:r>
        <w:rPr>
          <w:rFonts w:hint="eastAsia" w:ascii="宋体" w:hAnsi="宋体" w:eastAsia="宋体" w:cs="宋体"/>
          <w:i w:val="0"/>
          <w:iCs w:val="0"/>
          <w:caps w:val="0"/>
          <w:color w:val="auto"/>
          <w:spacing w:val="0"/>
          <w:sz w:val="27"/>
          <w:szCs w:val="27"/>
          <w:shd w:val="clear" w:fill="FFFFFF"/>
          <w:lang w:val="en-US" w:eastAsia="zh-CN"/>
        </w:rPr>
        <w:t>10</w:t>
      </w:r>
      <w:r>
        <w:rPr>
          <w:rFonts w:hint="eastAsia" w:ascii="宋体" w:hAnsi="宋体" w:eastAsia="宋体" w:cs="宋体"/>
          <w:i w:val="0"/>
          <w:iCs w:val="0"/>
          <w:caps w:val="0"/>
          <w:color w:val="auto"/>
          <w:spacing w:val="0"/>
          <w:sz w:val="27"/>
          <w:szCs w:val="27"/>
          <w:shd w:val="clear" w:fill="FFFFFF"/>
          <w:lang w:eastAsia="zh-CN"/>
        </w:rPr>
        <w:t>日</w:t>
      </w:r>
    </w:p>
    <w:p w14:paraId="7879CA2C">
      <w:pPr>
        <w:adjustRightInd w:val="0"/>
        <w:snapToGrid w:val="0"/>
        <w:spacing w:line="500" w:lineRule="exact"/>
        <w:ind w:firstLine="540" w:firstLineChars="200"/>
        <w:rPr>
          <w:rFonts w:hint="default"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eastAsia="zh-CN"/>
        </w:rPr>
        <w:t>地点：</w:t>
      </w:r>
      <w:r>
        <w:rPr>
          <w:rFonts w:hint="eastAsia" w:ascii="宋体" w:hAnsi="宋体" w:eastAsia="宋体" w:cs="宋体"/>
          <w:i w:val="0"/>
          <w:iCs w:val="0"/>
          <w:caps w:val="0"/>
          <w:color w:val="auto"/>
          <w:spacing w:val="0"/>
          <w:sz w:val="27"/>
          <w:szCs w:val="27"/>
          <w:shd w:val="clear" w:fill="FFFFFF"/>
          <w:lang w:val="en-US" w:eastAsia="zh-CN"/>
        </w:rPr>
        <w:t>启东市人民政府网</w:t>
      </w:r>
    </w:p>
    <w:p w14:paraId="6ECF9F1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四、提交响应文件截止时间、磋商时间和地点</w:t>
      </w:r>
    </w:p>
    <w:p w14:paraId="4ABA2F8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1、提交响应文件截止时间、磋商时间：</w:t>
      </w:r>
      <w:r>
        <w:rPr>
          <w:rFonts w:hint="eastAsia" w:ascii="宋体" w:hAnsi="宋体" w:eastAsia="宋体" w:cs="宋体"/>
          <w:i w:val="0"/>
          <w:iCs w:val="0"/>
          <w:caps w:val="0"/>
          <w:color w:val="auto"/>
          <w:spacing w:val="0"/>
          <w:sz w:val="27"/>
          <w:szCs w:val="27"/>
          <w:shd w:val="clear" w:fill="FFFFFF"/>
          <w:lang w:val="en-US" w:eastAsia="zh-CN"/>
        </w:rPr>
        <w:t>2024</w:t>
      </w:r>
      <w:r>
        <w:rPr>
          <w:rFonts w:hint="eastAsia" w:ascii="宋体" w:hAnsi="宋体" w:eastAsia="宋体" w:cs="宋体"/>
          <w:i w:val="0"/>
          <w:iCs w:val="0"/>
          <w:caps w:val="0"/>
          <w:color w:val="auto"/>
          <w:spacing w:val="0"/>
          <w:sz w:val="27"/>
          <w:szCs w:val="27"/>
          <w:shd w:val="clear" w:fill="FFFFFF"/>
          <w:lang w:eastAsia="zh-CN"/>
        </w:rPr>
        <w:t>年</w:t>
      </w:r>
      <w:r>
        <w:rPr>
          <w:rFonts w:hint="eastAsia" w:ascii="宋体" w:hAnsi="宋体" w:eastAsia="宋体" w:cs="宋体"/>
          <w:i w:val="0"/>
          <w:iCs w:val="0"/>
          <w:caps w:val="0"/>
          <w:color w:val="auto"/>
          <w:spacing w:val="0"/>
          <w:sz w:val="27"/>
          <w:szCs w:val="27"/>
          <w:shd w:val="clear" w:fill="FFFFFF"/>
          <w:lang w:val="en-US" w:eastAsia="zh-CN"/>
        </w:rPr>
        <w:t>12</w:t>
      </w:r>
      <w:r>
        <w:rPr>
          <w:rFonts w:hint="eastAsia" w:ascii="宋体" w:hAnsi="宋体" w:eastAsia="宋体" w:cs="宋体"/>
          <w:i w:val="0"/>
          <w:iCs w:val="0"/>
          <w:caps w:val="0"/>
          <w:color w:val="auto"/>
          <w:spacing w:val="0"/>
          <w:sz w:val="27"/>
          <w:szCs w:val="27"/>
          <w:shd w:val="clear" w:fill="FFFFFF"/>
          <w:lang w:eastAsia="zh-CN"/>
        </w:rPr>
        <w:t>月</w:t>
      </w:r>
      <w:r>
        <w:rPr>
          <w:rFonts w:hint="eastAsia" w:ascii="宋体" w:hAnsi="宋体" w:eastAsia="宋体" w:cs="宋体"/>
          <w:i w:val="0"/>
          <w:iCs w:val="0"/>
          <w:caps w:val="0"/>
          <w:color w:val="auto"/>
          <w:spacing w:val="0"/>
          <w:sz w:val="27"/>
          <w:szCs w:val="27"/>
          <w:shd w:val="clear" w:fill="FFFFFF"/>
          <w:lang w:val="en-US" w:eastAsia="zh-CN"/>
        </w:rPr>
        <w:t>10</w:t>
      </w:r>
      <w:r>
        <w:rPr>
          <w:rFonts w:hint="eastAsia" w:ascii="宋体" w:hAnsi="宋体" w:eastAsia="宋体" w:cs="宋体"/>
          <w:i w:val="0"/>
          <w:iCs w:val="0"/>
          <w:caps w:val="0"/>
          <w:color w:val="auto"/>
          <w:spacing w:val="0"/>
          <w:sz w:val="27"/>
          <w:szCs w:val="27"/>
          <w:shd w:val="clear" w:fill="FFFFFF"/>
          <w:lang w:eastAsia="zh-CN"/>
        </w:rPr>
        <w:t>日9点00分（北京时间），逾时，将拒绝接受响应文件。</w:t>
      </w:r>
      <w:bookmarkStart w:id="82" w:name="_GoBack"/>
      <w:bookmarkEnd w:id="82"/>
    </w:p>
    <w:p w14:paraId="286C8C05">
      <w:pPr>
        <w:adjustRightInd w:val="0"/>
        <w:snapToGrid w:val="0"/>
        <w:spacing w:line="500" w:lineRule="exact"/>
        <w:ind w:firstLine="540" w:firstLineChars="200"/>
        <w:rPr>
          <w:rFonts w:hint="default"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磋商</w:t>
      </w:r>
      <w:r>
        <w:rPr>
          <w:rFonts w:hint="eastAsia" w:ascii="宋体" w:hAnsi="宋体" w:eastAsia="宋体" w:cs="宋体"/>
          <w:i w:val="0"/>
          <w:iCs w:val="0"/>
          <w:caps w:val="0"/>
          <w:color w:val="auto"/>
          <w:spacing w:val="0"/>
          <w:sz w:val="27"/>
          <w:szCs w:val="27"/>
          <w:shd w:val="clear" w:fill="FFFFFF"/>
          <w:lang w:val="en-US" w:eastAsia="zh-CN"/>
        </w:rPr>
        <w:t>地点：</w:t>
      </w:r>
      <w:r>
        <w:rPr>
          <w:rFonts w:hint="eastAsia" w:ascii="宋体" w:hAnsi="宋体" w:eastAsia="宋体" w:cs="宋体"/>
          <w:i w:val="0"/>
          <w:iCs w:val="0"/>
          <w:caps w:val="0"/>
          <w:color w:val="auto"/>
          <w:spacing w:val="0"/>
          <w:sz w:val="27"/>
          <w:szCs w:val="27"/>
          <w:shd w:val="clear" w:fill="FFFFFF"/>
          <w:lang w:eastAsia="zh-CN"/>
        </w:rPr>
        <w:t>启东市</w:t>
      </w:r>
      <w:r>
        <w:rPr>
          <w:rFonts w:hint="eastAsia" w:ascii="宋体" w:hAnsi="宋体" w:eastAsia="宋体" w:cs="宋体"/>
          <w:i w:val="0"/>
          <w:iCs w:val="0"/>
          <w:caps w:val="0"/>
          <w:color w:val="auto"/>
          <w:spacing w:val="0"/>
          <w:sz w:val="27"/>
          <w:szCs w:val="27"/>
          <w:shd w:val="clear" w:fill="FFFFFF"/>
          <w:lang w:val="en-US" w:eastAsia="zh-CN"/>
        </w:rPr>
        <w:t>汇龙镇南苑西路</w:t>
      </w:r>
      <w:r>
        <w:rPr>
          <w:rFonts w:hint="eastAsia" w:ascii="宋体" w:hAnsi="宋体" w:eastAsia="宋体" w:cs="宋体"/>
          <w:i w:val="0"/>
          <w:iCs w:val="0"/>
          <w:caps w:val="0"/>
          <w:color w:val="auto"/>
          <w:spacing w:val="0"/>
          <w:sz w:val="27"/>
          <w:szCs w:val="27"/>
          <w:shd w:val="clear" w:fill="FFFFFF"/>
          <w:lang w:eastAsia="zh-CN"/>
        </w:rPr>
        <w:t>国动产业园18号楼501</w:t>
      </w:r>
      <w:r>
        <w:rPr>
          <w:rFonts w:hint="eastAsia" w:ascii="宋体" w:hAnsi="宋体" w:eastAsia="宋体" w:cs="宋体"/>
          <w:i w:val="0"/>
          <w:iCs w:val="0"/>
          <w:caps w:val="0"/>
          <w:color w:val="auto"/>
          <w:spacing w:val="0"/>
          <w:sz w:val="27"/>
          <w:szCs w:val="27"/>
          <w:shd w:val="clear" w:fill="FFFFFF"/>
          <w:lang w:val="en-US" w:eastAsia="zh-CN"/>
        </w:rPr>
        <w:t>开标室</w:t>
      </w:r>
    </w:p>
    <w:p w14:paraId="192D2C0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五、公告期限</w:t>
      </w:r>
    </w:p>
    <w:p w14:paraId="47844F4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自本公告发布之日起3个工作日。</w:t>
      </w:r>
    </w:p>
    <w:p w14:paraId="32A4A4C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六、其他补充事宜</w:t>
      </w:r>
    </w:p>
    <w:p w14:paraId="0A03F77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1、投标保证金：免收</w:t>
      </w:r>
    </w:p>
    <w:p w14:paraId="36C9E8E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2、项目磋商活动模式：</w:t>
      </w:r>
      <w:r>
        <w:rPr>
          <w:rFonts w:hint="eastAsia" w:ascii="宋体" w:hAnsi="宋体" w:eastAsia="宋体" w:cs="宋体"/>
          <w:i w:val="0"/>
          <w:iCs w:val="0"/>
          <w:caps w:val="0"/>
          <w:color w:val="auto"/>
          <w:spacing w:val="0"/>
          <w:sz w:val="27"/>
          <w:szCs w:val="27"/>
          <w:shd w:val="clear" w:fill="FFFFFF"/>
          <w:lang w:val="en-US" w:eastAsia="zh-CN"/>
        </w:rPr>
        <w:t>现场</w:t>
      </w:r>
      <w:r>
        <w:rPr>
          <w:rFonts w:hint="eastAsia" w:ascii="宋体" w:hAnsi="宋体" w:eastAsia="宋体" w:cs="宋体"/>
          <w:i w:val="0"/>
          <w:iCs w:val="0"/>
          <w:caps w:val="0"/>
          <w:color w:val="auto"/>
          <w:spacing w:val="0"/>
          <w:sz w:val="27"/>
          <w:szCs w:val="27"/>
          <w:shd w:val="clear" w:fill="FFFFFF"/>
          <w:lang w:eastAsia="zh-CN"/>
        </w:rPr>
        <w:t>磋商模式。</w:t>
      </w:r>
    </w:p>
    <w:p w14:paraId="06B32AE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、对项目需求部分（供应商资格要求、项目需求、商务技术评分标准）的询问、质疑请向采购人提出，由采购人负责答复；对项目磋商文件其他部分的询问请向</w:t>
      </w:r>
      <w:r>
        <w:rPr>
          <w:rFonts w:hint="eastAsia" w:ascii="宋体" w:hAnsi="宋体" w:eastAsia="宋体" w:cs="宋体"/>
          <w:i w:val="0"/>
          <w:iCs w:val="0"/>
          <w:caps w:val="0"/>
          <w:color w:val="auto"/>
          <w:spacing w:val="0"/>
          <w:sz w:val="27"/>
          <w:szCs w:val="27"/>
          <w:shd w:val="clear" w:fill="FFFFFF"/>
          <w:lang w:val="en-US" w:eastAsia="zh-CN"/>
        </w:rPr>
        <w:t>招标代理机构</w:t>
      </w:r>
      <w:r>
        <w:rPr>
          <w:rFonts w:hint="eastAsia" w:ascii="宋体" w:hAnsi="宋体" w:eastAsia="宋体" w:cs="宋体"/>
          <w:i w:val="0"/>
          <w:iCs w:val="0"/>
          <w:caps w:val="0"/>
          <w:color w:val="auto"/>
          <w:spacing w:val="0"/>
          <w:sz w:val="27"/>
          <w:szCs w:val="27"/>
          <w:shd w:val="clear" w:fill="FFFFFF"/>
          <w:lang w:eastAsia="zh-CN"/>
        </w:rPr>
        <w:t>提出。</w:t>
      </w:r>
    </w:p>
    <w:p w14:paraId="24DCD6E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9A75E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七</w:t>
      </w:r>
      <w:r>
        <w:rPr>
          <w:rFonts w:hint="eastAsia" w:ascii="宋体" w:hAnsi="宋体" w:eastAsia="宋体" w:cs="宋体"/>
          <w:i w:val="0"/>
          <w:iCs w:val="0"/>
          <w:caps w:val="0"/>
          <w:color w:val="auto"/>
          <w:spacing w:val="0"/>
          <w:sz w:val="27"/>
          <w:szCs w:val="27"/>
          <w:shd w:val="clear" w:fill="FFFFFF"/>
          <w:lang w:eastAsia="zh-CN"/>
        </w:rPr>
        <w:t>、凡对本次采购提出询问，请按以下方式联系。</w:t>
      </w:r>
    </w:p>
    <w:p w14:paraId="191EE56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1.采购人信息</w:t>
      </w:r>
    </w:p>
    <w:p w14:paraId="4680E42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名 称：启东市寅阳镇人民政府　　　　　　　　　　　　</w:t>
      </w:r>
    </w:p>
    <w:p w14:paraId="62E0FE05">
      <w:pPr>
        <w:adjustRightInd w:val="0"/>
        <w:snapToGrid w:val="0"/>
        <w:spacing w:line="500" w:lineRule="exact"/>
        <w:ind w:firstLine="540" w:firstLineChars="200"/>
        <w:rPr>
          <w:rFonts w:hint="default"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eastAsia="zh-CN"/>
        </w:rPr>
        <w:t>地址：</w:t>
      </w:r>
      <w:r>
        <w:rPr>
          <w:rFonts w:hint="eastAsia" w:ascii="宋体" w:hAnsi="宋体" w:eastAsia="宋体" w:cs="宋体"/>
          <w:i w:val="0"/>
          <w:iCs w:val="0"/>
          <w:caps w:val="0"/>
          <w:color w:val="auto"/>
          <w:spacing w:val="0"/>
          <w:sz w:val="27"/>
          <w:szCs w:val="27"/>
          <w:shd w:val="clear" w:fill="FFFFFF"/>
          <w:lang w:val="en-US" w:eastAsia="zh-CN"/>
        </w:rPr>
        <w:t>启东市寅阳镇和合镇人民中街42号</w:t>
      </w:r>
    </w:p>
    <w:p w14:paraId="494838A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联系人：</w:t>
      </w:r>
      <w:r>
        <w:rPr>
          <w:rFonts w:hint="eastAsia" w:ascii="宋体" w:hAnsi="宋体" w:eastAsia="宋体" w:cs="宋体"/>
          <w:i w:val="0"/>
          <w:iCs w:val="0"/>
          <w:caps w:val="0"/>
          <w:color w:val="auto"/>
          <w:spacing w:val="0"/>
          <w:sz w:val="27"/>
          <w:szCs w:val="27"/>
          <w:shd w:val="clear" w:fill="FFFFFF"/>
          <w:lang w:val="en-US" w:eastAsia="zh-CN"/>
        </w:rPr>
        <w:t>朱帅帅</w:t>
      </w:r>
      <w:r>
        <w:rPr>
          <w:rFonts w:hint="eastAsia" w:ascii="宋体" w:hAnsi="宋体" w:eastAsia="宋体" w:cs="宋体"/>
          <w:i w:val="0"/>
          <w:iCs w:val="0"/>
          <w:caps w:val="0"/>
          <w:color w:val="auto"/>
          <w:spacing w:val="0"/>
          <w:sz w:val="27"/>
          <w:szCs w:val="27"/>
          <w:shd w:val="clear" w:fill="FFFFFF"/>
          <w:lang w:eastAsia="zh-CN"/>
        </w:rPr>
        <w:t>　　　　　　　　　</w:t>
      </w:r>
    </w:p>
    <w:p w14:paraId="614669C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联系方式：</w:t>
      </w:r>
      <w:r>
        <w:rPr>
          <w:rFonts w:hint="eastAsia" w:ascii="宋体" w:hAnsi="宋体" w:eastAsia="宋体" w:cs="宋体"/>
          <w:i w:val="0"/>
          <w:iCs w:val="0"/>
          <w:caps w:val="0"/>
          <w:color w:val="auto"/>
          <w:spacing w:val="0"/>
          <w:sz w:val="27"/>
          <w:szCs w:val="27"/>
          <w:shd w:val="clear" w:fill="FFFFFF"/>
          <w:lang w:val="en-US" w:eastAsia="zh-CN"/>
        </w:rPr>
        <w:t>0513-68957528</w:t>
      </w:r>
      <w:r>
        <w:rPr>
          <w:rFonts w:hint="eastAsia" w:ascii="宋体" w:hAnsi="宋体" w:eastAsia="宋体" w:cs="宋体"/>
          <w:i w:val="0"/>
          <w:iCs w:val="0"/>
          <w:caps w:val="0"/>
          <w:color w:val="auto"/>
          <w:spacing w:val="0"/>
          <w:sz w:val="27"/>
          <w:szCs w:val="27"/>
          <w:shd w:val="clear" w:fill="FFFFFF"/>
          <w:lang w:eastAsia="zh-CN"/>
        </w:rPr>
        <w:t>　　　　　　　　　　　</w:t>
      </w:r>
    </w:p>
    <w:p w14:paraId="2312B98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2、采购代理机构</w:t>
      </w:r>
    </w:p>
    <w:p w14:paraId="260411DA">
      <w:pPr>
        <w:adjustRightInd w:val="0"/>
        <w:snapToGrid w:val="0"/>
        <w:spacing w:line="500" w:lineRule="exact"/>
        <w:ind w:firstLine="540" w:firstLineChars="200"/>
        <w:rPr>
          <w:rFonts w:hint="default"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eastAsia="zh-CN"/>
        </w:rPr>
        <w:t>名 称：</w:t>
      </w:r>
      <w:r>
        <w:rPr>
          <w:rFonts w:hint="eastAsia" w:ascii="宋体" w:hAnsi="宋体" w:eastAsia="宋体" w:cs="宋体"/>
          <w:i w:val="0"/>
          <w:iCs w:val="0"/>
          <w:caps w:val="0"/>
          <w:color w:val="auto"/>
          <w:spacing w:val="0"/>
          <w:sz w:val="27"/>
          <w:szCs w:val="27"/>
          <w:shd w:val="clear" w:fill="FFFFFF"/>
          <w:lang w:val="en-US" w:eastAsia="zh-CN"/>
        </w:rPr>
        <w:t>上海碧凌工程咨询有限公司</w:t>
      </w:r>
    </w:p>
    <w:p w14:paraId="16681CA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地  址：</w:t>
      </w:r>
      <w:r>
        <w:rPr>
          <w:rFonts w:hint="eastAsia" w:ascii="宋体" w:hAnsi="宋体" w:eastAsia="宋体" w:cs="宋体"/>
          <w:i w:val="0"/>
          <w:iCs w:val="0"/>
          <w:caps w:val="0"/>
          <w:color w:val="auto"/>
          <w:spacing w:val="0"/>
          <w:sz w:val="27"/>
          <w:szCs w:val="27"/>
          <w:shd w:val="clear" w:fill="FFFFFF"/>
          <w:lang w:val="en-US" w:eastAsia="zh-CN"/>
        </w:rPr>
        <w:t>启东市汇龙镇南苑西路国动产业园18号501室</w:t>
      </w:r>
      <w:r>
        <w:rPr>
          <w:rFonts w:hint="eastAsia" w:ascii="宋体" w:hAnsi="宋体" w:eastAsia="宋体" w:cs="宋体"/>
          <w:i w:val="0"/>
          <w:iCs w:val="0"/>
          <w:caps w:val="0"/>
          <w:color w:val="auto"/>
          <w:spacing w:val="0"/>
          <w:sz w:val="27"/>
          <w:szCs w:val="27"/>
          <w:shd w:val="clear" w:fill="FFFFFF"/>
          <w:lang w:eastAsia="zh-CN"/>
        </w:rPr>
        <w:t xml:space="preserve"> </w:t>
      </w:r>
    </w:p>
    <w:p w14:paraId="311E449D">
      <w:pPr>
        <w:adjustRightInd w:val="0"/>
        <w:snapToGrid w:val="0"/>
        <w:spacing w:line="500" w:lineRule="exact"/>
        <w:ind w:firstLine="540" w:firstLineChars="200"/>
        <w:rPr>
          <w:rFonts w:hint="default"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val="en-US" w:eastAsia="zh-CN"/>
        </w:rPr>
        <w:t>联系人：陈燕</w:t>
      </w:r>
    </w:p>
    <w:p w14:paraId="155CB8B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联系方式：</w:t>
      </w:r>
      <w:r>
        <w:rPr>
          <w:rFonts w:hint="eastAsia" w:ascii="宋体" w:hAnsi="宋体" w:eastAsia="宋体" w:cs="宋体"/>
          <w:i w:val="0"/>
          <w:iCs w:val="0"/>
          <w:caps w:val="0"/>
          <w:color w:val="auto"/>
          <w:spacing w:val="0"/>
          <w:sz w:val="27"/>
          <w:szCs w:val="27"/>
          <w:shd w:val="clear" w:fill="FFFFFF"/>
          <w:lang w:val="en-US" w:eastAsia="zh-CN"/>
        </w:rPr>
        <w:t>18932203970</w:t>
      </w:r>
      <w:r>
        <w:rPr>
          <w:rFonts w:hint="eastAsia" w:ascii="宋体" w:hAnsi="宋体" w:eastAsia="宋体" w:cs="宋体"/>
          <w:i w:val="0"/>
          <w:iCs w:val="0"/>
          <w:caps w:val="0"/>
          <w:color w:val="auto"/>
          <w:spacing w:val="0"/>
          <w:sz w:val="27"/>
          <w:szCs w:val="27"/>
          <w:shd w:val="clear" w:fill="FFFFFF"/>
          <w:lang w:eastAsia="zh-CN"/>
        </w:rPr>
        <w:t xml:space="preserve"> </w:t>
      </w:r>
    </w:p>
    <w:p w14:paraId="34C158C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sectPr>
          <w:pgSz w:w="11906" w:h="16838"/>
          <w:pgMar w:top="1440" w:right="1519" w:bottom="1440" w:left="1519" w:header="851" w:footer="992" w:gutter="0"/>
          <w:cols w:space="425" w:num="1"/>
          <w:docGrid w:type="lines" w:linePitch="312" w:charSpace="0"/>
        </w:sectPr>
      </w:pPr>
    </w:p>
    <w:p w14:paraId="65F5F620">
      <w:pPr>
        <w:adjustRightInd w:val="0"/>
        <w:snapToGrid w:val="0"/>
        <w:spacing w:line="500" w:lineRule="exact"/>
        <w:jc w:val="center"/>
        <w:outlineLvl w:val="0"/>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 xml:space="preserve">第二部分 </w:t>
      </w:r>
      <w:bookmarkStart w:id="0" w:name="_Toc120614214"/>
      <w:bookmarkStart w:id="1" w:name="_Toc513029203"/>
      <w:bookmarkStart w:id="2" w:name="_Toc16938519"/>
      <w:bookmarkStart w:id="3" w:name="_Toc20823275"/>
      <w:r>
        <w:rPr>
          <w:rFonts w:hint="eastAsia" w:ascii="宋体" w:hAnsi="宋体" w:eastAsia="宋体" w:cs="宋体"/>
          <w:b/>
          <w:bCs/>
          <w:i w:val="0"/>
          <w:iCs w:val="0"/>
          <w:caps w:val="0"/>
          <w:color w:val="auto"/>
          <w:spacing w:val="0"/>
          <w:sz w:val="32"/>
          <w:szCs w:val="32"/>
          <w:shd w:val="clear" w:fill="FFFFFF"/>
        </w:rPr>
        <w:t xml:space="preserve"> 磋商须知</w:t>
      </w:r>
    </w:p>
    <w:p w14:paraId="2287E9B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（一）总则</w:t>
      </w:r>
      <w:bookmarkEnd w:id="0"/>
      <w:bookmarkEnd w:id="1"/>
      <w:bookmarkEnd w:id="2"/>
      <w:bookmarkEnd w:id="3"/>
    </w:p>
    <w:p w14:paraId="0D489CB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4" w:name="_Hlt16619475"/>
      <w:bookmarkEnd w:id="4"/>
      <w:bookmarkStart w:id="5" w:name="_Toc458694821"/>
      <w:bookmarkStart w:id="6" w:name="_Toc16938520"/>
      <w:bookmarkStart w:id="7" w:name="_Toc513029204"/>
      <w:bookmarkStart w:id="8" w:name="_Toc20823276"/>
      <w:r>
        <w:rPr>
          <w:rFonts w:hint="eastAsia" w:ascii="宋体" w:hAnsi="宋体" w:eastAsia="宋体" w:cs="宋体"/>
          <w:i w:val="0"/>
          <w:iCs w:val="0"/>
          <w:caps w:val="0"/>
          <w:color w:val="auto"/>
          <w:spacing w:val="0"/>
          <w:sz w:val="27"/>
          <w:szCs w:val="27"/>
          <w:shd w:val="clear" w:fill="FFFFFF"/>
          <w:lang w:eastAsia="zh-CN"/>
        </w:rPr>
        <w:t>1</w:t>
      </w:r>
      <w:bookmarkEnd w:id="5"/>
      <w:r>
        <w:rPr>
          <w:rFonts w:hint="eastAsia" w:ascii="宋体" w:hAnsi="宋体" w:eastAsia="宋体" w:cs="宋体"/>
          <w:i w:val="0"/>
          <w:iCs w:val="0"/>
          <w:caps w:val="0"/>
          <w:color w:val="auto"/>
          <w:spacing w:val="0"/>
          <w:sz w:val="27"/>
          <w:szCs w:val="27"/>
          <w:shd w:val="clear" w:fill="FFFFFF"/>
          <w:lang w:eastAsia="zh-CN"/>
        </w:rPr>
        <w:t>.采购方式</w:t>
      </w:r>
      <w:bookmarkEnd w:id="6"/>
      <w:bookmarkEnd w:id="7"/>
      <w:bookmarkEnd w:id="8"/>
    </w:p>
    <w:p w14:paraId="5569E26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1.1 本次采取竞争性磋商方式，本磋商文件仅适用于磋商公告中所述项目。</w:t>
      </w:r>
    </w:p>
    <w:p w14:paraId="571C9E9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9" w:name="_Toc513029205"/>
      <w:bookmarkStart w:id="10" w:name="_Toc20823277"/>
      <w:bookmarkStart w:id="11" w:name="_Toc16938521"/>
      <w:r>
        <w:rPr>
          <w:rFonts w:hint="eastAsia" w:ascii="宋体" w:hAnsi="宋体" w:eastAsia="宋体" w:cs="宋体"/>
          <w:i w:val="0"/>
          <w:iCs w:val="0"/>
          <w:caps w:val="0"/>
          <w:color w:val="auto"/>
          <w:spacing w:val="0"/>
          <w:sz w:val="27"/>
          <w:szCs w:val="27"/>
          <w:shd w:val="clear" w:fill="FFFFFF"/>
          <w:lang w:eastAsia="zh-CN"/>
        </w:rPr>
        <w:t>2.合格的</w:t>
      </w:r>
      <w:bookmarkEnd w:id="9"/>
      <w:bookmarkEnd w:id="10"/>
      <w:bookmarkEnd w:id="11"/>
      <w:r>
        <w:rPr>
          <w:rFonts w:hint="eastAsia" w:ascii="宋体" w:hAnsi="宋体" w:eastAsia="宋体" w:cs="宋体"/>
          <w:i w:val="0"/>
          <w:iCs w:val="0"/>
          <w:caps w:val="0"/>
          <w:color w:val="auto"/>
          <w:spacing w:val="0"/>
          <w:sz w:val="27"/>
          <w:szCs w:val="27"/>
          <w:shd w:val="clear" w:fill="FFFFFF"/>
          <w:lang w:eastAsia="zh-CN"/>
        </w:rPr>
        <w:t>供应商</w:t>
      </w:r>
    </w:p>
    <w:p w14:paraId="05C5B4D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2.1满足磋商公告中供应商的资格要求的规定。</w:t>
      </w:r>
    </w:p>
    <w:p w14:paraId="6261ED1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2.2 满足本文件实质性条款的规定。</w:t>
      </w:r>
    </w:p>
    <w:p w14:paraId="6C68852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12" w:name="_Toc16938522"/>
      <w:bookmarkStart w:id="13" w:name="_Toc513029206"/>
      <w:bookmarkStart w:id="14" w:name="_Toc20823278"/>
      <w:r>
        <w:rPr>
          <w:rFonts w:hint="eastAsia" w:ascii="宋体" w:hAnsi="宋体" w:eastAsia="宋体" w:cs="宋体"/>
          <w:i w:val="0"/>
          <w:iCs w:val="0"/>
          <w:caps w:val="0"/>
          <w:color w:val="auto"/>
          <w:spacing w:val="0"/>
          <w:sz w:val="27"/>
          <w:szCs w:val="27"/>
          <w:shd w:val="clear" w:fill="FFFFFF"/>
          <w:lang w:eastAsia="zh-CN"/>
        </w:rPr>
        <w:t>3.适用法律</w:t>
      </w:r>
      <w:bookmarkEnd w:id="12"/>
      <w:bookmarkEnd w:id="13"/>
      <w:bookmarkEnd w:id="14"/>
    </w:p>
    <w:p w14:paraId="75ADDD4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3.1 本次采购及由此产生的合同受中华人民共和国有关的法律法规制约和保护。</w:t>
      </w:r>
    </w:p>
    <w:p w14:paraId="2258BCC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.磋商文件的约束力</w:t>
      </w:r>
    </w:p>
    <w:p w14:paraId="6173BD0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.1 供应商一旦参加本项目采购活动，即被认为接受了本磋商文件的规定和约束。</w:t>
      </w:r>
    </w:p>
    <w:p w14:paraId="3BB76C7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.磋商文件的解释</w:t>
      </w:r>
    </w:p>
    <w:p w14:paraId="6EA1A50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.1磋商文件需求部分（供应商资格要求、项目需求、商务技术评分标准）由采购人解释，其他部分由</w:t>
      </w:r>
      <w:r>
        <w:rPr>
          <w:rFonts w:hint="eastAsia" w:ascii="宋体" w:hAnsi="宋体" w:eastAsia="宋体" w:cs="宋体"/>
          <w:i w:val="0"/>
          <w:iCs w:val="0"/>
          <w:caps w:val="0"/>
          <w:color w:val="auto"/>
          <w:spacing w:val="0"/>
          <w:sz w:val="27"/>
          <w:szCs w:val="27"/>
          <w:shd w:val="clear" w:fill="FFFFFF"/>
          <w:lang w:val="en-US" w:eastAsia="zh-CN"/>
        </w:rPr>
        <w:t>招标代理</w:t>
      </w:r>
      <w:r>
        <w:rPr>
          <w:rFonts w:hint="eastAsia" w:ascii="宋体" w:hAnsi="宋体" w:eastAsia="宋体" w:cs="宋体"/>
          <w:i w:val="0"/>
          <w:iCs w:val="0"/>
          <w:caps w:val="0"/>
          <w:color w:val="auto"/>
          <w:spacing w:val="0"/>
          <w:sz w:val="27"/>
          <w:szCs w:val="27"/>
          <w:shd w:val="clear" w:fill="FFFFFF"/>
          <w:lang w:eastAsia="zh-CN"/>
        </w:rPr>
        <w:t>解释。</w:t>
      </w:r>
    </w:p>
    <w:p w14:paraId="7036155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15" w:name="_Toc20823281"/>
      <w:bookmarkStart w:id="16" w:name="_Toc513029209"/>
      <w:bookmarkStart w:id="17" w:name="_Toc120614215"/>
      <w:bookmarkStart w:id="18" w:name="_Toc16938525"/>
      <w:r>
        <w:rPr>
          <w:rFonts w:hint="eastAsia" w:ascii="宋体" w:hAnsi="宋体" w:eastAsia="宋体" w:cs="宋体"/>
          <w:i w:val="0"/>
          <w:iCs w:val="0"/>
          <w:caps w:val="0"/>
          <w:color w:val="auto"/>
          <w:spacing w:val="0"/>
          <w:sz w:val="27"/>
          <w:szCs w:val="27"/>
          <w:shd w:val="clear" w:fill="FFFFFF"/>
          <w:lang w:eastAsia="zh-CN"/>
        </w:rPr>
        <w:t>（二）磋商文件</w:t>
      </w:r>
      <w:bookmarkEnd w:id="15"/>
      <w:bookmarkEnd w:id="16"/>
      <w:bookmarkEnd w:id="17"/>
      <w:bookmarkEnd w:id="18"/>
    </w:p>
    <w:p w14:paraId="21147F3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19" w:name="_Toc20823282"/>
      <w:bookmarkStart w:id="20" w:name="_Toc513029210"/>
      <w:bookmarkStart w:id="21" w:name="_Toc16938526"/>
      <w:r>
        <w:rPr>
          <w:rFonts w:hint="eastAsia" w:ascii="宋体" w:hAnsi="宋体" w:eastAsia="宋体" w:cs="宋体"/>
          <w:i w:val="0"/>
          <w:iCs w:val="0"/>
          <w:caps w:val="0"/>
          <w:color w:val="auto"/>
          <w:spacing w:val="0"/>
          <w:sz w:val="27"/>
          <w:szCs w:val="27"/>
          <w:shd w:val="clear" w:fill="FFFFFF"/>
          <w:lang w:eastAsia="zh-CN"/>
        </w:rPr>
        <w:t>1.磋商文件构成</w:t>
      </w:r>
      <w:bookmarkEnd w:id="19"/>
      <w:bookmarkEnd w:id="20"/>
      <w:bookmarkEnd w:id="21"/>
    </w:p>
    <w:p w14:paraId="6B7D679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1.1 磋商文件由以下部分组成：</w:t>
      </w:r>
    </w:p>
    <w:p w14:paraId="68CA562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（1）采购邀请</w:t>
      </w:r>
    </w:p>
    <w:p w14:paraId="6E1DCEB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（2）磋商须知</w:t>
      </w:r>
    </w:p>
    <w:p w14:paraId="7624B495">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（3）项目需求</w:t>
      </w:r>
    </w:p>
    <w:p w14:paraId="2AC1414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（4）评审方法和评审标准</w:t>
      </w:r>
    </w:p>
    <w:p w14:paraId="3789018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（5）响应文件格式</w:t>
      </w:r>
    </w:p>
    <w:p w14:paraId="0261C2E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（6）附件</w:t>
      </w:r>
    </w:p>
    <w:p w14:paraId="7C7B69A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请仔细检查磋商文件是否齐全，如有缺漏请立即与</w:t>
      </w:r>
      <w:r>
        <w:rPr>
          <w:rFonts w:hint="eastAsia" w:ascii="宋体" w:hAnsi="宋体" w:eastAsia="宋体" w:cs="宋体"/>
          <w:i w:val="0"/>
          <w:iCs w:val="0"/>
          <w:caps w:val="0"/>
          <w:color w:val="auto"/>
          <w:spacing w:val="0"/>
          <w:sz w:val="27"/>
          <w:szCs w:val="27"/>
          <w:shd w:val="clear" w:fill="FFFFFF"/>
          <w:lang w:val="en-US" w:eastAsia="zh-CN"/>
        </w:rPr>
        <w:t>招标代理</w:t>
      </w:r>
      <w:r>
        <w:rPr>
          <w:rFonts w:hint="eastAsia" w:ascii="宋体" w:hAnsi="宋体" w:eastAsia="宋体" w:cs="宋体"/>
          <w:i w:val="0"/>
          <w:iCs w:val="0"/>
          <w:caps w:val="0"/>
          <w:color w:val="auto"/>
          <w:spacing w:val="0"/>
          <w:sz w:val="27"/>
          <w:szCs w:val="27"/>
          <w:shd w:val="clear" w:fill="FFFFFF"/>
          <w:lang w:eastAsia="zh-CN"/>
        </w:rPr>
        <w:t>联系解决。</w:t>
      </w:r>
    </w:p>
    <w:p w14:paraId="44C4955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6A846B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22" w:name="_Toc513029211"/>
      <w:bookmarkStart w:id="23" w:name="_Toc462564070"/>
      <w:bookmarkStart w:id="24" w:name="_Toc16938527"/>
      <w:bookmarkStart w:id="25" w:name="_Toc20823283"/>
      <w:r>
        <w:rPr>
          <w:rFonts w:hint="eastAsia" w:ascii="宋体" w:hAnsi="宋体" w:eastAsia="宋体" w:cs="宋体"/>
          <w:i w:val="0"/>
          <w:iCs w:val="0"/>
          <w:caps w:val="0"/>
          <w:color w:val="auto"/>
          <w:spacing w:val="0"/>
          <w:sz w:val="27"/>
          <w:szCs w:val="27"/>
          <w:shd w:val="clear" w:fill="FFFFFF"/>
          <w:lang w:eastAsia="zh-CN"/>
        </w:rPr>
        <w:t>2.磋商文件的澄清</w:t>
      </w:r>
      <w:bookmarkEnd w:id="22"/>
      <w:bookmarkEnd w:id="23"/>
      <w:bookmarkEnd w:id="24"/>
      <w:bookmarkEnd w:id="25"/>
    </w:p>
    <w:p w14:paraId="4AAF9C1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2.1 任何要求对磋商文件进行澄清的供应商，应在提交首次响应文件截止时间五日前按磋商公告中的通讯地址，以书面形式通知采购人。采购人有权对发出的磋商文件进行必要的澄清或修改。</w:t>
      </w:r>
    </w:p>
    <w:p w14:paraId="5A58AF5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2.2采购人视情组织答疑会</w:t>
      </w:r>
    </w:p>
    <w:p w14:paraId="1AD234C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26" w:name="_Toc513029212"/>
      <w:bookmarkStart w:id="27" w:name="_Toc462564071"/>
      <w:bookmarkStart w:id="28" w:name="_Toc16938528"/>
      <w:bookmarkStart w:id="29" w:name="_Toc20823284"/>
      <w:r>
        <w:rPr>
          <w:rFonts w:hint="eastAsia" w:ascii="宋体" w:hAnsi="宋体" w:eastAsia="宋体" w:cs="宋体"/>
          <w:i w:val="0"/>
          <w:iCs w:val="0"/>
          <w:caps w:val="0"/>
          <w:color w:val="auto"/>
          <w:spacing w:val="0"/>
          <w:sz w:val="27"/>
          <w:szCs w:val="27"/>
          <w:shd w:val="clear" w:fill="FFFFFF"/>
          <w:lang w:eastAsia="zh-CN"/>
        </w:rPr>
        <w:t>3.磋商文件的修改</w:t>
      </w:r>
      <w:bookmarkEnd w:id="26"/>
      <w:bookmarkEnd w:id="27"/>
      <w:bookmarkEnd w:id="28"/>
      <w:bookmarkEnd w:id="29"/>
    </w:p>
    <w:p w14:paraId="156888F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3.1 在响应文件提交截止时间前，</w:t>
      </w:r>
      <w:r>
        <w:rPr>
          <w:rFonts w:hint="eastAsia" w:ascii="宋体" w:hAnsi="宋体" w:eastAsia="宋体" w:cs="宋体"/>
          <w:i w:val="0"/>
          <w:iCs w:val="0"/>
          <w:caps w:val="0"/>
          <w:color w:val="auto"/>
          <w:spacing w:val="0"/>
          <w:sz w:val="27"/>
          <w:szCs w:val="27"/>
          <w:shd w:val="clear" w:fill="FFFFFF"/>
          <w:lang w:val="en-US" w:eastAsia="zh-CN"/>
        </w:rPr>
        <w:t>采购人</w:t>
      </w:r>
      <w:r>
        <w:rPr>
          <w:rFonts w:hint="eastAsia" w:ascii="宋体" w:hAnsi="宋体" w:eastAsia="宋体" w:cs="宋体"/>
          <w:i w:val="0"/>
          <w:iCs w:val="0"/>
          <w:caps w:val="0"/>
          <w:color w:val="auto"/>
          <w:spacing w:val="0"/>
          <w:sz w:val="27"/>
          <w:szCs w:val="27"/>
          <w:shd w:val="clear" w:fill="FFFFFF"/>
          <w:lang w:eastAsia="zh-CN"/>
        </w:rPr>
        <w:t>可以对磋商文件进行修改。</w:t>
      </w:r>
    </w:p>
    <w:p w14:paraId="01747E8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 xml:space="preserve">3.2 </w:t>
      </w:r>
      <w:r>
        <w:rPr>
          <w:rFonts w:hint="eastAsia" w:ascii="宋体" w:hAnsi="宋体" w:eastAsia="宋体" w:cs="宋体"/>
          <w:i w:val="0"/>
          <w:iCs w:val="0"/>
          <w:caps w:val="0"/>
          <w:color w:val="auto"/>
          <w:spacing w:val="0"/>
          <w:sz w:val="27"/>
          <w:szCs w:val="27"/>
          <w:shd w:val="clear" w:fill="FFFFFF"/>
          <w:lang w:val="en-US" w:eastAsia="zh-CN"/>
        </w:rPr>
        <w:t>采购人</w:t>
      </w:r>
      <w:r>
        <w:rPr>
          <w:rFonts w:hint="eastAsia" w:ascii="宋体" w:hAnsi="宋体" w:eastAsia="宋体" w:cs="宋体"/>
          <w:i w:val="0"/>
          <w:iCs w:val="0"/>
          <w:caps w:val="0"/>
          <w:color w:val="auto"/>
          <w:spacing w:val="0"/>
          <w:sz w:val="27"/>
          <w:szCs w:val="27"/>
          <w:shd w:val="clear" w:fill="FFFFFF"/>
          <w:lang w:eastAsia="zh-CN"/>
        </w:rPr>
        <w:t>有权按照法定的要求推迟响应文件提交截止日期和磋商日期。</w:t>
      </w:r>
    </w:p>
    <w:p w14:paraId="7B4C1E4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3.3 磋商文件的修改将在启东市人民政府网公布，补充文件将作为磋商文件的组成部分，并对供应商具有约束力。</w:t>
      </w:r>
    </w:p>
    <w:p w14:paraId="795B1B7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30" w:name="_Toc120614216"/>
      <w:bookmarkStart w:id="31" w:name="_Toc20823285"/>
      <w:bookmarkStart w:id="32" w:name="_Toc462564072"/>
      <w:bookmarkStart w:id="33" w:name="_Toc16938529"/>
      <w:bookmarkStart w:id="34" w:name="_Toc513029213"/>
      <w:r>
        <w:rPr>
          <w:rFonts w:hint="eastAsia" w:ascii="宋体" w:hAnsi="宋体" w:eastAsia="宋体" w:cs="宋体"/>
          <w:i w:val="0"/>
          <w:iCs w:val="0"/>
          <w:caps w:val="0"/>
          <w:color w:val="auto"/>
          <w:spacing w:val="0"/>
          <w:sz w:val="27"/>
          <w:szCs w:val="27"/>
          <w:shd w:val="clear" w:fill="FFFFFF"/>
          <w:lang w:eastAsia="zh-CN"/>
        </w:rPr>
        <w:t>（三）响应文件的编制</w:t>
      </w:r>
      <w:bookmarkEnd w:id="30"/>
      <w:bookmarkEnd w:id="31"/>
      <w:bookmarkEnd w:id="32"/>
      <w:bookmarkEnd w:id="33"/>
      <w:bookmarkEnd w:id="34"/>
    </w:p>
    <w:p w14:paraId="090252F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35" w:name="_Toc16938530"/>
      <w:bookmarkStart w:id="36" w:name="_Toc513029214"/>
      <w:bookmarkStart w:id="37" w:name="_Toc462564073"/>
      <w:bookmarkStart w:id="38" w:name="_Toc20823286"/>
      <w:r>
        <w:rPr>
          <w:rFonts w:hint="eastAsia" w:ascii="宋体" w:hAnsi="宋体" w:eastAsia="宋体" w:cs="宋体"/>
          <w:i w:val="0"/>
          <w:iCs w:val="0"/>
          <w:caps w:val="0"/>
          <w:color w:val="auto"/>
          <w:spacing w:val="0"/>
          <w:sz w:val="27"/>
          <w:szCs w:val="27"/>
          <w:shd w:val="clear" w:fill="FFFFFF"/>
          <w:lang w:eastAsia="zh-CN"/>
        </w:rPr>
        <w:t>1.响应文件的语言及度量衡单位</w:t>
      </w:r>
      <w:bookmarkEnd w:id="35"/>
      <w:bookmarkEnd w:id="36"/>
      <w:bookmarkEnd w:id="37"/>
      <w:bookmarkEnd w:id="38"/>
    </w:p>
    <w:p w14:paraId="6C54D4F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1.1供应商提交的响应文件以及供应商与采购人就有关磋商的所有来往通知、函件和文件均应使用简体中文。</w:t>
      </w:r>
    </w:p>
    <w:p w14:paraId="3C0B39C5">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1.2 除技术性能另有规定外，响应文件所使用的度量衡单位，均须采用国家法定计量单位。</w:t>
      </w:r>
    </w:p>
    <w:p w14:paraId="351D2E9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39" w:name="_Toc20823287"/>
      <w:bookmarkStart w:id="40" w:name="_Toc513029215"/>
      <w:bookmarkStart w:id="41" w:name="_Toc462564074"/>
      <w:bookmarkStart w:id="42" w:name="_Toc16938531"/>
      <w:r>
        <w:rPr>
          <w:rFonts w:hint="eastAsia" w:ascii="宋体" w:hAnsi="宋体" w:eastAsia="宋体" w:cs="宋体"/>
          <w:i w:val="0"/>
          <w:iCs w:val="0"/>
          <w:caps w:val="0"/>
          <w:color w:val="auto"/>
          <w:spacing w:val="0"/>
          <w:sz w:val="27"/>
          <w:szCs w:val="27"/>
          <w:shd w:val="clear" w:fill="FFFFFF"/>
          <w:lang w:eastAsia="zh-CN"/>
        </w:rPr>
        <w:t>2.响应文件构成</w:t>
      </w:r>
      <w:bookmarkEnd w:id="39"/>
      <w:bookmarkEnd w:id="40"/>
      <w:bookmarkEnd w:id="41"/>
      <w:bookmarkEnd w:id="42"/>
    </w:p>
    <w:p w14:paraId="22541D7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2.1 供应商编写的响应文件应包括资格证明文件、符合性证明文件、磋商响应函、磋商报价表、分项报价明细表、商务部分正负偏离表、技术部分正负偏离表、其他证明文件等部分。供应商按“第五部分 响应文件格式”要求编写响应文件。</w:t>
      </w:r>
    </w:p>
    <w:p w14:paraId="58AB616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43" w:name="_Hlt26668975"/>
      <w:bookmarkEnd w:id="43"/>
      <w:bookmarkStart w:id="44" w:name="_Hlt26954838"/>
      <w:bookmarkEnd w:id="44"/>
      <w:bookmarkStart w:id="45" w:name="_Hlt26670360"/>
      <w:bookmarkEnd w:id="45"/>
      <w:bookmarkStart w:id="46" w:name="_Toc49090511"/>
      <w:bookmarkStart w:id="47" w:name="_Toc14577360"/>
      <w:r>
        <w:rPr>
          <w:rFonts w:hint="eastAsia" w:ascii="宋体" w:hAnsi="宋体" w:eastAsia="宋体" w:cs="宋体"/>
          <w:i w:val="0"/>
          <w:iCs w:val="0"/>
          <w:caps w:val="0"/>
          <w:color w:val="auto"/>
          <w:spacing w:val="0"/>
          <w:sz w:val="27"/>
          <w:szCs w:val="27"/>
          <w:shd w:val="clear" w:fill="FFFFFF"/>
          <w:lang w:eastAsia="zh-CN"/>
        </w:rPr>
        <w:t>3.</w:t>
      </w:r>
      <w:bookmarkEnd w:id="46"/>
      <w:bookmarkEnd w:id="47"/>
      <w:r>
        <w:rPr>
          <w:rFonts w:hint="eastAsia" w:ascii="宋体" w:hAnsi="宋体" w:eastAsia="宋体" w:cs="宋体"/>
          <w:i w:val="0"/>
          <w:iCs w:val="0"/>
          <w:caps w:val="0"/>
          <w:color w:val="auto"/>
          <w:spacing w:val="0"/>
          <w:sz w:val="27"/>
          <w:szCs w:val="27"/>
          <w:shd w:val="clear" w:fill="FFFFFF"/>
          <w:lang w:eastAsia="zh-CN"/>
        </w:rPr>
        <w:t>磋商响应有效期</w:t>
      </w:r>
    </w:p>
    <w:p w14:paraId="6EE04990">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3.1磋商响应有效期为规定的响应文件提交截止时间后六十（60）天。磋商响应有效期比规定短的将被视为非实质性响应而予以拒绝。</w:t>
      </w:r>
    </w:p>
    <w:p w14:paraId="258E930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4. 磋商响应有效期的延长</w:t>
      </w:r>
    </w:p>
    <w:p w14:paraId="6C2C834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4.1在特殊情况下，</w:t>
      </w:r>
      <w:r>
        <w:rPr>
          <w:rFonts w:hint="eastAsia" w:ascii="宋体" w:hAnsi="宋体" w:eastAsia="宋体" w:cs="宋体"/>
          <w:i w:val="0"/>
          <w:iCs w:val="0"/>
          <w:caps w:val="0"/>
          <w:color w:val="auto"/>
          <w:spacing w:val="0"/>
          <w:sz w:val="27"/>
          <w:szCs w:val="27"/>
          <w:shd w:val="clear" w:fill="FFFFFF"/>
          <w:lang w:val="en-US" w:eastAsia="zh-CN"/>
        </w:rPr>
        <w:t>采购人</w:t>
      </w:r>
      <w:r>
        <w:rPr>
          <w:rFonts w:hint="eastAsia" w:ascii="宋体" w:hAnsi="宋体" w:eastAsia="宋体" w:cs="宋体"/>
          <w:i w:val="0"/>
          <w:iCs w:val="0"/>
          <w:caps w:val="0"/>
          <w:color w:val="auto"/>
          <w:spacing w:val="0"/>
          <w:sz w:val="27"/>
          <w:szCs w:val="27"/>
          <w:shd w:val="clear" w:fill="FFFFFF"/>
          <w:lang w:eastAsia="zh-CN"/>
        </w:rPr>
        <w:t>于原磋商响应有效期满之前，可向磋商供应商提出延长磋商响应有效期的要求。这种要求与答复均应采用书面形式。供应商可以拒绝</w:t>
      </w:r>
      <w:r>
        <w:rPr>
          <w:rFonts w:hint="eastAsia" w:ascii="宋体" w:hAnsi="宋体" w:eastAsia="宋体" w:cs="宋体"/>
          <w:i w:val="0"/>
          <w:iCs w:val="0"/>
          <w:caps w:val="0"/>
          <w:color w:val="auto"/>
          <w:spacing w:val="0"/>
          <w:sz w:val="27"/>
          <w:szCs w:val="27"/>
          <w:shd w:val="clear" w:fill="FFFFFF"/>
          <w:lang w:val="en-US" w:eastAsia="zh-CN"/>
        </w:rPr>
        <w:t>采购人</w:t>
      </w:r>
      <w:r>
        <w:rPr>
          <w:rFonts w:hint="eastAsia" w:ascii="宋体" w:hAnsi="宋体" w:eastAsia="宋体" w:cs="宋体"/>
          <w:i w:val="0"/>
          <w:iCs w:val="0"/>
          <w:caps w:val="0"/>
          <w:color w:val="auto"/>
          <w:spacing w:val="0"/>
          <w:sz w:val="27"/>
          <w:szCs w:val="27"/>
          <w:shd w:val="clear" w:fill="FFFFFF"/>
          <w:lang w:eastAsia="zh-CN"/>
        </w:rPr>
        <w:t>的这一要求而放弃磋商响应，同意延长磋商响应有效期的供应商既不能要求也不允许修改其响应文件。受磋商响应有效期约束的所有权利与义务均延长至新的有效期。</w:t>
      </w:r>
    </w:p>
    <w:p w14:paraId="1A41575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48" w:name="_Hlt26954852"/>
      <w:bookmarkEnd w:id="48"/>
      <w:bookmarkStart w:id="49" w:name="_Hlt26954739"/>
      <w:bookmarkEnd w:id="49"/>
      <w:bookmarkStart w:id="50" w:name="_Toc20823296"/>
      <w:bookmarkStart w:id="51" w:name="_Toc16938540"/>
      <w:bookmarkStart w:id="52" w:name="_Toc513029224"/>
      <w:bookmarkStart w:id="53" w:name="_Toc120614217"/>
      <w:r>
        <w:rPr>
          <w:rFonts w:hint="eastAsia" w:ascii="宋体" w:hAnsi="宋体" w:eastAsia="宋体" w:cs="宋体"/>
          <w:i w:val="0"/>
          <w:iCs w:val="0"/>
          <w:caps w:val="0"/>
          <w:color w:val="auto"/>
          <w:spacing w:val="0"/>
          <w:sz w:val="27"/>
          <w:szCs w:val="27"/>
          <w:shd w:val="clear" w:fill="FFFFFF"/>
          <w:lang w:eastAsia="zh-CN"/>
        </w:rPr>
        <w:t>（四）响应文件的提交</w:t>
      </w:r>
      <w:bookmarkEnd w:id="50"/>
      <w:bookmarkEnd w:id="51"/>
      <w:bookmarkEnd w:id="52"/>
      <w:bookmarkEnd w:id="53"/>
    </w:p>
    <w:p w14:paraId="1BC4930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54" w:name="_Toc462564084"/>
      <w:bookmarkStart w:id="55" w:name="_Toc513029225"/>
      <w:bookmarkStart w:id="56" w:name="_Toc16938541"/>
      <w:bookmarkStart w:id="57" w:name="_Toc20823297"/>
      <w:r>
        <w:rPr>
          <w:rFonts w:hint="eastAsia" w:ascii="宋体" w:hAnsi="宋体" w:eastAsia="宋体" w:cs="宋体"/>
          <w:i w:val="0"/>
          <w:iCs w:val="0"/>
          <w:caps w:val="0"/>
          <w:color w:val="auto"/>
          <w:spacing w:val="0"/>
          <w:sz w:val="27"/>
          <w:szCs w:val="27"/>
          <w:shd w:val="clear" w:fill="FFFFFF"/>
          <w:lang w:eastAsia="zh-CN"/>
        </w:rPr>
        <w:t>1.响应文件</w:t>
      </w:r>
      <w:bookmarkEnd w:id="54"/>
      <w:bookmarkEnd w:id="55"/>
      <w:bookmarkEnd w:id="56"/>
      <w:bookmarkEnd w:id="57"/>
      <w:r>
        <w:rPr>
          <w:rFonts w:hint="eastAsia" w:ascii="宋体" w:hAnsi="宋体" w:eastAsia="宋体" w:cs="宋体"/>
          <w:i w:val="0"/>
          <w:iCs w:val="0"/>
          <w:caps w:val="0"/>
          <w:color w:val="auto"/>
          <w:spacing w:val="0"/>
          <w:sz w:val="27"/>
          <w:szCs w:val="27"/>
          <w:shd w:val="clear" w:fill="FFFFFF"/>
          <w:lang w:eastAsia="zh-CN"/>
        </w:rPr>
        <w:t>的</w:t>
      </w:r>
      <w:r>
        <w:rPr>
          <w:rFonts w:hint="eastAsia" w:ascii="宋体" w:hAnsi="宋体" w:eastAsia="宋体" w:cs="宋体"/>
          <w:i w:val="0"/>
          <w:iCs w:val="0"/>
          <w:caps w:val="0"/>
          <w:color w:val="auto"/>
          <w:spacing w:val="0"/>
          <w:sz w:val="27"/>
          <w:szCs w:val="27"/>
          <w:shd w:val="clear" w:fill="FFFFFF"/>
          <w:lang w:val="en-US" w:eastAsia="zh-CN"/>
        </w:rPr>
        <w:t>签署</w:t>
      </w:r>
    </w:p>
    <w:p w14:paraId="55B21D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rPr>
        <w:t>1.磋商响应文件均需用A4纸打印并装订成册，签字使用不褪色的蓝、黑墨水笔书写，字迹应清晰易于辨认，如因磋商响应文件字迹潦草或表达不清所引起的后果由供应商负责。供应商应在磋商响应文件封面的右上角清楚地注明“正本”或“副本”。正本和副本如有不一致之处，以正本为准。</w:t>
      </w:r>
    </w:p>
    <w:p w14:paraId="1F7E75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rPr>
        <w:t>2.磋商响应文件须加盖骑缝章或每页盖章，磋商响应文件的报价表必须盖章。</w:t>
      </w:r>
    </w:p>
    <w:p w14:paraId="06C6F7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rPr>
        <w:t>3.磋商响应文件如有修改、行间内插字和增删，修改处应由供应商加盖供应商的印章。</w:t>
      </w:r>
    </w:p>
    <w:p w14:paraId="0DAF0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响应文件</w:t>
      </w:r>
      <w:r>
        <w:rPr>
          <w:rFonts w:hint="eastAsia" w:ascii="宋体" w:hAnsi="宋体" w:eastAsia="宋体" w:cs="宋体"/>
          <w:i w:val="0"/>
          <w:iCs w:val="0"/>
          <w:caps w:val="0"/>
          <w:color w:val="auto"/>
          <w:spacing w:val="0"/>
          <w:sz w:val="27"/>
          <w:szCs w:val="27"/>
          <w:shd w:val="clear" w:fill="FFFFFF"/>
        </w:rPr>
        <w:t>的密封与递交</w:t>
      </w:r>
    </w:p>
    <w:p w14:paraId="41F067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rPr>
        <w:t>1．采购单位不接收供应商邮寄磋商响应文件。</w:t>
      </w:r>
    </w:p>
    <w:p w14:paraId="45F28B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rPr>
        <w:t>2．磋商响应文件必须提供1份正本2份副本。</w:t>
      </w:r>
    </w:p>
    <w:p w14:paraId="58720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rPr>
        <w:t>3. 磋商响应文件分三包密封，一包资格审查文件、一包商务技术标、一包价格标（每包内含相应文件1份正本，2份副本）。</w:t>
      </w:r>
    </w:p>
    <w:p w14:paraId="49DB59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rPr>
        <w:t>4．供应商应在磋商响应文件密封袋上标明：采购单位名称、项目名称、供应商名称、磋商响应文件名称（如：“资格审查文件”、“商务技术标文件”、“价格标文件”）。</w:t>
      </w:r>
    </w:p>
    <w:p w14:paraId="202496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rPr>
        <w:t>5．所有磋商响应文件的密封袋封口处均应加盖供应商印章。</w:t>
      </w:r>
    </w:p>
    <w:p w14:paraId="7B442C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rPr>
        <w:t>6．如果供应商未按上述要求密封及加写标记，将作无效磋商响应文件处理。</w:t>
      </w:r>
    </w:p>
    <w:p w14:paraId="79ADB84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58" w:name="_Toc20823298"/>
      <w:bookmarkStart w:id="59" w:name="_Toc16938542"/>
      <w:bookmarkStart w:id="60" w:name="_Toc513029226"/>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.响应文件截止日期</w:t>
      </w:r>
      <w:bookmarkEnd w:id="58"/>
      <w:bookmarkEnd w:id="59"/>
      <w:bookmarkEnd w:id="60"/>
    </w:p>
    <w:p w14:paraId="4B4C1E75">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.1 供应商响应文件的时间不得迟于磋商公告中规定的响应文件提交截止时间。</w:t>
      </w:r>
    </w:p>
    <w:p w14:paraId="05E208A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 xml:space="preserve">.2 </w:t>
      </w:r>
      <w:r>
        <w:rPr>
          <w:rFonts w:hint="eastAsia" w:ascii="宋体" w:hAnsi="宋体" w:eastAsia="宋体" w:cs="宋体"/>
          <w:i w:val="0"/>
          <w:iCs w:val="0"/>
          <w:caps w:val="0"/>
          <w:color w:val="auto"/>
          <w:spacing w:val="0"/>
          <w:sz w:val="27"/>
          <w:szCs w:val="27"/>
          <w:shd w:val="clear" w:fill="FFFFFF"/>
          <w:lang w:val="en-US" w:eastAsia="zh-CN"/>
        </w:rPr>
        <w:t>采购人</w:t>
      </w:r>
      <w:r>
        <w:rPr>
          <w:rFonts w:hint="eastAsia" w:ascii="宋体" w:hAnsi="宋体" w:eastAsia="宋体" w:cs="宋体"/>
          <w:i w:val="0"/>
          <w:iCs w:val="0"/>
          <w:caps w:val="0"/>
          <w:color w:val="auto"/>
          <w:spacing w:val="0"/>
          <w:sz w:val="27"/>
          <w:szCs w:val="27"/>
          <w:shd w:val="clear" w:fill="FFFFFF"/>
          <w:lang w:eastAsia="zh-CN"/>
        </w:rPr>
        <w:t>可以按照规定，通过修改响应文件酌情延长响应文件提交截止日期，在此情况下，供应商的所有权利和义务以及供应商受制的截止日期均应以延长后新的截止日期为准。</w:t>
      </w:r>
    </w:p>
    <w:p w14:paraId="007893A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val="en-US" w:eastAsia="zh-CN"/>
        </w:rPr>
      </w:pPr>
      <w:bookmarkStart w:id="61" w:name="_Toc16938543"/>
      <w:bookmarkStart w:id="62" w:name="_Toc20823299"/>
      <w:bookmarkStart w:id="63" w:name="_Toc513029227"/>
      <w:r>
        <w:rPr>
          <w:rFonts w:hint="eastAsia" w:ascii="宋体" w:hAnsi="宋体" w:eastAsia="宋体" w:cs="宋体"/>
          <w:i w:val="0"/>
          <w:iCs w:val="0"/>
          <w:caps w:val="0"/>
          <w:color w:val="auto"/>
          <w:spacing w:val="0"/>
          <w:sz w:val="27"/>
          <w:szCs w:val="27"/>
          <w:shd w:val="clear" w:fill="FFFFFF"/>
          <w:lang w:val="en-US" w:eastAsia="zh-CN"/>
        </w:rPr>
        <w:t>4.响应文件</w:t>
      </w:r>
      <w:bookmarkEnd w:id="61"/>
      <w:bookmarkEnd w:id="62"/>
      <w:bookmarkEnd w:id="63"/>
      <w:r>
        <w:rPr>
          <w:rFonts w:hint="eastAsia" w:ascii="宋体" w:hAnsi="宋体" w:eastAsia="宋体" w:cs="宋体"/>
          <w:i w:val="0"/>
          <w:iCs w:val="0"/>
          <w:caps w:val="0"/>
          <w:color w:val="auto"/>
          <w:spacing w:val="0"/>
          <w:sz w:val="27"/>
          <w:szCs w:val="27"/>
          <w:shd w:val="clear" w:fill="FFFFFF"/>
          <w:lang w:val="en-US" w:eastAsia="zh-CN"/>
        </w:rPr>
        <w:t>的拒收</w:t>
      </w:r>
    </w:p>
    <w:p w14:paraId="7ECEF7B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val="en-US" w:eastAsia="zh-CN"/>
        </w:rPr>
        <w:t>4.1 采购人拒绝接收在其规定的响应文件提交截止时间后提交的任何响应文件。</w:t>
      </w:r>
    </w:p>
    <w:p w14:paraId="03D8AC90">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val="en-US" w:eastAsia="zh-CN"/>
        </w:rPr>
      </w:pPr>
      <w:bookmarkStart w:id="64" w:name="_Toc513029228"/>
      <w:bookmarkStart w:id="65" w:name="_Toc20823300"/>
      <w:bookmarkStart w:id="66" w:name="_Toc16938544"/>
      <w:r>
        <w:rPr>
          <w:rFonts w:hint="eastAsia" w:ascii="宋体" w:hAnsi="宋体" w:eastAsia="宋体" w:cs="宋体"/>
          <w:i w:val="0"/>
          <w:iCs w:val="0"/>
          <w:caps w:val="0"/>
          <w:color w:val="auto"/>
          <w:spacing w:val="0"/>
          <w:sz w:val="27"/>
          <w:szCs w:val="27"/>
          <w:shd w:val="clear" w:fill="FFFFFF"/>
          <w:lang w:val="en-US" w:eastAsia="zh-CN"/>
        </w:rPr>
        <w:t>5. 响应文件的撤回和修改</w:t>
      </w:r>
      <w:bookmarkEnd w:id="64"/>
      <w:bookmarkEnd w:id="65"/>
      <w:bookmarkEnd w:id="66"/>
    </w:p>
    <w:p w14:paraId="291BC36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val="en-US" w:eastAsia="zh-CN"/>
        </w:rPr>
        <w:t>5.1.如果供应商提出修改或撤标要求，在投标截止时间前书面送达采购单位，采购单位可以予以接受，但不退还磋商响应文件；</w:t>
      </w:r>
    </w:p>
    <w:p w14:paraId="3DEA1BE0">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val="en-US" w:eastAsia="zh-CN"/>
        </w:rPr>
        <w:t>5.2.供应商修改磋商响应文件的书面材料，须密封送达采购单位，同时在封套上标明“修改磋商响应文件”和“开标时启封”字样；</w:t>
      </w:r>
    </w:p>
    <w:p w14:paraId="06D561B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67" w:name="_Toc513029229"/>
      <w:bookmarkStart w:id="68" w:name="_Toc120614218"/>
      <w:bookmarkStart w:id="69" w:name="_Toc20823301"/>
      <w:bookmarkStart w:id="70" w:name="_Toc16938545"/>
      <w:r>
        <w:rPr>
          <w:rFonts w:hint="eastAsia" w:ascii="宋体" w:hAnsi="宋体" w:eastAsia="宋体" w:cs="宋体"/>
          <w:i w:val="0"/>
          <w:iCs w:val="0"/>
          <w:caps w:val="0"/>
          <w:color w:val="auto"/>
          <w:spacing w:val="0"/>
          <w:sz w:val="27"/>
          <w:szCs w:val="27"/>
          <w:shd w:val="clear" w:fill="FFFFFF"/>
          <w:lang w:eastAsia="zh-CN"/>
        </w:rPr>
        <w:t>（五）</w:t>
      </w:r>
      <w:bookmarkEnd w:id="67"/>
      <w:bookmarkEnd w:id="68"/>
      <w:bookmarkEnd w:id="69"/>
      <w:bookmarkEnd w:id="70"/>
      <w:bookmarkStart w:id="71" w:name="_Toc20823302"/>
      <w:bookmarkStart w:id="72" w:name="_Toc16938546"/>
      <w:bookmarkStart w:id="73" w:name="_Toc513029230"/>
      <w:r>
        <w:rPr>
          <w:rFonts w:hint="eastAsia" w:ascii="宋体" w:hAnsi="宋体" w:eastAsia="宋体" w:cs="宋体"/>
          <w:i w:val="0"/>
          <w:iCs w:val="0"/>
          <w:caps w:val="0"/>
          <w:color w:val="auto"/>
          <w:spacing w:val="0"/>
          <w:sz w:val="27"/>
          <w:szCs w:val="27"/>
          <w:shd w:val="clear" w:fill="FFFFFF"/>
          <w:lang w:eastAsia="zh-CN"/>
        </w:rPr>
        <w:t>磋商与评审</w:t>
      </w:r>
    </w:p>
    <w:p w14:paraId="6D026B2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1</w:t>
      </w:r>
      <w:r>
        <w:rPr>
          <w:rFonts w:hint="eastAsia" w:ascii="宋体" w:hAnsi="宋体" w:eastAsia="宋体" w:cs="宋体"/>
          <w:i w:val="0"/>
          <w:iCs w:val="0"/>
          <w:caps w:val="0"/>
          <w:color w:val="auto"/>
          <w:spacing w:val="0"/>
          <w:sz w:val="27"/>
          <w:szCs w:val="27"/>
          <w:shd w:val="clear" w:fill="FFFFFF"/>
          <w:lang w:eastAsia="zh-CN"/>
        </w:rPr>
        <w:t>.磋商小组</w:t>
      </w:r>
    </w:p>
    <w:p w14:paraId="076CEEA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1.1</w:t>
      </w:r>
      <w:r>
        <w:rPr>
          <w:rFonts w:hint="eastAsia" w:ascii="宋体" w:hAnsi="宋体" w:eastAsia="宋体" w:cs="宋体"/>
          <w:i w:val="0"/>
          <w:iCs w:val="0"/>
          <w:caps w:val="0"/>
          <w:color w:val="auto"/>
          <w:spacing w:val="0"/>
          <w:sz w:val="27"/>
          <w:szCs w:val="27"/>
          <w:shd w:val="clear" w:fill="FFFFFF"/>
          <w:lang w:eastAsia="zh-CN"/>
        </w:rPr>
        <w:t>磋商小组由采购人代表和评审专家共3人以上单数组成，其中评审专家人数不得少于磋商小组成员总数的2/3。采购人不得以评审专家身份参加本部门或本单位采购项目的评审。</w:t>
      </w:r>
    </w:p>
    <w:p w14:paraId="7C1D98D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1.2</w:t>
      </w:r>
      <w:r>
        <w:rPr>
          <w:rFonts w:hint="eastAsia" w:ascii="宋体" w:hAnsi="宋体" w:eastAsia="宋体" w:cs="宋体"/>
          <w:i w:val="0"/>
          <w:iCs w:val="0"/>
          <w:caps w:val="0"/>
          <w:color w:val="auto"/>
          <w:spacing w:val="0"/>
          <w:sz w:val="27"/>
          <w:szCs w:val="27"/>
          <w:shd w:val="clear" w:fill="FFFFFF"/>
          <w:lang w:eastAsia="zh-CN"/>
        </w:rPr>
        <w:t>磋商小组独立工作，负责评审所有响应文件并确定成交侯选人。</w:t>
      </w:r>
    </w:p>
    <w:p w14:paraId="65E7767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 磋商评审过程的保密与公正</w:t>
      </w:r>
    </w:p>
    <w:p w14:paraId="315070B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.1磋商小组、采购人和</w:t>
      </w:r>
      <w:r>
        <w:rPr>
          <w:rFonts w:hint="eastAsia" w:ascii="宋体" w:hAnsi="宋体" w:eastAsia="宋体" w:cs="宋体"/>
          <w:i w:val="0"/>
          <w:iCs w:val="0"/>
          <w:caps w:val="0"/>
          <w:color w:val="auto"/>
          <w:spacing w:val="0"/>
          <w:sz w:val="27"/>
          <w:szCs w:val="27"/>
          <w:shd w:val="clear" w:fill="FFFFFF"/>
          <w:lang w:val="en-US" w:eastAsia="zh-CN"/>
        </w:rPr>
        <w:t>招标代理</w:t>
      </w:r>
      <w:r>
        <w:rPr>
          <w:rFonts w:hint="eastAsia" w:ascii="宋体" w:hAnsi="宋体" w:eastAsia="宋体" w:cs="宋体"/>
          <w:i w:val="0"/>
          <w:iCs w:val="0"/>
          <w:caps w:val="0"/>
          <w:color w:val="auto"/>
          <w:spacing w:val="0"/>
          <w:sz w:val="27"/>
          <w:szCs w:val="27"/>
          <w:shd w:val="clear" w:fill="FFFFFF"/>
          <w:lang w:eastAsia="zh-CN"/>
        </w:rPr>
        <w:t>工作人员、相关监督人员等与评审工作有关的人员，对评审情况以及在评审过程中获悉的国家秘密、商业秘密负有保密责任。</w:t>
      </w:r>
    </w:p>
    <w:p w14:paraId="710CBE7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.2在磋商评审过程中，磋商供应商不得以任何行为影响磋商评审过程，否则其响应文件将被作为无效响应文件。</w:t>
      </w:r>
    </w:p>
    <w:p w14:paraId="6D7D9F9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9952210">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.4评审开始后，直至向成交供应商授予合同时止，凡是与审查、澄清、评价和比较响应的有关资料以及授标建议等，采购人、磋商小组、</w:t>
      </w:r>
      <w:r>
        <w:rPr>
          <w:rFonts w:hint="eastAsia" w:ascii="宋体" w:hAnsi="宋体" w:eastAsia="宋体" w:cs="宋体"/>
          <w:i w:val="0"/>
          <w:iCs w:val="0"/>
          <w:caps w:val="0"/>
          <w:color w:val="auto"/>
          <w:spacing w:val="0"/>
          <w:sz w:val="27"/>
          <w:szCs w:val="27"/>
          <w:shd w:val="clear" w:fill="FFFFFF"/>
          <w:lang w:val="en-US" w:eastAsia="zh-CN"/>
        </w:rPr>
        <w:t>招标代理</w:t>
      </w:r>
      <w:r>
        <w:rPr>
          <w:rFonts w:hint="eastAsia" w:ascii="宋体" w:hAnsi="宋体" w:eastAsia="宋体" w:cs="宋体"/>
          <w:i w:val="0"/>
          <w:iCs w:val="0"/>
          <w:caps w:val="0"/>
          <w:color w:val="auto"/>
          <w:spacing w:val="0"/>
          <w:sz w:val="27"/>
          <w:szCs w:val="27"/>
          <w:shd w:val="clear" w:fill="FFFFFF"/>
          <w:lang w:eastAsia="zh-CN"/>
        </w:rPr>
        <w:t>均不得向供应商或与评标无关的其他人员透露。</w:t>
      </w:r>
    </w:p>
    <w:p w14:paraId="30C6BB9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w:t>
      </w:r>
      <w:r>
        <w:rPr>
          <w:rFonts w:hint="eastAsia" w:ascii="宋体" w:hAnsi="宋体" w:eastAsia="宋体" w:cs="宋体"/>
          <w:i w:val="0"/>
          <w:iCs w:val="0"/>
          <w:caps w:val="0"/>
          <w:color w:val="auto"/>
          <w:spacing w:val="0"/>
          <w:sz w:val="27"/>
          <w:szCs w:val="27"/>
          <w:shd w:val="clear" w:fill="FFFFFF"/>
          <w:lang w:val="en-US" w:eastAsia="zh-CN"/>
        </w:rPr>
        <w:t>5招标代理</w:t>
      </w:r>
      <w:r>
        <w:rPr>
          <w:rFonts w:hint="eastAsia" w:ascii="宋体" w:hAnsi="宋体" w:eastAsia="宋体" w:cs="宋体"/>
          <w:i w:val="0"/>
          <w:iCs w:val="0"/>
          <w:caps w:val="0"/>
          <w:color w:val="auto"/>
          <w:spacing w:val="0"/>
          <w:sz w:val="27"/>
          <w:szCs w:val="27"/>
          <w:shd w:val="clear" w:fill="FFFFFF"/>
          <w:lang w:eastAsia="zh-CN"/>
        </w:rPr>
        <w:t>和评审小组不向未成交的供应商解释未成交原因，也不公布评审过程中的相关细节。</w:t>
      </w:r>
    </w:p>
    <w:p w14:paraId="250B90D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、评审过程的澄清</w:t>
      </w:r>
    </w:p>
    <w:p w14:paraId="65CA6A8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.1评审期间，为有助于对响应文件的审查、评价和比较，磋商小组有权以</w:t>
      </w:r>
      <w:r>
        <w:rPr>
          <w:rFonts w:hint="eastAsia" w:ascii="宋体" w:hAnsi="宋体" w:eastAsia="宋体" w:cs="宋体"/>
          <w:i w:val="0"/>
          <w:iCs w:val="0"/>
          <w:caps w:val="0"/>
          <w:color w:val="auto"/>
          <w:spacing w:val="0"/>
          <w:sz w:val="27"/>
          <w:szCs w:val="27"/>
          <w:shd w:val="clear" w:fill="FFFFFF"/>
          <w:lang w:val="en-US" w:eastAsia="zh-CN"/>
        </w:rPr>
        <w:t>书面</w:t>
      </w:r>
      <w:r>
        <w:rPr>
          <w:rFonts w:hint="eastAsia" w:ascii="宋体" w:hAnsi="宋体" w:eastAsia="宋体" w:cs="宋体"/>
          <w:i w:val="0"/>
          <w:iCs w:val="0"/>
          <w:caps w:val="0"/>
          <w:color w:val="auto"/>
          <w:spacing w:val="0"/>
          <w:sz w:val="27"/>
          <w:szCs w:val="27"/>
          <w:shd w:val="clear" w:fill="FFFFFF"/>
          <w:lang w:eastAsia="zh-CN"/>
        </w:rPr>
        <w:t>形式要求响应人对其响应文件进行澄清，但并非对每个供应商都作澄清要求。</w:t>
      </w:r>
    </w:p>
    <w:p w14:paraId="17148D4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.2接到磋商小组澄清要求的供应商应派人按磋商小组规定的时间和格式做出澄清，澄清的内容作为响应文件的补充部分，但实质性的内容不得做任何更改。</w:t>
      </w:r>
    </w:p>
    <w:p w14:paraId="7849D0A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.3 接到磋商小组澄清要求的供应商如未按规定做出澄清，其风险由供应商自行承担。</w:t>
      </w:r>
    </w:p>
    <w:p w14:paraId="135A1AC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.对响应文件的初审</w:t>
      </w:r>
    </w:p>
    <w:p w14:paraId="297F36B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.1响应文件初审分为资格性审查和符合性审查。</w:t>
      </w:r>
    </w:p>
    <w:p w14:paraId="18DDA82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.1.1资格性检查：依据法律法规和磋商文件的规定，由磋商小组对响应文件中的资格审查证明材料进行审查，以确定供应商是否具备参加磋商的资格。</w:t>
      </w:r>
    </w:p>
    <w:p w14:paraId="0339B34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.1.2符合性审查：依据磋商文件的规定，由磋商小组从响应文件的有效性、完整性和对磋商文件的响应程度进行审查，以确定是否对磋商文件的实质性要求作出响应。</w:t>
      </w:r>
    </w:p>
    <w:p w14:paraId="7FC3FA5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.1.3未通过资格审查或符合性审查的供应商，将告知未通过资格审查或符合性审查的原因，评审结束后，将不再告知未通过资格审查或符合性审查的原因。</w:t>
      </w:r>
    </w:p>
    <w:p w14:paraId="7BBE9EA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.2在正式磋商之前，磋商小组将首先审查每份响应文件是否实质性响应了磋商文件的要求。实质性响应的响应文件应该是与磋商文件要求的全部条款、条件和规格相符，没有重大负偏离或保留。</w:t>
      </w:r>
    </w:p>
    <w:p w14:paraId="7DF20B7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0F069B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.3如果响应文件实质上没有响应磋商文件的要求，磋商小组将予以拒绝，供应商不得通过修改或撤销不合要求的偏离或保留而使其响应文件成为实质性响应的文件。</w:t>
      </w:r>
    </w:p>
    <w:p w14:paraId="1C44F7A5">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.4磋商小组将对确定为实质性响应的文件进行进一步审核，看其是否有计算上或累加上的算术错误，修正错误的原则如下：</w:t>
      </w:r>
    </w:p>
    <w:p w14:paraId="027B0D9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（1）响应文件中磋商报价表内容与响应文件中相应内容不一致的，以磋商报价表为准。</w:t>
      </w:r>
    </w:p>
    <w:p w14:paraId="03A90B2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（2）大写金额和小写金额不一致的，以大写金额为准。</w:t>
      </w:r>
    </w:p>
    <w:p w14:paraId="1A14F21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（3）单价金额小数点或者百分比有明显错位的，以磋商报价表的总价为准，并修改单价。</w:t>
      </w:r>
    </w:p>
    <w:p w14:paraId="5E4EDD3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（4）总价金额与按单价汇总金额不一致的，以单价金额计算结果为准。</w:t>
      </w:r>
    </w:p>
    <w:p w14:paraId="7080BE7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同时出现两种以上错误的，按照前款规定的顺序修正。</w:t>
      </w:r>
    </w:p>
    <w:p w14:paraId="35661595">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.5磋商小组将按上述修正错误的方法调整响应文件中的报价，并告知供应商，调整后的价格应对供应商具有约束力。如果供应商不接受修正后的价格，则其磋商活动将被拒绝。</w:t>
      </w:r>
    </w:p>
    <w:p w14:paraId="69669A7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.6磋商小组将允许修正响应文件中不构成重大偏离的、微小的、非正规的、不一致的或不规则的地方，但这些修改不能影响任何供应商相应的名次排列。</w:t>
      </w:r>
    </w:p>
    <w:p w14:paraId="068098A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供应商，其他同品牌供应商不作为成交候选供应商。</w:t>
      </w:r>
    </w:p>
    <w:p w14:paraId="4D51117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 被认定为未实质性响应磋商文件的响应文件的情形。</w:t>
      </w:r>
    </w:p>
    <w:p w14:paraId="7D2D6D0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.1出现下列情形之一的，作无效响应处理。</w:t>
      </w:r>
      <w:r>
        <w:rPr>
          <w:rFonts w:hint="eastAsia" w:ascii="宋体" w:hAnsi="宋体" w:eastAsia="宋体" w:cs="宋体"/>
          <w:i w:val="0"/>
          <w:iCs w:val="0"/>
          <w:caps w:val="0"/>
          <w:color w:val="auto"/>
          <w:spacing w:val="0"/>
          <w:sz w:val="27"/>
          <w:szCs w:val="27"/>
          <w:shd w:val="clear" w:fill="FFFFFF"/>
          <w:lang w:eastAsia="zh-CN"/>
        </w:rPr>
        <w:tab/>
      </w:r>
      <w:r>
        <w:rPr>
          <w:rFonts w:hint="eastAsia" w:ascii="宋体" w:hAnsi="宋体" w:eastAsia="宋体" w:cs="宋体"/>
          <w:i w:val="0"/>
          <w:iCs w:val="0"/>
          <w:caps w:val="0"/>
          <w:color w:val="auto"/>
          <w:spacing w:val="0"/>
          <w:sz w:val="27"/>
          <w:szCs w:val="27"/>
          <w:shd w:val="clear" w:fill="FFFFFF"/>
          <w:lang w:eastAsia="zh-CN"/>
        </w:rPr>
        <w:tab/>
      </w:r>
    </w:p>
    <w:p w14:paraId="4E4729E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1</w:t>
      </w:r>
      <w:r>
        <w:rPr>
          <w:rFonts w:hint="eastAsia" w:ascii="宋体" w:hAnsi="宋体" w:eastAsia="宋体" w:cs="宋体"/>
          <w:i w:val="0"/>
          <w:iCs w:val="0"/>
          <w:caps w:val="0"/>
          <w:color w:val="auto"/>
          <w:spacing w:val="0"/>
          <w:sz w:val="27"/>
          <w:szCs w:val="27"/>
          <w:shd w:val="clear" w:fill="FFFFFF"/>
          <w:lang w:eastAsia="zh-CN"/>
        </w:rPr>
        <w:t>同一供应商提交两个（含两个）以上不同的响应报价的。</w:t>
      </w:r>
    </w:p>
    <w:p w14:paraId="002FDC3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 xml:space="preserve">不具备磋商文件中规定的资格要求的。 </w:t>
      </w:r>
    </w:p>
    <w:p w14:paraId="15C6FCA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3</w:t>
      </w:r>
      <w:r>
        <w:rPr>
          <w:rFonts w:hint="eastAsia" w:ascii="宋体" w:hAnsi="宋体" w:eastAsia="宋体" w:cs="宋体"/>
          <w:i w:val="0"/>
          <w:iCs w:val="0"/>
          <w:caps w:val="0"/>
          <w:color w:val="auto"/>
          <w:spacing w:val="0"/>
          <w:sz w:val="27"/>
          <w:szCs w:val="27"/>
          <w:shd w:val="clear" w:fill="FFFFFF"/>
          <w:lang w:eastAsia="zh-CN"/>
        </w:rPr>
        <w:t xml:space="preserve">响应报价超过了采购预算或最高限价的。 </w:t>
      </w:r>
    </w:p>
    <w:p w14:paraId="5EEC4A4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4</w:t>
      </w:r>
      <w:r>
        <w:rPr>
          <w:rFonts w:hint="eastAsia" w:ascii="宋体" w:hAnsi="宋体" w:eastAsia="宋体" w:cs="宋体"/>
          <w:i w:val="0"/>
          <w:iCs w:val="0"/>
          <w:caps w:val="0"/>
          <w:color w:val="auto"/>
          <w:spacing w:val="0"/>
          <w:sz w:val="27"/>
          <w:szCs w:val="27"/>
          <w:shd w:val="clear" w:fill="FFFFFF"/>
          <w:lang w:eastAsia="zh-CN"/>
        </w:rPr>
        <w:t>未通过符合性检查的。</w:t>
      </w:r>
    </w:p>
    <w:p w14:paraId="5F43180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不符合法律、法规和磋商文件中规定的其他实质性要求的。</w:t>
      </w:r>
    </w:p>
    <w:p w14:paraId="2C8F708A">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6</w:t>
      </w:r>
      <w:r>
        <w:rPr>
          <w:rFonts w:hint="eastAsia" w:ascii="宋体" w:hAnsi="宋体" w:eastAsia="宋体" w:cs="宋体"/>
          <w:i w:val="0"/>
          <w:iCs w:val="0"/>
          <w:caps w:val="0"/>
          <w:color w:val="auto"/>
          <w:spacing w:val="0"/>
          <w:sz w:val="27"/>
          <w:szCs w:val="27"/>
          <w:shd w:val="clear" w:fill="FFFFFF"/>
          <w:lang w:eastAsia="zh-CN"/>
        </w:rPr>
        <w:t>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3C13D15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7</w:t>
      </w:r>
      <w:r>
        <w:rPr>
          <w:rFonts w:hint="eastAsia" w:ascii="宋体" w:hAnsi="宋体" w:eastAsia="宋体" w:cs="宋体"/>
          <w:i w:val="0"/>
          <w:iCs w:val="0"/>
          <w:caps w:val="0"/>
          <w:color w:val="auto"/>
          <w:spacing w:val="0"/>
          <w:sz w:val="27"/>
          <w:szCs w:val="27"/>
          <w:shd w:val="clear" w:fill="FFFFFF"/>
          <w:lang w:eastAsia="zh-CN"/>
        </w:rPr>
        <w:t>响应文件含有采购人不能接受的附加条件的。</w:t>
      </w:r>
    </w:p>
    <w:p w14:paraId="2137576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8</w:t>
      </w:r>
      <w:r>
        <w:rPr>
          <w:rFonts w:hint="eastAsia" w:ascii="宋体" w:hAnsi="宋体" w:eastAsia="宋体" w:cs="宋体"/>
          <w:i w:val="0"/>
          <w:iCs w:val="0"/>
          <w:caps w:val="0"/>
          <w:color w:val="auto"/>
          <w:spacing w:val="0"/>
          <w:sz w:val="27"/>
          <w:szCs w:val="27"/>
          <w:shd w:val="clear" w:fill="FFFFFF"/>
          <w:lang w:eastAsia="zh-CN"/>
        </w:rPr>
        <w:t>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20F4AD6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9</w:t>
      </w:r>
      <w:r>
        <w:rPr>
          <w:rFonts w:hint="eastAsia" w:ascii="宋体" w:hAnsi="宋体" w:eastAsia="宋体" w:cs="宋体"/>
          <w:i w:val="0"/>
          <w:iCs w:val="0"/>
          <w:caps w:val="0"/>
          <w:color w:val="auto"/>
          <w:spacing w:val="0"/>
          <w:sz w:val="27"/>
          <w:szCs w:val="27"/>
          <w:shd w:val="clear" w:fill="FFFFFF"/>
          <w:lang w:eastAsia="zh-CN"/>
        </w:rPr>
        <w:t>响应文件未按照采购文件要求加盖签章。</w:t>
      </w:r>
    </w:p>
    <w:p w14:paraId="663BBEA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10</w:t>
      </w:r>
      <w:r>
        <w:rPr>
          <w:rFonts w:hint="eastAsia" w:ascii="宋体" w:hAnsi="宋体" w:eastAsia="宋体" w:cs="宋体"/>
          <w:i w:val="0"/>
          <w:iCs w:val="0"/>
          <w:caps w:val="0"/>
          <w:color w:val="auto"/>
          <w:spacing w:val="0"/>
          <w:sz w:val="27"/>
          <w:szCs w:val="27"/>
          <w:shd w:val="clear" w:fill="FFFFFF"/>
          <w:lang w:eastAsia="zh-CN"/>
        </w:rPr>
        <w:t>投标人的商务技术部分得分相差异常悬殊，磋商小组一致认为得分畸低者有可能影响产品质量或者不能诚信履约的。</w:t>
      </w:r>
    </w:p>
    <w:p w14:paraId="4E39496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w:t>
      </w:r>
      <w:r>
        <w:rPr>
          <w:rFonts w:hint="eastAsia" w:ascii="宋体" w:hAnsi="宋体" w:eastAsia="宋体" w:cs="宋体"/>
          <w:i w:val="0"/>
          <w:iCs w:val="0"/>
          <w:caps w:val="0"/>
          <w:color w:val="auto"/>
          <w:spacing w:val="0"/>
          <w:sz w:val="27"/>
          <w:szCs w:val="27"/>
          <w:shd w:val="clear" w:fill="FFFFFF"/>
          <w:lang w:val="en-US" w:eastAsia="zh-CN"/>
        </w:rPr>
        <w:t>11</w:t>
      </w:r>
      <w:r>
        <w:rPr>
          <w:rFonts w:hint="eastAsia" w:ascii="宋体" w:hAnsi="宋体" w:eastAsia="宋体" w:cs="宋体"/>
          <w:i w:val="0"/>
          <w:iCs w:val="0"/>
          <w:caps w:val="0"/>
          <w:color w:val="auto"/>
          <w:spacing w:val="0"/>
          <w:sz w:val="27"/>
          <w:szCs w:val="27"/>
          <w:shd w:val="clear" w:fill="FFFFFF"/>
          <w:lang w:eastAsia="zh-CN"/>
        </w:rPr>
        <w:t>商务技术分不满</w:t>
      </w:r>
      <w:r>
        <w:rPr>
          <w:rFonts w:hint="eastAsia" w:ascii="宋体" w:hAnsi="宋体" w:eastAsia="宋体" w:cs="宋体"/>
          <w:i w:val="0"/>
          <w:iCs w:val="0"/>
          <w:caps w:val="0"/>
          <w:color w:val="auto"/>
          <w:spacing w:val="0"/>
          <w:sz w:val="27"/>
          <w:szCs w:val="27"/>
          <w:shd w:val="clear" w:fill="FFFFFF"/>
          <w:lang w:val="en-US" w:eastAsia="zh-CN"/>
        </w:rPr>
        <w:t>35</w:t>
      </w:r>
      <w:r>
        <w:rPr>
          <w:rFonts w:hint="eastAsia" w:ascii="宋体" w:hAnsi="宋体" w:eastAsia="宋体" w:cs="宋体"/>
          <w:i w:val="0"/>
          <w:iCs w:val="0"/>
          <w:caps w:val="0"/>
          <w:color w:val="auto"/>
          <w:spacing w:val="0"/>
          <w:sz w:val="27"/>
          <w:szCs w:val="27"/>
          <w:shd w:val="clear" w:fill="FFFFFF"/>
          <w:lang w:eastAsia="zh-CN"/>
        </w:rPr>
        <w:t>分的。</w:t>
      </w:r>
    </w:p>
    <w:p w14:paraId="1D073CA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.1.1</w:t>
      </w:r>
      <w:r>
        <w:rPr>
          <w:rFonts w:hint="eastAsia" w:ascii="宋体" w:hAnsi="宋体" w:eastAsia="宋体" w:cs="宋体"/>
          <w:i w:val="0"/>
          <w:iCs w:val="0"/>
          <w:caps w:val="0"/>
          <w:color w:val="auto"/>
          <w:spacing w:val="0"/>
          <w:sz w:val="27"/>
          <w:szCs w:val="27"/>
          <w:shd w:val="clear" w:fill="FFFFFF"/>
          <w:lang w:val="en-US" w:eastAsia="zh-CN"/>
        </w:rPr>
        <w:t>2</w:t>
      </w:r>
      <w:r>
        <w:rPr>
          <w:rFonts w:hint="eastAsia" w:ascii="宋体" w:hAnsi="宋体" w:eastAsia="宋体" w:cs="宋体"/>
          <w:i w:val="0"/>
          <w:iCs w:val="0"/>
          <w:caps w:val="0"/>
          <w:color w:val="auto"/>
          <w:spacing w:val="0"/>
          <w:sz w:val="27"/>
          <w:szCs w:val="27"/>
          <w:shd w:val="clear" w:fill="FFFFFF"/>
          <w:lang w:eastAsia="zh-CN"/>
        </w:rPr>
        <w:t>其他法律、法规及本磋商文件规定的属无效响应的情形。</w:t>
      </w:r>
    </w:p>
    <w:p w14:paraId="632557E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.2出现下列情形之一的，磋商失败。</w:t>
      </w:r>
    </w:p>
    <w:p w14:paraId="1879B35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.2.1符合条件的供应商或者对磋商文件作实质响应的供应商不足3家的；</w:t>
      </w:r>
    </w:p>
    <w:p w14:paraId="6101D02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.2.2出现影响采购公正的违法违规行为的；</w:t>
      </w:r>
    </w:p>
    <w:p w14:paraId="5AF4642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.2.3因重大变故，采购任务取消的。</w:t>
      </w:r>
    </w:p>
    <w:p w14:paraId="07229C7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.2.4磋商小组认定磋商文件存在歧义、重大缺陷导致评审工作无法进行。</w:t>
      </w:r>
    </w:p>
    <w:p w14:paraId="12DF7A2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.3 响应文件提交截止时间结束后参加磋商的供应商不足三家的处理：</w:t>
      </w:r>
    </w:p>
    <w:p w14:paraId="2DB91C7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val="en-US" w:eastAsia="zh-CN"/>
        </w:rPr>
        <w:t>5</w:t>
      </w:r>
      <w:r>
        <w:rPr>
          <w:rFonts w:hint="eastAsia" w:ascii="宋体" w:hAnsi="宋体" w:eastAsia="宋体" w:cs="宋体"/>
          <w:i w:val="0"/>
          <w:iCs w:val="0"/>
          <w:caps w:val="0"/>
          <w:color w:val="auto"/>
          <w:spacing w:val="0"/>
          <w:sz w:val="27"/>
          <w:szCs w:val="27"/>
          <w:shd w:val="clear" w:fill="FFFFFF"/>
          <w:lang w:eastAsia="zh-CN"/>
        </w:rPr>
        <w:t>.3.1如出现响应文件提交截止时间结束后参加磋商的供应商或者在评审期间对磋商文件做出实质响应的供应商不足三家情况，按政府采购相关规定执行。</w:t>
      </w:r>
    </w:p>
    <w:bookmarkEnd w:id="71"/>
    <w:bookmarkEnd w:id="72"/>
    <w:bookmarkEnd w:id="73"/>
    <w:p w14:paraId="63D3B3A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74" w:name="_Toc120614219"/>
      <w:r>
        <w:rPr>
          <w:rFonts w:hint="eastAsia" w:ascii="宋体" w:hAnsi="宋体" w:eastAsia="宋体" w:cs="宋体"/>
          <w:i w:val="0"/>
          <w:iCs w:val="0"/>
          <w:caps w:val="0"/>
          <w:color w:val="auto"/>
          <w:spacing w:val="0"/>
          <w:sz w:val="27"/>
          <w:szCs w:val="27"/>
          <w:shd w:val="clear" w:fill="FFFFFF"/>
          <w:lang w:eastAsia="zh-CN"/>
        </w:rPr>
        <w:t>（六）</w:t>
      </w:r>
      <w:bookmarkEnd w:id="74"/>
      <w:r>
        <w:rPr>
          <w:rFonts w:hint="eastAsia" w:ascii="宋体" w:hAnsi="宋体" w:eastAsia="宋体" w:cs="宋体"/>
          <w:i w:val="0"/>
          <w:iCs w:val="0"/>
          <w:caps w:val="0"/>
          <w:color w:val="auto"/>
          <w:spacing w:val="0"/>
          <w:sz w:val="27"/>
          <w:szCs w:val="27"/>
          <w:shd w:val="clear" w:fill="FFFFFF"/>
          <w:lang w:eastAsia="zh-CN"/>
        </w:rPr>
        <w:t>成交</w:t>
      </w:r>
    </w:p>
    <w:p w14:paraId="7A621F4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75" w:name="_Toc16938554"/>
      <w:bookmarkStart w:id="76" w:name="_Toc20823310"/>
      <w:r>
        <w:rPr>
          <w:rFonts w:hint="eastAsia" w:ascii="宋体" w:hAnsi="宋体" w:eastAsia="宋体" w:cs="宋体"/>
          <w:i w:val="0"/>
          <w:iCs w:val="0"/>
          <w:caps w:val="0"/>
          <w:color w:val="auto"/>
          <w:spacing w:val="0"/>
          <w:sz w:val="27"/>
          <w:szCs w:val="27"/>
          <w:shd w:val="clear" w:fill="FFFFFF"/>
          <w:lang w:eastAsia="zh-CN"/>
        </w:rPr>
        <w:t>1.确定</w:t>
      </w:r>
      <w:bookmarkEnd w:id="75"/>
      <w:bookmarkEnd w:id="76"/>
      <w:r>
        <w:rPr>
          <w:rFonts w:hint="eastAsia" w:ascii="宋体" w:hAnsi="宋体" w:eastAsia="宋体" w:cs="宋体"/>
          <w:i w:val="0"/>
          <w:iCs w:val="0"/>
          <w:caps w:val="0"/>
          <w:color w:val="auto"/>
          <w:spacing w:val="0"/>
          <w:sz w:val="27"/>
          <w:szCs w:val="27"/>
          <w:shd w:val="clear" w:fill="FFFFFF"/>
          <w:lang w:eastAsia="zh-CN"/>
        </w:rPr>
        <w:t>成交单位</w:t>
      </w:r>
    </w:p>
    <w:p w14:paraId="7DD1A565">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 xml:space="preserve">1.1成交候选供应商的选取原则和数量见磋商文件第四部分规定。 </w:t>
      </w:r>
    </w:p>
    <w:p w14:paraId="1009D76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1.2采购人从评审报告提出的成交候选供应商中，按照排序由高到低的原则确定成交供应商。</w:t>
      </w:r>
    </w:p>
    <w:p w14:paraId="7D42E64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1.3采购人确定成交供应商后，将在启东市人民政府网发布成交结果公告，公告期限为1个工作日。</w:t>
      </w:r>
    </w:p>
    <w:p w14:paraId="67DC261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 若有充分证据证明，成交供应商出现下列情况之一的，一经查实，将被取消成交资格：</w:t>
      </w:r>
    </w:p>
    <w:p w14:paraId="325A65D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1.4.1提供虚假材料谋取成交的。</w:t>
      </w:r>
    </w:p>
    <w:p w14:paraId="406A60B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1.4.2向采购人行贿或者评审专家提供其他不正当利益的。</w:t>
      </w:r>
    </w:p>
    <w:p w14:paraId="617EC0C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1.4.3恶意竞争，最终总报价明显低于其自身合理成本且又无法提供证明的。</w:t>
      </w:r>
    </w:p>
    <w:p w14:paraId="6ECBC5F1">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1.4.4属于本文件规定的无效条件，但在评审过程中又未被磋商小组发现的。</w:t>
      </w:r>
    </w:p>
    <w:p w14:paraId="57F8DD4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1.4.5与采购人或者其他供应商恶意串通的。</w:t>
      </w:r>
    </w:p>
    <w:p w14:paraId="7BF4321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1.4.6采取不正当手段诋毁、排挤其他供应商的。</w:t>
      </w:r>
    </w:p>
    <w:p w14:paraId="2256ADF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77" w:name="_Toc200451960"/>
      <w:r>
        <w:rPr>
          <w:rFonts w:hint="eastAsia" w:ascii="宋体" w:hAnsi="宋体" w:eastAsia="宋体" w:cs="宋体"/>
          <w:i w:val="0"/>
          <w:iCs w:val="0"/>
          <w:caps w:val="0"/>
          <w:color w:val="auto"/>
          <w:spacing w:val="0"/>
          <w:sz w:val="27"/>
          <w:szCs w:val="27"/>
          <w:shd w:val="clear" w:fill="FFFFFF"/>
          <w:lang w:eastAsia="zh-CN"/>
        </w:rPr>
        <w:t>1.5.有下列情形之一的，视为供应商串通参与磋商，响应无效：</w:t>
      </w:r>
    </w:p>
    <w:p w14:paraId="5179DE2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1.5.1不同供应商的响应文件由同一单位或者个人编制；</w:t>
      </w:r>
    </w:p>
    <w:p w14:paraId="05A3652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1.5.2不同供应商委托同一单位或者个人办理磋商事宜；</w:t>
      </w:r>
    </w:p>
    <w:p w14:paraId="0BE0161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1.5.3不同供应商的响应文件载明的项目管理成员或者联系人员为同一人；</w:t>
      </w:r>
    </w:p>
    <w:p w14:paraId="0F31BC7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1.5.4不同供应商的响应文件异常一致或者响应报价呈规律性差异。</w:t>
      </w:r>
    </w:p>
    <w:p w14:paraId="0B4E929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2.质疑处理</w:t>
      </w:r>
      <w:bookmarkEnd w:id="77"/>
    </w:p>
    <w:p w14:paraId="001920A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2.1 提出质疑的供应商应当是参与所质疑项目采购活动的供应商。潜在供应商依法获取其可质疑的磋商文件的，可以对磋商文件提出质疑。</w:t>
      </w:r>
    </w:p>
    <w:p w14:paraId="7FC9F7E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2.2供应商认为磋商文件、采购过程和采购结果使自己的权益受到损害的，可以在知道或应知其权益受到损害之日起七个工作日内，以书面形式向采购人提出质疑。上述应知其权益受到损害之日，是指：</w:t>
      </w:r>
    </w:p>
    <w:p w14:paraId="49F46D7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2.2.1对可以质疑的磋商文件提出质疑的，为收到磋商文件之日或者磋商文件公告期限届满之日；</w:t>
      </w:r>
      <w:r>
        <w:rPr>
          <w:rFonts w:hint="eastAsia" w:ascii="宋体" w:hAnsi="宋体" w:eastAsia="宋体" w:cs="宋体"/>
          <w:i w:val="0"/>
          <w:iCs w:val="0"/>
          <w:caps w:val="0"/>
          <w:color w:val="auto"/>
          <w:spacing w:val="0"/>
          <w:sz w:val="27"/>
          <w:szCs w:val="27"/>
          <w:shd w:val="clear" w:fill="FFFFFF"/>
          <w:lang w:eastAsia="zh-CN"/>
        </w:rPr>
        <w:br w:type="textWrapping"/>
      </w:r>
      <w:r>
        <w:rPr>
          <w:rFonts w:hint="eastAsia" w:ascii="宋体" w:hAnsi="宋体" w:eastAsia="宋体" w:cs="宋体"/>
          <w:i w:val="0"/>
          <w:iCs w:val="0"/>
          <w:caps w:val="0"/>
          <w:color w:val="auto"/>
          <w:spacing w:val="0"/>
          <w:sz w:val="27"/>
          <w:szCs w:val="27"/>
          <w:shd w:val="clear" w:fill="FFFFFF"/>
          <w:lang w:eastAsia="zh-CN"/>
        </w:rPr>
        <w:t>　　2.2.2对采购过程提出质疑的，为各采购程序环节结束之日；</w:t>
      </w:r>
      <w:r>
        <w:rPr>
          <w:rFonts w:hint="eastAsia" w:ascii="宋体" w:hAnsi="宋体" w:eastAsia="宋体" w:cs="宋体"/>
          <w:i w:val="0"/>
          <w:iCs w:val="0"/>
          <w:caps w:val="0"/>
          <w:color w:val="auto"/>
          <w:spacing w:val="0"/>
          <w:sz w:val="27"/>
          <w:szCs w:val="27"/>
          <w:shd w:val="clear" w:fill="FFFFFF"/>
          <w:lang w:eastAsia="zh-CN"/>
        </w:rPr>
        <w:br w:type="textWrapping"/>
      </w:r>
      <w:r>
        <w:rPr>
          <w:rFonts w:hint="eastAsia" w:ascii="宋体" w:hAnsi="宋体" w:eastAsia="宋体" w:cs="宋体"/>
          <w:i w:val="0"/>
          <w:iCs w:val="0"/>
          <w:caps w:val="0"/>
          <w:color w:val="auto"/>
          <w:spacing w:val="0"/>
          <w:sz w:val="27"/>
          <w:szCs w:val="27"/>
          <w:shd w:val="clear" w:fill="FFFFFF"/>
          <w:lang w:eastAsia="zh-CN"/>
        </w:rPr>
        <w:t>　　2.2.3对成交结果提出质疑的，为成交结果公告期限届满之日。</w:t>
      </w:r>
    </w:p>
    <w:p w14:paraId="09F51BF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供应商应当在法定质疑期内一次性提出针对同一采购程序环节的质疑。</w:t>
      </w:r>
    </w:p>
    <w:p w14:paraId="21EF2B8F">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2.3质疑函必须按照本磋商文件中《质疑函范本》要求的格式和内容进行填写。供应商如组成联合体参加磋商，则《质疑函范本》中要求签字、盖章、加盖公章之处，联合体各方均须按要求签字、盖章、加盖公章。</w:t>
      </w:r>
    </w:p>
    <w:p w14:paraId="6DA6C64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2.4对采购方式、磋商文件中项目需求、供应商资格条件、评审方法和评审标准、资格审查结果等应当由采购人答复的质疑，请向采购人提出，由采购人负责答复。供应商对其他事项的质疑，请向</w:t>
      </w:r>
      <w:r>
        <w:rPr>
          <w:rFonts w:hint="eastAsia" w:ascii="宋体" w:hAnsi="宋体" w:eastAsia="宋体" w:cs="宋体"/>
          <w:i w:val="0"/>
          <w:iCs w:val="0"/>
          <w:caps w:val="0"/>
          <w:color w:val="auto"/>
          <w:spacing w:val="0"/>
          <w:sz w:val="27"/>
          <w:szCs w:val="27"/>
          <w:shd w:val="clear" w:fill="FFFFFF"/>
          <w:lang w:val="en-US" w:eastAsia="zh-CN"/>
        </w:rPr>
        <w:t>招标代理</w:t>
      </w:r>
      <w:r>
        <w:rPr>
          <w:rFonts w:hint="eastAsia" w:ascii="宋体" w:hAnsi="宋体" w:eastAsia="宋体" w:cs="宋体"/>
          <w:i w:val="0"/>
          <w:iCs w:val="0"/>
          <w:caps w:val="0"/>
          <w:color w:val="auto"/>
          <w:spacing w:val="0"/>
          <w:sz w:val="27"/>
          <w:szCs w:val="27"/>
          <w:shd w:val="clear" w:fill="FFFFFF"/>
          <w:lang w:eastAsia="zh-CN"/>
        </w:rPr>
        <w:t>提出，由</w:t>
      </w:r>
      <w:r>
        <w:rPr>
          <w:rFonts w:hint="eastAsia" w:ascii="宋体" w:hAnsi="宋体" w:eastAsia="宋体" w:cs="宋体"/>
          <w:i w:val="0"/>
          <w:iCs w:val="0"/>
          <w:caps w:val="0"/>
          <w:color w:val="auto"/>
          <w:spacing w:val="0"/>
          <w:sz w:val="27"/>
          <w:szCs w:val="27"/>
          <w:shd w:val="clear" w:fill="FFFFFF"/>
          <w:lang w:val="en-US" w:eastAsia="zh-CN"/>
        </w:rPr>
        <w:t>招标代理</w:t>
      </w:r>
      <w:r>
        <w:rPr>
          <w:rFonts w:hint="eastAsia" w:ascii="宋体" w:hAnsi="宋体" w:eastAsia="宋体" w:cs="宋体"/>
          <w:i w:val="0"/>
          <w:iCs w:val="0"/>
          <w:caps w:val="0"/>
          <w:color w:val="auto"/>
          <w:spacing w:val="0"/>
          <w:sz w:val="27"/>
          <w:szCs w:val="27"/>
          <w:shd w:val="clear" w:fill="FFFFFF"/>
          <w:lang w:eastAsia="zh-CN"/>
        </w:rPr>
        <w:t>负责答复。</w:t>
      </w:r>
    </w:p>
    <w:p w14:paraId="3752002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供应商于法定期限内提起质疑，向采购人以书面形式提交质疑函。</w:t>
      </w:r>
    </w:p>
    <w:p w14:paraId="6C0921D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采购人质疑接收人及联系方式，见磋商文件第一部分。</w:t>
      </w:r>
    </w:p>
    <w:p w14:paraId="199F18B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2.5 以下情形的质疑不予受理</w:t>
      </w:r>
    </w:p>
    <w:p w14:paraId="3C4523E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2.5.1 内容不符合《政府采购质疑和投诉办法》第十二条规定的质疑。</w:t>
      </w:r>
    </w:p>
    <w:p w14:paraId="045DFBB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2.5.2 超出政府采购法定期限的质疑。</w:t>
      </w:r>
    </w:p>
    <w:p w14:paraId="02BAFA7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2.5.3 未参加磋商活动的供应商或在磋商活动中自身权益未受到损害的供应商所提出的质疑。</w:t>
      </w:r>
    </w:p>
    <w:p w14:paraId="3E80B90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2.5.4供应商组成联合体参加磋商，联合体中任何一方或多方未按要求签字、盖章、加盖公章的质疑。</w:t>
      </w:r>
    </w:p>
    <w:p w14:paraId="4A35388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2.6 供应商提出书面质疑必须有理、有据，不得捏造事实、提供虚假材料进行恶意质疑。否则，一经查实，</w:t>
      </w:r>
      <w:r>
        <w:rPr>
          <w:rFonts w:hint="eastAsia" w:ascii="宋体" w:hAnsi="宋体" w:eastAsia="宋体" w:cs="宋体"/>
          <w:i w:val="0"/>
          <w:iCs w:val="0"/>
          <w:caps w:val="0"/>
          <w:color w:val="auto"/>
          <w:spacing w:val="0"/>
          <w:sz w:val="27"/>
          <w:szCs w:val="27"/>
          <w:shd w:val="clear" w:fill="FFFFFF"/>
          <w:lang w:val="en-US" w:eastAsia="zh-CN"/>
        </w:rPr>
        <w:t>采购人</w:t>
      </w:r>
      <w:r>
        <w:rPr>
          <w:rFonts w:hint="eastAsia" w:ascii="宋体" w:hAnsi="宋体" w:eastAsia="宋体" w:cs="宋体"/>
          <w:i w:val="0"/>
          <w:iCs w:val="0"/>
          <w:caps w:val="0"/>
          <w:color w:val="auto"/>
          <w:spacing w:val="0"/>
          <w:sz w:val="27"/>
          <w:szCs w:val="27"/>
          <w:shd w:val="clear" w:fill="FFFFFF"/>
          <w:lang w:eastAsia="zh-CN"/>
        </w:rPr>
        <w:t>有权依据政府采购的有关规定，报请政府采购监管部门对该供应商进行相应的行政处罚和记录该供应商的失信信息。</w:t>
      </w:r>
    </w:p>
    <w:p w14:paraId="2578C22C">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3．成交通知书</w:t>
      </w:r>
    </w:p>
    <w:p w14:paraId="6B355DF2">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3.l 成交结果确定后，将向成交供应商发出成交通知书。</w:t>
      </w:r>
    </w:p>
    <w:p w14:paraId="3E2612A9">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3.2成交通知书将是合同的一个组成部分。对采购人和成交供应商均具有法律效力。成交通知书发出后，采购人改变成交结果的，或者成交供应商放弃磋商项目的，应当依法承担法律责任。</w:t>
      </w:r>
    </w:p>
    <w:p w14:paraId="692B44B3">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bookmarkStart w:id="78" w:name="_Toc120614220"/>
      <w:bookmarkStart w:id="79" w:name="_Toc513029236"/>
      <w:bookmarkStart w:id="80" w:name="_Toc16938552"/>
      <w:bookmarkStart w:id="81" w:name="_Toc20823308"/>
      <w:r>
        <w:rPr>
          <w:rFonts w:hint="eastAsia" w:ascii="宋体" w:hAnsi="宋体" w:eastAsia="宋体" w:cs="宋体"/>
          <w:i w:val="0"/>
          <w:iCs w:val="0"/>
          <w:caps w:val="0"/>
          <w:color w:val="auto"/>
          <w:spacing w:val="0"/>
          <w:sz w:val="27"/>
          <w:szCs w:val="27"/>
          <w:shd w:val="clear" w:fill="FFFFFF"/>
          <w:lang w:eastAsia="zh-CN"/>
        </w:rPr>
        <w:t>（七）授予合同</w:t>
      </w:r>
      <w:bookmarkEnd w:id="78"/>
    </w:p>
    <w:bookmarkEnd w:id="79"/>
    <w:bookmarkEnd w:id="80"/>
    <w:bookmarkEnd w:id="81"/>
    <w:p w14:paraId="1A757A47">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1.签订合同</w:t>
      </w:r>
    </w:p>
    <w:p w14:paraId="2DAD5996">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1.l成交供应商应当在成交通知书发出之日起三十日内，按照磋商文件确定的事项与采购人签订政府采购合同。</w:t>
      </w:r>
    </w:p>
    <w:p w14:paraId="186A2D68">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1.2磋商文件、成交供应商的响应文件及磋商过程中有关澄清、承诺文件均应作为合同附件。</w:t>
      </w:r>
    </w:p>
    <w:p w14:paraId="26F17454">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66555FE">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2.货物和服务的追加、减少和添购。</w:t>
      </w:r>
    </w:p>
    <w:p w14:paraId="5990C15B">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2.1政府采购合同履行中，采购人需追加与合同标的相同的货物和服务的，在不改变合同其他条款的前提下，可以与成交供应商协商签订补充合同，但所有补充合同的采购金额不超过原合同金额10%。</w:t>
      </w:r>
    </w:p>
    <w:p w14:paraId="355EC26D">
      <w:pPr>
        <w:adjustRightInd w:val="0"/>
        <w:snapToGrid w:val="0"/>
        <w:spacing w:line="500" w:lineRule="exact"/>
        <w:ind w:firstLine="540" w:firstLineChars="200"/>
        <w:rPr>
          <w:rFonts w:hint="eastAsia" w:ascii="宋体" w:hAnsi="宋体" w:eastAsia="宋体" w:cs="宋体"/>
          <w:i w:val="0"/>
          <w:iCs w:val="0"/>
          <w:caps w:val="0"/>
          <w:color w:val="auto"/>
          <w:spacing w:val="0"/>
          <w:sz w:val="27"/>
          <w:szCs w:val="27"/>
          <w:shd w:val="clear" w:fill="FFFFFF"/>
          <w:lang w:eastAsia="zh-CN"/>
        </w:rPr>
      </w:pPr>
      <w:r>
        <w:rPr>
          <w:rFonts w:hint="eastAsia" w:ascii="宋体" w:hAnsi="宋体" w:eastAsia="宋体" w:cs="宋体"/>
          <w:i w:val="0"/>
          <w:iCs w:val="0"/>
          <w:caps w:val="0"/>
          <w:color w:val="auto"/>
          <w:spacing w:val="0"/>
          <w:sz w:val="27"/>
          <w:szCs w:val="27"/>
          <w:shd w:val="clear" w:fill="FFFFFF"/>
          <w:lang w:eastAsia="zh-CN"/>
        </w:rPr>
        <w:t>2.2采购结束后，采购人若由于各种客观原因，必须对采购项目所牵涉的货物和服务进行适当的减少时，在双方协商一致的前提下，可以按照采购时的价格水平做相应的调减，并据此签订补充合同。</w:t>
      </w:r>
    </w:p>
    <w:p w14:paraId="43D293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center"/>
        <w:textAlignment w:val="auto"/>
        <w:rPr>
          <w:rFonts w:hint="eastAsia" w:ascii="宋体" w:hAnsi="宋体" w:eastAsia="宋体" w:cs="宋体"/>
          <w:b/>
          <w:bCs/>
          <w:i w:val="0"/>
          <w:iCs w:val="0"/>
          <w:caps w:val="0"/>
          <w:color w:val="auto"/>
          <w:spacing w:val="0"/>
          <w:sz w:val="32"/>
          <w:szCs w:val="32"/>
          <w:shd w:val="clear" w:fill="FFFFFF"/>
        </w:rPr>
        <w:sectPr>
          <w:pgSz w:w="11906" w:h="16838"/>
          <w:pgMar w:top="1440" w:right="1519" w:bottom="1440" w:left="1519" w:header="851" w:footer="992" w:gutter="0"/>
          <w:cols w:space="425" w:num="1"/>
          <w:docGrid w:type="lines" w:linePitch="312" w:charSpace="0"/>
        </w:sectPr>
      </w:pPr>
    </w:p>
    <w:p w14:paraId="4601D4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fill="FFFFFF"/>
        </w:rPr>
        <w:t>第三部分</w:t>
      </w:r>
      <w:r>
        <w:rPr>
          <w:rFonts w:hint="eastAsia" w:ascii="宋体" w:hAnsi="宋体" w:eastAsia="宋体" w:cs="宋体"/>
          <w:b/>
          <w:bCs/>
          <w:i w:val="0"/>
          <w:iCs w:val="0"/>
          <w:caps w:val="0"/>
          <w:color w:val="auto"/>
          <w:spacing w:val="0"/>
          <w:sz w:val="32"/>
          <w:szCs w:val="32"/>
          <w:shd w:val="clear" w:fill="FFFFFF"/>
          <w:lang w:val="en-US" w:eastAsia="zh-CN"/>
        </w:rPr>
        <w:t xml:space="preserve">  </w:t>
      </w:r>
      <w:r>
        <w:rPr>
          <w:rFonts w:hint="eastAsia" w:ascii="宋体" w:hAnsi="宋体" w:eastAsia="宋体" w:cs="宋体"/>
          <w:b/>
          <w:bCs/>
          <w:i w:val="0"/>
          <w:iCs w:val="0"/>
          <w:caps w:val="0"/>
          <w:color w:val="auto"/>
          <w:spacing w:val="0"/>
          <w:sz w:val="32"/>
          <w:szCs w:val="32"/>
          <w:shd w:val="clear" w:fill="FFFFFF"/>
        </w:rPr>
        <w:t>项目需求</w:t>
      </w:r>
    </w:p>
    <w:p w14:paraId="249C88F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default" w:ascii="Times New Roman" w:hAnsi="Times New Roman" w:cs="Times New Roman"/>
          <w:kern w:val="2"/>
          <w:szCs w:val="24"/>
          <w:lang w:val="en-US" w:eastAsia="zh-CN"/>
        </w:rPr>
      </w:pPr>
      <w:r>
        <w:rPr>
          <w:rFonts w:hint="eastAsia" w:ascii="Times New Roman" w:hAnsi="Times New Roman" w:cs="Times New Roman"/>
          <w:kern w:val="2"/>
          <w:szCs w:val="24"/>
          <w:lang w:val="en-US" w:eastAsia="zh-CN"/>
        </w:rPr>
        <w:t>一、采购需求</w:t>
      </w:r>
    </w:p>
    <w:p w14:paraId="03E5913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（一）服务范围</w:t>
      </w:r>
    </w:p>
    <w:p w14:paraId="0F112DB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启东市寅阳镇和合苑，总建筑面积144318.26平方米，18栋1286套。</w:t>
      </w:r>
    </w:p>
    <w:p w14:paraId="4D2953F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现服务面积约为86590.96平方米（按入住率60%估算）。本项目服务面积为暂定，服务面积按照每三个月入住率进行调整，面积调整的风险均已包含在本次招标的单价中。签订合同前中标人无条件服从招标人确定的实际服务面积，并不得以该项理由等与招标人发生合同纠纷。</w:t>
      </w:r>
    </w:p>
    <w:p w14:paraId="3864500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（二）服务内容及其要求</w:t>
      </w:r>
    </w:p>
    <w:p w14:paraId="73343BB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2.1服务内容:</w:t>
      </w:r>
    </w:p>
    <w:p w14:paraId="04429EC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启东市寅阳镇2024-2025年和合苑物业服务项目，包括门卫、日间夜间巡逻、日常垃圾及建筑垃圾清理、保洁、维修与管理等服务。</w:t>
      </w:r>
    </w:p>
    <w:p w14:paraId="3530619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电梯维保、消防系统、智能化系统、绿化养护尚在维保期，不在本次服务范围内。</w:t>
      </w:r>
    </w:p>
    <w:p w14:paraId="49A4956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2.2物业管理服务方案与服务标准：</w:t>
      </w:r>
    </w:p>
    <w:p w14:paraId="5CDEE0D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达到启东市人民政府文件【启政规[2016]3号】中的二级服务标准。</w:t>
      </w:r>
    </w:p>
    <w:p w14:paraId="761351E4">
      <w:pPr>
        <w:spacing w:line="400" w:lineRule="exact"/>
        <w:ind w:firstLine="562" w:firstLineChars="200"/>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1</w:t>
      </w:r>
      <w:r>
        <w:rPr>
          <w:rFonts w:hint="eastAsia" w:ascii="宋体" w:hAnsi="宋体"/>
          <w:b/>
          <w:sz w:val="28"/>
          <w:szCs w:val="28"/>
        </w:rPr>
        <w:t>）</w:t>
      </w:r>
      <w:r>
        <w:rPr>
          <w:rFonts w:ascii="宋体" w:hAnsi="宋体"/>
          <w:b/>
          <w:sz w:val="28"/>
          <w:szCs w:val="28"/>
        </w:rPr>
        <w:t>综合管理服务标准</w:t>
      </w:r>
    </w:p>
    <w:tbl>
      <w:tblPr>
        <w:tblStyle w:val="6"/>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85"/>
        <w:gridCol w:w="1033"/>
        <w:gridCol w:w="1621"/>
        <w:gridCol w:w="5138"/>
      </w:tblGrid>
      <w:tr w14:paraId="6257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 w:hRule="atLeast"/>
          <w:jc w:val="center"/>
        </w:trPr>
        <w:tc>
          <w:tcPr>
            <w:tcW w:w="2106" w:type="pct"/>
            <w:gridSpan w:val="3"/>
            <w:noWrap w:val="0"/>
            <w:vAlign w:val="center"/>
          </w:tcPr>
          <w:p w14:paraId="15DF05D6">
            <w:pPr>
              <w:widowControl/>
              <w:spacing w:line="280" w:lineRule="exact"/>
              <w:jc w:val="center"/>
              <w:textAlignment w:val="center"/>
              <w:rPr>
                <w:rFonts w:ascii="宋体" w:hAnsi="宋体"/>
                <w:color w:val="000000"/>
                <w:kern w:val="0"/>
                <w:szCs w:val="21"/>
              </w:rPr>
            </w:pPr>
            <w:r>
              <w:rPr>
                <w:rFonts w:ascii="宋体" w:hAnsi="宋体"/>
                <w:color w:val="000000"/>
                <w:kern w:val="0"/>
                <w:szCs w:val="21"/>
              </w:rPr>
              <w:t>服务内容</w:t>
            </w:r>
          </w:p>
        </w:tc>
        <w:tc>
          <w:tcPr>
            <w:tcW w:w="2894" w:type="pct"/>
            <w:noWrap w:val="0"/>
            <w:vAlign w:val="center"/>
          </w:tcPr>
          <w:p w14:paraId="032C1CA8">
            <w:pPr>
              <w:widowControl/>
              <w:spacing w:line="280" w:lineRule="exact"/>
              <w:jc w:val="center"/>
              <w:textAlignment w:val="center"/>
              <w:rPr>
                <w:rFonts w:ascii="宋体" w:hAnsi="宋体"/>
                <w:color w:val="000000"/>
                <w:kern w:val="0"/>
                <w:szCs w:val="21"/>
              </w:rPr>
            </w:pPr>
            <w:r>
              <w:rPr>
                <w:rFonts w:ascii="宋体" w:hAnsi="宋体"/>
                <w:color w:val="000000"/>
                <w:kern w:val="0"/>
                <w:szCs w:val="21"/>
              </w:rPr>
              <w:t>二级</w:t>
            </w:r>
          </w:p>
        </w:tc>
      </w:tr>
      <w:tr w14:paraId="18F9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jc w:val="center"/>
        </w:trPr>
        <w:tc>
          <w:tcPr>
            <w:tcW w:w="611" w:type="pct"/>
            <w:vMerge w:val="restart"/>
            <w:noWrap w:val="0"/>
            <w:textDirection w:val="tbRlV"/>
            <w:vAlign w:val="center"/>
          </w:tcPr>
          <w:p w14:paraId="3E93FA28">
            <w:pPr>
              <w:widowControl/>
              <w:spacing w:line="280" w:lineRule="exact"/>
              <w:jc w:val="center"/>
              <w:textAlignment w:val="center"/>
              <w:rPr>
                <w:rFonts w:ascii="宋体" w:hAnsi="宋体"/>
                <w:color w:val="000000"/>
                <w:kern w:val="0"/>
                <w:szCs w:val="21"/>
              </w:rPr>
            </w:pPr>
            <w:r>
              <w:rPr>
                <w:rFonts w:ascii="宋体" w:hAnsi="宋体"/>
                <w:color w:val="000000"/>
                <w:kern w:val="0"/>
                <w:szCs w:val="21"/>
              </w:rPr>
              <w:t>基本要求</w:t>
            </w:r>
          </w:p>
        </w:tc>
        <w:tc>
          <w:tcPr>
            <w:tcW w:w="582" w:type="pct"/>
            <w:vMerge w:val="restart"/>
            <w:noWrap w:val="0"/>
            <w:vAlign w:val="center"/>
          </w:tcPr>
          <w:p w14:paraId="0219E78C">
            <w:pPr>
              <w:widowControl/>
              <w:spacing w:line="280" w:lineRule="exact"/>
              <w:jc w:val="center"/>
              <w:textAlignment w:val="center"/>
              <w:rPr>
                <w:rFonts w:ascii="宋体" w:hAnsi="宋体"/>
                <w:color w:val="000000"/>
                <w:kern w:val="0"/>
                <w:szCs w:val="21"/>
              </w:rPr>
            </w:pPr>
            <w:r>
              <w:rPr>
                <w:rFonts w:ascii="宋体" w:hAnsi="宋体"/>
                <w:color w:val="000000"/>
                <w:kern w:val="0"/>
                <w:szCs w:val="21"/>
              </w:rPr>
              <w:t>服务机构</w:t>
            </w:r>
          </w:p>
        </w:tc>
        <w:tc>
          <w:tcPr>
            <w:tcW w:w="913" w:type="pct"/>
            <w:noWrap w:val="0"/>
            <w:vAlign w:val="center"/>
          </w:tcPr>
          <w:p w14:paraId="110D7BF6">
            <w:pPr>
              <w:widowControl/>
              <w:spacing w:line="280" w:lineRule="exact"/>
              <w:jc w:val="center"/>
              <w:textAlignment w:val="center"/>
              <w:rPr>
                <w:rFonts w:ascii="宋体" w:hAnsi="宋体"/>
                <w:color w:val="000000"/>
                <w:kern w:val="0"/>
                <w:szCs w:val="21"/>
              </w:rPr>
            </w:pPr>
            <w:r>
              <w:rPr>
                <w:rFonts w:ascii="宋体" w:hAnsi="宋体"/>
                <w:color w:val="000000"/>
                <w:kern w:val="0"/>
                <w:szCs w:val="21"/>
              </w:rPr>
              <w:t>配置办公设施</w:t>
            </w:r>
          </w:p>
        </w:tc>
        <w:tc>
          <w:tcPr>
            <w:tcW w:w="2894" w:type="pct"/>
            <w:vMerge w:val="restart"/>
            <w:noWrap w:val="0"/>
            <w:vAlign w:val="center"/>
          </w:tcPr>
          <w:p w14:paraId="3D0E58F0">
            <w:pPr>
              <w:widowControl/>
              <w:spacing w:line="280" w:lineRule="exact"/>
              <w:textAlignment w:val="center"/>
              <w:rPr>
                <w:rFonts w:ascii="宋体" w:hAnsi="宋体"/>
                <w:color w:val="000000"/>
                <w:kern w:val="0"/>
                <w:szCs w:val="21"/>
              </w:rPr>
            </w:pPr>
            <w:r>
              <w:rPr>
                <w:rFonts w:ascii="宋体" w:hAnsi="宋体"/>
                <w:color w:val="000000"/>
                <w:kern w:val="0"/>
                <w:szCs w:val="21"/>
              </w:rPr>
              <w:t>配置基本办公设施；据实提供特约（有偿）服务和便民（无偿）服务。</w:t>
            </w:r>
          </w:p>
        </w:tc>
      </w:tr>
      <w:tr w14:paraId="5CD9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611" w:type="pct"/>
            <w:vMerge w:val="continue"/>
            <w:noWrap w:val="0"/>
            <w:textDirection w:val="tbRlV"/>
            <w:vAlign w:val="center"/>
          </w:tcPr>
          <w:p w14:paraId="7DAABBE2">
            <w:pPr>
              <w:widowControl/>
              <w:spacing w:line="280" w:lineRule="exact"/>
              <w:jc w:val="center"/>
              <w:rPr>
                <w:rFonts w:ascii="宋体" w:hAnsi="宋体"/>
                <w:color w:val="000000"/>
                <w:kern w:val="0"/>
                <w:szCs w:val="21"/>
              </w:rPr>
            </w:pPr>
          </w:p>
        </w:tc>
        <w:tc>
          <w:tcPr>
            <w:tcW w:w="582" w:type="pct"/>
            <w:vMerge w:val="continue"/>
            <w:noWrap w:val="0"/>
            <w:vAlign w:val="center"/>
          </w:tcPr>
          <w:p w14:paraId="0BF2B57D">
            <w:pPr>
              <w:widowControl/>
              <w:spacing w:line="280" w:lineRule="exact"/>
              <w:jc w:val="center"/>
              <w:rPr>
                <w:rFonts w:ascii="宋体" w:hAnsi="宋体"/>
                <w:color w:val="000000"/>
                <w:kern w:val="0"/>
                <w:szCs w:val="21"/>
              </w:rPr>
            </w:pPr>
          </w:p>
        </w:tc>
        <w:tc>
          <w:tcPr>
            <w:tcW w:w="913" w:type="pct"/>
            <w:noWrap w:val="0"/>
            <w:vAlign w:val="center"/>
          </w:tcPr>
          <w:p w14:paraId="14A980A4">
            <w:pPr>
              <w:widowControl/>
              <w:spacing w:line="300" w:lineRule="exact"/>
              <w:jc w:val="center"/>
              <w:textAlignment w:val="center"/>
              <w:rPr>
                <w:rFonts w:ascii="宋体" w:hAnsi="宋体"/>
                <w:color w:val="000000"/>
                <w:kern w:val="0"/>
                <w:szCs w:val="21"/>
              </w:rPr>
            </w:pPr>
            <w:r>
              <w:rPr>
                <w:rFonts w:ascii="宋体" w:hAnsi="宋体"/>
                <w:color w:val="000000"/>
                <w:kern w:val="0"/>
                <w:szCs w:val="21"/>
              </w:rPr>
              <w:t>办公场所</w:t>
            </w:r>
          </w:p>
        </w:tc>
        <w:tc>
          <w:tcPr>
            <w:tcW w:w="2894" w:type="pct"/>
            <w:vMerge w:val="continue"/>
            <w:noWrap w:val="0"/>
            <w:vAlign w:val="center"/>
          </w:tcPr>
          <w:p w14:paraId="1647D69B">
            <w:pPr>
              <w:widowControl/>
              <w:spacing w:line="280" w:lineRule="exact"/>
              <w:rPr>
                <w:rFonts w:ascii="宋体" w:hAnsi="宋体"/>
                <w:color w:val="000000"/>
                <w:kern w:val="0"/>
                <w:szCs w:val="21"/>
              </w:rPr>
            </w:pPr>
          </w:p>
        </w:tc>
      </w:tr>
      <w:tr w14:paraId="44B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611" w:type="pct"/>
            <w:vMerge w:val="continue"/>
            <w:noWrap w:val="0"/>
            <w:textDirection w:val="tbRlV"/>
            <w:vAlign w:val="center"/>
          </w:tcPr>
          <w:p w14:paraId="5AEB9A50">
            <w:pPr>
              <w:widowControl/>
              <w:spacing w:line="280" w:lineRule="exact"/>
              <w:jc w:val="center"/>
              <w:rPr>
                <w:rFonts w:ascii="宋体" w:hAnsi="宋体"/>
                <w:color w:val="000000"/>
                <w:kern w:val="0"/>
                <w:szCs w:val="21"/>
              </w:rPr>
            </w:pPr>
          </w:p>
        </w:tc>
        <w:tc>
          <w:tcPr>
            <w:tcW w:w="582" w:type="pct"/>
            <w:vMerge w:val="restart"/>
            <w:noWrap w:val="0"/>
            <w:vAlign w:val="center"/>
          </w:tcPr>
          <w:p w14:paraId="28E88976">
            <w:pPr>
              <w:widowControl/>
              <w:spacing w:line="280" w:lineRule="exact"/>
              <w:jc w:val="center"/>
              <w:textAlignment w:val="center"/>
              <w:rPr>
                <w:rFonts w:ascii="宋体" w:hAnsi="宋体"/>
                <w:color w:val="000000"/>
                <w:kern w:val="0"/>
                <w:szCs w:val="21"/>
              </w:rPr>
            </w:pPr>
            <w:r>
              <w:rPr>
                <w:rFonts w:ascii="宋体" w:hAnsi="宋体"/>
                <w:color w:val="000000"/>
                <w:kern w:val="0"/>
                <w:szCs w:val="21"/>
              </w:rPr>
              <w:t>服务人员</w:t>
            </w:r>
          </w:p>
        </w:tc>
        <w:tc>
          <w:tcPr>
            <w:tcW w:w="913" w:type="pct"/>
            <w:noWrap w:val="0"/>
            <w:vAlign w:val="center"/>
          </w:tcPr>
          <w:p w14:paraId="583AABC4">
            <w:pPr>
              <w:widowControl/>
              <w:spacing w:line="280" w:lineRule="exact"/>
              <w:jc w:val="center"/>
              <w:textAlignment w:val="center"/>
              <w:rPr>
                <w:rFonts w:ascii="宋体" w:hAnsi="宋体"/>
                <w:color w:val="000000"/>
                <w:kern w:val="0"/>
                <w:szCs w:val="21"/>
              </w:rPr>
            </w:pPr>
            <w:r>
              <w:rPr>
                <w:rFonts w:ascii="宋体" w:hAnsi="宋体"/>
                <w:color w:val="000000"/>
                <w:kern w:val="0"/>
                <w:szCs w:val="21"/>
              </w:rPr>
              <w:t>小区经理</w:t>
            </w:r>
          </w:p>
        </w:tc>
        <w:tc>
          <w:tcPr>
            <w:tcW w:w="2894" w:type="pct"/>
            <w:noWrap w:val="0"/>
            <w:vAlign w:val="center"/>
          </w:tcPr>
          <w:p w14:paraId="138383B8">
            <w:pPr>
              <w:widowControl/>
              <w:spacing w:line="280" w:lineRule="exact"/>
              <w:textAlignment w:val="center"/>
              <w:rPr>
                <w:rFonts w:ascii="宋体" w:hAnsi="宋体"/>
                <w:color w:val="000000"/>
                <w:kern w:val="0"/>
                <w:szCs w:val="21"/>
              </w:rPr>
            </w:pPr>
            <w:r>
              <w:rPr>
                <w:rFonts w:ascii="宋体" w:hAnsi="宋体"/>
                <w:color w:val="000000"/>
                <w:kern w:val="0"/>
                <w:szCs w:val="21"/>
              </w:rPr>
              <w:t>有物业管理员相关证书,有1年以上物业服务工作经历。</w:t>
            </w:r>
          </w:p>
        </w:tc>
      </w:tr>
      <w:tr w14:paraId="609B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jc w:val="center"/>
        </w:trPr>
        <w:tc>
          <w:tcPr>
            <w:tcW w:w="611" w:type="pct"/>
            <w:vMerge w:val="continue"/>
            <w:noWrap w:val="0"/>
            <w:textDirection w:val="tbRlV"/>
            <w:vAlign w:val="center"/>
          </w:tcPr>
          <w:p w14:paraId="2DDB04AE">
            <w:pPr>
              <w:widowControl/>
              <w:spacing w:line="280" w:lineRule="exact"/>
              <w:jc w:val="center"/>
              <w:rPr>
                <w:rFonts w:ascii="宋体" w:hAnsi="宋体"/>
                <w:color w:val="000000"/>
                <w:kern w:val="0"/>
                <w:szCs w:val="21"/>
              </w:rPr>
            </w:pPr>
          </w:p>
        </w:tc>
        <w:tc>
          <w:tcPr>
            <w:tcW w:w="582" w:type="pct"/>
            <w:vMerge w:val="continue"/>
            <w:noWrap w:val="0"/>
            <w:vAlign w:val="center"/>
          </w:tcPr>
          <w:p w14:paraId="01164EEB">
            <w:pPr>
              <w:widowControl/>
              <w:spacing w:line="280" w:lineRule="exact"/>
              <w:jc w:val="center"/>
              <w:rPr>
                <w:rFonts w:ascii="宋体" w:hAnsi="宋体"/>
                <w:color w:val="000000"/>
                <w:kern w:val="0"/>
                <w:szCs w:val="21"/>
              </w:rPr>
            </w:pPr>
          </w:p>
        </w:tc>
        <w:tc>
          <w:tcPr>
            <w:tcW w:w="913" w:type="pct"/>
            <w:noWrap w:val="0"/>
            <w:vAlign w:val="center"/>
          </w:tcPr>
          <w:p w14:paraId="19D84E7A">
            <w:pPr>
              <w:widowControl/>
              <w:spacing w:line="280" w:lineRule="exact"/>
              <w:jc w:val="center"/>
              <w:textAlignment w:val="center"/>
              <w:rPr>
                <w:rFonts w:ascii="宋体" w:hAnsi="宋体"/>
                <w:color w:val="000000"/>
                <w:kern w:val="0"/>
                <w:szCs w:val="21"/>
              </w:rPr>
            </w:pPr>
            <w:r>
              <w:rPr>
                <w:rFonts w:ascii="宋体" w:hAnsi="宋体"/>
                <w:color w:val="000000"/>
                <w:kern w:val="0"/>
                <w:szCs w:val="21"/>
              </w:rPr>
              <w:t>工作人员</w:t>
            </w:r>
          </w:p>
        </w:tc>
        <w:tc>
          <w:tcPr>
            <w:tcW w:w="2894" w:type="pct"/>
            <w:noWrap w:val="0"/>
            <w:vAlign w:val="center"/>
          </w:tcPr>
          <w:p w14:paraId="690C1B0F">
            <w:pPr>
              <w:widowControl/>
              <w:spacing w:line="280" w:lineRule="exact"/>
              <w:textAlignment w:val="center"/>
              <w:rPr>
                <w:rFonts w:ascii="宋体" w:hAnsi="宋体"/>
                <w:color w:val="000000"/>
                <w:kern w:val="0"/>
                <w:szCs w:val="21"/>
              </w:rPr>
            </w:pPr>
            <w:r>
              <w:rPr>
                <w:rFonts w:ascii="宋体" w:hAnsi="宋体"/>
                <w:color w:val="000000"/>
                <w:kern w:val="0"/>
                <w:szCs w:val="21"/>
              </w:rPr>
              <w:t>取得物业管理从业资格证书或上岗证；挂牌上岗。</w:t>
            </w:r>
          </w:p>
        </w:tc>
      </w:tr>
      <w:tr w14:paraId="42F5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611" w:type="pct"/>
            <w:vMerge w:val="continue"/>
            <w:noWrap w:val="0"/>
            <w:textDirection w:val="tbRlV"/>
            <w:vAlign w:val="center"/>
          </w:tcPr>
          <w:p w14:paraId="7C6AFB6F">
            <w:pPr>
              <w:widowControl/>
              <w:spacing w:line="280" w:lineRule="exact"/>
              <w:jc w:val="center"/>
              <w:rPr>
                <w:rFonts w:ascii="宋体" w:hAnsi="宋体"/>
                <w:color w:val="000000"/>
                <w:kern w:val="0"/>
                <w:szCs w:val="21"/>
              </w:rPr>
            </w:pPr>
          </w:p>
        </w:tc>
        <w:tc>
          <w:tcPr>
            <w:tcW w:w="1495" w:type="pct"/>
            <w:gridSpan w:val="2"/>
            <w:noWrap w:val="0"/>
            <w:vAlign w:val="center"/>
          </w:tcPr>
          <w:p w14:paraId="1FD3CBD2">
            <w:pPr>
              <w:widowControl/>
              <w:spacing w:line="280" w:lineRule="exact"/>
              <w:jc w:val="center"/>
              <w:textAlignment w:val="center"/>
              <w:rPr>
                <w:rFonts w:ascii="宋体" w:hAnsi="宋体"/>
                <w:color w:val="000000"/>
                <w:kern w:val="0"/>
                <w:szCs w:val="21"/>
              </w:rPr>
            </w:pPr>
            <w:r>
              <w:rPr>
                <w:rFonts w:ascii="宋体" w:hAnsi="宋体"/>
                <w:color w:val="000000"/>
                <w:kern w:val="0"/>
                <w:szCs w:val="21"/>
              </w:rPr>
              <w:t>服务时间</w:t>
            </w:r>
          </w:p>
        </w:tc>
        <w:tc>
          <w:tcPr>
            <w:tcW w:w="2894" w:type="pct"/>
            <w:noWrap w:val="0"/>
            <w:vAlign w:val="center"/>
          </w:tcPr>
          <w:p w14:paraId="2B9DFC4B">
            <w:pPr>
              <w:widowControl/>
              <w:spacing w:line="280" w:lineRule="exact"/>
              <w:textAlignment w:val="center"/>
              <w:rPr>
                <w:rFonts w:ascii="宋体" w:hAnsi="宋体"/>
                <w:color w:val="000000"/>
                <w:kern w:val="0"/>
                <w:szCs w:val="21"/>
              </w:rPr>
            </w:pPr>
            <w:r>
              <w:rPr>
                <w:rFonts w:ascii="宋体" w:hAnsi="宋体"/>
                <w:color w:val="000000"/>
                <w:kern w:val="0"/>
                <w:szCs w:val="21"/>
              </w:rPr>
              <w:t>周一至周日在服务处8小时业务接待，其余时间有固定电话接待，在小区醒目位置公示值班人员和接待电话。</w:t>
            </w:r>
          </w:p>
        </w:tc>
      </w:tr>
      <w:tr w14:paraId="79CF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611" w:type="pct"/>
            <w:vMerge w:val="restart"/>
            <w:noWrap w:val="0"/>
            <w:textDirection w:val="tbRlV"/>
            <w:vAlign w:val="center"/>
          </w:tcPr>
          <w:p w14:paraId="726EEB97">
            <w:pPr>
              <w:widowControl/>
              <w:spacing w:line="280" w:lineRule="exact"/>
              <w:jc w:val="center"/>
              <w:textAlignment w:val="center"/>
              <w:rPr>
                <w:rFonts w:ascii="宋体" w:hAnsi="宋体"/>
                <w:color w:val="000000"/>
                <w:kern w:val="0"/>
                <w:szCs w:val="21"/>
              </w:rPr>
            </w:pPr>
            <w:r>
              <w:rPr>
                <w:rFonts w:ascii="宋体" w:hAnsi="宋体"/>
                <w:color w:val="000000"/>
                <w:kern w:val="0"/>
                <w:szCs w:val="21"/>
              </w:rPr>
              <w:t>日常管理与服务</w:t>
            </w:r>
          </w:p>
        </w:tc>
        <w:tc>
          <w:tcPr>
            <w:tcW w:w="1495" w:type="pct"/>
            <w:gridSpan w:val="2"/>
            <w:noWrap w:val="0"/>
            <w:vAlign w:val="center"/>
          </w:tcPr>
          <w:p w14:paraId="4D391E72">
            <w:pPr>
              <w:widowControl/>
              <w:spacing w:line="280" w:lineRule="exact"/>
              <w:jc w:val="center"/>
              <w:textAlignment w:val="center"/>
              <w:rPr>
                <w:rFonts w:ascii="宋体" w:hAnsi="宋体"/>
                <w:color w:val="000000"/>
                <w:kern w:val="0"/>
                <w:szCs w:val="21"/>
              </w:rPr>
            </w:pPr>
            <w:r>
              <w:rPr>
                <w:rFonts w:ascii="宋体" w:hAnsi="宋体"/>
                <w:color w:val="000000"/>
                <w:kern w:val="0"/>
                <w:szCs w:val="21"/>
              </w:rPr>
              <w:t>工作计划</w:t>
            </w:r>
          </w:p>
        </w:tc>
        <w:tc>
          <w:tcPr>
            <w:tcW w:w="2894" w:type="pct"/>
            <w:noWrap w:val="0"/>
            <w:vAlign w:val="center"/>
          </w:tcPr>
          <w:p w14:paraId="27D8900B">
            <w:pPr>
              <w:widowControl/>
              <w:spacing w:line="280" w:lineRule="exact"/>
              <w:textAlignment w:val="center"/>
              <w:rPr>
                <w:rFonts w:ascii="宋体" w:hAnsi="宋体"/>
                <w:color w:val="000000"/>
                <w:kern w:val="0"/>
                <w:szCs w:val="21"/>
              </w:rPr>
            </w:pPr>
            <w:r>
              <w:rPr>
                <w:rFonts w:ascii="宋体" w:hAnsi="宋体"/>
                <w:color w:val="000000"/>
                <w:kern w:val="0"/>
                <w:szCs w:val="21"/>
              </w:rPr>
              <w:t>有工作计划并组织实施。</w:t>
            </w:r>
          </w:p>
        </w:tc>
      </w:tr>
      <w:tr w14:paraId="3844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611" w:type="pct"/>
            <w:vMerge w:val="continue"/>
            <w:noWrap w:val="0"/>
            <w:textDirection w:val="tbRlV"/>
            <w:vAlign w:val="center"/>
          </w:tcPr>
          <w:p w14:paraId="1EE6C842">
            <w:pPr>
              <w:widowControl/>
              <w:spacing w:line="280" w:lineRule="exact"/>
              <w:jc w:val="center"/>
              <w:rPr>
                <w:rFonts w:ascii="宋体" w:hAnsi="宋体"/>
                <w:color w:val="000000"/>
                <w:kern w:val="0"/>
                <w:szCs w:val="21"/>
              </w:rPr>
            </w:pPr>
          </w:p>
        </w:tc>
        <w:tc>
          <w:tcPr>
            <w:tcW w:w="1495" w:type="pct"/>
            <w:gridSpan w:val="2"/>
            <w:noWrap w:val="0"/>
            <w:vAlign w:val="center"/>
          </w:tcPr>
          <w:p w14:paraId="31B9B076">
            <w:pPr>
              <w:widowControl/>
              <w:spacing w:line="280" w:lineRule="exact"/>
              <w:jc w:val="center"/>
              <w:textAlignment w:val="center"/>
              <w:rPr>
                <w:rFonts w:ascii="宋体" w:hAnsi="宋体"/>
                <w:color w:val="000000"/>
                <w:kern w:val="0"/>
                <w:szCs w:val="21"/>
              </w:rPr>
            </w:pPr>
            <w:r>
              <w:rPr>
                <w:rFonts w:ascii="宋体" w:hAnsi="宋体"/>
                <w:color w:val="000000"/>
                <w:kern w:val="0"/>
                <w:szCs w:val="21"/>
              </w:rPr>
              <w:t>管理制度</w:t>
            </w:r>
          </w:p>
        </w:tc>
        <w:tc>
          <w:tcPr>
            <w:tcW w:w="2894" w:type="pct"/>
            <w:noWrap w:val="0"/>
            <w:vAlign w:val="center"/>
          </w:tcPr>
          <w:p w14:paraId="7F835279">
            <w:pPr>
              <w:widowControl/>
              <w:spacing w:line="280" w:lineRule="exact"/>
              <w:textAlignment w:val="center"/>
              <w:rPr>
                <w:rFonts w:ascii="宋体" w:hAnsi="宋体"/>
                <w:color w:val="000000"/>
                <w:kern w:val="0"/>
                <w:szCs w:val="21"/>
              </w:rPr>
            </w:pPr>
            <w:r>
              <w:rPr>
                <w:rFonts w:ascii="宋体" w:hAnsi="宋体"/>
                <w:color w:val="000000"/>
                <w:kern w:val="0"/>
                <w:szCs w:val="21"/>
              </w:rPr>
              <w:t>建立基本的管理制度；在小区醒目位置公示收费标准、服务标准、服务时间。</w:t>
            </w:r>
          </w:p>
        </w:tc>
      </w:tr>
      <w:tr w14:paraId="3A32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611" w:type="pct"/>
            <w:vMerge w:val="continue"/>
            <w:noWrap w:val="0"/>
            <w:textDirection w:val="tbRlV"/>
            <w:vAlign w:val="center"/>
          </w:tcPr>
          <w:p w14:paraId="0F693EED">
            <w:pPr>
              <w:widowControl/>
              <w:spacing w:line="280" w:lineRule="exact"/>
              <w:jc w:val="center"/>
              <w:rPr>
                <w:rFonts w:ascii="宋体" w:hAnsi="宋体"/>
                <w:color w:val="000000"/>
                <w:kern w:val="0"/>
                <w:szCs w:val="21"/>
              </w:rPr>
            </w:pPr>
          </w:p>
        </w:tc>
        <w:tc>
          <w:tcPr>
            <w:tcW w:w="1495" w:type="pct"/>
            <w:gridSpan w:val="2"/>
            <w:noWrap w:val="0"/>
            <w:vAlign w:val="center"/>
          </w:tcPr>
          <w:p w14:paraId="627BA6D6">
            <w:pPr>
              <w:widowControl/>
              <w:spacing w:line="280" w:lineRule="exact"/>
              <w:jc w:val="center"/>
              <w:textAlignment w:val="center"/>
              <w:rPr>
                <w:rFonts w:ascii="宋体" w:hAnsi="宋体"/>
                <w:color w:val="000000"/>
                <w:kern w:val="0"/>
                <w:szCs w:val="21"/>
              </w:rPr>
            </w:pPr>
            <w:r>
              <w:rPr>
                <w:rFonts w:ascii="宋体" w:hAnsi="宋体"/>
                <w:color w:val="000000"/>
                <w:kern w:val="0"/>
                <w:szCs w:val="21"/>
              </w:rPr>
              <w:t>报修、投诉处理</w:t>
            </w:r>
          </w:p>
        </w:tc>
        <w:tc>
          <w:tcPr>
            <w:tcW w:w="2894" w:type="pct"/>
            <w:noWrap w:val="0"/>
            <w:vAlign w:val="center"/>
          </w:tcPr>
          <w:p w14:paraId="1FA32AC8">
            <w:pPr>
              <w:widowControl/>
              <w:spacing w:line="280" w:lineRule="exact"/>
              <w:textAlignment w:val="center"/>
              <w:rPr>
                <w:rFonts w:ascii="宋体" w:hAnsi="宋体"/>
                <w:color w:val="000000"/>
                <w:kern w:val="0"/>
                <w:szCs w:val="21"/>
              </w:rPr>
            </w:pPr>
            <w:r>
              <w:rPr>
                <w:rFonts w:ascii="宋体" w:hAnsi="宋体"/>
                <w:color w:val="000000"/>
                <w:kern w:val="0"/>
                <w:szCs w:val="21"/>
              </w:rPr>
              <w:t>正常受理物业服务范围内的报修内容，急修2小时内到场查看处理，水电小修不过夜，一般小修1周内修复，不能及时修复的，约时修复；投诉5天内答复处理。</w:t>
            </w:r>
          </w:p>
        </w:tc>
      </w:tr>
      <w:tr w14:paraId="0F62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611" w:type="pct"/>
            <w:vMerge w:val="continue"/>
            <w:noWrap w:val="0"/>
            <w:textDirection w:val="tbRlV"/>
            <w:vAlign w:val="center"/>
          </w:tcPr>
          <w:p w14:paraId="3B3D7226">
            <w:pPr>
              <w:widowControl/>
              <w:spacing w:line="280" w:lineRule="exact"/>
              <w:jc w:val="center"/>
              <w:rPr>
                <w:rFonts w:ascii="宋体" w:hAnsi="宋体"/>
                <w:color w:val="000000"/>
                <w:kern w:val="0"/>
                <w:szCs w:val="21"/>
              </w:rPr>
            </w:pPr>
          </w:p>
        </w:tc>
        <w:tc>
          <w:tcPr>
            <w:tcW w:w="1495" w:type="pct"/>
            <w:gridSpan w:val="2"/>
            <w:noWrap w:val="0"/>
            <w:vAlign w:val="center"/>
          </w:tcPr>
          <w:p w14:paraId="27D09107">
            <w:pPr>
              <w:widowControl/>
              <w:spacing w:line="280" w:lineRule="exact"/>
              <w:jc w:val="center"/>
              <w:textAlignment w:val="center"/>
              <w:rPr>
                <w:rFonts w:ascii="宋体" w:hAnsi="宋体"/>
                <w:color w:val="000000"/>
                <w:kern w:val="0"/>
                <w:szCs w:val="21"/>
              </w:rPr>
            </w:pPr>
            <w:r>
              <w:rPr>
                <w:rFonts w:ascii="宋体" w:hAnsi="宋体"/>
                <w:color w:val="000000"/>
                <w:kern w:val="0"/>
                <w:szCs w:val="21"/>
              </w:rPr>
              <w:t>装修事项</w:t>
            </w:r>
          </w:p>
        </w:tc>
        <w:tc>
          <w:tcPr>
            <w:tcW w:w="2894" w:type="pct"/>
            <w:noWrap w:val="0"/>
            <w:vAlign w:val="center"/>
          </w:tcPr>
          <w:p w14:paraId="5D264938">
            <w:pPr>
              <w:widowControl/>
              <w:spacing w:line="280" w:lineRule="exact"/>
              <w:textAlignment w:val="center"/>
              <w:rPr>
                <w:rFonts w:ascii="宋体" w:hAnsi="宋体"/>
                <w:color w:val="000000"/>
                <w:kern w:val="0"/>
                <w:szCs w:val="21"/>
              </w:rPr>
            </w:pPr>
            <w:r>
              <w:rPr>
                <w:rFonts w:ascii="宋体" w:hAnsi="宋体"/>
                <w:color w:val="000000"/>
                <w:kern w:val="0"/>
                <w:szCs w:val="21"/>
              </w:rPr>
              <w:t>签订装饰装修管理协议，告知业主或使用人装修须知，对违法建设、违规装修应及时劝阻并报告相关部门。</w:t>
            </w:r>
          </w:p>
        </w:tc>
      </w:tr>
      <w:tr w14:paraId="39CA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1" w:type="pct"/>
            <w:vMerge w:val="restart"/>
            <w:noWrap w:val="0"/>
            <w:textDirection w:val="tbRlV"/>
            <w:vAlign w:val="center"/>
          </w:tcPr>
          <w:p w14:paraId="5C9F9454">
            <w:pPr>
              <w:widowControl/>
              <w:spacing w:line="280" w:lineRule="exact"/>
              <w:jc w:val="center"/>
              <w:textAlignment w:val="center"/>
              <w:rPr>
                <w:rFonts w:ascii="宋体" w:hAnsi="宋体"/>
                <w:color w:val="000000"/>
                <w:kern w:val="0"/>
                <w:szCs w:val="21"/>
              </w:rPr>
            </w:pPr>
            <w:r>
              <w:rPr>
                <w:rFonts w:ascii="宋体" w:hAnsi="宋体"/>
                <w:color w:val="000000"/>
                <w:kern w:val="0"/>
                <w:szCs w:val="21"/>
              </w:rPr>
              <w:t>日常管理与服务</w:t>
            </w:r>
          </w:p>
        </w:tc>
        <w:tc>
          <w:tcPr>
            <w:tcW w:w="1495" w:type="pct"/>
            <w:gridSpan w:val="2"/>
            <w:noWrap w:val="0"/>
            <w:vAlign w:val="center"/>
          </w:tcPr>
          <w:p w14:paraId="51BF09C0">
            <w:pPr>
              <w:widowControl/>
              <w:spacing w:line="280" w:lineRule="exact"/>
              <w:jc w:val="center"/>
              <w:textAlignment w:val="center"/>
              <w:rPr>
                <w:rFonts w:ascii="宋体" w:hAnsi="宋体"/>
                <w:color w:val="000000"/>
                <w:kern w:val="0"/>
                <w:szCs w:val="21"/>
              </w:rPr>
            </w:pPr>
            <w:r>
              <w:rPr>
                <w:rFonts w:ascii="宋体" w:hAnsi="宋体"/>
                <w:color w:val="000000"/>
                <w:kern w:val="0"/>
                <w:szCs w:val="21"/>
              </w:rPr>
              <w:t>档案管理</w:t>
            </w:r>
          </w:p>
        </w:tc>
        <w:tc>
          <w:tcPr>
            <w:tcW w:w="2894" w:type="pct"/>
            <w:noWrap w:val="0"/>
            <w:vAlign w:val="center"/>
          </w:tcPr>
          <w:p w14:paraId="52CE18AF">
            <w:pPr>
              <w:widowControl/>
              <w:spacing w:line="280" w:lineRule="exact"/>
              <w:textAlignment w:val="center"/>
              <w:rPr>
                <w:rFonts w:ascii="宋体" w:hAnsi="宋体"/>
                <w:color w:val="000000"/>
                <w:kern w:val="0"/>
                <w:szCs w:val="21"/>
              </w:rPr>
            </w:pPr>
            <w:r>
              <w:rPr>
                <w:rFonts w:ascii="宋体" w:hAnsi="宋体"/>
                <w:color w:val="000000"/>
                <w:kern w:val="0"/>
                <w:szCs w:val="21"/>
              </w:rPr>
              <w:t>建立基础的档案管理制度，基本小区物业管理档案。</w:t>
            </w:r>
          </w:p>
        </w:tc>
      </w:tr>
      <w:tr w14:paraId="5633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611" w:type="pct"/>
            <w:vMerge w:val="continue"/>
            <w:noWrap w:val="0"/>
            <w:textDirection w:val="tbRlV"/>
            <w:vAlign w:val="center"/>
          </w:tcPr>
          <w:p w14:paraId="1899909D">
            <w:pPr>
              <w:widowControl/>
              <w:spacing w:line="280" w:lineRule="exact"/>
              <w:jc w:val="center"/>
              <w:rPr>
                <w:rFonts w:ascii="宋体" w:hAnsi="宋体"/>
                <w:color w:val="000000"/>
                <w:kern w:val="0"/>
                <w:szCs w:val="21"/>
              </w:rPr>
            </w:pPr>
          </w:p>
        </w:tc>
        <w:tc>
          <w:tcPr>
            <w:tcW w:w="1495" w:type="pct"/>
            <w:gridSpan w:val="2"/>
            <w:noWrap w:val="0"/>
            <w:vAlign w:val="center"/>
          </w:tcPr>
          <w:p w14:paraId="72EB3157">
            <w:pPr>
              <w:widowControl/>
              <w:spacing w:line="280" w:lineRule="exact"/>
              <w:jc w:val="center"/>
              <w:textAlignment w:val="center"/>
              <w:rPr>
                <w:rFonts w:ascii="宋体" w:hAnsi="宋体"/>
                <w:color w:val="000000"/>
                <w:kern w:val="0"/>
                <w:szCs w:val="21"/>
              </w:rPr>
            </w:pPr>
            <w:r>
              <w:rPr>
                <w:rFonts w:ascii="宋体" w:hAnsi="宋体"/>
                <w:color w:val="000000"/>
                <w:kern w:val="0"/>
                <w:szCs w:val="21"/>
              </w:rPr>
              <w:t>维修资金</w:t>
            </w:r>
          </w:p>
        </w:tc>
        <w:tc>
          <w:tcPr>
            <w:tcW w:w="2894" w:type="pct"/>
            <w:noWrap w:val="0"/>
            <w:vAlign w:val="center"/>
          </w:tcPr>
          <w:p w14:paraId="4717E759">
            <w:pPr>
              <w:widowControl/>
              <w:spacing w:line="280" w:lineRule="exact"/>
              <w:textAlignment w:val="center"/>
              <w:rPr>
                <w:rFonts w:ascii="宋体" w:hAnsi="宋体"/>
                <w:color w:val="000000"/>
                <w:kern w:val="0"/>
                <w:szCs w:val="21"/>
              </w:rPr>
            </w:pPr>
            <w:r>
              <w:rPr>
                <w:rFonts w:ascii="宋体" w:hAnsi="宋体"/>
                <w:color w:val="000000"/>
                <w:kern w:val="0"/>
                <w:szCs w:val="21"/>
              </w:rPr>
              <w:t>按照政府规定规范操作，帐目清晰。</w:t>
            </w:r>
          </w:p>
        </w:tc>
      </w:tr>
      <w:tr w14:paraId="4B1F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611" w:type="pct"/>
            <w:vMerge w:val="continue"/>
            <w:noWrap w:val="0"/>
            <w:textDirection w:val="tbRlV"/>
            <w:vAlign w:val="center"/>
          </w:tcPr>
          <w:p w14:paraId="7D1DF97A">
            <w:pPr>
              <w:widowControl/>
              <w:spacing w:line="280" w:lineRule="exact"/>
              <w:jc w:val="center"/>
              <w:rPr>
                <w:rFonts w:ascii="宋体" w:hAnsi="宋体"/>
                <w:color w:val="000000"/>
                <w:kern w:val="0"/>
                <w:szCs w:val="21"/>
              </w:rPr>
            </w:pPr>
          </w:p>
        </w:tc>
        <w:tc>
          <w:tcPr>
            <w:tcW w:w="1495" w:type="pct"/>
            <w:gridSpan w:val="2"/>
            <w:noWrap w:val="0"/>
            <w:vAlign w:val="center"/>
          </w:tcPr>
          <w:p w14:paraId="5630A813">
            <w:pPr>
              <w:widowControl/>
              <w:spacing w:line="280" w:lineRule="exact"/>
              <w:jc w:val="center"/>
              <w:textAlignment w:val="center"/>
              <w:rPr>
                <w:rFonts w:ascii="宋体" w:hAnsi="宋体"/>
                <w:color w:val="000000"/>
                <w:kern w:val="0"/>
                <w:szCs w:val="21"/>
              </w:rPr>
            </w:pPr>
            <w:r>
              <w:rPr>
                <w:rFonts w:ascii="宋体" w:hAnsi="宋体"/>
                <w:color w:val="000000"/>
                <w:kern w:val="0"/>
                <w:szCs w:val="21"/>
              </w:rPr>
              <w:t>满意度调查</w:t>
            </w:r>
          </w:p>
        </w:tc>
        <w:tc>
          <w:tcPr>
            <w:tcW w:w="2894" w:type="pct"/>
            <w:noWrap w:val="0"/>
            <w:vAlign w:val="center"/>
          </w:tcPr>
          <w:p w14:paraId="60D7DD95">
            <w:pPr>
              <w:widowControl/>
              <w:spacing w:line="280" w:lineRule="exact"/>
              <w:textAlignment w:val="center"/>
              <w:rPr>
                <w:rFonts w:ascii="宋体" w:hAnsi="宋体"/>
                <w:color w:val="000000"/>
                <w:kern w:val="0"/>
                <w:szCs w:val="21"/>
              </w:rPr>
            </w:pPr>
            <w:r>
              <w:rPr>
                <w:rFonts w:ascii="宋体" w:hAnsi="宋体"/>
                <w:color w:val="000000"/>
                <w:kern w:val="0"/>
                <w:szCs w:val="21"/>
              </w:rPr>
              <w:t>每年对业主或使用人进行书面满意度调查，调查面不低于小区住户的30%，对调查结果进行分析并采取改进措施。</w:t>
            </w:r>
          </w:p>
        </w:tc>
      </w:tr>
      <w:tr w14:paraId="0A08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center"/>
        </w:trPr>
        <w:tc>
          <w:tcPr>
            <w:tcW w:w="611" w:type="pct"/>
            <w:vMerge w:val="continue"/>
            <w:noWrap w:val="0"/>
            <w:textDirection w:val="tbRlV"/>
            <w:vAlign w:val="center"/>
          </w:tcPr>
          <w:p w14:paraId="028E569A">
            <w:pPr>
              <w:widowControl/>
              <w:spacing w:line="280" w:lineRule="exact"/>
              <w:jc w:val="center"/>
              <w:rPr>
                <w:rFonts w:ascii="宋体" w:hAnsi="宋体"/>
                <w:color w:val="000000"/>
                <w:kern w:val="0"/>
                <w:szCs w:val="21"/>
              </w:rPr>
            </w:pPr>
          </w:p>
        </w:tc>
        <w:tc>
          <w:tcPr>
            <w:tcW w:w="1495" w:type="pct"/>
            <w:gridSpan w:val="2"/>
            <w:noWrap w:val="0"/>
            <w:vAlign w:val="center"/>
          </w:tcPr>
          <w:p w14:paraId="3C1F8852">
            <w:pPr>
              <w:widowControl/>
              <w:spacing w:line="280" w:lineRule="exact"/>
              <w:jc w:val="center"/>
              <w:textAlignment w:val="center"/>
              <w:rPr>
                <w:rFonts w:ascii="宋体" w:hAnsi="宋体"/>
                <w:color w:val="000000"/>
                <w:kern w:val="0"/>
                <w:szCs w:val="21"/>
              </w:rPr>
            </w:pPr>
            <w:r>
              <w:rPr>
                <w:rFonts w:ascii="宋体" w:hAnsi="宋体"/>
                <w:color w:val="000000"/>
                <w:kern w:val="0"/>
                <w:szCs w:val="21"/>
              </w:rPr>
              <w:t>小区文化活动</w:t>
            </w:r>
          </w:p>
        </w:tc>
        <w:tc>
          <w:tcPr>
            <w:tcW w:w="2894" w:type="pct"/>
            <w:noWrap w:val="0"/>
            <w:vAlign w:val="center"/>
          </w:tcPr>
          <w:p w14:paraId="7B651E97">
            <w:pPr>
              <w:widowControl/>
              <w:spacing w:line="280" w:lineRule="exact"/>
              <w:textAlignment w:val="center"/>
              <w:rPr>
                <w:rFonts w:ascii="宋体" w:hAnsi="宋体"/>
                <w:color w:val="000000"/>
                <w:kern w:val="0"/>
                <w:szCs w:val="21"/>
              </w:rPr>
            </w:pPr>
            <w:r>
              <w:rPr>
                <w:rFonts w:ascii="宋体" w:hAnsi="宋体"/>
                <w:color w:val="000000"/>
                <w:kern w:val="0"/>
                <w:szCs w:val="21"/>
              </w:rPr>
              <w:t>每年开展不少于1次的小区文化活动。</w:t>
            </w:r>
          </w:p>
        </w:tc>
      </w:tr>
    </w:tbl>
    <w:p w14:paraId="64F22F4A">
      <w:pPr>
        <w:spacing w:line="400" w:lineRule="exact"/>
        <w:ind w:firstLine="562" w:firstLineChars="200"/>
        <w:rPr>
          <w:rFonts w:ascii="宋体" w:hAnsi="宋体" w:cs="仿宋_GB2312"/>
          <w:b/>
          <w:bCs/>
          <w:sz w:val="28"/>
          <w:szCs w:val="28"/>
        </w:rPr>
      </w:pPr>
      <w:r>
        <w:rPr>
          <w:rFonts w:hint="eastAsia" w:ascii="宋体" w:hAnsi="宋体"/>
          <w:b/>
          <w:sz w:val="28"/>
          <w:szCs w:val="28"/>
        </w:rPr>
        <w:t>（</w:t>
      </w:r>
      <w:r>
        <w:rPr>
          <w:rFonts w:hint="eastAsia" w:ascii="宋体" w:hAnsi="宋体"/>
          <w:b/>
          <w:sz w:val="28"/>
          <w:szCs w:val="28"/>
          <w:lang w:val="en-US" w:eastAsia="zh-CN"/>
        </w:rPr>
        <w:t>2</w:t>
      </w:r>
      <w:r>
        <w:rPr>
          <w:rFonts w:hint="eastAsia" w:ascii="宋体" w:hAnsi="宋体"/>
          <w:b/>
          <w:sz w:val="28"/>
          <w:szCs w:val="28"/>
        </w:rPr>
        <w:t>）</w:t>
      </w:r>
      <w:r>
        <w:rPr>
          <w:rFonts w:ascii="宋体" w:hAnsi="宋体"/>
          <w:b/>
          <w:sz w:val="28"/>
          <w:szCs w:val="28"/>
        </w:rPr>
        <w:t>公共秩序维护服务标准</w:t>
      </w:r>
    </w:p>
    <w:tbl>
      <w:tblPr>
        <w:tblStyle w:val="6"/>
        <w:tblW w:w="4922" w:type="pct"/>
        <w:jc w:val="center"/>
        <w:tblLayout w:type="autofit"/>
        <w:tblCellMar>
          <w:top w:w="15" w:type="dxa"/>
          <w:left w:w="15" w:type="dxa"/>
          <w:bottom w:w="15" w:type="dxa"/>
          <w:right w:w="15" w:type="dxa"/>
        </w:tblCellMar>
      </w:tblPr>
      <w:tblGrid>
        <w:gridCol w:w="1238"/>
        <w:gridCol w:w="2360"/>
        <w:gridCol w:w="5161"/>
      </w:tblGrid>
      <w:tr w14:paraId="13B3A291">
        <w:tblPrEx>
          <w:tblCellMar>
            <w:top w:w="15" w:type="dxa"/>
            <w:left w:w="15" w:type="dxa"/>
            <w:bottom w:w="15" w:type="dxa"/>
            <w:right w:w="15" w:type="dxa"/>
          </w:tblCellMar>
        </w:tblPrEx>
        <w:trPr>
          <w:jc w:val="center"/>
        </w:trPr>
        <w:tc>
          <w:tcPr>
            <w:tcW w:w="2054" w:type="pct"/>
            <w:gridSpan w:val="2"/>
            <w:tcBorders>
              <w:top w:val="single" w:color="000000" w:sz="4" w:space="0"/>
              <w:left w:val="single" w:color="000000" w:sz="4" w:space="0"/>
              <w:bottom w:val="single" w:color="000000" w:sz="4" w:space="0"/>
              <w:right w:val="single" w:color="000000" w:sz="4" w:space="0"/>
            </w:tcBorders>
            <w:noWrap w:val="0"/>
            <w:vAlign w:val="center"/>
          </w:tcPr>
          <w:p w14:paraId="1F039EEF">
            <w:pPr>
              <w:widowControl/>
              <w:spacing w:line="280" w:lineRule="exact"/>
              <w:jc w:val="center"/>
              <w:textAlignment w:val="center"/>
              <w:rPr>
                <w:rFonts w:ascii="宋体" w:hAnsi="宋体"/>
                <w:color w:val="000000"/>
                <w:szCs w:val="21"/>
              </w:rPr>
            </w:pPr>
            <w:r>
              <w:rPr>
                <w:rFonts w:ascii="宋体" w:hAnsi="宋体"/>
                <w:color w:val="000000"/>
                <w:kern w:val="0"/>
                <w:szCs w:val="21"/>
              </w:rPr>
              <w:t>服务内容</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7522EBC7">
            <w:pPr>
              <w:widowControl/>
              <w:spacing w:line="280" w:lineRule="exact"/>
              <w:jc w:val="center"/>
              <w:textAlignment w:val="center"/>
              <w:rPr>
                <w:rFonts w:ascii="宋体" w:hAnsi="宋体"/>
                <w:color w:val="000000"/>
                <w:szCs w:val="21"/>
              </w:rPr>
            </w:pPr>
            <w:r>
              <w:rPr>
                <w:rFonts w:ascii="宋体" w:hAnsi="宋体"/>
                <w:color w:val="000000"/>
                <w:kern w:val="0"/>
                <w:szCs w:val="21"/>
              </w:rPr>
              <w:t>二级</w:t>
            </w:r>
          </w:p>
        </w:tc>
      </w:tr>
      <w:tr w14:paraId="238FAB26">
        <w:tblPrEx>
          <w:tblCellMar>
            <w:top w:w="15" w:type="dxa"/>
            <w:left w:w="15" w:type="dxa"/>
            <w:bottom w:w="15" w:type="dxa"/>
            <w:right w:w="15" w:type="dxa"/>
          </w:tblCellMar>
        </w:tblPrEx>
        <w:trPr>
          <w:trHeight w:val="933" w:hRule="atLeast"/>
          <w:jc w:val="center"/>
        </w:trPr>
        <w:tc>
          <w:tcPr>
            <w:tcW w:w="707" w:type="pct"/>
            <w:tcBorders>
              <w:top w:val="single" w:color="000000" w:sz="4" w:space="0"/>
              <w:left w:val="single" w:color="000000" w:sz="4" w:space="0"/>
              <w:bottom w:val="single" w:color="000000" w:sz="4" w:space="0"/>
              <w:right w:val="single" w:color="000000" w:sz="4" w:space="0"/>
            </w:tcBorders>
            <w:noWrap w:val="0"/>
            <w:textDirection w:val="tbRlV"/>
            <w:vAlign w:val="center"/>
          </w:tcPr>
          <w:p w14:paraId="78CA838A">
            <w:pPr>
              <w:widowControl/>
              <w:spacing w:line="280" w:lineRule="exact"/>
              <w:jc w:val="center"/>
              <w:textAlignment w:val="center"/>
              <w:rPr>
                <w:rFonts w:ascii="宋体" w:hAnsi="宋体"/>
                <w:color w:val="000000"/>
                <w:szCs w:val="21"/>
              </w:rPr>
            </w:pPr>
            <w:r>
              <w:rPr>
                <w:rFonts w:ascii="宋体" w:hAnsi="宋体"/>
                <w:color w:val="000000"/>
                <w:kern w:val="0"/>
                <w:szCs w:val="21"/>
              </w:rPr>
              <w:t>基本要求</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0EB27801">
            <w:pPr>
              <w:widowControl/>
              <w:spacing w:line="280" w:lineRule="exact"/>
              <w:jc w:val="center"/>
              <w:textAlignment w:val="center"/>
              <w:rPr>
                <w:rFonts w:ascii="宋体" w:hAnsi="宋体"/>
                <w:color w:val="000000"/>
                <w:szCs w:val="21"/>
              </w:rPr>
            </w:pPr>
            <w:r>
              <w:rPr>
                <w:rFonts w:ascii="宋体" w:hAnsi="宋体"/>
                <w:color w:val="000000"/>
                <w:kern w:val="0"/>
                <w:szCs w:val="21"/>
              </w:rPr>
              <w:t>人员要求</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49398C99">
            <w:pPr>
              <w:widowControl/>
              <w:spacing w:line="270" w:lineRule="exact"/>
              <w:textAlignment w:val="center"/>
              <w:rPr>
                <w:rFonts w:ascii="宋体" w:hAnsi="宋体"/>
                <w:color w:val="000000"/>
                <w:szCs w:val="21"/>
              </w:rPr>
            </w:pPr>
            <w:r>
              <w:rPr>
                <w:rFonts w:ascii="宋体" w:hAnsi="宋体"/>
                <w:color w:val="000000"/>
                <w:kern w:val="0"/>
                <w:szCs w:val="21"/>
              </w:rPr>
              <w:t>符合法定年龄，身体健康，工作认真负责；对小区日常护卫事项能做出正确反应，能正确使用消防器材，定期进行安全防范学习；仪容仪表端正整洁。</w:t>
            </w:r>
          </w:p>
        </w:tc>
      </w:tr>
      <w:tr w14:paraId="52096C4E">
        <w:tblPrEx>
          <w:tblCellMar>
            <w:top w:w="15" w:type="dxa"/>
            <w:left w:w="15" w:type="dxa"/>
            <w:bottom w:w="15" w:type="dxa"/>
            <w:right w:w="15" w:type="dxa"/>
          </w:tblCellMar>
        </w:tblPrEx>
        <w:trPr>
          <w:trHeight w:val="1500" w:hRule="atLeast"/>
          <w:jc w:val="center"/>
        </w:trPr>
        <w:tc>
          <w:tcPr>
            <w:tcW w:w="707" w:type="pct"/>
            <w:tcBorders>
              <w:top w:val="single" w:color="000000" w:sz="4" w:space="0"/>
              <w:left w:val="single" w:color="000000" w:sz="4" w:space="0"/>
              <w:bottom w:val="single" w:color="000000" w:sz="4" w:space="0"/>
              <w:right w:val="single" w:color="000000" w:sz="4" w:space="0"/>
            </w:tcBorders>
            <w:noWrap w:val="0"/>
            <w:textDirection w:val="tbRlV"/>
            <w:vAlign w:val="center"/>
          </w:tcPr>
          <w:p w14:paraId="3387370F">
            <w:pPr>
              <w:widowControl/>
              <w:spacing w:line="280" w:lineRule="exact"/>
              <w:jc w:val="center"/>
              <w:textAlignment w:val="center"/>
              <w:rPr>
                <w:rFonts w:ascii="宋体" w:hAnsi="宋体"/>
                <w:color w:val="000000"/>
                <w:szCs w:val="21"/>
              </w:rPr>
            </w:pPr>
            <w:r>
              <w:rPr>
                <w:rFonts w:ascii="宋体" w:hAnsi="宋体"/>
                <w:color w:val="000000"/>
                <w:kern w:val="0"/>
                <w:szCs w:val="21"/>
              </w:rPr>
              <w:t>日常管理与服务</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6B06E735">
            <w:pPr>
              <w:widowControl/>
              <w:spacing w:line="280" w:lineRule="exact"/>
              <w:jc w:val="center"/>
              <w:textAlignment w:val="center"/>
              <w:rPr>
                <w:rFonts w:ascii="宋体" w:hAnsi="宋体"/>
                <w:color w:val="000000"/>
                <w:szCs w:val="21"/>
              </w:rPr>
            </w:pPr>
            <w:r>
              <w:rPr>
                <w:rFonts w:ascii="宋体" w:hAnsi="宋体"/>
                <w:color w:val="000000"/>
                <w:kern w:val="0"/>
                <w:szCs w:val="21"/>
              </w:rPr>
              <w:t>门岗</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761CFB59">
            <w:pPr>
              <w:widowControl/>
              <w:spacing w:line="270" w:lineRule="exact"/>
              <w:textAlignment w:val="center"/>
              <w:rPr>
                <w:rFonts w:ascii="宋体" w:hAnsi="宋体"/>
                <w:color w:val="000000"/>
                <w:szCs w:val="21"/>
              </w:rPr>
            </w:pPr>
            <w:r>
              <w:rPr>
                <w:rFonts w:ascii="宋体" w:hAnsi="宋体"/>
                <w:color w:val="000000"/>
                <w:kern w:val="0"/>
                <w:szCs w:val="21"/>
              </w:rPr>
              <w:t>主出入口24小时值班看守；对进出小区的车辆进行管理、交通指挥与疏导工作，保持出入口环境整洁、有序、道路畅通；阻止小商小贩、外来人员随意进入小区。</w:t>
            </w:r>
          </w:p>
        </w:tc>
      </w:tr>
      <w:tr w14:paraId="723FFEC3">
        <w:tblPrEx>
          <w:tblCellMar>
            <w:top w:w="15" w:type="dxa"/>
            <w:left w:w="15" w:type="dxa"/>
            <w:bottom w:w="15" w:type="dxa"/>
            <w:right w:w="15" w:type="dxa"/>
          </w:tblCellMar>
        </w:tblPrEx>
        <w:trPr>
          <w:trHeight w:val="1099" w:hRule="atLeast"/>
          <w:jc w:val="center"/>
        </w:trPr>
        <w:tc>
          <w:tcPr>
            <w:tcW w:w="707"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25712D8">
            <w:pPr>
              <w:widowControl/>
              <w:spacing w:line="280" w:lineRule="exact"/>
              <w:jc w:val="center"/>
              <w:textAlignment w:val="center"/>
              <w:rPr>
                <w:rFonts w:ascii="宋体" w:hAnsi="宋体"/>
                <w:color w:val="000000"/>
                <w:szCs w:val="21"/>
              </w:rPr>
            </w:pPr>
            <w:r>
              <w:rPr>
                <w:rFonts w:ascii="宋体" w:hAnsi="宋体"/>
                <w:color w:val="000000"/>
                <w:kern w:val="0"/>
                <w:szCs w:val="21"/>
              </w:rPr>
              <w:t>日常管理与服务</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7F403E0B">
            <w:pPr>
              <w:widowControl/>
              <w:spacing w:line="280" w:lineRule="exact"/>
              <w:jc w:val="center"/>
              <w:textAlignment w:val="center"/>
              <w:rPr>
                <w:rFonts w:ascii="宋体" w:hAnsi="宋体"/>
                <w:color w:val="000000"/>
                <w:szCs w:val="21"/>
              </w:rPr>
            </w:pPr>
            <w:r>
              <w:rPr>
                <w:rFonts w:ascii="宋体" w:hAnsi="宋体"/>
                <w:color w:val="000000"/>
                <w:kern w:val="0"/>
                <w:szCs w:val="21"/>
              </w:rPr>
              <w:t>巡逻岗</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101D822F">
            <w:pPr>
              <w:widowControl/>
              <w:spacing w:line="280" w:lineRule="exact"/>
              <w:textAlignment w:val="center"/>
              <w:rPr>
                <w:rFonts w:ascii="宋体" w:hAnsi="宋体"/>
                <w:color w:val="000000"/>
                <w:szCs w:val="21"/>
              </w:rPr>
            </w:pPr>
            <w:r>
              <w:rPr>
                <w:rFonts w:ascii="宋体" w:hAnsi="宋体"/>
                <w:color w:val="000000"/>
                <w:kern w:val="0"/>
                <w:szCs w:val="21"/>
              </w:rPr>
              <w:t>白天夜间巡逻均不少于2次，并有巡逻记录；在遇到突发事件时，采取必要措施并及时报告服务处和相关部门，必要时采取正当防卫，防止事态扩大，协助保护现场和证据。</w:t>
            </w:r>
          </w:p>
        </w:tc>
      </w:tr>
      <w:tr w14:paraId="58D16998">
        <w:tblPrEx>
          <w:tblCellMar>
            <w:top w:w="15" w:type="dxa"/>
            <w:left w:w="15" w:type="dxa"/>
            <w:bottom w:w="15" w:type="dxa"/>
            <w:right w:w="15" w:type="dxa"/>
          </w:tblCellMar>
        </w:tblPrEx>
        <w:trPr>
          <w:trHeight w:val="502" w:hRule="atLeast"/>
          <w:jc w:val="center"/>
        </w:trPr>
        <w:tc>
          <w:tcPr>
            <w:tcW w:w="707"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7388BAA">
            <w:pPr>
              <w:widowControl/>
              <w:spacing w:line="280" w:lineRule="exact"/>
              <w:jc w:val="center"/>
              <w:rPr>
                <w:rFonts w:ascii="宋体" w:hAnsi="宋体"/>
                <w:color w:val="000000"/>
                <w:szCs w:val="21"/>
              </w:rPr>
            </w:pP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1AEDF860">
            <w:pPr>
              <w:widowControl/>
              <w:spacing w:line="280" w:lineRule="exact"/>
              <w:jc w:val="center"/>
              <w:textAlignment w:val="center"/>
              <w:rPr>
                <w:rFonts w:ascii="宋体" w:hAnsi="宋体"/>
                <w:color w:val="000000"/>
                <w:szCs w:val="21"/>
              </w:rPr>
            </w:pPr>
            <w:r>
              <w:rPr>
                <w:rFonts w:ascii="宋体" w:hAnsi="宋体"/>
                <w:color w:val="000000"/>
                <w:kern w:val="0"/>
                <w:szCs w:val="21"/>
              </w:rPr>
              <w:t>交通、车辆管理</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3A4D35BF">
            <w:pPr>
              <w:widowControl/>
              <w:spacing w:line="280" w:lineRule="exact"/>
              <w:textAlignment w:val="center"/>
              <w:rPr>
                <w:rFonts w:ascii="宋体" w:hAnsi="宋体"/>
                <w:color w:val="000000"/>
                <w:szCs w:val="21"/>
              </w:rPr>
            </w:pPr>
            <w:r>
              <w:rPr>
                <w:rFonts w:ascii="宋体" w:hAnsi="宋体"/>
                <w:color w:val="000000"/>
                <w:kern w:val="0"/>
                <w:szCs w:val="21"/>
              </w:rPr>
              <w:t>车辆停放有序，场地整洁；相关设施设备维护完好。</w:t>
            </w:r>
          </w:p>
        </w:tc>
      </w:tr>
    </w:tbl>
    <w:p w14:paraId="3AD2740D">
      <w:pPr>
        <w:spacing w:line="400" w:lineRule="exact"/>
        <w:ind w:firstLine="562" w:firstLineChars="200"/>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3</w:t>
      </w:r>
      <w:r>
        <w:rPr>
          <w:rFonts w:hint="eastAsia" w:ascii="宋体" w:hAnsi="宋体"/>
          <w:b/>
          <w:sz w:val="28"/>
          <w:szCs w:val="28"/>
        </w:rPr>
        <w:t>）</w:t>
      </w:r>
      <w:r>
        <w:rPr>
          <w:rFonts w:ascii="宋体" w:hAnsi="宋体"/>
          <w:b/>
          <w:sz w:val="28"/>
          <w:szCs w:val="28"/>
        </w:rPr>
        <w:t>公共区域清洁卫生服务标准</w:t>
      </w:r>
    </w:p>
    <w:tbl>
      <w:tblPr>
        <w:tblStyle w:val="6"/>
        <w:tblW w:w="4991" w:type="pct"/>
        <w:jc w:val="center"/>
        <w:tblLayout w:type="autofit"/>
        <w:tblCellMar>
          <w:top w:w="15" w:type="dxa"/>
          <w:left w:w="15" w:type="dxa"/>
          <w:bottom w:w="15" w:type="dxa"/>
          <w:right w:w="15" w:type="dxa"/>
        </w:tblCellMar>
      </w:tblPr>
      <w:tblGrid>
        <w:gridCol w:w="1311"/>
        <w:gridCol w:w="2348"/>
        <w:gridCol w:w="5223"/>
      </w:tblGrid>
      <w:tr w14:paraId="22DEDFC9">
        <w:tblPrEx>
          <w:tblCellMar>
            <w:top w:w="15" w:type="dxa"/>
            <w:left w:w="15" w:type="dxa"/>
            <w:bottom w:w="15" w:type="dxa"/>
            <w:right w:w="15" w:type="dxa"/>
          </w:tblCellMar>
        </w:tblPrEx>
        <w:trPr>
          <w:trHeight w:val="153" w:hRule="atLeast"/>
          <w:jc w:val="center"/>
        </w:trPr>
        <w:tc>
          <w:tcPr>
            <w:tcW w:w="2060" w:type="pct"/>
            <w:gridSpan w:val="2"/>
            <w:tcBorders>
              <w:top w:val="single" w:color="000000" w:sz="4" w:space="0"/>
              <w:left w:val="single" w:color="000000" w:sz="4" w:space="0"/>
              <w:bottom w:val="single" w:color="000000" w:sz="4" w:space="0"/>
              <w:right w:val="single" w:color="000000" w:sz="4" w:space="0"/>
            </w:tcBorders>
            <w:noWrap w:val="0"/>
            <w:vAlign w:val="center"/>
          </w:tcPr>
          <w:p w14:paraId="7007E590">
            <w:pPr>
              <w:widowControl/>
              <w:spacing w:line="280" w:lineRule="exact"/>
              <w:jc w:val="center"/>
              <w:textAlignment w:val="center"/>
              <w:rPr>
                <w:rFonts w:ascii="宋体" w:hAnsi="宋体"/>
                <w:color w:val="000000"/>
                <w:szCs w:val="21"/>
              </w:rPr>
            </w:pPr>
            <w:r>
              <w:rPr>
                <w:rFonts w:ascii="宋体" w:hAnsi="宋体"/>
                <w:color w:val="000000"/>
                <w:kern w:val="0"/>
                <w:szCs w:val="21"/>
              </w:rPr>
              <w:t>服务内容</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BBB9F2B">
            <w:pPr>
              <w:widowControl/>
              <w:spacing w:line="280" w:lineRule="exact"/>
              <w:jc w:val="center"/>
              <w:textAlignment w:val="center"/>
              <w:rPr>
                <w:rFonts w:ascii="宋体" w:hAnsi="宋体"/>
                <w:color w:val="000000"/>
                <w:szCs w:val="21"/>
              </w:rPr>
            </w:pPr>
            <w:r>
              <w:rPr>
                <w:rFonts w:ascii="宋体" w:hAnsi="宋体"/>
                <w:color w:val="000000"/>
                <w:kern w:val="0"/>
                <w:szCs w:val="21"/>
              </w:rPr>
              <w:t>二级</w:t>
            </w:r>
          </w:p>
        </w:tc>
      </w:tr>
      <w:tr w14:paraId="092EE214">
        <w:tblPrEx>
          <w:tblCellMar>
            <w:top w:w="15" w:type="dxa"/>
            <w:left w:w="15" w:type="dxa"/>
            <w:bottom w:w="15" w:type="dxa"/>
            <w:right w:w="15" w:type="dxa"/>
          </w:tblCellMar>
        </w:tblPrEx>
        <w:trPr>
          <w:trHeight w:val="228" w:hRule="atLeast"/>
          <w:jc w:val="center"/>
        </w:trPr>
        <w:tc>
          <w:tcPr>
            <w:tcW w:w="738"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4433CE0">
            <w:pPr>
              <w:widowControl/>
              <w:spacing w:line="280" w:lineRule="exact"/>
              <w:jc w:val="center"/>
              <w:textAlignment w:val="center"/>
              <w:rPr>
                <w:rFonts w:ascii="宋体" w:hAnsi="宋体"/>
                <w:color w:val="000000"/>
                <w:szCs w:val="21"/>
              </w:rPr>
            </w:pPr>
            <w:r>
              <w:rPr>
                <w:rFonts w:ascii="宋体" w:hAnsi="宋体"/>
                <w:color w:val="000000"/>
                <w:kern w:val="0"/>
                <w:szCs w:val="21"/>
              </w:rPr>
              <w:t>楼内公共区域</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09B6A3AA">
            <w:pPr>
              <w:widowControl/>
              <w:spacing w:line="280" w:lineRule="exact"/>
              <w:jc w:val="center"/>
              <w:textAlignment w:val="center"/>
              <w:rPr>
                <w:rFonts w:ascii="宋体" w:hAnsi="宋体"/>
                <w:color w:val="000000"/>
                <w:kern w:val="0"/>
                <w:szCs w:val="21"/>
              </w:rPr>
            </w:pPr>
            <w:r>
              <w:rPr>
                <w:rFonts w:ascii="宋体" w:hAnsi="宋体"/>
                <w:color w:val="000000"/>
                <w:kern w:val="0"/>
                <w:szCs w:val="21"/>
              </w:rPr>
              <w:t xml:space="preserve">生活垃圾     </w:t>
            </w:r>
          </w:p>
          <w:p w14:paraId="760FBF03">
            <w:pPr>
              <w:widowControl/>
              <w:spacing w:line="280" w:lineRule="exact"/>
              <w:jc w:val="center"/>
              <w:textAlignment w:val="center"/>
              <w:rPr>
                <w:rFonts w:ascii="宋体" w:hAnsi="宋体"/>
                <w:color w:val="000000"/>
                <w:szCs w:val="21"/>
              </w:rPr>
            </w:pPr>
            <w:r>
              <w:rPr>
                <w:rFonts w:ascii="宋体" w:hAnsi="宋体"/>
                <w:color w:val="000000"/>
                <w:kern w:val="0"/>
                <w:szCs w:val="21"/>
              </w:rPr>
              <w:t xml:space="preserve"> 收集与处理</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A8B7F98">
            <w:pPr>
              <w:widowControl/>
              <w:spacing w:line="280" w:lineRule="exact"/>
              <w:textAlignment w:val="center"/>
              <w:rPr>
                <w:rFonts w:ascii="宋体" w:hAnsi="宋体"/>
                <w:color w:val="000000"/>
                <w:szCs w:val="21"/>
              </w:rPr>
            </w:pPr>
            <w:r>
              <w:rPr>
                <w:rFonts w:ascii="宋体" w:hAnsi="宋体"/>
                <w:color w:val="000000"/>
                <w:kern w:val="0"/>
                <w:szCs w:val="21"/>
              </w:rPr>
              <w:t>告知业主将生活垃圾收集送至小区指定垃圾堆放点。</w:t>
            </w:r>
          </w:p>
        </w:tc>
      </w:tr>
      <w:tr w14:paraId="7847D49D">
        <w:tblPrEx>
          <w:tblCellMar>
            <w:top w:w="15" w:type="dxa"/>
            <w:left w:w="15" w:type="dxa"/>
            <w:bottom w:w="15" w:type="dxa"/>
            <w:right w:w="15" w:type="dxa"/>
          </w:tblCellMar>
        </w:tblPrEx>
        <w:trPr>
          <w:trHeight w:val="18" w:hRule="atLeast"/>
          <w:jc w:val="center"/>
        </w:trPr>
        <w:tc>
          <w:tcPr>
            <w:tcW w:w="73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DC2BD9">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22ADB083">
            <w:pPr>
              <w:widowControl/>
              <w:spacing w:line="280" w:lineRule="exact"/>
              <w:jc w:val="center"/>
              <w:textAlignment w:val="center"/>
              <w:rPr>
                <w:rFonts w:ascii="宋体" w:hAnsi="宋体"/>
                <w:color w:val="000000"/>
                <w:szCs w:val="21"/>
              </w:rPr>
            </w:pPr>
            <w:r>
              <w:rPr>
                <w:rFonts w:ascii="宋体" w:hAnsi="宋体"/>
                <w:color w:val="000000"/>
                <w:kern w:val="0"/>
                <w:szCs w:val="21"/>
              </w:rPr>
              <w:t>通道与电梯轿厢</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1AD42D8">
            <w:pPr>
              <w:widowControl/>
              <w:spacing w:line="280" w:lineRule="exact"/>
              <w:textAlignment w:val="center"/>
              <w:rPr>
                <w:rFonts w:ascii="宋体" w:hAnsi="宋体"/>
                <w:color w:val="000000"/>
                <w:szCs w:val="21"/>
              </w:rPr>
            </w:pPr>
            <w:r>
              <w:rPr>
                <w:rFonts w:ascii="宋体" w:hAnsi="宋体"/>
                <w:color w:val="000000"/>
                <w:kern w:val="0"/>
                <w:szCs w:val="21"/>
              </w:rPr>
              <w:t>每月保洁2次，保洁后无明显垃圾与积灰。通道、楼梯间无乱堆乱放。</w:t>
            </w:r>
          </w:p>
        </w:tc>
      </w:tr>
      <w:tr w14:paraId="691A1848">
        <w:tblPrEx>
          <w:tblCellMar>
            <w:top w:w="15" w:type="dxa"/>
            <w:left w:w="15" w:type="dxa"/>
            <w:bottom w:w="15" w:type="dxa"/>
            <w:right w:w="15" w:type="dxa"/>
          </w:tblCellMar>
        </w:tblPrEx>
        <w:trPr>
          <w:trHeight w:val="18" w:hRule="atLeast"/>
          <w:jc w:val="center"/>
        </w:trPr>
        <w:tc>
          <w:tcPr>
            <w:tcW w:w="73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0FF23E8">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7D1CCFC3">
            <w:pPr>
              <w:widowControl/>
              <w:spacing w:line="280" w:lineRule="exact"/>
              <w:jc w:val="center"/>
              <w:textAlignment w:val="center"/>
              <w:rPr>
                <w:rFonts w:ascii="宋体" w:hAnsi="宋体"/>
                <w:color w:val="000000"/>
                <w:szCs w:val="21"/>
              </w:rPr>
            </w:pPr>
            <w:r>
              <w:rPr>
                <w:rFonts w:ascii="宋体" w:hAnsi="宋体"/>
                <w:color w:val="000000"/>
                <w:kern w:val="0"/>
                <w:szCs w:val="21"/>
              </w:rPr>
              <w:t>楼梯台阶与栏杆，开关盒、表箱盖，天花板、公共灯具，消火栓、信报箱、设备箱</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DDD6383">
            <w:pPr>
              <w:widowControl/>
              <w:spacing w:line="280" w:lineRule="exact"/>
              <w:textAlignment w:val="center"/>
              <w:rPr>
                <w:rFonts w:ascii="宋体" w:hAnsi="宋体"/>
                <w:color w:val="000000"/>
                <w:szCs w:val="21"/>
              </w:rPr>
            </w:pPr>
            <w:r>
              <w:rPr>
                <w:rFonts w:ascii="宋体" w:hAnsi="宋体"/>
                <w:color w:val="000000"/>
                <w:kern w:val="0"/>
                <w:szCs w:val="21"/>
              </w:rPr>
              <w:t>保洁后无明显垃圾及积灰，保持干净，无明显蜘蛛网。</w:t>
            </w:r>
          </w:p>
        </w:tc>
      </w:tr>
      <w:tr w14:paraId="58F4CB9C">
        <w:tblPrEx>
          <w:tblCellMar>
            <w:top w:w="15" w:type="dxa"/>
            <w:left w:w="15" w:type="dxa"/>
            <w:bottom w:w="15" w:type="dxa"/>
            <w:right w:w="15" w:type="dxa"/>
          </w:tblCellMar>
        </w:tblPrEx>
        <w:trPr>
          <w:trHeight w:val="18" w:hRule="atLeast"/>
          <w:jc w:val="center"/>
        </w:trPr>
        <w:tc>
          <w:tcPr>
            <w:tcW w:w="73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F9D2D3">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757DB14A">
            <w:pPr>
              <w:widowControl/>
              <w:spacing w:line="280" w:lineRule="exact"/>
              <w:jc w:val="center"/>
              <w:textAlignment w:val="center"/>
              <w:rPr>
                <w:rFonts w:ascii="宋体" w:hAnsi="宋体"/>
                <w:color w:val="000000"/>
                <w:szCs w:val="21"/>
              </w:rPr>
            </w:pPr>
            <w:r>
              <w:rPr>
                <w:rFonts w:ascii="宋体" w:hAnsi="宋体"/>
                <w:color w:val="000000"/>
                <w:kern w:val="0"/>
                <w:szCs w:val="21"/>
              </w:rPr>
              <w:t>门、窗等玻璃</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03BD3A8">
            <w:pPr>
              <w:widowControl/>
              <w:spacing w:line="280" w:lineRule="exact"/>
              <w:textAlignment w:val="center"/>
              <w:rPr>
                <w:rFonts w:ascii="宋体" w:hAnsi="宋体"/>
                <w:color w:val="000000"/>
                <w:szCs w:val="21"/>
              </w:rPr>
            </w:pPr>
            <w:r>
              <w:rPr>
                <w:rFonts w:ascii="宋体" w:hAnsi="宋体"/>
                <w:color w:val="000000"/>
                <w:kern w:val="0"/>
                <w:szCs w:val="21"/>
              </w:rPr>
              <w:t>每年擦拭4次，其中底层门厅玻璃、单元门每2个月擦拭1次，无明显蜘蛛网与污变。</w:t>
            </w:r>
          </w:p>
        </w:tc>
      </w:tr>
      <w:tr w14:paraId="2293FBCB">
        <w:tblPrEx>
          <w:tblCellMar>
            <w:top w:w="15" w:type="dxa"/>
            <w:left w:w="15" w:type="dxa"/>
            <w:bottom w:w="15" w:type="dxa"/>
            <w:right w:w="15" w:type="dxa"/>
          </w:tblCellMar>
        </w:tblPrEx>
        <w:trPr>
          <w:trHeight w:val="654" w:hRule="atLeast"/>
          <w:jc w:val="center"/>
        </w:trPr>
        <w:tc>
          <w:tcPr>
            <w:tcW w:w="738" w:type="pct"/>
            <w:vMerge w:val="restart"/>
            <w:tcBorders>
              <w:top w:val="single" w:color="000000" w:sz="4" w:space="0"/>
              <w:left w:val="single" w:color="000000" w:sz="4" w:space="0"/>
              <w:right w:val="single" w:color="000000" w:sz="4" w:space="0"/>
            </w:tcBorders>
            <w:noWrap w:val="0"/>
            <w:textDirection w:val="tbRlV"/>
            <w:vAlign w:val="center"/>
          </w:tcPr>
          <w:p w14:paraId="13F855F2">
            <w:pPr>
              <w:widowControl/>
              <w:spacing w:line="280" w:lineRule="exact"/>
              <w:jc w:val="center"/>
              <w:textAlignment w:val="center"/>
              <w:rPr>
                <w:rFonts w:ascii="宋体" w:hAnsi="宋体"/>
                <w:color w:val="000000"/>
                <w:szCs w:val="21"/>
              </w:rPr>
            </w:pPr>
            <w:r>
              <w:rPr>
                <w:rFonts w:ascii="宋体" w:hAnsi="宋体"/>
                <w:color w:val="000000"/>
                <w:kern w:val="0"/>
                <w:szCs w:val="21"/>
              </w:rPr>
              <w:t>楼外公共区域</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3638D7DE">
            <w:pPr>
              <w:widowControl/>
              <w:spacing w:line="280" w:lineRule="exact"/>
              <w:jc w:val="center"/>
              <w:textAlignment w:val="center"/>
              <w:rPr>
                <w:rFonts w:ascii="宋体" w:hAnsi="宋体"/>
                <w:color w:val="000000"/>
                <w:kern w:val="0"/>
                <w:szCs w:val="21"/>
              </w:rPr>
            </w:pPr>
            <w:r>
              <w:rPr>
                <w:rFonts w:ascii="宋体" w:hAnsi="宋体"/>
                <w:color w:val="000000"/>
                <w:kern w:val="0"/>
                <w:szCs w:val="21"/>
              </w:rPr>
              <w:t xml:space="preserve">道路地面    </w:t>
            </w:r>
          </w:p>
          <w:p w14:paraId="7FABE5B5">
            <w:pPr>
              <w:widowControl/>
              <w:spacing w:line="280" w:lineRule="exact"/>
              <w:jc w:val="center"/>
              <w:textAlignment w:val="center"/>
              <w:rPr>
                <w:rFonts w:ascii="宋体" w:hAnsi="宋体"/>
                <w:color w:val="000000"/>
                <w:szCs w:val="21"/>
              </w:rPr>
            </w:pPr>
            <w:r>
              <w:rPr>
                <w:rFonts w:ascii="宋体" w:hAnsi="宋体"/>
                <w:color w:val="000000"/>
                <w:kern w:val="0"/>
                <w:szCs w:val="21"/>
              </w:rPr>
              <w:t>（包括落水口）</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B432A30">
            <w:pPr>
              <w:widowControl/>
              <w:spacing w:line="280" w:lineRule="exact"/>
              <w:textAlignment w:val="center"/>
              <w:rPr>
                <w:rFonts w:ascii="宋体" w:hAnsi="宋体"/>
                <w:color w:val="000000"/>
                <w:szCs w:val="21"/>
              </w:rPr>
            </w:pPr>
            <w:r>
              <w:rPr>
                <w:rFonts w:ascii="宋体" w:hAnsi="宋体"/>
                <w:color w:val="000000"/>
                <w:kern w:val="0"/>
                <w:szCs w:val="21"/>
              </w:rPr>
              <w:t>每天清扫1次，清扫结束后地面无明显垃圾、杂物。</w:t>
            </w:r>
          </w:p>
        </w:tc>
      </w:tr>
      <w:tr w14:paraId="5A952497">
        <w:tblPrEx>
          <w:tblCellMar>
            <w:top w:w="15" w:type="dxa"/>
            <w:left w:w="15" w:type="dxa"/>
            <w:bottom w:w="15" w:type="dxa"/>
            <w:right w:w="15" w:type="dxa"/>
          </w:tblCellMar>
        </w:tblPrEx>
        <w:trPr>
          <w:trHeight w:val="524" w:hRule="atLeast"/>
          <w:jc w:val="center"/>
        </w:trPr>
        <w:tc>
          <w:tcPr>
            <w:tcW w:w="738" w:type="pct"/>
            <w:vMerge w:val="continue"/>
            <w:tcBorders>
              <w:left w:val="single" w:color="000000" w:sz="4" w:space="0"/>
              <w:right w:val="single" w:color="000000" w:sz="4" w:space="0"/>
            </w:tcBorders>
            <w:noWrap w:val="0"/>
            <w:textDirection w:val="tbRlV"/>
            <w:vAlign w:val="center"/>
          </w:tcPr>
          <w:p w14:paraId="3B438B0E">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502ED9E8">
            <w:pPr>
              <w:widowControl/>
              <w:spacing w:line="280" w:lineRule="exact"/>
              <w:jc w:val="center"/>
              <w:textAlignment w:val="center"/>
              <w:rPr>
                <w:rFonts w:ascii="宋体" w:hAnsi="宋体"/>
                <w:color w:val="000000"/>
                <w:szCs w:val="21"/>
              </w:rPr>
            </w:pPr>
            <w:r>
              <w:rPr>
                <w:rFonts w:ascii="宋体" w:hAnsi="宋体"/>
                <w:color w:val="000000"/>
                <w:kern w:val="0"/>
                <w:szCs w:val="21"/>
              </w:rPr>
              <w:t>景观河、地沟、平台等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2D1CCD8">
            <w:pPr>
              <w:widowControl/>
              <w:spacing w:line="280" w:lineRule="exact"/>
              <w:textAlignment w:val="center"/>
              <w:rPr>
                <w:rFonts w:ascii="宋体" w:hAnsi="宋体"/>
                <w:color w:val="000000"/>
                <w:szCs w:val="21"/>
              </w:rPr>
            </w:pPr>
            <w:r>
              <w:rPr>
                <w:rFonts w:ascii="宋体" w:hAnsi="宋体"/>
                <w:color w:val="000000"/>
                <w:kern w:val="0"/>
                <w:szCs w:val="21"/>
              </w:rPr>
              <w:t>每周清扫2次，目视无明显杂物。</w:t>
            </w:r>
          </w:p>
        </w:tc>
      </w:tr>
      <w:tr w14:paraId="71E653F3">
        <w:tblPrEx>
          <w:tblCellMar>
            <w:top w:w="15" w:type="dxa"/>
            <w:left w:w="15" w:type="dxa"/>
            <w:bottom w:w="15" w:type="dxa"/>
            <w:right w:w="15" w:type="dxa"/>
          </w:tblCellMar>
        </w:tblPrEx>
        <w:trPr>
          <w:trHeight w:val="399" w:hRule="atLeast"/>
          <w:jc w:val="center"/>
        </w:trPr>
        <w:tc>
          <w:tcPr>
            <w:tcW w:w="738" w:type="pct"/>
            <w:vMerge w:val="continue"/>
            <w:tcBorders>
              <w:left w:val="single" w:color="000000" w:sz="4" w:space="0"/>
              <w:right w:val="single" w:color="000000" w:sz="4" w:space="0"/>
            </w:tcBorders>
            <w:noWrap w:val="0"/>
            <w:textDirection w:val="tbRlV"/>
            <w:vAlign w:val="center"/>
          </w:tcPr>
          <w:p w14:paraId="20AAD437">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2452EFEB">
            <w:pPr>
              <w:widowControl/>
              <w:spacing w:line="280" w:lineRule="exact"/>
              <w:jc w:val="center"/>
              <w:textAlignment w:val="center"/>
              <w:rPr>
                <w:rFonts w:ascii="宋体" w:hAnsi="宋体"/>
                <w:color w:val="000000"/>
                <w:kern w:val="0"/>
                <w:szCs w:val="21"/>
              </w:rPr>
            </w:pPr>
            <w:r>
              <w:rPr>
                <w:rFonts w:ascii="宋体" w:hAnsi="宋体"/>
                <w:color w:val="000000"/>
                <w:kern w:val="0"/>
                <w:szCs w:val="21"/>
              </w:rPr>
              <w:t xml:space="preserve">绿地        </w:t>
            </w:r>
          </w:p>
          <w:p w14:paraId="0926A75E">
            <w:pPr>
              <w:widowControl/>
              <w:spacing w:line="280" w:lineRule="exact"/>
              <w:jc w:val="center"/>
              <w:textAlignment w:val="center"/>
              <w:rPr>
                <w:rFonts w:ascii="宋体" w:hAnsi="宋体"/>
                <w:color w:val="000000"/>
                <w:szCs w:val="21"/>
              </w:rPr>
            </w:pPr>
            <w:r>
              <w:rPr>
                <w:rFonts w:ascii="宋体" w:hAnsi="宋体"/>
                <w:color w:val="000000"/>
                <w:kern w:val="0"/>
                <w:szCs w:val="21"/>
              </w:rPr>
              <w:t>（包括散水坡）</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8FD5F58">
            <w:pPr>
              <w:widowControl/>
              <w:spacing w:line="280" w:lineRule="exact"/>
              <w:textAlignment w:val="center"/>
              <w:rPr>
                <w:rFonts w:ascii="宋体" w:hAnsi="宋体"/>
                <w:color w:val="000000"/>
                <w:szCs w:val="21"/>
              </w:rPr>
            </w:pPr>
            <w:r>
              <w:rPr>
                <w:rFonts w:ascii="宋体" w:hAnsi="宋体"/>
                <w:color w:val="000000"/>
                <w:kern w:val="0"/>
                <w:szCs w:val="21"/>
              </w:rPr>
              <w:t>每周清扫3次，每天局部拾捡1次。</w:t>
            </w:r>
          </w:p>
        </w:tc>
      </w:tr>
      <w:tr w14:paraId="573B8DF4">
        <w:tblPrEx>
          <w:tblCellMar>
            <w:top w:w="15" w:type="dxa"/>
            <w:left w:w="15" w:type="dxa"/>
            <w:bottom w:w="15" w:type="dxa"/>
            <w:right w:w="15" w:type="dxa"/>
          </w:tblCellMar>
        </w:tblPrEx>
        <w:trPr>
          <w:trHeight w:val="799" w:hRule="atLeast"/>
          <w:jc w:val="center"/>
        </w:trPr>
        <w:tc>
          <w:tcPr>
            <w:tcW w:w="738" w:type="pct"/>
            <w:vMerge w:val="continue"/>
            <w:tcBorders>
              <w:left w:val="single" w:color="000000" w:sz="4" w:space="0"/>
              <w:right w:val="single" w:color="000000" w:sz="4" w:space="0"/>
            </w:tcBorders>
            <w:noWrap w:val="0"/>
            <w:textDirection w:val="tbRlV"/>
            <w:vAlign w:val="center"/>
          </w:tcPr>
          <w:p w14:paraId="11A3D604">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6C33E22C">
            <w:pPr>
              <w:widowControl/>
              <w:spacing w:line="280" w:lineRule="exact"/>
              <w:jc w:val="center"/>
              <w:textAlignment w:val="center"/>
              <w:rPr>
                <w:rFonts w:ascii="宋体" w:hAnsi="宋体"/>
                <w:color w:val="000000"/>
                <w:szCs w:val="21"/>
              </w:rPr>
            </w:pPr>
            <w:r>
              <w:rPr>
                <w:rFonts w:ascii="宋体" w:hAnsi="宋体"/>
                <w:color w:val="000000"/>
                <w:kern w:val="0"/>
                <w:szCs w:val="21"/>
              </w:rPr>
              <w:t>消杀及灭鼠害蚊蝇</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431D89B">
            <w:pPr>
              <w:widowControl/>
              <w:spacing w:line="280" w:lineRule="exact"/>
              <w:textAlignment w:val="center"/>
              <w:rPr>
                <w:rFonts w:ascii="宋体" w:hAnsi="宋体"/>
                <w:color w:val="000000"/>
                <w:szCs w:val="21"/>
              </w:rPr>
            </w:pPr>
            <w:r>
              <w:rPr>
                <w:rFonts w:ascii="宋体" w:hAnsi="宋体"/>
                <w:color w:val="000000"/>
                <w:kern w:val="0"/>
                <w:szCs w:val="21"/>
              </w:rPr>
              <w:t>每季度对窨井、明沟喷洒药水1次（夏季每周1次），每半年灭鼠1次。</w:t>
            </w:r>
          </w:p>
        </w:tc>
      </w:tr>
      <w:tr w14:paraId="62DB74C6">
        <w:tblPrEx>
          <w:tblCellMar>
            <w:top w:w="15" w:type="dxa"/>
            <w:left w:w="15" w:type="dxa"/>
            <w:bottom w:w="15" w:type="dxa"/>
            <w:right w:w="15" w:type="dxa"/>
          </w:tblCellMar>
        </w:tblPrEx>
        <w:trPr>
          <w:trHeight w:val="765" w:hRule="atLeast"/>
          <w:jc w:val="center"/>
        </w:trPr>
        <w:tc>
          <w:tcPr>
            <w:tcW w:w="738" w:type="pct"/>
            <w:vMerge w:val="continue"/>
            <w:tcBorders>
              <w:left w:val="single" w:color="000000" w:sz="4" w:space="0"/>
              <w:right w:val="single" w:color="000000" w:sz="4" w:space="0"/>
            </w:tcBorders>
            <w:noWrap w:val="0"/>
            <w:textDirection w:val="tbRlV"/>
            <w:vAlign w:val="center"/>
          </w:tcPr>
          <w:p w14:paraId="6B356C40">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03636376">
            <w:pPr>
              <w:widowControl/>
              <w:spacing w:line="280" w:lineRule="exact"/>
              <w:jc w:val="center"/>
              <w:textAlignment w:val="center"/>
              <w:rPr>
                <w:rFonts w:ascii="宋体" w:hAnsi="宋体"/>
                <w:color w:val="000000"/>
                <w:szCs w:val="21"/>
              </w:rPr>
            </w:pPr>
            <w:r>
              <w:rPr>
                <w:rFonts w:ascii="宋体" w:hAnsi="宋体"/>
                <w:color w:val="000000"/>
                <w:kern w:val="0"/>
                <w:szCs w:val="21"/>
              </w:rPr>
              <w:t>公共灯箱、宣传栏、标识、雕塑小品等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6C08A11">
            <w:pPr>
              <w:widowControl/>
              <w:spacing w:line="280" w:lineRule="exact"/>
              <w:textAlignment w:val="center"/>
              <w:rPr>
                <w:rFonts w:ascii="宋体" w:hAnsi="宋体"/>
                <w:color w:val="000000"/>
                <w:szCs w:val="21"/>
              </w:rPr>
            </w:pPr>
            <w:r>
              <w:rPr>
                <w:rFonts w:ascii="宋体" w:hAnsi="宋体"/>
                <w:color w:val="000000"/>
                <w:kern w:val="0"/>
                <w:szCs w:val="21"/>
              </w:rPr>
              <w:t>公共灯具、宣传栏、标识每月擦抹2次，雕塑每年保洁2次，保洁后无污迹积灰。</w:t>
            </w:r>
          </w:p>
        </w:tc>
      </w:tr>
      <w:tr w14:paraId="120504E9">
        <w:tblPrEx>
          <w:tblCellMar>
            <w:top w:w="15" w:type="dxa"/>
            <w:left w:w="15" w:type="dxa"/>
            <w:bottom w:w="15" w:type="dxa"/>
            <w:right w:w="15" w:type="dxa"/>
          </w:tblCellMar>
        </w:tblPrEx>
        <w:trPr>
          <w:trHeight w:val="1029" w:hRule="atLeast"/>
          <w:jc w:val="center"/>
        </w:trPr>
        <w:tc>
          <w:tcPr>
            <w:tcW w:w="738" w:type="pct"/>
            <w:vMerge w:val="continue"/>
            <w:tcBorders>
              <w:left w:val="single" w:color="000000" w:sz="4" w:space="0"/>
              <w:bottom w:val="single" w:color="000000" w:sz="4" w:space="0"/>
              <w:right w:val="single" w:color="000000" w:sz="4" w:space="0"/>
            </w:tcBorders>
            <w:noWrap w:val="0"/>
            <w:textDirection w:val="tbRlV"/>
            <w:vAlign w:val="center"/>
          </w:tcPr>
          <w:p w14:paraId="22944107">
            <w:pPr>
              <w:widowControl/>
              <w:spacing w:line="280" w:lineRule="exact"/>
              <w:jc w:val="center"/>
              <w:textAlignment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368B6AEB">
            <w:pPr>
              <w:widowControl/>
              <w:spacing w:line="280" w:lineRule="exact"/>
              <w:jc w:val="center"/>
              <w:textAlignment w:val="center"/>
              <w:rPr>
                <w:rFonts w:ascii="宋体" w:hAnsi="宋体"/>
                <w:color w:val="000000"/>
                <w:szCs w:val="21"/>
              </w:rPr>
            </w:pPr>
            <w:r>
              <w:rPr>
                <w:rFonts w:ascii="宋体" w:hAnsi="宋体"/>
                <w:color w:val="000000"/>
                <w:kern w:val="0"/>
                <w:szCs w:val="21"/>
              </w:rPr>
              <w:t>休闲娱乐健身设施、木地板</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FB064EC">
            <w:pPr>
              <w:widowControl/>
              <w:spacing w:line="280" w:lineRule="exact"/>
              <w:textAlignment w:val="center"/>
              <w:rPr>
                <w:rFonts w:ascii="宋体" w:hAnsi="宋体"/>
                <w:color w:val="000000"/>
                <w:szCs w:val="21"/>
              </w:rPr>
            </w:pPr>
            <w:r>
              <w:rPr>
                <w:rFonts w:ascii="宋体" w:hAnsi="宋体"/>
                <w:color w:val="000000"/>
                <w:kern w:val="0"/>
                <w:szCs w:val="21"/>
              </w:rPr>
              <w:t>每周保洁2次，设施表面基本干净，无灰尘污迹，目视休闲场内及周围无果皮、纸屑等垃圾。</w:t>
            </w:r>
          </w:p>
        </w:tc>
      </w:tr>
      <w:tr w14:paraId="5B750210">
        <w:tblPrEx>
          <w:tblCellMar>
            <w:top w:w="15" w:type="dxa"/>
            <w:left w:w="15" w:type="dxa"/>
            <w:bottom w:w="15" w:type="dxa"/>
            <w:right w:w="15" w:type="dxa"/>
          </w:tblCellMar>
        </w:tblPrEx>
        <w:trPr>
          <w:trHeight w:val="417" w:hRule="atLeast"/>
          <w:jc w:val="center"/>
        </w:trPr>
        <w:tc>
          <w:tcPr>
            <w:tcW w:w="738" w:type="pct"/>
            <w:vMerge w:val="restart"/>
            <w:tcBorders>
              <w:top w:val="single" w:color="000000" w:sz="4" w:space="0"/>
              <w:left w:val="single" w:color="000000" w:sz="4" w:space="0"/>
              <w:right w:val="single" w:color="000000" w:sz="4" w:space="0"/>
            </w:tcBorders>
            <w:noWrap w:val="0"/>
            <w:textDirection w:val="tbRlV"/>
            <w:vAlign w:val="center"/>
          </w:tcPr>
          <w:p w14:paraId="08696FA0">
            <w:pPr>
              <w:widowControl/>
              <w:spacing w:line="280" w:lineRule="exact"/>
              <w:jc w:val="center"/>
              <w:rPr>
                <w:rFonts w:ascii="宋体" w:hAnsi="宋体"/>
                <w:color w:val="000000"/>
                <w:szCs w:val="21"/>
              </w:rPr>
            </w:pPr>
            <w:r>
              <w:rPr>
                <w:rFonts w:ascii="宋体" w:hAnsi="宋体"/>
                <w:color w:val="000000"/>
                <w:kern w:val="0"/>
                <w:szCs w:val="21"/>
              </w:rPr>
              <w:t>楼外公共区域</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6F20CEFD">
            <w:pPr>
              <w:widowControl/>
              <w:spacing w:line="280" w:lineRule="exact"/>
              <w:jc w:val="center"/>
              <w:textAlignment w:val="center"/>
              <w:rPr>
                <w:rFonts w:ascii="宋体" w:hAnsi="宋体"/>
                <w:color w:val="000000"/>
                <w:szCs w:val="21"/>
              </w:rPr>
            </w:pPr>
            <w:r>
              <w:rPr>
                <w:rFonts w:ascii="宋体" w:hAnsi="宋体"/>
                <w:color w:val="000000"/>
                <w:kern w:val="0"/>
                <w:szCs w:val="21"/>
              </w:rPr>
              <w:t>水景、喷水池</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E5CDA92">
            <w:pPr>
              <w:widowControl/>
              <w:spacing w:line="280" w:lineRule="exact"/>
              <w:textAlignment w:val="center"/>
              <w:rPr>
                <w:rFonts w:ascii="宋体" w:hAnsi="宋体"/>
                <w:color w:val="000000"/>
                <w:szCs w:val="21"/>
              </w:rPr>
            </w:pPr>
            <w:r>
              <w:rPr>
                <w:rFonts w:ascii="宋体" w:hAnsi="宋体"/>
                <w:color w:val="000000"/>
                <w:kern w:val="0"/>
                <w:szCs w:val="21"/>
              </w:rPr>
              <w:t>每月打捞漂浮物2次，打捞后无白色垃圾等漂浮物。</w:t>
            </w:r>
          </w:p>
        </w:tc>
      </w:tr>
      <w:tr w14:paraId="51B2B7E4">
        <w:tblPrEx>
          <w:tblCellMar>
            <w:top w:w="15" w:type="dxa"/>
            <w:left w:w="15" w:type="dxa"/>
            <w:bottom w:w="15" w:type="dxa"/>
            <w:right w:w="15" w:type="dxa"/>
          </w:tblCellMar>
        </w:tblPrEx>
        <w:trPr>
          <w:trHeight w:val="542" w:hRule="atLeast"/>
          <w:jc w:val="center"/>
        </w:trPr>
        <w:tc>
          <w:tcPr>
            <w:tcW w:w="738" w:type="pct"/>
            <w:vMerge w:val="continue"/>
            <w:tcBorders>
              <w:left w:val="single" w:color="000000" w:sz="4" w:space="0"/>
              <w:right w:val="single" w:color="000000" w:sz="4" w:space="0"/>
            </w:tcBorders>
            <w:noWrap w:val="0"/>
            <w:textDirection w:val="tbRlV"/>
            <w:vAlign w:val="center"/>
          </w:tcPr>
          <w:p w14:paraId="1C8CDFFA">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45B94BE8">
            <w:pPr>
              <w:widowControl/>
              <w:spacing w:line="280" w:lineRule="exact"/>
              <w:jc w:val="center"/>
              <w:textAlignment w:val="center"/>
              <w:rPr>
                <w:rFonts w:ascii="宋体" w:hAnsi="宋体"/>
                <w:color w:val="000000"/>
                <w:szCs w:val="21"/>
              </w:rPr>
            </w:pPr>
            <w:r>
              <w:rPr>
                <w:rFonts w:ascii="宋体" w:hAnsi="宋体"/>
                <w:color w:val="000000"/>
                <w:kern w:val="0"/>
                <w:szCs w:val="21"/>
              </w:rPr>
              <w:t>垃圾桶、果壳箱</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DCA2C07">
            <w:pPr>
              <w:widowControl/>
              <w:spacing w:line="280" w:lineRule="exact"/>
              <w:textAlignment w:val="center"/>
              <w:rPr>
                <w:rFonts w:ascii="宋体" w:hAnsi="宋体"/>
                <w:color w:val="000000"/>
                <w:szCs w:val="21"/>
              </w:rPr>
            </w:pPr>
            <w:r>
              <w:rPr>
                <w:rFonts w:ascii="宋体" w:hAnsi="宋体"/>
                <w:color w:val="000000"/>
                <w:kern w:val="0"/>
                <w:szCs w:val="21"/>
              </w:rPr>
              <w:t>夏季每周清洁1次，其它季节每月清洁2次，告知业主随手盖桶盖，周围地面无明显散落垃圾及污迹。</w:t>
            </w:r>
          </w:p>
        </w:tc>
      </w:tr>
      <w:tr w14:paraId="5498A6DF">
        <w:tblPrEx>
          <w:tblCellMar>
            <w:top w:w="15" w:type="dxa"/>
            <w:left w:w="15" w:type="dxa"/>
            <w:bottom w:w="15" w:type="dxa"/>
            <w:right w:w="15" w:type="dxa"/>
          </w:tblCellMar>
        </w:tblPrEx>
        <w:trPr>
          <w:trHeight w:val="382" w:hRule="atLeast"/>
          <w:jc w:val="center"/>
        </w:trPr>
        <w:tc>
          <w:tcPr>
            <w:tcW w:w="738" w:type="pct"/>
            <w:vMerge w:val="continue"/>
            <w:tcBorders>
              <w:left w:val="single" w:color="000000" w:sz="4" w:space="0"/>
              <w:right w:val="single" w:color="000000" w:sz="4" w:space="0"/>
            </w:tcBorders>
            <w:noWrap w:val="0"/>
            <w:textDirection w:val="tbRlV"/>
            <w:vAlign w:val="center"/>
          </w:tcPr>
          <w:p w14:paraId="4BA9767E">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73A8DF20">
            <w:pPr>
              <w:widowControl/>
              <w:spacing w:line="280" w:lineRule="exact"/>
              <w:jc w:val="center"/>
              <w:textAlignment w:val="center"/>
              <w:rPr>
                <w:rFonts w:ascii="宋体" w:hAnsi="宋体"/>
                <w:color w:val="000000"/>
                <w:szCs w:val="21"/>
              </w:rPr>
            </w:pPr>
            <w:r>
              <w:rPr>
                <w:rFonts w:ascii="宋体" w:hAnsi="宋体"/>
                <w:color w:val="000000"/>
                <w:kern w:val="0"/>
                <w:szCs w:val="21"/>
              </w:rPr>
              <w:t>单元玻璃雨蓬、架空层玻璃景观房</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8932E3E">
            <w:pPr>
              <w:widowControl/>
              <w:spacing w:line="280" w:lineRule="exact"/>
              <w:textAlignment w:val="center"/>
              <w:rPr>
                <w:rFonts w:ascii="宋体" w:hAnsi="宋体"/>
                <w:color w:val="000000"/>
                <w:szCs w:val="21"/>
              </w:rPr>
            </w:pPr>
            <w:r>
              <w:rPr>
                <w:rFonts w:ascii="宋体" w:hAnsi="宋体"/>
                <w:color w:val="000000"/>
                <w:kern w:val="0"/>
                <w:szCs w:val="21"/>
              </w:rPr>
              <w:t>每年除尘2次，无积尘。</w:t>
            </w:r>
          </w:p>
        </w:tc>
      </w:tr>
      <w:tr w14:paraId="1EBC781E">
        <w:tblPrEx>
          <w:tblCellMar>
            <w:top w:w="15" w:type="dxa"/>
            <w:left w:w="15" w:type="dxa"/>
            <w:bottom w:w="15" w:type="dxa"/>
            <w:right w:w="15" w:type="dxa"/>
          </w:tblCellMar>
        </w:tblPrEx>
        <w:trPr>
          <w:trHeight w:val="297" w:hRule="atLeast"/>
          <w:jc w:val="center"/>
        </w:trPr>
        <w:tc>
          <w:tcPr>
            <w:tcW w:w="738" w:type="pct"/>
            <w:vMerge w:val="continue"/>
            <w:tcBorders>
              <w:left w:val="single" w:color="000000" w:sz="4" w:space="0"/>
              <w:bottom w:val="single" w:color="000000" w:sz="4" w:space="0"/>
              <w:right w:val="single" w:color="000000" w:sz="4" w:space="0"/>
            </w:tcBorders>
            <w:noWrap w:val="0"/>
            <w:textDirection w:val="tbRlV"/>
            <w:vAlign w:val="center"/>
          </w:tcPr>
          <w:p w14:paraId="179331C9">
            <w:pPr>
              <w:widowControl/>
              <w:spacing w:line="280" w:lineRule="exact"/>
              <w:jc w:val="center"/>
              <w:rPr>
                <w:rFonts w:ascii="宋体" w:hAnsi="宋体"/>
                <w:color w:val="000000"/>
                <w:szCs w:val="21"/>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3CB20AF8">
            <w:pPr>
              <w:widowControl/>
              <w:spacing w:line="280" w:lineRule="exact"/>
              <w:jc w:val="center"/>
              <w:textAlignment w:val="center"/>
              <w:rPr>
                <w:rFonts w:ascii="宋体" w:hAnsi="宋体"/>
                <w:color w:val="000000"/>
                <w:szCs w:val="21"/>
              </w:rPr>
            </w:pPr>
            <w:r>
              <w:rPr>
                <w:rFonts w:ascii="宋体" w:hAnsi="宋体"/>
                <w:color w:val="000000"/>
                <w:kern w:val="0"/>
                <w:szCs w:val="21"/>
              </w:rPr>
              <w:t>其他公共场所</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8AD3E3F">
            <w:pPr>
              <w:widowControl/>
              <w:spacing w:line="280" w:lineRule="exact"/>
              <w:textAlignment w:val="center"/>
              <w:rPr>
                <w:rFonts w:ascii="宋体" w:hAnsi="宋体"/>
                <w:color w:val="000000"/>
                <w:szCs w:val="21"/>
              </w:rPr>
            </w:pPr>
            <w:r>
              <w:rPr>
                <w:rFonts w:ascii="宋体" w:hAnsi="宋体"/>
                <w:color w:val="000000"/>
                <w:kern w:val="0"/>
                <w:szCs w:val="21"/>
              </w:rPr>
              <w:t>每天保洁1次，确保外墙面无乱涂乱画乱张贴。</w:t>
            </w:r>
          </w:p>
        </w:tc>
      </w:tr>
    </w:tbl>
    <w:p w14:paraId="427A7FAF">
      <w:pPr>
        <w:spacing w:line="400" w:lineRule="exact"/>
        <w:ind w:firstLine="562" w:firstLineChars="200"/>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4</w:t>
      </w:r>
      <w:r>
        <w:rPr>
          <w:rFonts w:hint="eastAsia" w:ascii="宋体" w:hAnsi="宋体"/>
          <w:b/>
          <w:sz w:val="28"/>
          <w:szCs w:val="28"/>
        </w:rPr>
        <w:t>）</w:t>
      </w:r>
      <w:r>
        <w:rPr>
          <w:rFonts w:ascii="宋体" w:hAnsi="宋体"/>
          <w:b/>
          <w:sz w:val="28"/>
          <w:szCs w:val="28"/>
        </w:rPr>
        <w:t>共用部位、共用设备设施日常维护服务标准</w:t>
      </w:r>
    </w:p>
    <w:tbl>
      <w:tblPr>
        <w:tblStyle w:val="6"/>
        <w:tblW w:w="5000" w:type="pct"/>
        <w:jc w:val="center"/>
        <w:tblLayout w:type="autofit"/>
        <w:tblCellMar>
          <w:top w:w="15" w:type="dxa"/>
          <w:left w:w="15" w:type="dxa"/>
          <w:bottom w:w="15" w:type="dxa"/>
          <w:right w:w="15" w:type="dxa"/>
        </w:tblCellMar>
      </w:tblPr>
      <w:tblGrid>
        <w:gridCol w:w="1319"/>
        <w:gridCol w:w="2347"/>
        <w:gridCol w:w="5232"/>
      </w:tblGrid>
      <w:tr w14:paraId="70270232">
        <w:tblPrEx>
          <w:tblCellMar>
            <w:top w:w="15" w:type="dxa"/>
            <w:left w:w="15" w:type="dxa"/>
            <w:bottom w:w="15" w:type="dxa"/>
            <w:right w:w="15" w:type="dxa"/>
          </w:tblCellMar>
        </w:tblPrEx>
        <w:trPr>
          <w:trHeight w:val="380" w:hRule="atLeast"/>
          <w:jc w:val="center"/>
        </w:trPr>
        <w:tc>
          <w:tcPr>
            <w:tcW w:w="2060" w:type="pct"/>
            <w:gridSpan w:val="2"/>
            <w:tcBorders>
              <w:top w:val="single" w:color="000000" w:sz="4" w:space="0"/>
              <w:left w:val="single" w:color="000000" w:sz="4" w:space="0"/>
              <w:bottom w:val="single" w:color="000000" w:sz="4" w:space="0"/>
              <w:right w:val="single" w:color="000000" w:sz="4" w:space="0"/>
            </w:tcBorders>
            <w:noWrap w:val="0"/>
            <w:vAlign w:val="center"/>
          </w:tcPr>
          <w:p w14:paraId="0F09E953">
            <w:pPr>
              <w:widowControl/>
              <w:spacing w:line="280" w:lineRule="exact"/>
              <w:jc w:val="center"/>
              <w:textAlignment w:val="center"/>
              <w:rPr>
                <w:rFonts w:ascii="宋体" w:hAnsi="宋体"/>
                <w:color w:val="000000"/>
                <w:szCs w:val="21"/>
              </w:rPr>
            </w:pPr>
            <w:r>
              <w:rPr>
                <w:rFonts w:ascii="宋体" w:hAnsi="宋体"/>
                <w:color w:val="000000"/>
                <w:kern w:val="0"/>
                <w:szCs w:val="21"/>
              </w:rPr>
              <w:t>服务内容</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45B0371">
            <w:pPr>
              <w:widowControl/>
              <w:spacing w:line="280" w:lineRule="exact"/>
              <w:jc w:val="center"/>
              <w:textAlignment w:val="center"/>
              <w:rPr>
                <w:rFonts w:ascii="宋体" w:hAnsi="宋体"/>
                <w:color w:val="000000"/>
                <w:szCs w:val="21"/>
              </w:rPr>
            </w:pPr>
            <w:r>
              <w:rPr>
                <w:rFonts w:ascii="宋体" w:hAnsi="宋体"/>
                <w:color w:val="000000"/>
                <w:kern w:val="0"/>
                <w:szCs w:val="21"/>
              </w:rPr>
              <w:t>二级</w:t>
            </w:r>
          </w:p>
        </w:tc>
      </w:tr>
      <w:tr w14:paraId="1CB95641">
        <w:tblPrEx>
          <w:tblCellMar>
            <w:top w:w="15" w:type="dxa"/>
            <w:left w:w="15" w:type="dxa"/>
            <w:bottom w:w="15" w:type="dxa"/>
            <w:right w:w="15" w:type="dxa"/>
          </w:tblCellMar>
        </w:tblPrEx>
        <w:trPr>
          <w:trHeight w:val="590"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37DAE41B">
            <w:pPr>
              <w:widowControl/>
              <w:spacing w:line="280" w:lineRule="exact"/>
              <w:jc w:val="center"/>
              <w:textAlignment w:val="center"/>
              <w:rPr>
                <w:rFonts w:ascii="宋体" w:hAnsi="宋体"/>
                <w:color w:val="000000"/>
                <w:szCs w:val="21"/>
              </w:rPr>
            </w:pPr>
            <w:r>
              <w:rPr>
                <w:rFonts w:ascii="宋体" w:hAnsi="宋体"/>
                <w:color w:val="000000"/>
                <w:kern w:val="0"/>
                <w:szCs w:val="21"/>
              </w:rPr>
              <w:t>公共部位</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93C19A1">
            <w:pPr>
              <w:widowControl/>
              <w:spacing w:line="280" w:lineRule="exact"/>
              <w:jc w:val="center"/>
              <w:textAlignment w:val="center"/>
              <w:rPr>
                <w:rFonts w:ascii="宋体" w:hAnsi="宋体"/>
                <w:color w:val="000000"/>
                <w:szCs w:val="21"/>
              </w:rPr>
            </w:pPr>
            <w:r>
              <w:rPr>
                <w:rFonts w:ascii="宋体" w:hAnsi="宋体"/>
                <w:color w:val="000000"/>
                <w:kern w:val="0"/>
                <w:szCs w:val="21"/>
              </w:rPr>
              <w:t>房屋结构</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B561DC5">
            <w:pPr>
              <w:widowControl/>
              <w:spacing w:line="280" w:lineRule="exact"/>
              <w:textAlignment w:val="center"/>
              <w:rPr>
                <w:rFonts w:ascii="宋体" w:hAnsi="宋体"/>
                <w:color w:val="000000"/>
                <w:szCs w:val="21"/>
              </w:rPr>
            </w:pPr>
            <w:r>
              <w:rPr>
                <w:rFonts w:ascii="宋体" w:hAnsi="宋体"/>
                <w:color w:val="000000"/>
                <w:kern w:val="0"/>
                <w:szCs w:val="21"/>
              </w:rPr>
              <w:t>巡检。</w:t>
            </w:r>
          </w:p>
        </w:tc>
      </w:tr>
      <w:tr w14:paraId="526BAB87">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88FE512">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F59CE39">
            <w:pPr>
              <w:widowControl/>
              <w:spacing w:line="280" w:lineRule="exact"/>
              <w:jc w:val="center"/>
              <w:textAlignment w:val="center"/>
              <w:rPr>
                <w:rFonts w:ascii="宋体" w:hAnsi="宋体"/>
                <w:color w:val="000000"/>
                <w:szCs w:val="21"/>
              </w:rPr>
            </w:pPr>
            <w:r>
              <w:rPr>
                <w:rFonts w:ascii="宋体" w:hAnsi="宋体"/>
                <w:color w:val="000000"/>
                <w:kern w:val="0"/>
                <w:szCs w:val="21"/>
              </w:rPr>
              <w:t>门窗、构件、雨棚</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6BF87FA">
            <w:pPr>
              <w:widowControl/>
              <w:spacing w:line="280" w:lineRule="exact"/>
              <w:textAlignment w:val="center"/>
              <w:rPr>
                <w:rFonts w:ascii="宋体" w:hAnsi="宋体"/>
                <w:color w:val="000000"/>
                <w:szCs w:val="21"/>
              </w:rPr>
            </w:pPr>
            <w:r>
              <w:rPr>
                <w:rFonts w:ascii="宋体" w:hAnsi="宋体"/>
                <w:color w:val="000000"/>
                <w:kern w:val="0"/>
                <w:szCs w:val="21"/>
              </w:rPr>
              <w:t>巡检。</w:t>
            </w:r>
          </w:p>
        </w:tc>
      </w:tr>
      <w:tr w14:paraId="76AC6220">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838D86D">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28C2CE8">
            <w:pPr>
              <w:widowControl/>
              <w:spacing w:line="280" w:lineRule="exact"/>
              <w:jc w:val="center"/>
              <w:textAlignment w:val="center"/>
              <w:rPr>
                <w:rFonts w:ascii="宋体" w:hAnsi="宋体"/>
                <w:color w:val="000000"/>
                <w:szCs w:val="21"/>
              </w:rPr>
            </w:pPr>
            <w:r>
              <w:rPr>
                <w:rFonts w:ascii="宋体" w:hAnsi="宋体"/>
                <w:color w:val="000000"/>
                <w:kern w:val="0"/>
                <w:szCs w:val="21"/>
              </w:rPr>
              <w:t>屋顶</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A0691B4">
            <w:pPr>
              <w:widowControl/>
              <w:spacing w:line="280" w:lineRule="exact"/>
              <w:textAlignment w:val="center"/>
              <w:rPr>
                <w:rFonts w:ascii="宋体" w:hAnsi="宋体"/>
                <w:color w:val="000000"/>
                <w:szCs w:val="21"/>
              </w:rPr>
            </w:pPr>
            <w:r>
              <w:rPr>
                <w:rFonts w:ascii="宋体" w:hAnsi="宋体"/>
                <w:color w:val="000000"/>
                <w:kern w:val="0"/>
                <w:szCs w:val="21"/>
              </w:rPr>
              <w:t>巡检。</w:t>
            </w:r>
          </w:p>
        </w:tc>
      </w:tr>
      <w:tr w14:paraId="50442D21">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D5B7AA8">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5F14659">
            <w:pPr>
              <w:widowControl/>
              <w:spacing w:line="280" w:lineRule="exact"/>
              <w:jc w:val="center"/>
              <w:textAlignment w:val="center"/>
              <w:rPr>
                <w:rFonts w:ascii="宋体" w:hAnsi="宋体"/>
                <w:color w:val="000000"/>
                <w:szCs w:val="21"/>
              </w:rPr>
            </w:pPr>
            <w:r>
              <w:rPr>
                <w:rFonts w:ascii="宋体" w:hAnsi="宋体"/>
                <w:color w:val="000000"/>
                <w:kern w:val="0"/>
                <w:szCs w:val="21"/>
              </w:rPr>
              <w:t>围墙、道路、侧石、窨井盖等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01AAEE8">
            <w:pPr>
              <w:widowControl/>
              <w:spacing w:line="280" w:lineRule="exact"/>
              <w:textAlignment w:val="center"/>
              <w:rPr>
                <w:rFonts w:ascii="宋体" w:hAnsi="宋体"/>
                <w:color w:val="000000"/>
                <w:szCs w:val="21"/>
              </w:rPr>
            </w:pPr>
            <w:r>
              <w:rPr>
                <w:rFonts w:ascii="宋体" w:hAnsi="宋体"/>
                <w:color w:val="000000"/>
                <w:kern w:val="0"/>
                <w:szCs w:val="21"/>
              </w:rPr>
              <w:t>巡检，发现危急安全事项立即采取应急措施并报告，及时告知业主、使用人，并安排专项维修，或者向有关部门报告。</w:t>
            </w:r>
          </w:p>
        </w:tc>
      </w:tr>
      <w:tr w14:paraId="06AF5C09">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E94F355">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6D926DB">
            <w:pPr>
              <w:widowControl/>
              <w:spacing w:line="280" w:lineRule="exact"/>
              <w:jc w:val="center"/>
              <w:textAlignment w:val="center"/>
              <w:rPr>
                <w:rFonts w:ascii="宋体" w:hAnsi="宋体"/>
                <w:color w:val="000000"/>
                <w:szCs w:val="21"/>
              </w:rPr>
            </w:pPr>
            <w:r>
              <w:rPr>
                <w:rFonts w:ascii="宋体" w:hAnsi="宋体"/>
                <w:color w:val="000000"/>
                <w:kern w:val="0"/>
                <w:szCs w:val="21"/>
              </w:rPr>
              <w:t>楼梯间、公用走廊的室内墙地面</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87C4CC2">
            <w:pPr>
              <w:widowControl/>
              <w:spacing w:line="280" w:lineRule="exact"/>
              <w:textAlignment w:val="center"/>
              <w:rPr>
                <w:rFonts w:ascii="宋体" w:hAnsi="宋体"/>
                <w:color w:val="000000"/>
                <w:szCs w:val="21"/>
              </w:rPr>
            </w:pPr>
            <w:r>
              <w:rPr>
                <w:rFonts w:ascii="宋体" w:hAnsi="宋体"/>
                <w:color w:val="000000"/>
                <w:kern w:val="0"/>
                <w:szCs w:val="21"/>
              </w:rPr>
              <w:t>巡检。</w:t>
            </w:r>
          </w:p>
        </w:tc>
      </w:tr>
      <w:tr w14:paraId="0AD0AA38">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9EC4766">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4C82D7A">
            <w:pPr>
              <w:widowControl/>
              <w:spacing w:line="280" w:lineRule="exact"/>
              <w:jc w:val="center"/>
              <w:textAlignment w:val="center"/>
              <w:rPr>
                <w:rFonts w:ascii="宋体" w:hAnsi="宋体"/>
                <w:color w:val="000000"/>
                <w:szCs w:val="21"/>
              </w:rPr>
            </w:pPr>
            <w:r>
              <w:rPr>
                <w:rFonts w:ascii="宋体" w:hAnsi="宋体"/>
                <w:color w:val="000000"/>
                <w:kern w:val="0"/>
                <w:szCs w:val="21"/>
              </w:rPr>
              <w:t>建筑物、构筑物  局部外立面</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71DA752">
            <w:pPr>
              <w:widowControl/>
              <w:spacing w:line="280" w:lineRule="exact"/>
              <w:textAlignment w:val="center"/>
              <w:rPr>
                <w:rFonts w:ascii="宋体" w:hAnsi="宋体"/>
                <w:color w:val="000000"/>
                <w:szCs w:val="21"/>
              </w:rPr>
            </w:pPr>
            <w:r>
              <w:rPr>
                <w:rFonts w:ascii="宋体" w:hAnsi="宋体"/>
                <w:color w:val="000000"/>
                <w:kern w:val="0"/>
                <w:szCs w:val="21"/>
              </w:rPr>
              <w:t>巡检，有脱落及时消除隐患或向有关部门报告</w:t>
            </w:r>
          </w:p>
        </w:tc>
      </w:tr>
      <w:tr w14:paraId="1F5DAD21">
        <w:tblPrEx>
          <w:tblCellMar>
            <w:top w:w="15" w:type="dxa"/>
            <w:left w:w="15" w:type="dxa"/>
            <w:bottom w:w="15" w:type="dxa"/>
            <w:right w:w="15" w:type="dxa"/>
          </w:tblCellMar>
        </w:tblPrEx>
        <w:trPr>
          <w:trHeight w:val="774"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A28EC7F">
            <w:pPr>
              <w:widowControl/>
              <w:spacing w:line="280" w:lineRule="exact"/>
              <w:jc w:val="center"/>
              <w:textAlignment w:val="center"/>
              <w:rPr>
                <w:rFonts w:ascii="宋体" w:hAnsi="宋体"/>
                <w:color w:val="000000"/>
                <w:szCs w:val="21"/>
              </w:rPr>
            </w:pPr>
            <w:r>
              <w:rPr>
                <w:rFonts w:ascii="宋体" w:hAnsi="宋体"/>
                <w:color w:val="000000"/>
                <w:kern w:val="0"/>
                <w:szCs w:val="21"/>
              </w:rPr>
              <w:t>公共部位</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3933276">
            <w:pPr>
              <w:widowControl/>
              <w:spacing w:line="270" w:lineRule="exact"/>
              <w:jc w:val="center"/>
              <w:textAlignment w:val="center"/>
              <w:rPr>
                <w:rFonts w:ascii="宋体" w:hAnsi="宋体"/>
                <w:color w:val="000000"/>
                <w:szCs w:val="21"/>
              </w:rPr>
            </w:pPr>
            <w:r>
              <w:rPr>
                <w:rFonts w:ascii="宋体" w:hAnsi="宋体"/>
                <w:color w:val="000000"/>
                <w:kern w:val="0"/>
                <w:szCs w:val="21"/>
              </w:rPr>
              <w:t>假山、亭、廊、雕塑、休闲椅、室外健身设施等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DB75FC5">
            <w:pPr>
              <w:widowControl/>
              <w:spacing w:line="270" w:lineRule="exact"/>
              <w:textAlignment w:val="center"/>
              <w:rPr>
                <w:rFonts w:ascii="宋体" w:hAnsi="宋体"/>
                <w:color w:val="000000"/>
                <w:szCs w:val="21"/>
              </w:rPr>
            </w:pPr>
            <w:r>
              <w:rPr>
                <w:rFonts w:ascii="宋体" w:hAnsi="宋体"/>
                <w:color w:val="000000"/>
                <w:kern w:val="0"/>
                <w:szCs w:val="21"/>
              </w:rPr>
              <w:t>巡检。</w:t>
            </w:r>
          </w:p>
        </w:tc>
      </w:tr>
      <w:tr w14:paraId="4F714C64">
        <w:tblPrEx>
          <w:tblCellMar>
            <w:top w:w="15" w:type="dxa"/>
            <w:left w:w="15" w:type="dxa"/>
            <w:bottom w:w="15" w:type="dxa"/>
            <w:right w:w="15" w:type="dxa"/>
          </w:tblCellMar>
        </w:tblPrEx>
        <w:trPr>
          <w:trHeight w:val="530"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B6EB244">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F470C3C">
            <w:pPr>
              <w:widowControl/>
              <w:spacing w:line="270" w:lineRule="exact"/>
              <w:jc w:val="center"/>
              <w:textAlignment w:val="center"/>
              <w:rPr>
                <w:rFonts w:ascii="宋体" w:hAnsi="宋体"/>
                <w:color w:val="000000"/>
                <w:szCs w:val="21"/>
              </w:rPr>
            </w:pPr>
            <w:r>
              <w:rPr>
                <w:rFonts w:ascii="宋体" w:hAnsi="宋体"/>
                <w:color w:val="000000"/>
                <w:kern w:val="0"/>
                <w:szCs w:val="21"/>
              </w:rPr>
              <w:t>水景驳岸</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ED2BD24">
            <w:pPr>
              <w:widowControl/>
              <w:spacing w:line="270" w:lineRule="exact"/>
              <w:textAlignment w:val="center"/>
              <w:rPr>
                <w:rFonts w:ascii="宋体" w:hAnsi="宋体"/>
                <w:color w:val="000000"/>
                <w:szCs w:val="21"/>
              </w:rPr>
            </w:pPr>
            <w:r>
              <w:rPr>
                <w:rFonts w:ascii="宋体" w:hAnsi="宋体"/>
                <w:color w:val="000000"/>
                <w:kern w:val="0"/>
                <w:szCs w:val="21"/>
              </w:rPr>
              <w:t>巡检。</w:t>
            </w:r>
          </w:p>
        </w:tc>
      </w:tr>
      <w:tr w14:paraId="6F7708FE">
        <w:tblPrEx>
          <w:tblCellMar>
            <w:top w:w="15" w:type="dxa"/>
            <w:left w:w="15" w:type="dxa"/>
            <w:bottom w:w="15" w:type="dxa"/>
            <w:right w:w="15" w:type="dxa"/>
          </w:tblCellMar>
        </w:tblPrEx>
        <w:trPr>
          <w:trHeight w:val="45"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E4AC0ED">
            <w:pPr>
              <w:widowControl/>
              <w:spacing w:line="280" w:lineRule="exact"/>
              <w:jc w:val="center"/>
              <w:textAlignment w:val="center"/>
              <w:rPr>
                <w:rFonts w:ascii="宋体" w:hAnsi="宋体"/>
                <w:color w:val="000000"/>
                <w:szCs w:val="21"/>
              </w:rPr>
            </w:pPr>
            <w:r>
              <w:rPr>
                <w:rFonts w:ascii="宋体" w:hAnsi="宋体"/>
                <w:color w:val="000000"/>
                <w:kern w:val="0"/>
                <w:szCs w:val="21"/>
              </w:rPr>
              <w:t>水电系统</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A90BC70">
            <w:pPr>
              <w:widowControl/>
              <w:spacing w:line="260" w:lineRule="exact"/>
              <w:jc w:val="center"/>
              <w:textAlignment w:val="center"/>
              <w:rPr>
                <w:rFonts w:ascii="宋体" w:hAnsi="宋体"/>
                <w:color w:val="000000"/>
                <w:szCs w:val="21"/>
              </w:rPr>
            </w:pPr>
            <w:r>
              <w:rPr>
                <w:rFonts w:ascii="宋体" w:hAnsi="宋体"/>
                <w:color w:val="000000"/>
                <w:kern w:val="0"/>
                <w:szCs w:val="21"/>
              </w:rPr>
              <w:t>排水系统</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AFD3328">
            <w:pPr>
              <w:widowControl/>
              <w:spacing w:line="260" w:lineRule="exact"/>
              <w:textAlignment w:val="center"/>
              <w:rPr>
                <w:rFonts w:ascii="宋体" w:hAnsi="宋体"/>
                <w:color w:val="000000"/>
                <w:szCs w:val="21"/>
              </w:rPr>
            </w:pPr>
            <w:r>
              <w:rPr>
                <w:rFonts w:ascii="宋体" w:hAnsi="宋体"/>
                <w:color w:val="000000"/>
                <w:kern w:val="0"/>
                <w:szCs w:val="21"/>
              </w:rPr>
              <w:t>巡检，每年雨季前清扫排水明沟，检查清理雨水口，疏通管道，明沟内无垃圾杂草。</w:t>
            </w:r>
          </w:p>
        </w:tc>
      </w:tr>
      <w:tr w14:paraId="2323211B">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559B5B9">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45B8D4A">
            <w:pPr>
              <w:widowControl/>
              <w:spacing w:line="260" w:lineRule="exact"/>
              <w:jc w:val="center"/>
              <w:textAlignment w:val="center"/>
              <w:rPr>
                <w:rFonts w:ascii="宋体" w:hAnsi="宋体"/>
                <w:color w:val="000000"/>
                <w:szCs w:val="21"/>
              </w:rPr>
            </w:pPr>
            <w:r>
              <w:rPr>
                <w:rFonts w:ascii="宋体" w:hAnsi="宋体"/>
                <w:color w:val="000000"/>
                <w:kern w:val="0"/>
                <w:szCs w:val="21"/>
              </w:rPr>
              <w:t>巡检、保洁</w:t>
            </w:r>
            <w:r>
              <w:rPr>
                <w:rFonts w:hint="eastAsia" w:ascii="宋体" w:hAnsi="宋体"/>
                <w:color w:val="000000"/>
                <w:kern w:val="0"/>
                <w:szCs w:val="21"/>
              </w:rPr>
              <w:t>、</w:t>
            </w:r>
            <w:r>
              <w:rPr>
                <w:rFonts w:ascii="宋体" w:hAnsi="宋体"/>
                <w:color w:val="000000"/>
                <w:kern w:val="0"/>
                <w:szCs w:val="21"/>
              </w:rPr>
              <w:t>配电房、年检</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8F0ECD1">
            <w:pPr>
              <w:widowControl/>
              <w:spacing w:line="260" w:lineRule="exact"/>
              <w:textAlignment w:val="center"/>
              <w:rPr>
                <w:rFonts w:ascii="宋体" w:hAnsi="宋体"/>
                <w:color w:val="000000"/>
                <w:szCs w:val="21"/>
              </w:rPr>
            </w:pPr>
            <w:r>
              <w:rPr>
                <w:rFonts w:ascii="宋体" w:hAnsi="宋体"/>
                <w:color w:val="000000"/>
                <w:kern w:val="0"/>
                <w:szCs w:val="21"/>
              </w:rPr>
              <w:t>巡检。</w:t>
            </w:r>
          </w:p>
        </w:tc>
      </w:tr>
      <w:tr w14:paraId="6BFE1874">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4A6F571">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5847B4E">
            <w:pPr>
              <w:widowControl/>
              <w:spacing w:line="260" w:lineRule="exact"/>
              <w:jc w:val="center"/>
              <w:textAlignment w:val="center"/>
              <w:rPr>
                <w:rFonts w:ascii="宋体" w:hAnsi="宋体"/>
                <w:color w:val="000000"/>
                <w:szCs w:val="21"/>
              </w:rPr>
            </w:pPr>
            <w:r>
              <w:rPr>
                <w:rFonts w:ascii="宋体" w:hAnsi="宋体"/>
                <w:color w:val="000000"/>
                <w:kern w:val="0"/>
                <w:szCs w:val="21"/>
              </w:rPr>
              <w:t>室内室外公共电气柜</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EDB8105">
            <w:pPr>
              <w:widowControl/>
              <w:spacing w:line="260" w:lineRule="exact"/>
              <w:textAlignment w:val="center"/>
              <w:rPr>
                <w:rFonts w:ascii="宋体" w:hAnsi="宋体"/>
                <w:color w:val="000000"/>
                <w:szCs w:val="21"/>
              </w:rPr>
            </w:pPr>
            <w:r>
              <w:rPr>
                <w:rFonts w:ascii="宋体" w:hAnsi="宋体"/>
                <w:color w:val="000000"/>
                <w:kern w:val="0"/>
                <w:szCs w:val="21"/>
              </w:rPr>
              <w:t>巡检。</w:t>
            </w:r>
          </w:p>
        </w:tc>
      </w:tr>
      <w:tr w14:paraId="191C755C">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E07B88E">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2C2F52F">
            <w:pPr>
              <w:widowControl/>
              <w:spacing w:line="260" w:lineRule="exact"/>
              <w:jc w:val="center"/>
              <w:textAlignment w:val="center"/>
              <w:rPr>
                <w:rFonts w:ascii="宋体" w:hAnsi="宋体"/>
                <w:color w:val="000000"/>
                <w:szCs w:val="21"/>
              </w:rPr>
            </w:pPr>
            <w:r>
              <w:rPr>
                <w:rFonts w:ascii="宋体" w:hAnsi="宋体"/>
                <w:color w:val="000000"/>
                <w:kern w:val="0"/>
                <w:szCs w:val="21"/>
              </w:rPr>
              <w:t>楼道灯及开关</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55C6D30">
            <w:pPr>
              <w:widowControl/>
              <w:spacing w:line="260" w:lineRule="exact"/>
              <w:textAlignment w:val="center"/>
              <w:rPr>
                <w:rFonts w:ascii="宋体" w:hAnsi="宋体"/>
                <w:color w:val="000000"/>
                <w:szCs w:val="21"/>
              </w:rPr>
            </w:pPr>
            <w:r>
              <w:rPr>
                <w:rFonts w:ascii="宋体" w:hAnsi="宋体"/>
                <w:color w:val="000000"/>
                <w:kern w:val="0"/>
                <w:szCs w:val="21"/>
              </w:rPr>
              <w:t>巡检。</w:t>
            </w:r>
          </w:p>
        </w:tc>
      </w:tr>
      <w:tr w14:paraId="16C6AD6F">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D85F08">
            <w:pPr>
              <w:widowControl/>
              <w:spacing w:line="280" w:lineRule="exact"/>
              <w:jc w:val="center"/>
              <w:rPr>
                <w:rFonts w:ascii="宋体" w:hAnsi="宋体"/>
                <w:color w:val="000000"/>
                <w:szCs w:val="21"/>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82BE1D0">
            <w:pPr>
              <w:widowControl/>
              <w:spacing w:line="260" w:lineRule="exact"/>
              <w:jc w:val="center"/>
              <w:textAlignment w:val="center"/>
              <w:rPr>
                <w:rFonts w:ascii="宋体" w:hAnsi="宋体"/>
                <w:color w:val="000000"/>
                <w:szCs w:val="21"/>
              </w:rPr>
            </w:pPr>
            <w:r>
              <w:rPr>
                <w:rFonts w:ascii="宋体" w:hAnsi="宋体"/>
                <w:color w:val="000000"/>
                <w:kern w:val="0"/>
                <w:szCs w:val="21"/>
              </w:rPr>
              <w:t>景观灯</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45434A8">
            <w:pPr>
              <w:widowControl/>
              <w:spacing w:line="260" w:lineRule="exact"/>
              <w:textAlignment w:val="center"/>
              <w:rPr>
                <w:rFonts w:ascii="宋体" w:hAnsi="宋体"/>
                <w:color w:val="000000"/>
                <w:szCs w:val="21"/>
              </w:rPr>
            </w:pPr>
            <w:r>
              <w:rPr>
                <w:rFonts w:ascii="宋体" w:hAnsi="宋体"/>
                <w:color w:val="000000"/>
                <w:kern w:val="0"/>
                <w:szCs w:val="21"/>
              </w:rPr>
              <w:t>巡检。</w:t>
            </w:r>
          </w:p>
        </w:tc>
      </w:tr>
    </w:tbl>
    <w:p w14:paraId="538FC29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（三）考核内容</w:t>
      </w:r>
    </w:p>
    <w:p w14:paraId="2C8CCB7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（1）规章制度的建立</w:t>
      </w:r>
    </w:p>
    <w:p w14:paraId="3C603BE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（2）服务管理</w:t>
      </w:r>
    </w:p>
    <w:p w14:paraId="6167AF1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（3）环境卫生</w:t>
      </w:r>
    </w:p>
    <w:p w14:paraId="63DAB9D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（4）公共设施设备管理。</w:t>
      </w:r>
    </w:p>
    <w:p w14:paraId="50F8046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（四）考核办法的实施</w:t>
      </w:r>
    </w:p>
    <w:p w14:paraId="3C7FEA0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（1）一月一考核并公布考核结果。</w:t>
      </w:r>
    </w:p>
    <w:p w14:paraId="5FC7A9C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（2）考核得分采用百分制。采取看现场、查资料、走访业主、征询所在社区意见等方法，进行考核。考核组的成员单位，根据各自职能，进行评分、打分，并经物业公司签字确认。</w:t>
      </w:r>
    </w:p>
    <w:p w14:paraId="606C163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（五）考核结果的运用</w:t>
      </w:r>
    </w:p>
    <w:p w14:paraId="40C16C4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1.考核的评分结果与物业费的拨付结合。季度拨付前，对之前每月的考核打分进行汇总，计算出平均分为每月的考核得分，根据考核得分比例进行支付。</w:t>
      </w:r>
    </w:p>
    <w:p w14:paraId="08132E7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物业公司应做好小区内的安全管理工作，加强对小区内落水管、外墙涂料、煤气管道、消防设施、下水道堵塞、太阳能热水器等可能存在安全隐患的设施设备的巡查工作，发现问题及时上报。若因小区物业未及时处置引起小区居民财物受损或人身安全的，由物业公司承担所有后果，并视情况解除物业服务合同。</w:t>
      </w:r>
    </w:p>
    <w:p w14:paraId="438F9D3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（六）各类人员的要求</w:t>
      </w:r>
    </w:p>
    <w:p w14:paraId="4F0DF8B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项目负责人不少于1名；保洁人员不少于4名；南门保安人员不少于2名；南门消控保安、监控室保安不少于2人；水电工不少于1人；特种设备操作证不少于1人。</w:t>
      </w:r>
    </w:p>
    <w:p w14:paraId="7491F3A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以上人员根据入住率调整增加。</w:t>
      </w:r>
    </w:p>
    <w:p w14:paraId="38B85CE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kern w:val="2"/>
          <w:sz w:val="24"/>
          <w:szCs w:val="24"/>
          <w:lang w:val="en-US" w:eastAsia="zh-CN" w:bidi="ar"/>
        </w:rPr>
        <w:t>（七）</w:t>
      </w:r>
      <w:r>
        <w:rPr>
          <w:rFonts w:hint="eastAsia" w:ascii="Times New Roman" w:hAnsi="Times New Roman" w:cs="Times New Roman" w:eastAsiaTheme="minorEastAsia"/>
          <w:kern w:val="2"/>
          <w:sz w:val="24"/>
          <w:szCs w:val="24"/>
          <w:lang w:val="en-US" w:eastAsia="zh-CN" w:bidi="ar"/>
        </w:rPr>
        <w:t>合同价组成</w:t>
      </w:r>
    </w:p>
    <w:p w14:paraId="73EC287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本项目为固定单价合同。合同价为承包人完成招标范围内全部物业服务项目内容的全部费用，如承包人在投标时漏项的，不予调整；在合同期间（除国家政策性调整以外）只要本项目服务范围和工作要求不变，服务费单价不予调整，服务面积按照每三个月的入住率进行调整。在合同期内如遇国家政策性调整最低工资，产生的增量部分，由中标人向招标人提出申请，并经双方对增加费用协商一致后，由招标人承担。合同价包含（但不限于）以下各项费用：</w:t>
      </w:r>
      <w:r>
        <w:rPr>
          <w:rFonts w:hint="default" w:ascii="Times New Roman" w:hAnsi="Times New Roman" w:cs="Times New Roman" w:eastAsiaTheme="minorEastAsia"/>
          <w:kern w:val="2"/>
          <w:sz w:val="24"/>
          <w:szCs w:val="24"/>
          <w:lang w:val="en-US" w:eastAsia="zh-CN" w:bidi="ar"/>
        </w:rPr>
        <w:t>①</w:t>
      </w:r>
      <w:r>
        <w:rPr>
          <w:rFonts w:hint="eastAsia" w:ascii="Times New Roman" w:hAnsi="Times New Roman" w:cs="Times New Roman" w:eastAsiaTheme="minorEastAsia"/>
          <w:kern w:val="2"/>
          <w:sz w:val="24"/>
          <w:szCs w:val="24"/>
          <w:lang w:val="en-US" w:eastAsia="zh-CN" w:bidi="ar"/>
        </w:rPr>
        <w:t>物业公司支付的人员基本工资及五险一金（养老保险、医疗保险、失业保险、工伤保险和生育保险及住房公积金）、教育费、劳保用品费等一切人员费用；</w:t>
      </w:r>
      <w:r>
        <w:rPr>
          <w:rFonts w:hint="default" w:ascii="Times New Roman" w:hAnsi="Times New Roman" w:cs="Times New Roman" w:eastAsiaTheme="minorEastAsia"/>
          <w:kern w:val="2"/>
          <w:sz w:val="24"/>
          <w:szCs w:val="24"/>
          <w:lang w:val="en-US" w:eastAsia="zh-CN" w:bidi="ar"/>
        </w:rPr>
        <w:t>②</w:t>
      </w:r>
      <w:r>
        <w:rPr>
          <w:rFonts w:hint="eastAsia" w:ascii="Times New Roman" w:hAnsi="Times New Roman" w:cs="Times New Roman" w:eastAsiaTheme="minorEastAsia"/>
          <w:kern w:val="2"/>
          <w:sz w:val="24"/>
          <w:szCs w:val="24"/>
          <w:lang w:val="en-US" w:eastAsia="zh-CN" w:bidi="ar"/>
        </w:rPr>
        <w:t>物业管理本身已支付或将支付的各种税费，包括物业管理中的管理费、安全费、垃圾清运费等；</w:t>
      </w:r>
      <w:r>
        <w:rPr>
          <w:rFonts w:hint="default" w:ascii="Times New Roman" w:hAnsi="Times New Roman" w:cs="Times New Roman" w:eastAsiaTheme="minorEastAsia"/>
          <w:kern w:val="2"/>
          <w:sz w:val="24"/>
          <w:szCs w:val="24"/>
          <w:lang w:val="en-US" w:eastAsia="zh-CN" w:bidi="ar"/>
        </w:rPr>
        <w:t>③</w:t>
      </w:r>
      <w:r>
        <w:rPr>
          <w:rFonts w:hint="eastAsia" w:ascii="Times New Roman" w:hAnsi="Times New Roman" w:cs="Times New Roman" w:eastAsiaTheme="minorEastAsia"/>
          <w:kern w:val="2"/>
          <w:sz w:val="24"/>
          <w:szCs w:val="24"/>
          <w:lang w:val="en-US" w:eastAsia="zh-CN" w:bidi="ar"/>
        </w:rPr>
        <w:t>物业和公共部位所产生的电费、水费等。④用于物业管理的工具设备、保洁耗材（如抹布、毛巾、垃圾袋、茶叶篓、扫把、拖把等）及维修工具等费用；⑤物业管理区域清洁用品以及共用部位的卫生用品（如卫生球、肥皂、消杀品、洗洁用品等）；⑥其它为用户提供服务前所产生的一切费用（除维修专项资金和建设单位回访费用外），实行一次包干，无论是否计列，招标人将一律视为总报价已包括该项费用。</w:t>
      </w:r>
    </w:p>
    <w:p w14:paraId="11B8590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八、付款方式</w:t>
      </w:r>
    </w:p>
    <w:p w14:paraId="254FAC1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每三个月服务费=中标单价*实际服务面积*3。</w:t>
      </w:r>
    </w:p>
    <w:p w14:paraId="6D37447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实际服务面积按照每三个月的入住率进行调整（如9月份至11月份， 按照9月1日的服务面积为实际服务面积，以此类推）。</w:t>
      </w:r>
    </w:p>
    <w:p w14:paraId="0548BF9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服务费按照每三个月进行支付，对之前每月的考核打分进行汇总，计算出平均分为每月的考核得分，根据考核得分进行支付。以考核得分90分为基准分，得分在90分以上（含90分）的按照实际支付服务费的100%结算，每低于基准分1分（得分采用四舍五入法保留整数）扣实际支付服务费的1% ；得分在70分以下的，成交报价不予支付。</w:t>
      </w:r>
    </w:p>
    <w:p w14:paraId="13E8CAB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按月度对成交供应商进行考核，如发生一次月度考核得分低于80分的，则不再续签下一年度合同；连续两次月度考核得分低于70分，则自行终止合同、取消聘用关系。</w:t>
      </w:r>
    </w:p>
    <w:p w14:paraId="20B4A46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成交供应商全部履约合同义务，经采购单位验收合格无质量、进度等问题的，采购人在验收合格后一次性退还履约保证金，以现金方式提交的，同时退还保证金本金和银行同期存款利息。</w:t>
      </w:r>
    </w:p>
    <w:p w14:paraId="7D81CD9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九、服务期限</w:t>
      </w:r>
    </w:p>
    <w:p w14:paraId="2DD94646">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本次招标服务期为一年，自合同签订之日起开始服务工作。如中标人在一年合同期内实施情况良好达到考核要求的（每月考核均须达到80分及以上），采购人可在预算落实、合同单价不变的基础上与中标人续签1年。合同期满前一个月，采购人将根据管理服务的总体情况，决定是否续约后一年度合同；如果中标人没有达到合同履行条件之一的，则采购人有权在委托期内终止合同。</w:t>
      </w:r>
    </w:p>
    <w:p w14:paraId="003ABF6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eastAsia" w:ascii="Times New Roman" w:hAnsi="Times New Roman" w:cs="Times New Roman"/>
          <w:kern w:val="2"/>
          <w:szCs w:val="24"/>
          <w:lang w:val="en-US" w:eastAsia="zh-CN"/>
        </w:rPr>
      </w:pPr>
      <w:r>
        <w:rPr>
          <w:rFonts w:hint="eastAsia" w:ascii="Times New Roman" w:hAnsi="Times New Roman" w:cs="Times New Roman"/>
          <w:kern w:val="2"/>
          <w:szCs w:val="24"/>
          <w:lang w:val="en-US" w:eastAsia="zh-CN"/>
        </w:rPr>
        <w:t>十、履约保证金：</w:t>
      </w:r>
    </w:p>
    <w:p w14:paraId="6D31686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eastAsia" w:ascii="Times New Roman" w:hAnsi="Times New Roman" w:cs="Times New Roman"/>
          <w:kern w:val="2"/>
          <w:szCs w:val="24"/>
          <w:lang w:val="en-US" w:eastAsia="zh-CN"/>
        </w:rPr>
      </w:pPr>
      <w:r>
        <w:rPr>
          <w:rFonts w:hint="eastAsia" w:ascii="Times New Roman" w:hAnsi="Times New Roman" w:cs="Times New Roman"/>
          <w:kern w:val="2"/>
          <w:szCs w:val="24"/>
          <w:lang w:val="en-US" w:eastAsia="zh-CN"/>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Times New Roman" w:hAnsi="Times New Roman" w:cs="Times New Roman"/>
          <w:kern w:val="2"/>
          <w:szCs w:val="24"/>
          <w:lang w:val="en-US" w:eastAsia="zh-CN"/>
        </w:rPr>
        <w:cr/>
      </w:r>
      <w:r>
        <w:rPr>
          <w:rFonts w:hint="eastAsia" w:ascii="Times New Roman" w:hAnsi="Times New Roman" w:cs="Times New Roman"/>
          <w:kern w:val="2"/>
          <w:szCs w:val="24"/>
          <w:lang w:val="en-US" w:eastAsia="zh-CN"/>
        </w:rPr>
        <w:t xml:space="preserve">    2、成交供应商全部履约合同义务，经采购单位验收合格无质量、进度等问题的，采购人在验收合格后一次性退还履约保证金，采购人若逾期退还履约保证金的，按照逾期部分的每日0.05%支付违约金。</w:t>
      </w:r>
      <w:r>
        <w:rPr>
          <w:rFonts w:hint="eastAsia" w:ascii="Times New Roman" w:hAnsi="Times New Roman" w:cs="Times New Roman"/>
          <w:kern w:val="2"/>
          <w:szCs w:val="24"/>
          <w:lang w:val="en-US" w:eastAsia="zh-CN"/>
        </w:rPr>
        <w:cr/>
      </w:r>
      <w:r>
        <w:rPr>
          <w:rFonts w:hint="eastAsia" w:ascii="Times New Roman" w:hAnsi="Times New Roman" w:cs="Times New Roman"/>
          <w:kern w:val="2"/>
          <w:szCs w:val="24"/>
          <w:lang w:val="en-US" w:eastAsia="zh-CN"/>
        </w:rPr>
        <w:t xml:space="preserve">    3、发生以下情况的，履约保证金不予退还或部分退还：</w:t>
      </w:r>
      <w:r>
        <w:rPr>
          <w:rFonts w:hint="eastAsia" w:ascii="Times New Roman" w:hAnsi="Times New Roman" w:cs="Times New Roman"/>
          <w:kern w:val="2"/>
          <w:szCs w:val="24"/>
          <w:lang w:val="en-US" w:eastAsia="zh-CN"/>
        </w:rPr>
        <w:cr/>
      </w:r>
      <w:r>
        <w:rPr>
          <w:rFonts w:hint="eastAsia" w:ascii="Times New Roman" w:hAnsi="Times New Roman" w:cs="Times New Roman"/>
          <w:kern w:val="2"/>
          <w:szCs w:val="24"/>
          <w:lang w:val="en-US" w:eastAsia="zh-CN"/>
        </w:rPr>
        <w:t xml:space="preserve">    a.签订合同后，成交供应商不履行合同义务的，采购单位有权全额扣除履约保证金，全额不予退还，同时采购单位亦有权终止合同，成交供应商还须承担相应的法律赔偿责任。</w:t>
      </w:r>
    </w:p>
    <w:p w14:paraId="5B1A05D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eastAsia" w:ascii="Times New Roman" w:hAnsi="Times New Roman" w:cs="Times New Roman"/>
          <w:kern w:val="2"/>
          <w:szCs w:val="24"/>
          <w:lang w:val="en-US" w:eastAsia="zh-CN"/>
        </w:rPr>
      </w:pPr>
      <w:r>
        <w:rPr>
          <w:rFonts w:hint="eastAsia" w:ascii="Times New Roman" w:hAnsi="Times New Roman" w:cs="Times New Roman"/>
          <w:kern w:val="2"/>
          <w:szCs w:val="24"/>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B1B4E6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eastAsia" w:ascii="Times New Roman" w:hAnsi="Times New Roman" w:cs="Times New Roman"/>
          <w:kern w:val="2"/>
          <w:szCs w:val="24"/>
          <w:lang w:val="en-US" w:eastAsia="zh-CN"/>
        </w:rPr>
      </w:pPr>
      <w:r>
        <w:rPr>
          <w:rFonts w:hint="eastAsia" w:ascii="Times New Roman" w:hAnsi="Times New Roman" w:cs="Times New Roman"/>
          <w:kern w:val="2"/>
          <w:szCs w:val="24"/>
          <w:lang w:val="en-US" w:eastAsia="zh-CN"/>
        </w:rPr>
        <w:t>十一、合同条款</w:t>
      </w:r>
    </w:p>
    <w:p w14:paraId="750A3EB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eastAsia" w:ascii="Times New Roman" w:hAnsi="Times New Roman" w:cs="Times New Roman"/>
          <w:kern w:val="2"/>
          <w:szCs w:val="24"/>
          <w:lang w:val="en-US" w:eastAsia="zh-CN"/>
        </w:rPr>
      </w:pPr>
    </w:p>
    <w:p w14:paraId="01C0324B">
      <w:pPr>
        <w:widowControl/>
        <w:spacing w:line="500" w:lineRule="exact"/>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合同书</w:t>
      </w:r>
    </w:p>
    <w:p w14:paraId="36CF372E">
      <w:pPr>
        <w:spacing w:line="500" w:lineRule="exact"/>
        <w:jc w:val="left"/>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甲方（采购人）：</w:t>
      </w:r>
      <w:r>
        <w:rPr>
          <w:rFonts w:hint="eastAsia" w:ascii="宋体" w:hAnsi="宋体" w:eastAsia="宋体" w:cs="宋体"/>
          <w:color w:val="000000"/>
          <w:sz w:val="24"/>
          <w:szCs w:val="24"/>
          <w:u w:val="single"/>
          <w:lang w:val="en-US" w:eastAsia="zh-CN"/>
        </w:rPr>
        <w:t xml:space="preserve">                        </w:t>
      </w:r>
    </w:p>
    <w:p w14:paraId="2C6EB3E8">
      <w:p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乙方（中标人）：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14:paraId="7B77BEFC">
      <w:pPr>
        <w:widowControl/>
        <w:spacing w:line="50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根据《中华人民共和国政府采购法》、《中华人民共和国</w:t>
      </w:r>
      <w:r>
        <w:rPr>
          <w:rFonts w:hint="eastAsia" w:ascii="宋体" w:hAnsi="宋体" w:eastAsia="宋体" w:cs="宋体"/>
          <w:color w:val="000000"/>
          <w:sz w:val="24"/>
          <w:szCs w:val="24"/>
          <w:shd w:val="clear" w:color="auto" w:fill="FFFFFF"/>
          <w:lang w:val="en-US" w:eastAsia="zh-CN"/>
        </w:rPr>
        <w:t>民法典</w:t>
      </w:r>
      <w:r>
        <w:rPr>
          <w:rFonts w:hint="eastAsia" w:ascii="宋体" w:hAnsi="宋体" w:eastAsia="宋体" w:cs="宋体"/>
          <w:color w:val="000000"/>
          <w:sz w:val="24"/>
          <w:szCs w:val="24"/>
          <w:shd w:val="clear" w:color="auto" w:fill="FFFFFF"/>
        </w:rPr>
        <w:t>》等法律法规的规定，遵循平等、自愿、公平和诚实信用原则，甲乙双方</w:t>
      </w:r>
      <w:r>
        <w:rPr>
          <w:rFonts w:hint="eastAsia" w:ascii="宋体" w:hAnsi="宋体" w:eastAsia="宋体" w:cs="宋体"/>
          <w:color w:val="000000"/>
          <w:sz w:val="24"/>
          <w:szCs w:val="24"/>
          <w:shd w:val="clear" w:color="auto" w:fill="FFFFFF"/>
          <w:lang w:val="en-US" w:eastAsia="zh-CN"/>
        </w:rPr>
        <w:t>就</w:t>
      </w:r>
      <w:r>
        <w:rPr>
          <w:rFonts w:hint="eastAsia" w:ascii="宋体" w:hAnsi="宋体" w:eastAsia="宋体" w:cs="宋体"/>
          <w:color w:val="000000"/>
          <w:sz w:val="24"/>
          <w:szCs w:val="24"/>
          <w:u w:val="single"/>
          <w:shd w:val="clear" w:color="auto" w:fill="FFFFFF"/>
          <w:lang w:eastAsia="zh-CN"/>
        </w:rPr>
        <w:t>启东市寅阳镇2024-2025年和合苑物业服务项目</w:t>
      </w:r>
      <w:r>
        <w:rPr>
          <w:rFonts w:hint="eastAsia" w:ascii="宋体" w:hAnsi="宋体" w:eastAsia="宋体" w:cs="宋体"/>
          <w:color w:val="000000"/>
          <w:sz w:val="24"/>
          <w:szCs w:val="24"/>
          <w:shd w:val="clear" w:color="auto" w:fill="FFFFFF"/>
        </w:rPr>
        <w:t>签订本合同。</w:t>
      </w:r>
    </w:p>
    <w:p w14:paraId="22928212">
      <w:pPr>
        <w:widowControl/>
        <w:numPr>
          <w:ilvl w:val="0"/>
          <w:numId w:val="0"/>
        </w:numPr>
        <w:spacing w:line="500" w:lineRule="exact"/>
        <w:rPr>
          <w:rFonts w:hint="eastAsia" w:ascii="宋体" w:hAnsi="宋体" w:eastAsia="宋体" w:cs="宋体"/>
          <w:b/>
          <w:color w:val="000000"/>
          <w:sz w:val="24"/>
          <w:szCs w:val="24"/>
          <w:shd w:val="clear" w:color="auto" w:fill="FFFFFF"/>
          <w:lang w:val="en-US" w:eastAsia="zh-CN"/>
        </w:rPr>
      </w:pPr>
      <w:r>
        <w:rPr>
          <w:rFonts w:hint="eastAsia" w:ascii="宋体" w:hAnsi="宋体" w:eastAsia="宋体" w:cs="宋体"/>
          <w:b/>
          <w:color w:val="000000"/>
          <w:sz w:val="24"/>
          <w:szCs w:val="24"/>
          <w:shd w:val="clear" w:color="auto" w:fill="FFFFFF"/>
          <w:lang w:val="en-US" w:eastAsia="zh-CN"/>
        </w:rPr>
        <w:t xml:space="preserve">    </w:t>
      </w:r>
      <w:r>
        <w:rPr>
          <w:rFonts w:hint="eastAsia" w:ascii="宋体" w:hAnsi="宋体"/>
          <w:b/>
          <w:color w:val="000000"/>
          <w:sz w:val="24"/>
          <w:szCs w:val="24"/>
        </w:rPr>
        <w:t xml:space="preserve">一、本合同由合同文本和下列文件组成 </w:t>
      </w:r>
    </w:p>
    <w:p w14:paraId="23981CD2">
      <w:pPr>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1、竞争性磋商文件</w:t>
      </w:r>
    </w:p>
    <w:p w14:paraId="045A36F9">
      <w:pPr>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 xml:space="preserve">2、投标文件     </w:t>
      </w:r>
    </w:p>
    <w:p w14:paraId="2993CE41">
      <w:pPr>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 xml:space="preserve">3、中标通知书     </w:t>
      </w:r>
    </w:p>
    <w:p w14:paraId="507CFCB7">
      <w:pPr>
        <w:widowControl/>
        <w:numPr>
          <w:ilvl w:val="0"/>
          <w:numId w:val="0"/>
        </w:numPr>
        <w:spacing w:line="500" w:lineRule="exact"/>
        <w:ind w:firstLine="480" w:firstLineChars="200"/>
        <w:rPr>
          <w:rFonts w:hint="eastAsia" w:ascii="宋体" w:hAnsi="宋体" w:eastAsia="宋体" w:cs="宋体"/>
          <w:b/>
          <w:color w:val="000000"/>
          <w:sz w:val="24"/>
          <w:szCs w:val="24"/>
          <w:shd w:val="clear" w:color="auto" w:fill="FFFFFF"/>
          <w:lang w:val="en-US" w:eastAsia="zh-CN"/>
        </w:rPr>
      </w:pPr>
      <w:r>
        <w:rPr>
          <w:rFonts w:hint="eastAsia" w:ascii="宋体" w:hAnsi="宋体"/>
          <w:color w:val="000000"/>
          <w:sz w:val="24"/>
          <w:szCs w:val="24"/>
        </w:rPr>
        <w:t xml:space="preserve">4、乙方在评标过程中做出的书面澄清或承诺 </w:t>
      </w:r>
    </w:p>
    <w:p w14:paraId="65D4DBB5">
      <w:pPr>
        <w:widowControl/>
        <w:numPr>
          <w:ilvl w:val="0"/>
          <w:numId w:val="0"/>
        </w:numPr>
        <w:spacing w:line="500" w:lineRule="exact"/>
        <w:ind w:firstLine="482" w:firstLineChars="200"/>
        <w:rPr>
          <w:rFonts w:hint="eastAsia" w:ascii="宋体" w:hAnsi="宋体" w:eastAsia="宋体" w:cs="宋体"/>
          <w:b/>
          <w:color w:val="000000"/>
          <w:sz w:val="24"/>
          <w:szCs w:val="24"/>
          <w:shd w:val="clear" w:color="auto" w:fill="FFFFFF"/>
          <w:lang w:val="en-US" w:eastAsia="zh-CN"/>
        </w:rPr>
      </w:pPr>
      <w:r>
        <w:rPr>
          <w:rFonts w:hint="eastAsia" w:ascii="宋体" w:hAnsi="宋体" w:eastAsia="宋体" w:cs="宋体"/>
          <w:b/>
          <w:color w:val="000000"/>
          <w:sz w:val="24"/>
          <w:szCs w:val="24"/>
          <w:shd w:val="clear" w:color="auto" w:fill="FFFFFF"/>
          <w:lang w:val="en-US" w:eastAsia="zh-CN"/>
        </w:rPr>
        <w:t>二、服务内容</w:t>
      </w:r>
    </w:p>
    <w:p w14:paraId="477BA0E3">
      <w:pPr>
        <w:widowControl/>
        <w:spacing w:line="500" w:lineRule="exact"/>
        <w:ind w:firstLine="480" w:firstLineChars="200"/>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u w:val="single"/>
          <w:shd w:val="clear" w:color="auto" w:fill="FFFFFF"/>
          <w:lang w:val="en-US" w:eastAsia="zh-CN"/>
        </w:rPr>
        <w:t>启东市寅阳镇2024-2025年和合苑物业服务项目，包括门卫、日间夜间巡逻、日常垃圾及建筑垃圾清理、保洁、维修与管理等服务。</w:t>
      </w:r>
    </w:p>
    <w:p w14:paraId="09E49CF4">
      <w:pPr>
        <w:widowControl/>
        <w:spacing w:line="500" w:lineRule="exact"/>
        <w:ind w:firstLine="480" w:firstLineChars="200"/>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u w:val="single"/>
          <w:shd w:val="clear" w:color="auto" w:fill="FFFFFF"/>
          <w:lang w:val="en-US" w:eastAsia="zh-CN"/>
        </w:rPr>
        <w:t>电梯维保、消防系统、智能化系统、绿化养护尚在维保期，不在本次服务范围内。</w:t>
      </w:r>
    </w:p>
    <w:p w14:paraId="5AF17DFD">
      <w:pPr>
        <w:widowControl/>
        <w:spacing w:line="500" w:lineRule="exact"/>
        <w:ind w:firstLine="482" w:firstLineChars="200"/>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lang w:val="en-US" w:eastAsia="zh-CN"/>
        </w:rPr>
        <w:t>三、</w:t>
      </w:r>
      <w:r>
        <w:rPr>
          <w:rFonts w:hint="eastAsia" w:ascii="宋体" w:hAnsi="宋体" w:eastAsia="宋体" w:cs="宋体"/>
          <w:b/>
          <w:color w:val="000000"/>
          <w:sz w:val="24"/>
          <w:szCs w:val="24"/>
          <w:shd w:val="clear" w:color="auto" w:fill="FFFFFF"/>
        </w:rPr>
        <w:t>服务范围：</w:t>
      </w:r>
    </w:p>
    <w:p w14:paraId="1012B912">
      <w:pPr>
        <w:widowControl/>
        <w:spacing w:line="500" w:lineRule="exact"/>
        <w:ind w:firstLine="480" w:firstLineChars="200"/>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u w:val="single"/>
          <w:shd w:val="clear" w:color="auto" w:fill="FFFFFF"/>
          <w:lang w:val="en-US" w:eastAsia="zh-CN"/>
        </w:rPr>
        <w:t>启东市寅阳镇和合苑，总建筑面积144318.26平方米，18栋1286套。</w:t>
      </w:r>
    </w:p>
    <w:p w14:paraId="4792888C">
      <w:pPr>
        <w:widowControl/>
        <w:spacing w:line="500" w:lineRule="exact"/>
        <w:ind w:firstLine="480" w:firstLineChars="200"/>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u w:val="single"/>
          <w:shd w:val="clear" w:color="auto" w:fill="FFFFFF"/>
          <w:lang w:val="en-US" w:eastAsia="zh-CN"/>
        </w:rPr>
        <w:t>现服务面积约为86590.96平方米。本项目服务面积为暂定，服务面积按照每三个月入住率进行调整，面积调整的风险均已包含在本次招标的单价中。</w:t>
      </w:r>
    </w:p>
    <w:p w14:paraId="756D8922">
      <w:pPr>
        <w:spacing w:line="400" w:lineRule="exact"/>
        <w:ind w:firstLine="482" w:firstLineChars="200"/>
        <w:jc w:val="left"/>
        <w:rPr>
          <w:rFonts w:hint="eastAsia" w:ascii="宋体" w:hAnsi="宋体"/>
          <w:b/>
          <w:bCs/>
          <w:color w:val="000000"/>
          <w:sz w:val="24"/>
          <w:szCs w:val="24"/>
        </w:rPr>
      </w:pPr>
      <w:r>
        <w:rPr>
          <w:rFonts w:hint="eastAsia" w:ascii="宋体" w:hAnsi="宋体"/>
          <w:b/>
          <w:color w:val="000000"/>
          <w:sz w:val="24"/>
          <w:szCs w:val="24"/>
        </w:rPr>
        <w:t>四、</w:t>
      </w:r>
      <w:r>
        <w:rPr>
          <w:rFonts w:hint="eastAsia" w:ascii="宋体" w:hAnsi="宋体"/>
          <w:b/>
          <w:bCs/>
          <w:color w:val="000000"/>
          <w:sz w:val="24"/>
          <w:szCs w:val="24"/>
        </w:rPr>
        <w:t>物业管理服务方案与服务标准</w:t>
      </w:r>
    </w:p>
    <w:p w14:paraId="53E2B16A">
      <w:pPr>
        <w:spacing w:line="400" w:lineRule="exact"/>
        <w:ind w:firstLine="480" w:firstLineChars="200"/>
        <w:rPr>
          <w:rFonts w:ascii="宋体" w:hAnsi="宋体"/>
          <w:bCs/>
          <w:color w:val="000000"/>
          <w:sz w:val="24"/>
          <w:szCs w:val="24"/>
        </w:rPr>
      </w:pPr>
      <w:r>
        <w:rPr>
          <w:rFonts w:hint="eastAsia" w:ascii="宋体" w:hAnsi="宋体"/>
          <w:bCs/>
          <w:color w:val="000000"/>
          <w:sz w:val="24"/>
          <w:szCs w:val="24"/>
        </w:rPr>
        <w:t>达到启东市人民政府文件【启政规[2016]3号】中的二级服务标准。</w:t>
      </w:r>
    </w:p>
    <w:p w14:paraId="6FA3115E">
      <w:pPr>
        <w:spacing w:line="400" w:lineRule="exact"/>
        <w:ind w:firstLine="482" w:firstLineChars="200"/>
        <w:rPr>
          <w:rFonts w:ascii="宋体" w:hAnsi="宋体"/>
          <w:b/>
          <w:sz w:val="24"/>
          <w:szCs w:val="24"/>
        </w:rPr>
      </w:pPr>
      <w:r>
        <w:rPr>
          <w:rFonts w:hint="eastAsia" w:ascii="宋体" w:hAnsi="宋体"/>
          <w:b/>
          <w:sz w:val="24"/>
          <w:szCs w:val="24"/>
        </w:rPr>
        <w:t>（一）</w:t>
      </w:r>
      <w:r>
        <w:rPr>
          <w:rFonts w:ascii="宋体" w:hAnsi="宋体"/>
          <w:b/>
          <w:sz w:val="24"/>
          <w:szCs w:val="24"/>
        </w:rPr>
        <w:t>综合管理服务标准</w:t>
      </w:r>
    </w:p>
    <w:tbl>
      <w:tblPr>
        <w:tblStyle w:val="6"/>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85"/>
        <w:gridCol w:w="1033"/>
        <w:gridCol w:w="1621"/>
        <w:gridCol w:w="5138"/>
      </w:tblGrid>
      <w:tr w14:paraId="5AC6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jc w:val="center"/>
        </w:trPr>
        <w:tc>
          <w:tcPr>
            <w:tcW w:w="2106" w:type="pct"/>
            <w:gridSpan w:val="3"/>
            <w:noWrap w:val="0"/>
            <w:vAlign w:val="center"/>
          </w:tcPr>
          <w:p w14:paraId="1D7E8570">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服务内容</w:t>
            </w:r>
          </w:p>
        </w:tc>
        <w:tc>
          <w:tcPr>
            <w:tcW w:w="2894" w:type="pct"/>
            <w:noWrap w:val="0"/>
            <w:vAlign w:val="center"/>
          </w:tcPr>
          <w:p w14:paraId="398BEE6D">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二级</w:t>
            </w:r>
          </w:p>
        </w:tc>
      </w:tr>
      <w:tr w14:paraId="1426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jc w:val="center"/>
        </w:trPr>
        <w:tc>
          <w:tcPr>
            <w:tcW w:w="611" w:type="pct"/>
            <w:vMerge w:val="restart"/>
            <w:noWrap w:val="0"/>
            <w:textDirection w:val="tbRlV"/>
            <w:vAlign w:val="center"/>
          </w:tcPr>
          <w:p w14:paraId="7F154081">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基本要求</w:t>
            </w:r>
          </w:p>
        </w:tc>
        <w:tc>
          <w:tcPr>
            <w:tcW w:w="582" w:type="pct"/>
            <w:vMerge w:val="restart"/>
            <w:noWrap w:val="0"/>
            <w:vAlign w:val="center"/>
          </w:tcPr>
          <w:p w14:paraId="0DED53E7">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服务机构</w:t>
            </w:r>
          </w:p>
        </w:tc>
        <w:tc>
          <w:tcPr>
            <w:tcW w:w="913" w:type="pct"/>
            <w:noWrap w:val="0"/>
            <w:vAlign w:val="center"/>
          </w:tcPr>
          <w:p w14:paraId="2B212CD6">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配置办公设施</w:t>
            </w:r>
          </w:p>
        </w:tc>
        <w:tc>
          <w:tcPr>
            <w:tcW w:w="2894" w:type="pct"/>
            <w:vMerge w:val="restart"/>
            <w:noWrap w:val="0"/>
            <w:vAlign w:val="center"/>
          </w:tcPr>
          <w:p w14:paraId="4A28693C">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配置基本办公设施；据实提供特约（有偿）服务和便民（无偿）服务。</w:t>
            </w:r>
          </w:p>
        </w:tc>
      </w:tr>
      <w:tr w14:paraId="05A1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jc w:val="center"/>
        </w:trPr>
        <w:tc>
          <w:tcPr>
            <w:tcW w:w="611" w:type="pct"/>
            <w:vMerge w:val="continue"/>
            <w:noWrap w:val="0"/>
            <w:textDirection w:val="tbRlV"/>
            <w:vAlign w:val="center"/>
          </w:tcPr>
          <w:p w14:paraId="6667D3C4">
            <w:pPr>
              <w:widowControl/>
              <w:spacing w:line="280" w:lineRule="exact"/>
              <w:jc w:val="center"/>
              <w:rPr>
                <w:rFonts w:ascii="宋体" w:hAnsi="宋体"/>
                <w:color w:val="000000"/>
                <w:kern w:val="0"/>
                <w:sz w:val="24"/>
                <w:szCs w:val="24"/>
              </w:rPr>
            </w:pPr>
          </w:p>
        </w:tc>
        <w:tc>
          <w:tcPr>
            <w:tcW w:w="582" w:type="pct"/>
            <w:vMerge w:val="continue"/>
            <w:noWrap w:val="0"/>
            <w:vAlign w:val="center"/>
          </w:tcPr>
          <w:p w14:paraId="007F0883">
            <w:pPr>
              <w:widowControl/>
              <w:spacing w:line="280" w:lineRule="exact"/>
              <w:jc w:val="center"/>
              <w:rPr>
                <w:rFonts w:ascii="宋体" w:hAnsi="宋体"/>
                <w:color w:val="000000"/>
                <w:kern w:val="0"/>
                <w:sz w:val="24"/>
                <w:szCs w:val="24"/>
              </w:rPr>
            </w:pPr>
          </w:p>
        </w:tc>
        <w:tc>
          <w:tcPr>
            <w:tcW w:w="913" w:type="pct"/>
            <w:noWrap w:val="0"/>
            <w:vAlign w:val="center"/>
          </w:tcPr>
          <w:p w14:paraId="167FE1BD">
            <w:pPr>
              <w:widowControl/>
              <w:spacing w:line="300" w:lineRule="exact"/>
              <w:jc w:val="center"/>
              <w:textAlignment w:val="center"/>
              <w:rPr>
                <w:rFonts w:ascii="宋体" w:hAnsi="宋体"/>
                <w:color w:val="000000"/>
                <w:kern w:val="0"/>
                <w:sz w:val="24"/>
                <w:szCs w:val="24"/>
              </w:rPr>
            </w:pPr>
            <w:r>
              <w:rPr>
                <w:rFonts w:ascii="宋体" w:hAnsi="宋体"/>
                <w:color w:val="000000"/>
                <w:kern w:val="0"/>
                <w:sz w:val="24"/>
                <w:szCs w:val="24"/>
              </w:rPr>
              <w:t>办公场所</w:t>
            </w:r>
          </w:p>
        </w:tc>
        <w:tc>
          <w:tcPr>
            <w:tcW w:w="2894" w:type="pct"/>
            <w:vMerge w:val="continue"/>
            <w:noWrap w:val="0"/>
            <w:vAlign w:val="center"/>
          </w:tcPr>
          <w:p w14:paraId="627D5791">
            <w:pPr>
              <w:widowControl/>
              <w:spacing w:line="280" w:lineRule="exact"/>
              <w:rPr>
                <w:rFonts w:ascii="宋体" w:hAnsi="宋体"/>
                <w:color w:val="000000"/>
                <w:kern w:val="0"/>
                <w:sz w:val="24"/>
                <w:szCs w:val="24"/>
              </w:rPr>
            </w:pPr>
          </w:p>
        </w:tc>
      </w:tr>
      <w:tr w14:paraId="428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jc w:val="center"/>
        </w:trPr>
        <w:tc>
          <w:tcPr>
            <w:tcW w:w="611" w:type="pct"/>
            <w:vMerge w:val="continue"/>
            <w:noWrap w:val="0"/>
            <w:textDirection w:val="tbRlV"/>
            <w:vAlign w:val="center"/>
          </w:tcPr>
          <w:p w14:paraId="7EF631B3">
            <w:pPr>
              <w:widowControl/>
              <w:spacing w:line="280" w:lineRule="exact"/>
              <w:jc w:val="center"/>
              <w:rPr>
                <w:rFonts w:ascii="宋体" w:hAnsi="宋体"/>
                <w:color w:val="000000"/>
                <w:kern w:val="0"/>
                <w:sz w:val="24"/>
                <w:szCs w:val="24"/>
              </w:rPr>
            </w:pPr>
          </w:p>
        </w:tc>
        <w:tc>
          <w:tcPr>
            <w:tcW w:w="582" w:type="pct"/>
            <w:vMerge w:val="restart"/>
            <w:noWrap w:val="0"/>
            <w:vAlign w:val="center"/>
          </w:tcPr>
          <w:p w14:paraId="3C4AAE83">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服务人员</w:t>
            </w:r>
          </w:p>
        </w:tc>
        <w:tc>
          <w:tcPr>
            <w:tcW w:w="913" w:type="pct"/>
            <w:noWrap w:val="0"/>
            <w:vAlign w:val="center"/>
          </w:tcPr>
          <w:p w14:paraId="7DF1AD30">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小区经理</w:t>
            </w:r>
          </w:p>
        </w:tc>
        <w:tc>
          <w:tcPr>
            <w:tcW w:w="2894" w:type="pct"/>
            <w:noWrap w:val="0"/>
            <w:vAlign w:val="center"/>
          </w:tcPr>
          <w:p w14:paraId="6C4A1884">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有物业管理员相关证书,有1年以上物业服务工作经历。</w:t>
            </w:r>
          </w:p>
        </w:tc>
      </w:tr>
      <w:tr w14:paraId="03B5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jc w:val="center"/>
        </w:trPr>
        <w:tc>
          <w:tcPr>
            <w:tcW w:w="611" w:type="pct"/>
            <w:vMerge w:val="continue"/>
            <w:noWrap w:val="0"/>
            <w:textDirection w:val="tbRlV"/>
            <w:vAlign w:val="center"/>
          </w:tcPr>
          <w:p w14:paraId="763E3EBC">
            <w:pPr>
              <w:widowControl/>
              <w:spacing w:line="280" w:lineRule="exact"/>
              <w:jc w:val="center"/>
              <w:rPr>
                <w:rFonts w:ascii="宋体" w:hAnsi="宋体"/>
                <w:color w:val="000000"/>
                <w:kern w:val="0"/>
                <w:sz w:val="24"/>
                <w:szCs w:val="24"/>
              </w:rPr>
            </w:pPr>
          </w:p>
        </w:tc>
        <w:tc>
          <w:tcPr>
            <w:tcW w:w="582" w:type="pct"/>
            <w:vMerge w:val="continue"/>
            <w:noWrap w:val="0"/>
            <w:vAlign w:val="center"/>
          </w:tcPr>
          <w:p w14:paraId="1306E6EB">
            <w:pPr>
              <w:widowControl/>
              <w:spacing w:line="280" w:lineRule="exact"/>
              <w:jc w:val="center"/>
              <w:rPr>
                <w:rFonts w:ascii="宋体" w:hAnsi="宋体"/>
                <w:color w:val="000000"/>
                <w:kern w:val="0"/>
                <w:sz w:val="24"/>
                <w:szCs w:val="24"/>
              </w:rPr>
            </w:pPr>
          </w:p>
        </w:tc>
        <w:tc>
          <w:tcPr>
            <w:tcW w:w="913" w:type="pct"/>
            <w:noWrap w:val="0"/>
            <w:vAlign w:val="center"/>
          </w:tcPr>
          <w:p w14:paraId="5BA5BDC1">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工作人员</w:t>
            </w:r>
          </w:p>
        </w:tc>
        <w:tc>
          <w:tcPr>
            <w:tcW w:w="2894" w:type="pct"/>
            <w:noWrap w:val="0"/>
            <w:vAlign w:val="center"/>
          </w:tcPr>
          <w:p w14:paraId="6A428B53">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取得物业管理从业资格证书或上岗证；挂牌上岗。</w:t>
            </w:r>
          </w:p>
        </w:tc>
      </w:tr>
      <w:tr w14:paraId="5498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611" w:type="pct"/>
            <w:vMerge w:val="continue"/>
            <w:noWrap w:val="0"/>
            <w:textDirection w:val="tbRlV"/>
            <w:vAlign w:val="center"/>
          </w:tcPr>
          <w:p w14:paraId="44297122">
            <w:pPr>
              <w:widowControl/>
              <w:spacing w:line="280" w:lineRule="exact"/>
              <w:jc w:val="center"/>
              <w:rPr>
                <w:rFonts w:ascii="宋体" w:hAnsi="宋体"/>
                <w:color w:val="000000"/>
                <w:kern w:val="0"/>
                <w:sz w:val="24"/>
                <w:szCs w:val="24"/>
              </w:rPr>
            </w:pPr>
          </w:p>
        </w:tc>
        <w:tc>
          <w:tcPr>
            <w:tcW w:w="1495" w:type="pct"/>
            <w:gridSpan w:val="2"/>
            <w:noWrap w:val="0"/>
            <w:vAlign w:val="center"/>
          </w:tcPr>
          <w:p w14:paraId="22627512">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服务时间</w:t>
            </w:r>
          </w:p>
        </w:tc>
        <w:tc>
          <w:tcPr>
            <w:tcW w:w="2894" w:type="pct"/>
            <w:noWrap w:val="0"/>
            <w:vAlign w:val="center"/>
          </w:tcPr>
          <w:p w14:paraId="44965BE0">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周一至周日在服务处8</w:t>
            </w:r>
            <w:r>
              <w:rPr>
                <w:rFonts w:ascii="宋体" w:hAnsi="宋体" w:cs="宋体"/>
                <w:color w:val="000000"/>
                <w:kern w:val="0"/>
                <w:sz w:val="24"/>
                <w:szCs w:val="24"/>
              </w:rPr>
              <w:t>小时业务接待，其余时间有固定电话接待，在小区醒目位置公示值班人员和接待电话。</w:t>
            </w:r>
          </w:p>
        </w:tc>
      </w:tr>
      <w:tr w14:paraId="333E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611" w:type="pct"/>
            <w:vMerge w:val="restart"/>
            <w:noWrap w:val="0"/>
            <w:textDirection w:val="tbRlV"/>
            <w:vAlign w:val="center"/>
          </w:tcPr>
          <w:p w14:paraId="53F2B6C4">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日常管理与服务</w:t>
            </w:r>
          </w:p>
        </w:tc>
        <w:tc>
          <w:tcPr>
            <w:tcW w:w="1495" w:type="pct"/>
            <w:gridSpan w:val="2"/>
            <w:noWrap w:val="0"/>
            <w:vAlign w:val="center"/>
          </w:tcPr>
          <w:p w14:paraId="31D5B0A8">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工作计划</w:t>
            </w:r>
          </w:p>
        </w:tc>
        <w:tc>
          <w:tcPr>
            <w:tcW w:w="2894" w:type="pct"/>
            <w:noWrap w:val="0"/>
            <w:vAlign w:val="center"/>
          </w:tcPr>
          <w:p w14:paraId="0687CA42">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有工作计划并组织实施。</w:t>
            </w:r>
          </w:p>
        </w:tc>
      </w:tr>
      <w:tr w14:paraId="5F0D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611" w:type="pct"/>
            <w:vMerge w:val="continue"/>
            <w:noWrap w:val="0"/>
            <w:textDirection w:val="tbRlV"/>
            <w:vAlign w:val="center"/>
          </w:tcPr>
          <w:p w14:paraId="4D4A6F71">
            <w:pPr>
              <w:widowControl/>
              <w:spacing w:line="280" w:lineRule="exact"/>
              <w:jc w:val="center"/>
              <w:rPr>
                <w:rFonts w:ascii="宋体" w:hAnsi="宋体"/>
                <w:color w:val="000000"/>
                <w:kern w:val="0"/>
                <w:sz w:val="24"/>
                <w:szCs w:val="24"/>
              </w:rPr>
            </w:pPr>
          </w:p>
        </w:tc>
        <w:tc>
          <w:tcPr>
            <w:tcW w:w="1495" w:type="pct"/>
            <w:gridSpan w:val="2"/>
            <w:noWrap w:val="0"/>
            <w:vAlign w:val="center"/>
          </w:tcPr>
          <w:p w14:paraId="5AEED3D6">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管理制度</w:t>
            </w:r>
          </w:p>
        </w:tc>
        <w:tc>
          <w:tcPr>
            <w:tcW w:w="2894" w:type="pct"/>
            <w:noWrap w:val="0"/>
            <w:vAlign w:val="center"/>
          </w:tcPr>
          <w:p w14:paraId="479EDB14">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建立基本的管理制度；在小区醒目位置公示收费标准、服务标准、服务时间。</w:t>
            </w:r>
          </w:p>
        </w:tc>
      </w:tr>
      <w:tr w14:paraId="0A2A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611" w:type="pct"/>
            <w:vMerge w:val="continue"/>
            <w:noWrap w:val="0"/>
            <w:textDirection w:val="tbRlV"/>
            <w:vAlign w:val="center"/>
          </w:tcPr>
          <w:p w14:paraId="5A373913">
            <w:pPr>
              <w:widowControl/>
              <w:spacing w:line="280" w:lineRule="exact"/>
              <w:jc w:val="center"/>
              <w:rPr>
                <w:rFonts w:ascii="宋体" w:hAnsi="宋体"/>
                <w:color w:val="000000"/>
                <w:kern w:val="0"/>
                <w:sz w:val="24"/>
                <w:szCs w:val="24"/>
              </w:rPr>
            </w:pPr>
          </w:p>
        </w:tc>
        <w:tc>
          <w:tcPr>
            <w:tcW w:w="1495" w:type="pct"/>
            <w:gridSpan w:val="2"/>
            <w:noWrap w:val="0"/>
            <w:vAlign w:val="center"/>
          </w:tcPr>
          <w:p w14:paraId="40001D7A">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报修、投诉处理</w:t>
            </w:r>
          </w:p>
        </w:tc>
        <w:tc>
          <w:tcPr>
            <w:tcW w:w="2894" w:type="pct"/>
            <w:noWrap w:val="0"/>
            <w:vAlign w:val="center"/>
          </w:tcPr>
          <w:p w14:paraId="73130745">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正常受理物业服务范围内的报修内容，急修2</w:t>
            </w:r>
            <w:r>
              <w:rPr>
                <w:rFonts w:ascii="宋体" w:hAnsi="宋体" w:cs="宋体"/>
                <w:color w:val="000000"/>
                <w:kern w:val="0"/>
                <w:sz w:val="24"/>
                <w:szCs w:val="24"/>
              </w:rPr>
              <w:t>小时内到场查看处理，水电小修不过夜，一般小修</w:t>
            </w:r>
            <w:r>
              <w:rPr>
                <w:rFonts w:ascii="宋体" w:hAnsi="宋体"/>
                <w:color w:val="000000"/>
                <w:kern w:val="0"/>
                <w:sz w:val="24"/>
                <w:szCs w:val="24"/>
              </w:rPr>
              <w:t>1</w:t>
            </w:r>
            <w:r>
              <w:rPr>
                <w:rFonts w:ascii="宋体" w:hAnsi="宋体" w:cs="宋体"/>
                <w:color w:val="000000"/>
                <w:kern w:val="0"/>
                <w:sz w:val="24"/>
                <w:szCs w:val="24"/>
              </w:rPr>
              <w:t>周内修复，不能及时修复的，约时修复；投诉</w:t>
            </w:r>
            <w:r>
              <w:rPr>
                <w:rFonts w:ascii="宋体" w:hAnsi="宋体"/>
                <w:color w:val="000000"/>
                <w:kern w:val="0"/>
                <w:sz w:val="24"/>
                <w:szCs w:val="24"/>
              </w:rPr>
              <w:t>5</w:t>
            </w:r>
            <w:r>
              <w:rPr>
                <w:rFonts w:ascii="宋体" w:hAnsi="宋体" w:cs="宋体"/>
                <w:color w:val="000000"/>
                <w:kern w:val="0"/>
                <w:sz w:val="24"/>
                <w:szCs w:val="24"/>
              </w:rPr>
              <w:t>天内答复处理。</w:t>
            </w:r>
          </w:p>
        </w:tc>
      </w:tr>
      <w:tr w14:paraId="459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jc w:val="center"/>
        </w:trPr>
        <w:tc>
          <w:tcPr>
            <w:tcW w:w="611" w:type="pct"/>
            <w:vMerge w:val="continue"/>
            <w:noWrap w:val="0"/>
            <w:textDirection w:val="tbRlV"/>
            <w:vAlign w:val="center"/>
          </w:tcPr>
          <w:p w14:paraId="30E0E3B9">
            <w:pPr>
              <w:widowControl/>
              <w:spacing w:line="280" w:lineRule="exact"/>
              <w:jc w:val="center"/>
              <w:rPr>
                <w:rFonts w:ascii="宋体" w:hAnsi="宋体"/>
                <w:color w:val="000000"/>
                <w:kern w:val="0"/>
                <w:sz w:val="24"/>
                <w:szCs w:val="24"/>
              </w:rPr>
            </w:pPr>
          </w:p>
        </w:tc>
        <w:tc>
          <w:tcPr>
            <w:tcW w:w="1495" w:type="pct"/>
            <w:gridSpan w:val="2"/>
            <w:noWrap w:val="0"/>
            <w:vAlign w:val="center"/>
          </w:tcPr>
          <w:p w14:paraId="55E24D74">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装修事项</w:t>
            </w:r>
          </w:p>
        </w:tc>
        <w:tc>
          <w:tcPr>
            <w:tcW w:w="2894" w:type="pct"/>
            <w:noWrap w:val="0"/>
            <w:vAlign w:val="center"/>
          </w:tcPr>
          <w:p w14:paraId="59D30F81">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签订装饰装修管理协议，告知业主或使用人装修须知，对违法建设、违规装修应及时劝阻并报告相关部门。</w:t>
            </w:r>
          </w:p>
        </w:tc>
      </w:tr>
      <w:tr w14:paraId="4683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11" w:type="pct"/>
            <w:vMerge w:val="restart"/>
            <w:noWrap w:val="0"/>
            <w:textDirection w:val="tbRlV"/>
            <w:vAlign w:val="center"/>
          </w:tcPr>
          <w:p w14:paraId="354BF654">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日常管理与服务</w:t>
            </w:r>
          </w:p>
        </w:tc>
        <w:tc>
          <w:tcPr>
            <w:tcW w:w="1495" w:type="pct"/>
            <w:gridSpan w:val="2"/>
            <w:noWrap w:val="0"/>
            <w:vAlign w:val="center"/>
          </w:tcPr>
          <w:p w14:paraId="263C481E">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档案管理</w:t>
            </w:r>
          </w:p>
        </w:tc>
        <w:tc>
          <w:tcPr>
            <w:tcW w:w="2894" w:type="pct"/>
            <w:noWrap w:val="0"/>
            <w:vAlign w:val="center"/>
          </w:tcPr>
          <w:p w14:paraId="2B5354B9">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建立基础的档案管理制度，基本小区物业管理档案。</w:t>
            </w:r>
          </w:p>
        </w:tc>
      </w:tr>
      <w:tr w14:paraId="42C5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jc w:val="center"/>
        </w:trPr>
        <w:tc>
          <w:tcPr>
            <w:tcW w:w="611" w:type="pct"/>
            <w:vMerge w:val="continue"/>
            <w:noWrap w:val="0"/>
            <w:textDirection w:val="tbRlV"/>
            <w:vAlign w:val="center"/>
          </w:tcPr>
          <w:p w14:paraId="4EE15F4B">
            <w:pPr>
              <w:widowControl/>
              <w:spacing w:line="280" w:lineRule="exact"/>
              <w:jc w:val="center"/>
              <w:rPr>
                <w:rFonts w:ascii="宋体" w:hAnsi="宋体"/>
                <w:color w:val="000000"/>
                <w:kern w:val="0"/>
                <w:sz w:val="24"/>
                <w:szCs w:val="24"/>
              </w:rPr>
            </w:pPr>
          </w:p>
        </w:tc>
        <w:tc>
          <w:tcPr>
            <w:tcW w:w="1495" w:type="pct"/>
            <w:gridSpan w:val="2"/>
            <w:noWrap w:val="0"/>
            <w:vAlign w:val="center"/>
          </w:tcPr>
          <w:p w14:paraId="6445AA3A">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维修资金</w:t>
            </w:r>
          </w:p>
        </w:tc>
        <w:tc>
          <w:tcPr>
            <w:tcW w:w="2894" w:type="pct"/>
            <w:noWrap w:val="0"/>
            <w:vAlign w:val="center"/>
          </w:tcPr>
          <w:p w14:paraId="3B802AA1">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按照政府规定规范操作，帐目清晰。</w:t>
            </w:r>
          </w:p>
        </w:tc>
      </w:tr>
      <w:tr w14:paraId="6406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jc w:val="center"/>
        </w:trPr>
        <w:tc>
          <w:tcPr>
            <w:tcW w:w="611" w:type="pct"/>
            <w:vMerge w:val="continue"/>
            <w:noWrap w:val="0"/>
            <w:textDirection w:val="tbRlV"/>
            <w:vAlign w:val="center"/>
          </w:tcPr>
          <w:p w14:paraId="15FFA661">
            <w:pPr>
              <w:widowControl/>
              <w:spacing w:line="280" w:lineRule="exact"/>
              <w:jc w:val="center"/>
              <w:rPr>
                <w:rFonts w:ascii="宋体" w:hAnsi="宋体"/>
                <w:color w:val="000000"/>
                <w:kern w:val="0"/>
                <w:sz w:val="24"/>
                <w:szCs w:val="24"/>
              </w:rPr>
            </w:pPr>
          </w:p>
        </w:tc>
        <w:tc>
          <w:tcPr>
            <w:tcW w:w="1495" w:type="pct"/>
            <w:gridSpan w:val="2"/>
            <w:noWrap w:val="0"/>
            <w:vAlign w:val="center"/>
          </w:tcPr>
          <w:p w14:paraId="52FC0A8D">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满意度调查</w:t>
            </w:r>
          </w:p>
        </w:tc>
        <w:tc>
          <w:tcPr>
            <w:tcW w:w="2894" w:type="pct"/>
            <w:noWrap w:val="0"/>
            <w:vAlign w:val="center"/>
          </w:tcPr>
          <w:p w14:paraId="1D12965F">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每年对业主或使用人进行书面满意度调查，调查面不低于小区住户的30%，对调查结果进行分析并采取改进措施。</w:t>
            </w:r>
          </w:p>
        </w:tc>
      </w:tr>
      <w:tr w14:paraId="7FC9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center"/>
        </w:trPr>
        <w:tc>
          <w:tcPr>
            <w:tcW w:w="611" w:type="pct"/>
            <w:vMerge w:val="continue"/>
            <w:noWrap w:val="0"/>
            <w:textDirection w:val="tbRlV"/>
            <w:vAlign w:val="center"/>
          </w:tcPr>
          <w:p w14:paraId="4217F6EE">
            <w:pPr>
              <w:widowControl/>
              <w:spacing w:line="280" w:lineRule="exact"/>
              <w:jc w:val="center"/>
              <w:rPr>
                <w:rFonts w:ascii="宋体" w:hAnsi="宋体"/>
                <w:color w:val="000000"/>
                <w:kern w:val="0"/>
                <w:sz w:val="24"/>
                <w:szCs w:val="24"/>
              </w:rPr>
            </w:pPr>
          </w:p>
        </w:tc>
        <w:tc>
          <w:tcPr>
            <w:tcW w:w="1495" w:type="pct"/>
            <w:gridSpan w:val="2"/>
            <w:noWrap w:val="0"/>
            <w:vAlign w:val="center"/>
          </w:tcPr>
          <w:p w14:paraId="0E901A28">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小区文化活动</w:t>
            </w:r>
          </w:p>
        </w:tc>
        <w:tc>
          <w:tcPr>
            <w:tcW w:w="2894" w:type="pct"/>
            <w:noWrap w:val="0"/>
            <w:vAlign w:val="center"/>
          </w:tcPr>
          <w:p w14:paraId="51D92634">
            <w:pPr>
              <w:widowControl/>
              <w:spacing w:line="280" w:lineRule="exact"/>
              <w:textAlignment w:val="center"/>
              <w:rPr>
                <w:rFonts w:ascii="宋体" w:hAnsi="宋体"/>
                <w:color w:val="000000"/>
                <w:kern w:val="0"/>
                <w:sz w:val="24"/>
                <w:szCs w:val="24"/>
              </w:rPr>
            </w:pPr>
            <w:r>
              <w:rPr>
                <w:rFonts w:ascii="宋体" w:hAnsi="宋体"/>
                <w:color w:val="000000"/>
                <w:kern w:val="0"/>
                <w:sz w:val="24"/>
                <w:szCs w:val="24"/>
              </w:rPr>
              <w:t>每年开展不少于1</w:t>
            </w:r>
            <w:r>
              <w:rPr>
                <w:rFonts w:ascii="宋体" w:hAnsi="宋体" w:cs="宋体"/>
                <w:color w:val="000000"/>
                <w:kern w:val="0"/>
                <w:sz w:val="24"/>
                <w:szCs w:val="24"/>
              </w:rPr>
              <w:t>次的小区文化活动。</w:t>
            </w:r>
          </w:p>
        </w:tc>
      </w:tr>
    </w:tbl>
    <w:p w14:paraId="6F6B2DE6">
      <w:pPr>
        <w:spacing w:line="400" w:lineRule="exact"/>
        <w:ind w:firstLine="482" w:firstLineChars="200"/>
        <w:rPr>
          <w:rFonts w:ascii="宋体" w:hAnsi="宋体" w:cs="仿宋_GB2312"/>
          <w:b/>
          <w:bCs/>
          <w:sz w:val="24"/>
          <w:szCs w:val="24"/>
        </w:rPr>
      </w:pPr>
      <w:r>
        <w:rPr>
          <w:rFonts w:hint="eastAsia" w:ascii="宋体" w:hAnsi="宋体"/>
          <w:b/>
          <w:sz w:val="24"/>
          <w:szCs w:val="24"/>
        </w:rPr>
        <w:t>（二）</w:t>
      </w:r>
      <w:r>
        <w:rPr>
          <w:rFonts w:ascii="宋体" w:hAnsi="宋体"/>
          <w:b/>
          <w:sz w:val="24"/>
          <w:szCs w:val="24"/>
        </w:rPr>
        <w:t>公共秩序维护服务标准</w:t>
      </w:r>
    </w:p>
    <w:tbl>
      <w:tblPr>
        <w:tblStyle w:val="6"/>
        <w:tblW w:w="4922" w:type="pct"/>
        <w:jc w:val="center"/>
        <w:tblLayout w:type="autofit"/>
        <w:tblCellMar>
          <w:top w:w="15" w:type="dxa"/>
          <w:left w:w="15" w:type="dxa"/>
          <w:bottom w:w="15" w:type="dxa"/>
          <w:right w:w="15" w:type="dxa"/>
        </w:tblCellMar>
      </w:tblPr>
      <w:tblGrid>
        <w:gridCol w:w="1238"/>
        <w:gridCol w:w="2360"/>
        <w:gridCol w:w="5161"/>
      </w:tblGrid>
      <w:tr w14:paraId="0BDF5F37">
        <w:tblPrEx>
          <w:tblCellMar>
            <w:top w:w="15" w:type="dxa"/>
            <w:left w:w="15" w:type="dxa"/>
            <w:bottom w:w="15" w:type="dxa"/>
            <w:right w:w="15" w:type="dxa"/>
          </w:tblCellMar>
        </w:tblPrEx>
        <w:trPr>
          <w:jc w:val="center"/>
        </w:trPr>
        <w:tc>
          <w:tcPr>
            <w:tcW w:w="2054" w:type="pct"/>
            <w:gridSpan w:val="2"/>
            <w:tcBorders>
              <w:top w:val="single" w:color="000000" w:sz="4" w:space="0"/>
              <w:left w:val="single" w:color="000000" w:sz="4" w:space="0"/>
              <w:bottom w:val="single" w:color="000000" w:sz="4" w:space="0"/>
              <w:right w:val="single" w:color="000000" w:sz="4" w:space="0"/>
            </w:tcBorders>
            <w:noWrap w:val="0"/>
            <w:vAlign w:val="center"/>
          </w:tcPr>
          <w:p w14:paraId="44C298EB">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服务内容</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7B4230A3">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二级</w:t>
            </w:r>
          </w:p>
        </w:tc>
      </w:tr>
      <w:tr w14:paraId="02ADF9E0">
        <w:tblPrEx>
          <w:tblCellMar>
            <w:top w:w="15" w:type="dxa"/>
            <w:left w:w="15" w:type="dxa"/>
            <w:bottom w:w="15" w:type="dxa"/>
            <w:right w:w="15" w:type="dxa"/>
          </w:tblCellMar>
        </w:tblPrEx>
        <w:trPr>
          <w:trHeight w:val="933" w:hRule="atLeast"/>
          <w:jc w:val="center"/>
        </w:trPr>
        <w:tc>
          <w:tcPr>
            <w:tcW w:w="707" w:type="pct"/>
            <w:tcBorders>
              <w:top w:val="single" w:color="000000" w:sz="4" w:space="0"/>
              <w:left w:val="single" w:color="000000" w:sz="4" w:space="0"/>
              <w:bottom w:val="single" w:color="000000" w:sz="4" w:space="0"/>
              <w:right w:val="single" w:color="000000" w:sz="4" w:space="0"/>
            </w:tcBorders>
            <w:noWrap w:val="0"/>
            <w:textDirection w:val="tbRlV"/>
            <w:vAlign w:val="center"/>
          </w:tcPr>
          <w:p w14:paraId="18D40530">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基本要求</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72A48D87">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人员要求</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4E22C422">
            <w:pPr>
              <w:widowControl/>
              <w:spacing w:line="270" w:lineRule="exact"/>
              <w:textAlignment w:val="center"/>
              <w:rPr>
                <w:rFonts w:ascii="宋体" w:hAnsi="宋体"/>
                <w:color w:val="000000"/>
                <w:sz w:val="24"/>
                <w:szCs w:val="24"/>
              </w:rPr>
            </w:pPr>
            <w:r>
              <w:rPr>
                <w:rFonts w:ascii="宋体" w:hAnsi="宋体"/>
                <w:color w:val="000000"/>
                <w:kern w:val="0"/>
                <w:sz w:val="24"/>
                <w:szCs w:val="24"/>
              </w:rPr>
              <w:t>符合法定年龄，身体健康，工作认真负责；对小区日常护卫事项能做出正确反应，能正确使用消防器材，定期进行安全防范学习；仪容仪表端正整洁。</w:t>
            </w:r>
          </w:p>
        </w:tc>
      </w:tr>
      <w:tr w14:paraId="199BB634">
        <w:tblPrEx>
          <w:tblCellMar>
            <w:top w:w="15" w:type="dxa"/>
            <w:left w:w="15" w:type="dxa"/>
            <w:bottom w:w="15" w:type="dxa"/>
            <w:right w:w="15" w:type="dxa"/>
          </w:tblCellMar>
        </w:tblPrEx>
        <w:trPr>
          <w:trHeight w:val="1500" w:hRule="atLeast"/>
          <w:jc w:val="center"/>
        </w:trPr>
        <w:tc>
          <w:tcPr>
            <w:tcW w:w="707" w:type="pct"/>
            <w:tcBorders>
              <w:top w:val="single" w:color="000000" w:sz="4" w:space="0"/>
              <w:left w:val="single" w:color="000000" w:sz="4" w:space="0"/>
              <w:bottom w:val="single" w:color="000000" w:sz="4" w:space="0"/>
              <w:right w:val="single" w:color="000000" w:sz="4" w:space="0"/>
            </w:tcBorders>
            <w:noWrap w:val="0"/>
            <w:textDirection w:val="tbRlV"/>
            <w:vAlign w:val="center"/>
          </w:tcPr>
          <w:p w14:paraId="5CECAE8C">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日常管理与服务</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2733A86D">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门岗</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6F032E7C">
            <w:pPr>
              <w:widowControl/>
              <w:spacing w:line="270" w:lineRule="exact"/>
              <w:textAlignment w:val="center"/>
              <w:rPr>
                <w:rFonts w:ascii="宋体" w:hAnsi="宋体"/>
                <w:color w:val="000000"/>
                <w:sz w:val="24"/>
                <w:szCs w:val="24"/>
              </w:rPr>
            </w:pPr>
            <w:r>
              <w:rPr>
                <w:rFonts w:ascii="宋体" w:hAnsi="宋体"/>
                <w:color w:val="000000"/>
                <w:kern w:val="0"/>
                <w:sz w:val="24"/>
                <w:szCs w:val="24"/>
              </w:rPr>
              <w:t>主出入口24小时值班看守；对进出小区的车辆进行管理、交通指挥与疏导工作，保持出入口环境整洁、有序、道路畅通；阻止小商小贩、外来人员随意进入小区。</w:t>
            </w:r>
          </w:p>
        </w:tc>
      </w:tr>
      <w:tr w14:paraId="2D097215">
        <w:tblPrEx>
          <w:tblCellMar>
            <w:top w:w="15" w:type="dxa"/>
            <w:left w:w="15" w:type="dxa"/>
            <w:bottom w:w="15" w:type="dxa"/>
            <w:right w:w="15" w:type="dxa"/>
          </w:tblCellMar>
        </w:tblPrEx>
        <w:trPr>
          <w:trHeight w:val="1099" w:hRule="atLeast"/>
          <w:jc w:val="center"/>
        </w:trPr>
        <w:tc>
          <w:tcPr>
            <w:tcW w:w="707"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04E44C9C">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日常管理与服务</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11027CBE">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巡逻岗</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3DF6233E">
            <w:pPr>
              <w:widowControl/>
              <w:spacing w:line="280" w:lineRule="exact"/>
              <w:textAlignment w:val="center"/>
              <w:rPr>
                <w:rFonts w:ascii="宋体" w:hAnsi="宋体"/>
                <w:color w:val="000000"/>
                <w:sz w:val="24"/>
                <w:szCs w:val="24"/>
              </w:rPr>
            </w:pPr>
            <w:r>
              <w:rPr>
                <w:rFonts w:ascii="宋体" w:hAnsi="宋体"/>
                <w:color w:val="000000"/>
                <w:kern w:val="0"/>
                <w:sz w:val="24"/>
                <w:szCs w:val="24"/>
              </w:rPr>
              <w:t>白天夜间巡逻均不少于2次，并有巡逻记录；在遇到突发事件时，采取必要措施并及时报告服务处和相关部门，必要时采取正当防卫，防止事态扩大，协助保护现场和证据。</w:t>
            </w:r>
          </w:p>
        </w:tc>
      </w:tr>
      <w:tr w14:paraId="7D7005FD">
        <w:tblPrEx>
          <w:tblCellMar>
            <w:top w:w="15" w:type="dxa"/>
            <w:left w:w="15" w:type="dxa"/>
            <w:bottom w:w="15" w:type="dxa"/>
            <w:right w:w="15" w:type="dxa"/>
          </w:tblCellMar>
        </w:tblPrEx>
        <w:trPr>
          <w:trHeight w:val="502" w:hRule="atLeast"/>
          <w:jc w:val="center"/>
        </w:trPr>
        <w:tc>
          <w:tcPr>
            <w:tcW w:w="707"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0FA5D7">
            <w:pPr>
              <w:widowControl/>
              <w:spacing w:line="280" w:lineRule="exact"/>
              <w:jc w:val="center"/>
              <w:rPr>
                <w:rFonts w:ascii="宋体" w:hAnsi="宋体"/>
                <w:color w:val="000000"/>
                <w:sz w:val="24"/>
                <w:szCs w:val="24"/>
              </w:rPr>
            </w:pPr>
          </w:p>
        </w:tc>
        <w:tc>
          <w:tcPr>
            <w:tcW w:w="1347" w:type="pct"/>
            <w:tcBorders>
              <w:top w:val="single" w:color="000000" w:sz="4" w:space="0"/>
              <w:left w:val="single" w:color="000000" w:sz="4" w:space="0"/>
              <w:bottom w:val="single" w:color="000000" w:sz="4" w:space="0"/>
              <w:right w:val="single" w:color="000000" w:sz="4" w:space="0"/>
            </w:tcBorders>
            <w:noWrap w:val="0"/>
            <w:vAlign w:val="center"/>
          </w:tcPr>
          <w:p w14:paraId="627C5B5D">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交通、车辆管理</w:t>
            </w:r>
          </w:p>
        </w:tc>
        <w:tc>
          <w:tcPr>
            <w:tcW w:w="2946" w:type="pct"/>
            <w:tcBorders>
              <w:top w:val="single" w:color="000000" w:sz="4" w:space="0"/>
              <w:left w:val="single" w:color="000000" w:sz="4" w:space="0"/>
              <w:bottom w:val="single" w:color="000000" w:sz="4" w:space="0"/>
              <w:right w:val="single" w:color="000000" w:sz="4" w:space="0"/>
            </w:tcBorders>
            <w:noWrap w:val="0"/>
            <w:vAlign w:val="center"/>
          </w:tcPr>
          <w:p w14:paraId="64007FD4">
            <w:pPr>
              <w:widowControl/>
              <w:spacing w:line="280" w:lineRule="exact"/>
              <w:textAlignment w:val="center"/>
              <w:rPr>
                <w:rFonts w:ascii="宋体" w:hAnsi="宋体"/>
                <w:color w:val="000000"/>
                <w:sz w:val="24"/>
                <w:szCs w:val="24"/>
              </w:rPr>
            </w:pPr>
            <w:r>
              <w:rPr>
                <w:rFonts w:ascii="宋体" w:hAnsi="宋体"/>
                <w:color w:val="000000"/>
                <w:kern w:val="0"/>
                <w:sz w:val="24"/>
                <w:szCs w:val="24"/>
              </w:rPr>
              <w:t>车辆停放有序，场地整洁；相关设施设备维护完好。</w:t>
            </w:r>
          </w:p>
        </w:tc>
      </w:tr>
    </w:tbl>
    <w:p w14:paraId="6AB14450">
      <w:pPr>
        <w:spacing w:line="400" w:lineRule="exact"/>
        <w:ind w:firstLine="482" w:firstLineChars="200"/>
        <w:rPr>
          <w:rFonts w:ascii="宋体" w:hAnsi="宋体"/>
          <w:b/>
          <w:sz w:val="24"/>
          <w:szCs w:val="24"/>
        </w:rPr>
      </w:pPr>
      <w:r>
        <w:rPr>
          <w:rFonts w:hint="eastAsia" w:ascii="宋体" w:hAnsi="宋体"/>
          <w:b/>
          <w:sz w:val="24"/>
          <w:szCs w:val="24"/>
        </w:rPr>
        <w:t>（</w:t>
      </w:r>
      <w:r>
        <w:rPr>
          <w:rFonts w:ascii="宋体" w:hAnsi="宋体"/>
          <w:b/>
          <w:sz w:val="24"/>
          <w:szCs w:val="24"/>
        </w:rPr>
        <w:t>三</w:t>
      </w:r>
      <w:r>
        <w:rPr>
          <w:rFonts w:hint="eastAsia" w:ascii="宋体" w:hAnsi="宋体"/>
          <w:b/>
          <w:sz w:val="24"/>
          <w:szCs w:val="24"/>
        </w:rPr>
        <w:t>）</w:t>
      </w:r>
      <w:r>
        <w:rPr>
          <w:rFonts w:ascii="宋体" w:hAnsi="宋体"/>
          <w:b/>
          <w:sz w:val="24"/>
          <w:szCs w:val="24"/>
        </w:rPr>
        <w:t>、公共区域清洁卫生服务标准</w:t>
      </w:r>
    </w:p>
    <w:tbl>
      <w:tblPr>
        <w:tblStyle w:val="6"/>
        <w:tblW w:w="4991" w:type="pct"/>
        <w:jc w:val="center"/>
        <w:tblLayout w:type="autofit"/>
        <w:tblCellMar>
          <w:top w:w="15" w:type="dxa"/>
          <w:left w:w="15" w:type="dxa"/>
          <w:bottom w:w="15" w:type="dxa"/>
          <w:right w:w="15" w:type="dxa"/>
        </w:tblCellMar>
      </w:tblPr>
      <w:tblGrid>
        <w:gridCol w:w="1311"/>
        <w:gridCol w:w="2348"/>
        <w:gridCol w:w="5223"/>
      </w:tblGrid>
      <w:tr w14:paraId="13FD4308">
        <w:tblPrEx>
          <w:tblCellMar>
            <w:top w:w="15" w:type="dxa"/>
            <w:left w:w="15" w:type="dxa"/>
            <w:bottom w:w="15" w:type="dxa"/>
            <w:right w:w="15" w:type="dxa"/>
          </w:tblCellMar>
        </w:tblPrEx>
        <w:trPr>
          <w:trHeight w:val="153" w:hRule="atLeast"/>
          <w:jc w:val="center"/>
        </w:trPr>
        <w:tc>
          <w:tcPr>
            <w:tcW w:w="2060" w:type="pct"/>
            <w:gridSpan w:val="2"/>
            <w:tcBorders>
              <w:top w:val="single" w:color="000000" w:sz="4" w:space="0"/>
              <w:left w:val="single" w:color="000000" w:sz="4" w:space="0"/>
              <w:bottom w:val="single" w:color="000000" w:sz="4" w:space="0"/>
              <w:right w:val="single" w:color="000000" w:sz="4" w:space="0"/>
            </w:tcBorders>
            <w:noWrap w:val="0"/>
            <w:vAlign w:val="center"/>
          </w:tcPr>
          <w:p w14:paraId="24D50C36">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服务内容</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14BF96D">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二级</w:t>
            </w:r>
          </w:p>
        </w:tc>
      </w:tr>
      <w:tr w14:paraId="69641A08">
        <w:tblPrEx>
          <w:tblCellMar>
            <w:top w:w="15" w:type="dxa"/>
            <w:left w:w="15" w:type="dxa"/>
            <w:bottom w:w="15" w:type="dxa"/>
            <w:right w:w="15" w:type="dxa"/>
          </w:tblCellMar>
        </w:tblPrEx>
        <w:trPr>
          <w:trHeight w:val="228" w:hRule="atLeast"/>
          <w:jc w:val="center"/>
        </w:trPr>
        <w:tc>
          <w:tcPr>
            <w:tcW w:w="738"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62BE34F">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楼内公共区域</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6843CF60">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 xml:space="preserve">生活垃圾     </w:t>
            </w:r>
          </w:p>
          <w:p w14:paraId="5B63B0A9">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 xml:space="preserve"> 收集与处理</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0AD087A">
            <w:pPr>
              <w:widowControl/>
              <w:spacing w:line="280" w:lineRule="exact"/>
              <w:textAlignment w:val="center"/>
              <w:rPr>
                <w:rFonts w:ascii="宋体" w:hAnsi="宋体"/>
                <w:color w:val="000000"/>
                <w:sz w:val="24"/>
                <w:szCs w:val="24"/>
              </w:rPr>
            </w:pPr>
            <w:r>
              <w:rPr>
                <w:rFonts w:ascii="宋体" w:hAnsi="宋体"/>
                <w:color w:val="000000"/>
                <w:kern w:val="0"/>
                <w:sz w:val="24"/>
                <w:szCs w:val="24"/>
              </w:rPr>
              <w:t>告知业主将生活垃圾收集送至小区指定垃圾堆放点。</w:t>
            </w:r>
          </w:p>
        </w:tc>
      </w:tr>
      <w:tr w14:paraId="0800AE70">
        <w:tblPrEx>
          <w:tblCellMar>
            <w:top w:w="15" w:type="dxa"/>
            <w:left w:w="15" w:type="dxa"/>
            <w:bottom w:w="15" w:type="dxa"/>
            <w:right w:w="15" w:type="dxa"/>
          </w:tblCellMar>
        </w:tblPrEx>
        <w:trPr>
          <w:trHeight w:val="18" w:hRule="atLeast"/>
          <w:jc w:val="center"/>
        </w:trPr>
        <w:tc>
          <w:tcPr>
            <w:tcW w:w="73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0618FF4">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7B2AC0CB">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通道与电梯轿厢</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EB3C665">
            <w:pPr>
              <w:widowControl/>
              <w:spacing w:line="280" w:lineRule="exact"/>
              <w:textAlignment w:val="center"/>
              <w:rPr>
                <w:rFonts w:ascii="宋体" w:hAnsi="宋体"/>
                <w:color w:val="000000"/>
                <w:sz w:val="24"/>
                <w:szCs w:val="24"/>
              </w:rPr>
            </w:pPr>
            <w:r>
              <w:rPr>
                <w:rFonts w:ascii="宋体" w:hAnsi="宋体"/>
                <w:color w:val="000000"/>
                <w:kern w:val="0"/>
                <w:sz w:val="24"/>
                <w:szCs w:val="24"/>
              </w:rPr>
              <w:t>每月保洁2次，保洁后无明显垃圾与积灰。通道、楼梯间无乱堆乱放。</w:t>
            </w:r>
          </w:p>
        </w:tc>
      </w:tr>
      <w:tr w14:paraId="3112A383">
        <w:tblPrEx>
          <w:tblCellMar>
            <w:top w:w="15" w:type="dxa"/>
            <w:left w:w="15" w:type="dxa"/>
            <w:bottom w:w="15" w:type="dxa"/>
            <w:right w:w="15" w:type="dxa"/>
          </w:tblCellMar>
        </w:tblPrEx>
        <w:trPr>
          <w:trHeight w:val="18" w:hRule="atLeast"/>
          <w:jc w:val="center"/>
        </w:trPr>
        <w:tc>
          <w:tcPr>
            <w:tcW w:w="73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6650964">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20ABA154">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楼梯台阶与栏杆，开关盒、表箱盖，天花板、公共灯具，消火栓、信报箱、设备箱</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1ED70C9">
            <w:pPr>
              <w:widowControl/>
              <w:spacing w:line="280" w:lineRule="exact"/>
              <w:textAlignment w:val="center"/>
              <w:rPr>
                <w:rFonts w:ascii="宋体" w:hAnsi="宋体"/>
                <w:color w:val="000000"/>
                <w:sz w:val="24"/>
                <w:szCs w:val="24"/>
              </w:rPr>
            </w:pPr>
            <w:r>
              <w:rPr>
                <w:rFonts w:ascii="宋体" w:hAnsi="宋体"/>
                <w:color w:val="000000"/>
                <w:kern w:val="0"/>
                <w:sz w:val="24"/>
                <w:szCs w:val="24"/>
              </w:rPr>
              <w:t>保洁后无明显垃圾及积灰，保持干净，无明显蜘蛛网。</w:t>
            </w:r>
          </w:p>
        </w:tc>
      </w:tr>
      <w:tr w14:paraId="13AF4940">
        <w:tblPrEx>
          <w:tblCellMar>
            <w:top w:w="15" w:type="dxa"/>
            <w:left w:w="15" w:type="dxa"/>
            <w:bottom w:w="15" w:type="dxa"/>
            <w:right w:w="15" w:type="dxa"/>
          </w:tblCellMar>
        </w:tblPrEx>
        <w:trPr>
          <w:trHeight w:val="18" w:hRule="atLeast"/>
          <w:jc w:val="center"/>
        </w:trPr>
        <w:tc>
          <w:tcPr>
            <w:tcW w:w="738"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CBA4AB">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629AFCA8">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门、窗等玻璃</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88BBC96">
            <w:pPr>
              <w:widowControl/>
              <w:spacing w:line="280" w:lineRule="exact"/>
              <w:textAlignment w:val="center"/>
              <w:rPr>
                <w:rFonts w:ascii="宋体" w:hAnsi="宋体"/>
                <w:color w:val="000000"/>
                <w:sz w:val="24"/>
                <w:szCs w:val="24"/>
              </w:rPr>
            </w:pPr>
            <w:r>
              <w:rPr>
                <w:rFonts w:ascii="宋体" w:hAnsi="宋体"/>
                <w:color w:val="000000"/>
                <w:kern w:val="0"/>
                <w:sz w:val="24"/>
                <w:szCs w:val="24"/>
              </w:rPr>
              <w:t>每年擦拭4次，其中底层门厅玻璃、单元门每2个月擦拭1次，无明显蜘蛛网与污变。</w:t>
            </w:r>
          </w:p>
        </w:tc>
      </w:tr>
      <w:tr w14:paraId="4F7CCF2C">
        <w:tblPrEx>
          <w:tblCellMar>
            <w:top w:w="15" w:type="dxa"/>
            <w:left w:w="15" w:type="dxa"/>
            <w:bottom w:w="15" w:type="dxa"/>
            <w:right w:w="15" w:type="dxa"/>
          </w:tblCellMar>
        </w:tblPrEx>
        <w:trPr>
          <w:trHeight w:val="654" w:hRule="atLeast"/>
          <w:jc w:val="center"/>
        </w:trPr>
        <w:tc>
          <w:tcPr>
            <w:tcW w:w="738" w:type="pct"/>
            <w:vMerge w:val="restart"/>
            <w:tcBorders>
              <w:top w:val="single" w:color="000000" w:sz="4" w:space="0"/>
              <w:left w:val="single" w:color="000000" w:sz="4" w:space="0"/>
              <w:right w:val="single" w:color="000000" w:sz="4" w:space="0"/>
            </w:tcBorders>
            <w:noWrap w:val="0"/>
            <w:textDirection w:val="tbRlV"/>
            <w:vAlign w:val="center"/>
          </w:tcPr>
          <w:p w14:paraId="3461CA94">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楼外公共区域</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38779E67">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 xml:space="preserve">道路地面    </w:t>
            </w:r>
          </w:p>
          <w:p w14:paraId="093729D5">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（包括落水口）</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35F2D94">
            <w:pPr>
              <w:widowControl/>
              <w:spacing w:line="280" w:lineRule="exact"/>
              <w:textAlignment w:val="center"/>
              <w:rPr>
                <w:rFonts w:ascii="宋体" w:hAnsi="宋体"/>
                <w:color w:val="000000"/>
                <w:sz w:val="24"/>
                <w:szCs w:val="24"/>
              </w:rPr>
            </w:pPr>
            <w:r>
              <w:rPr>
                <w:rFonts w:ascii="宋体" w:hAnsi="宋体"/>
                <w:color w:val="000000"/>
                <w:kern w:val="0"/>
                <w:sz w:val="24"/>
                <w:szCs w:val="24"/>
              </w:rPr>
              <w:t>每天清扫1次，清扫结束后地面无明显垃圾、杂物。</w:t>
            </w:r>
          </w:p>
        </w:tc>
      </w:tr>
      <w:tr w14:paraId="60D94452">
        <w:tblPrEx>
          <w:tblCellMar>
            <w:top w:w="15" w:type="dxa"/>
            <w:left w:w="15" w:type="dxa"/>
            <w:bottom w:w="15" w:type="dxa"/>
            <w:right w:w="15" w:type="dxa"/>
          </w:tblCellMar>
        </w:tblPrEx>
        <w:trPr>
          <w:trHeight w:val="524" w:hRule="atLeast"/>
          <w:jc w:val="center"/>
        </w:trPr>
        <w:tc>
          <w:tcPr>
            <w:tcW w:w="738" w:type="pct"/>
            <w:vMerge w:val="continue"/>
            <w:tcBorders>
              <w:left w:val="single" w:color="000000" w:sz="4" w:space="0"/>
              <w:right w:val="single" w:color="000000" w:sz="4" w:space="0"/>
            </w:tcBorders>
            <w:noWrap w:val="0"/>
            <w:textDirection w:val="tbRlV"/>
            <w:vAlign w:val="center"/>
          </w:tcPr>
          <w:p w14:paraId="06A571F8">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277A4FB9">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景观河、地沟、平台等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3F1E763">
            <w:pPr>
              <w:widowControl/>
              <w:spacing w:line="280" w:lineRule="exact"/>
              <w:textAlignment w:val="center"/>
              <w:rPr>
                <w:rFonts w:ascii="宋体" w:hAnsi="宋体"/>
                <w:color w:val="000000"/>
                <w:sz w:val="24"/>
                <w:szCs w:val="24"/>
              </w:rPr>
            </w:pPr>
            <w:r>
              <w:rPr>
                <w:rFonts w:ascii="宋体" w:hAnsi="宋体"/>
                <w:color w:val="000000"/>
                <w:kern w:val="0"/>
                <w:sz w:val="24"/>
                <w:szCs w:val="24"/>
              </w:rPr>
              <w:t>每周清扫2次，目视无明显杂物。</w:t>
            </w:r>
          </w:p>
        </w:tc>
      </w:tr>
      <w:tr w14:paraId="73844CA4">
        <w:tblPrEx>
          <w:tblCellMar>
            <w:top w:w="15" w:type="dxa"/>
            <w:left w:w="15" w:type="dxa"/>
            <w:bottom w:w="15" w:type="dxa"/>
            <w:right w:w="15" w:type="dxa"/>
          </w:tblCellMar>
        </w:tblPrEx>
        <w:trPr>
          <w:trHeight w:val="399" w:hRule="atLeast"/>
          <w:jc w:val="center"/>
        </w:trPr>
        <w:tc>
          <w:tcPr>
            <w:tcW w:w="738" w:type="pct"/>
            <w:vMerge w:val="continue"/>
            <w:tcBorders>
              <w:left w:val="single" w:color="000000" w:sz="4" w:space="0"/>
              <w:right w:val="single" w:color="000000" w:sz="4" w:space="0"/>
            </w:tcBorders>
            <w:noWrap w:val="0"/>
            <w:textDirection w:val="tbRlV"/>
            <w:vAlign w:val="center"/>
          </w:tcPr>
          <w:p w14:paraId="0FA33D7B">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15EDC6AF">
            <w:pPr>
              <w:widowControl/>
              <w:spacing w:line="280" w:lineRule="exact"/>
              <w:jc w:val="center"/>
              <w:textAlignment w:val="center"/>
              <w:rPr>
                <w:rFonts w:ascii="宋体" w:hAnsi="宋体"/>
                <w:color w:val="000000"/>
                <w:kern w:val="0"/>
                <w:sz w:val="24"/>
                <w:szCs w:val="24"/>
              </w:rPr>
            </w:pPr>
            <w:r>
              <w:rPr>
                <w:rFonts w:ascii="宋体" w:hAnsi="宋体"/>
                <w:color w:val="000000"/>
                <w:kern w:val="0"/>
                <w:sz w:val="24"/>
                <w:szCs w:val="24"/>
              </w:rPr>
              <w:t xml:space="preserve">绿地        </w:t>
            </w:r>
          </w:p>
          <w:p w14:paraId="187586F7">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（包括散水坡）</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5A69FCE">
            <w:pPr>
              <w:widowControl/>
              <w:spacing w:line="280" w:lineRule="exact"/>
              <w:textAlignment w:val="center"/>
              <w:rPr>
                <w:rFonts w:ascii="宋体" w:hAnsi="宋体"/>
                <w:color w:val="000000"/>
                <w:sz w:val="24"/>
                <w:szCs w:val="24"/>
              </w:rPr>
            </w:pPr>
            <w:r>
              <w:rPr>
                <w:rFonts w:ascii="宋体" w:hAnsi="宋体"/>
                <w:color w:val="000000"/>
                <w:kern w:val="0"/>
                <w:sz w:val="24"/>
                <w:szCs w:val="24"/>
              </w:rPr>
              <w:t>每周清扫3次，每天局部拾捡1次。</w:t>
            </w:r>
          </w:p>
        </w:tc>
      </w:tr>
      <w:tr w14:paraId="551AC26F">
        <w:tblPrEx>
          <w:tblCellMar>
            <w:top w:w="15" w:type="dxa"/>
            <w:left w:w="15" w:type="dxa"/>
            <w:bottom w:w="15" w:type="dxa"/>
            <w:right w:w="15" w:type="dxa"/>
          </w:tblCellMar>
        </w:tblPrEx>
        <w:trPr>
          <w:trHeight w:val="799" w:hRule="atLeast"/>
          <w:jc w:val="center"/>
        </w:trPr>
        <w:tc>
          <w:tcPr>
            <w:tcW w:w="738" w:type="pct"/>
            <w:vMerge w:val="continue"/>
            <w:tcBorders>
              <w:left w:val="single" w:color="000000" w:sz="4" w:space="0"/>
              <w:right w:val="single" w:color="000000" w:sz="4" w:space="0"/>
            </w:tcBorders>
            <w:noWrap w:val="0"/>
            <w:textDirection w:val="tbRlV"/>
            <w:vAlign w:val="center"/>
          </w:tcPr>
          <w:p w14:paraId="2EE27CE2">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49D86834">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消杀及灭鼠害蚊蝇</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4C7957F">
            <w:pPr>
              <w:widowControl/>
              <w:spacing w:line="280" w:lineRule="exact"/>
              <w:textAlignment w:val="center"/>
              <w:rPr>
                <w:rFonts w:ascii="宋体" w:hAnsi="宋体"/>
                <w:color w:val="000000"/>
                <w:sz w:val="24"/>
                <w:szCs w:val="24"/>
              </w:rPr>
            </w:pPr>
            <w:r>
              <w:rPr>
                <w:rFonts w:ascii="宋体" w:hAnsi="宋体"/>
                <w:color w:val="000000"/>
                <w:kern w:val="0"/>
                <w:sz w:val="24"/>
                <w:szCs w:val="24"/>
              </w:rPr>
              <w:t>每季度对窨井、明沟喷洒药水1次（夏季每周1次），每半年灭鼠1次。</w:t>
            </w:r>
          </w:p>
        </w:tc>
      </w:tr>
      <w:tr w14:paraId="371A3C77">
        <w:tblPrEx>
          <w:tblCellMar>
            <w:top w:w="15" w:type="dxa"/>
            <w:left w:w="15" w:type="dxa"/>
            <w:bottom w:w="15" w:type="dxa"/>
            <w:right w:w="15" w:type="dxa"/>
          </w:tblCellMar>
        </w:tblPrEx>
        <w:trPr>
          <w:trHeight w:val="765" w:hRule="atLeast"/>
          <w:jc w:val="center"/>
        </w:trPr>
        <w:tc>
          <w:tcPr>
            <w:tcW w:w="738" w:type="pct"/>
            <w:vMerge w:val="continue"/>
            <w:tcBorders>
              <w:left w:val="single" w:color="000000" w:sz="4" w:space="0"/>
              <w:right w:val="single" w:color="000000" w:sz="4" w:space="0"/>
            </w:tcBorders>
            <w:noWrap w:val="0"/>
            <w:textDirection w:val="tbRlV"/>
            <w:vAlign w:val="center"/>
          </w:tcPr>
          <w:p w14:paraId="61453441">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6468EA0B">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公共灯箱、宣传栏、标识、雕塑小品等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B0C1720">
            <w:pPr>
              <w:widowControl/>
              <w:spacing w:line="280" w:lineRule="exact"/>
              <w:textAlignment w:val="center"/>
              <w:rPr>
                <w:rFonts w:ascii="宋体" w:hAnsi="宋体"/>
                <w:color w:val="000000"/>
                <w:sz w:val="24"/>
                <w:szCs w:val="24"/>
              </w:rPr>
            </w:pPr>
            <w:r>
              <w:rPr>
                <w:rFonts w:ascii="宋体" w:hAnsi="宋体"/>
                <w:color w:val="000000"/>
                <w:kern w:val="0"/>
                <w:sz w:val="24"/>
                <w:szCs w:val="24"/>
              </w:rPr>
              <w:t>公共灯具、宣传栏、标识每月擦抹2次，雕塑每年保洁2次，保洁后无污迹积灰。</w:t>
            </w:r>
          </w:p>
        </w:tc>
      </w:tr>
      <w:tr w14:paraId="3048C8CF">
        <w:tblPrEx>
          <w:tblCellMar>
            <w:top w:w="15" w:type="dxa"/>
            <w:left w:w="15" w:type="dxa"/>
            <w:bottom w:w="15" w:type="dxa"/>
            <w:right w:w="15" w:type="dxa"/>
          </w:tblCellMar>
        </w:tblPrEx>
        <w:trPr>
          <w:trHeight w:val="1029" w:hRule="atLeast"/>
          <w:jc w:val="center"/>
        </w:trPr>
        <w:tc>
          <w:tcPr>
            <w:tcW w:w="738" w:type="pct"/>
            <w:vMerge w:val="continue"/>
            <w:tcBorders>
              <w:left w:val="single" w:color="000000" w:sz="4" w:space="0"/>
              <w:bottom w:val="single" w:color="000000" w:sz="4" w:space="0"/>
              <w:right w:val="single" w:color="000000" w:sz="4" w:space="0"/>
            </w:tcBorders>
            <w:noWrap w:val="0"/>
            <w:textDirection w:val="tbRlV"/>
            <w:vAlign w:val="center"/>
          </w:tcPr>
          <w:p w14:paraId="40D2231B">
            <w:pPr>
              <w:widowControl/>
              <w:spacing w:line="280" w:lineRule="exact"/>
              <w:jc w:val="center"/>
              <w:textAlignment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68CEBCEC">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休闲娱乐健身设施、木地板</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C4074F3">
            <w:pPr>
              <w:widowControl/>
              <w:spacing w:line="280" w:lineRule="exact"/>
              <w:textAlignment w:val="center"/>
              <w:rPr>
                <w:rFonts w:ascii="宋体" w:hAnsi="宋体"/>
                <w:color w:val="000000"/>
                <w:sz w:val="24"/>
                <w:szCs w:val="24"/>
              </w:rPr>
            </w:pPr>
            <w:r>
              <w:rPr>
                <w:rFonts w:ascii="宋体" w:hAnsi="宋体"/>
                <w:color w:val="000000"/>
                <w:kern w:val="0"/>
                <w:sz w:val="24"/>
                <w:szCs w:val="24"/>
              </w:rPr>
              <w:t>每周保洁2次，设施表面基本干净，无灰尘污迹，目视休闲场内及周围无果皮、纸屑等垃圾。</w:t>
            </w:r>
          </w:p>
        </w:tc>
      </w:tr>
      <w:tr w14:paraId="6B2D2A0C">
        <w:tblPrEx>
          <w:tblCellMar>
            <w:top w:w="15" w:type="dxa"/>
            <w:left w:w="15" w:type="dxa"/>
            <w:bottom w:w="15" w:type="dxa"/>
            <w:right w:w="15" w:type="dxa"/>
          </w:tblCellMar>
        </w:tblPrEx>
        <w:trPr>
          <w:trHeight w:val="417" w:hRule="atLeast"/>
          <w:jc w:val="center"/>
        </w:trPr>
        <w:tc>
          <w:tcPr>
            <w:tcW w:w="738" w:type="pct"/>
            <w:vMerge w:val="restart"/>
            <w:tcBorders>
              <w:top w:val="single" w:color="000000" w:sz="4" w:space="0"/>
              <w:left w:val="single" w:color="000000" w:sz="4" w:space="0"/>
              <w:right w:val="single" w:color="000000" w:sz="4" w:space="0"/>
            </w:tcBorders>
            <w:noWrap w:val="0"/>
            <w:textDirection w:val="tbRlV"/>
            <w:vAlign w:val="center"/>
          </w:tcPr>
          <w:p w14:paraId="1BE93A2E">
            <w:pPr>
              <w:widowControl/>
              <w:spacing w:line="280" w:lineRule="exact"/>
              <w:jc w:val="center"/>
              <w:rPr>
                <w:rFonts w:ascii="宋体" w:hAnsi="宋体"/>
                <w:color w:val="000000"/>
                <w:sz w:val="24"/>
                <w:szCs w:val="24"/>
              </w:rPr>
            </w:pPr>
            <w:r>
              <w:rPr>
                <w:rFonts w:ascii="宋体" w:hAnsi="宋体"/>
                <w:color w:val="000000"/>
                <w:kern w:val="0"/>
                <w:sz w:val="24"/>
                <w:szCs w:val="24"/>
              </w:rPr>
              <w:t>楼外公共区域</w:t>
            </w: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737C7318">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水景、喷水池</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C73777F">
            <w:pPr>
              <w:widowControl/>
              <w:spacing w:line="280" w:lineRule="exact"/>
              <w:textAlignment w:val="center"/>
              <w:rPr>
                <w:rFonts w:ascii="宋体" w:hAnsi="宋体"/>
                <w:color w:val="000000"/>
                <w:sz w:val="24"/>
                <w:szCs w:val="24"/>
              </w:rPr>
            </w:pPr>
            <w:r>
              <w:rPr>
                <w:rFonts w:ascii="宋体" w:hAnsi="宋体"/>
                <w:color w:val="000000"/>
                <w:kern w:val="0"/>
                <w:sz w:val="24"/>
                <w:szCs w:val="24"/>
              </w:rPr>
              <w:t>每月打捞漂浮物2次，打捞后无白色垃圾等漂浮物。</w:t>
            </w:r>
          </w:p>
        </w:tc>
      </w:tr>
      <w:tr w14:paraId="62F47F0C">
        <w:tblPrEx>
          <w:tblCellMar>
            <w:top w:w="15" w:type="dxa"/>
            <w:left w:w="15" w:type="dxa"/>
            <w:bottom w:w="15" w:type="dxa"/>
            <w:right w:w="15" w:type="dxa"/>
          </w:tblCellMar>
        </w:tblPrEx>
        <w:trPr>
          <w:trHeight w:val="542" w:hRule="atLeast"/>
          <w:jc w:val="center"/>
        </w:trPr>
        <w:tc>
          <w:tcPr>
            <w:tcW w:w="738" w:type="pct"/>
            <w:vMerge w:val="continue"/>
            <w:tcBorders>
              <w:left w:val="single" w:color="000000" w:sz="4" w:space="0"/>
              <w:right w:val="single" w:color="000000" w:sz="4" w:space="0"/>
            </w:tcBorders>
            <w:noWrap w:val="0"/>
            <w:textDirection w:val="tbRlV"/>
            <w:vAlign w:val="center"/>
          </w:tcPr>
          <w:p w14:paraId="6CA3D912">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2E2BDD26">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垃圾桶、果壳箱</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7B51229C">
            <w:pPr>
              <w:widowControl/>
              <w:spacing w:line="280" w:lineRule="exact"/>
              <w:textAlignment w:val="center"/>
              <w:rPr>
                <w:rFonts w:ascii="宋体" w:hAnsi="宋体"/>
                <w:color w:val="000000"/>
                <w:sz w:val="24"/>
                <w:szCs w:val="24"/>
              </w:rPr>
            </w:pPr>
            <w:r>
              <w:rPr>
                <w:rFonts w:ascii="宋体" w:hAnsi="宋体"/>
                <w:color w:val="000000"/>
                <w:kern w:val="0"/>
                <w:sz w:val="24"/>
                <w:szCs w:val="24"/>
              </w:rPr>
              <w:t>夏季每周清洁1次，其它季节每月清洁2次，告知业主随手盖桶盖，周围地面无明显散落垃圾及污迹。</w:t>
            </w:r>
          </w:p>
        </w:tc>
      </w:tr>
      <w:tr w14:paraId="2BC1275B">
        <w:tblPrEx>
          <w:tblCellMar>
            <w:top w:w="15" w:type="dxa"/>
            <w:left w:w="15" w:type="dxa"/>
            <w:bottom w:w="15" w:type="dxa"/>
            <w:right w:w="15" w:type="dxa"/>
          </w:tblCellMar>
        </w:tblPrEx>
        <w:trPr>
          <w:trHeight w:val="382" w:hRule="atLeast"/>
          <w:jc w:val="center"/>
        </w:trPr>
        <w:tc>
          <w:tcPr>
            <w:tcW w:w="738" w:type="pct"/>
            <w:vMerge w:val="continue"/>
            <w:tcBorders>
              <w:left w:val="single" w:color="000000" w:sz="4" w:space="0"/>
              <w:right w:val="single" w:color="000000" w:sz="4" w:space="0"/>
            </w:tcBorders>
            <w:noWrap w:val="0"/>
            <w:textDirection w:val="tbRlV"/>
            <w:vAlign w:val="center"/>
          </w:tcPr>
          <w:p w14:paraId="70B872D8">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3F462473">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单元玻璃雨蓬、架空层玻璃景观房</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803AA43">
            <w:pPr>
              <w:widowControl/>
              <w:spacing w:line="280" w:lineRule="exact"/>
              <w:textAlignment w:val="center"/>
              <w:rPr>
                <w:rFonts w:ascii="宋体" w:hAnsi="宋体"/>
                <w:color w:val="000000"/>
                <w:sz w:val="24"/>
                <w:szCs w:val="24"/>
              </w:rPr>
            </w:pPr>
            <w:r>
              <w:rPr>
                <w:rFonts w:ascii="宋体" w:hAnsi="宋体"/>
                <w:color w:val="000000"/>
                <w:kern w:val="0"/>
                <w:sz w:val="24"/>
                <w:szCs w:val="24"/>
              </w:rPr>
              <w:t>每年除尘2次，无积尘。</w:t>
            </w:r>
          </w:p>
        </w:tc>
      </w:tr>
      <w:tr w14:paraId="0BF9D071">
        <w:tblPrEx>
          <w:tblCellMar>
            <w:top w:w="15" w:type="dxa"/>
            <w:left w:w="15" w:type="dxa"/>
            <w:bottom w:w="15" w:type="dxa"/>
            <w:right w:w="15" w:type="dxa"/>
          </w:tblCellMar>
        </w:tblPrEx>
        <w:trPr>
          <w:trHeight w:val="297" w:hRule="atLeast"/>
          <w:jc w:val="center"/>
        </w:trPr>
        <w:tc>
          <w:tcPr>
            <w:tcW w:w="738" w:type="pct"/>
            <w:vMerge w:val="continue"/>
            <w:tcBorders>
              <w:left w:val="single" w:color="000000" w:sz="4" w:space="0"/>
              <w:bottom w:val="single" w:color="000000" w:sz="4" w:space="0"/>
              <w:right w:val="single" w:color="000000" w:sz="4" w:space="0"/>
            </w:tcBorders>
            <w:noWrap w:val="0"/>
            <w:textDirection w:val="tbRlV"/>
            <w:vAlign w:val="center"/>
          </w:tcPr>
          <w:p w14:paraId="2F2125D8">
            <w:pPr>
              <w:widowControl/>
              <w:spacing w:line="280" w:lineRule="exact"/>
              <w:jc w:val="center"/>
              <w:rPr>
                <w:rFonts w:ascii="宋体" w:hAnsi="宋体"/>
                <w:color w:val="000000"/>
                <w:sz w:val="24"/>
                <w:szCs w:val="24"/>
              </w:rPr>
            </w:pPr>
          </w:p>
        </w:tc>
        <w:tc>
          <w:tcPr>
            <w:tcW w:w="1322" w:type="pct"/>
            <w:tcBorders>
              <w:top w:val="single" w:color="000000" w:sz="4" w:space="0"/>
              <w:left w:val="single" w:color="000000" w:sz="4" w:space="0"/>
              <w:bottom w:val="single" w:color="000000" w:sz="4" w:space="0"/>
              <w:right w:val="single" w:color="000000" w:sz="4" w:space="0"/>
            </w:tcBorders>
            <w:noWrap w:val="0"/>
            <w:vAlign w:val="center"/>
          </w:tcPr>
          <w:p w14:paraId="230DECF9">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其他公共场所</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C3C3F9C">
            <w:pPr>
              <w:widowControl/>
              <w:spacing w:line="280" w:lineRule="exact"/>
              <w:textAlignment w:val="center"/>
              <w:rPr>
                <w:rFonts w:ascii="宋体" w:hAnsi="宋体"/>
                <w:color w:val="000000"/>
                <w:sz w:val="24"/>
                <w:szCs w:val="24"/>
              </w:rPr>
            </w:pPr>
            <w:r>
              <w:rPr>
                <w:rFonts w:ascii="宋体" w:hAnsi="宋体"/>
                <w:color w:val="000000"/>
                <w:kern w:val="0"/>
                <w:sz w:val="24"/>
                <w:szCs w:val="24"/>
              </w:rPr>
              <w:t>每天保洁1次，确保外墙面无乱涂乱画乱张贴。</w:t>
            </w:r>
          </w:p>
        </w:tc>
      </w:tr>
    </w:tbl>
    <w:p w14:paraId="6E689F8C">
      <w:pPr>
        <w:spacing w:line="400" w:lineRule="exact"/>
        <w:ind w:firstLine="482" w:firstLineChars="200"/>
        <w:rPr>
          <w:rFonts w:ascii="宋体" w:hAnsi="宋体"/>
          <w:b/>
          <w:sz w:val="24"/>
          <w:szCs w:val="24"/>
        </w:rPr>
      </w:pPr>
      <w:r>
        <w:rPr>
          <w:rFonts w:hint="eastAsia" w:ascii="宋体" w:hAnsi="宋体"/>
          <w:b/>
          <w:sz w:val="24"/>
          <w:szCs w:val="24"/>
        </w:rPr>
        <w:t>（四）</w:t>
      </w:r>
      <w:r>
        <w:rPr>
          <w:rFonts w:ascii="宋体" w:hAnsi="宋体"/>
          <w:b/>
          <w:sz w:val="24"/>
          <w:szCs w:val="24"/>
        </w:rPr>
        <w:t>、共用部位、共用设备设施日常维护服务标准</w:t>
      </w:r>
    </w:p>
    <w:tbl>
      <w:tblPr>
        <w:tblStyle w:val="6"/>
        <w:tblW w:w="5000" w:type="pct"/>
        <w:jc w:val="center"/>
        <w:tblLayout w:type="autofit"/>
        <w:tblCellMar>
          <w:top w:w="15" w:type="dxa"/>
          <w:left w:w="15" w:type="dxa"/>
          <w:bottom w:w="15" w:type="dxa"/>
          <w:right w:w="15" w:type="dxa"/>
        </w:tblCellMar>
      </w:tblPr>
      <w:tblGrid>
        <w:gridCol w:w="1319"/>
        <w:gridCol w:w="2347"/>
        <w:gridCol w:w="5232"/>
      </w:tblGrid>
      <w:tr w14:paraId="5ED8336E">
        <w:tblPrEx>
          <w:tblCellMar>
            <w:top w:w="15" w:type="dxa"/>
            <w:left w:w="15" w:type="dxa"/>
            <w:bottom w:w="15" w:type="dxa"/>
            <w:right w:w="15" w:type="dxa"/>
          </w:tblCellMar>
        </w:tblPrEx>
        <w:trPr>
          <w:trHeight w:val="380" w:hRule="atLeast"/>
          <w:jc w:val="center"/>
        </w:trPr>
        <w:tc>
          <w:tcPr>
            <w:tcW w:w="2060" w:type="pct"/>
            <w:gridSpan w:val="2"/>
            <w:tcBorders>
              <w:top w:val="single" w:color="000000" w:sz="4" w:space="0"/>
              <w:left w:val="single" w:color="000000" w:sz="4" w:space="0"/>
              <w:bottom w:val="single" w:color="000000" w:sz="4" w:space="0"/>
              <w:right w:val="single" w:color="000000" w:sz="4" w:space="0"/>
            </w:tcBorders>
            <w:noWrap w:val="0"/>
            <w:vAlign w:val="center"/>
          </w:tcPr>
          <w:p w14:paraId="6137FE1E">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服务内容</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87A98A1">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二级</w:t>
            </w:r>
          </w:p>
        </w:tc>
      </w:tr>
      <w:tr w14:paraId="11382550">
        <w:tblPrEx>
          <w:tblCellMar>
            <w:top w:w="15" w:type="dxa"/>
            <w:left w:w="15" w:type="dxa"/>
            <w:bottom w:w="15" w:type="dxa"/>
            <w:right w:w="15" w:type="dxa"/>
          </w:tblCellMar>
        </w:tblPrEx>
        <w:trPr>
          <w:trHeight w:val="590"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6DED815">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公共部位</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64A3183">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房屋结构</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6AE27CE">
            <w:pPr>
              <w:widowControl/>
              <w:spacing w:line="280" w:lineRule="exact"/>
              <w:textAlignment w:val="center"/>
              <w:rPr>
                <w:rFonts w:ascii="宋体" w:hAnsi="宋体"/>
                <w:color w:val="000000"/>
                <w:sz w:val="24"/>
                <w:szCs w:val="24"/>
              </w:rPr>
            </w:pPr>
            <w:r>
              <w:rPr>
                <w:rFonts w:ascii="宋体" w:hAnsi="宋体"/>
                <w:color w:val="000000"/>
                <w:kern w:val="0"/>
                <w:sz w:val="24"/>
                <w:szCs w:val="24"/>
              </w:rPr>
              <w:t>巡检。</w:t>
            </w:r>
          </w:p>
        </w:tc>
      </w:tr>
      <w:tr w14:paraId="7EB80573">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9AF57D6">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AE513F6">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门窗、构件、雨棚</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1F6C07B7">
            <w:pPr>
              <w:widowControl/>
              <w:spacing w:line="280" w:lineRule="exact"/>
              <w:textAlignment w:val="center"/>
              <w:rPr>
                <w:rFonts w:ascii="宋体" w:hAnsi="宋体"/>
                <w:color w:val="000000"/>
                <w:sz w:val="24"/>
                <w:szCs w:val="24"/>
              </w:rPr>
            </w:pPr>
            <w:r>
              <w:rPr>
                <w:rFonts w:ascii="宋体" w:hAnsi="宋体"/>
                <w:color w:val="000000"/>
                <w:kern w:val="0"/>
                <w:sz w:val="24"/>
                <w:szCs w:val="24"/>
              </w:rPr>
              <w:t>巡检。</w:t>
            </w:r>
          </w:p>
        </w:tc>
      </w:tr>
      <w:tr w14:paraId="2D957293">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BF7573">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653C19A">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屋顶</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1462586">
            <w:pPr>
              <w:widowControl/>
              <w:spacing w:line="280" w:lineRule="exact"/>
              <w:textAlignment w:val="center"/>
              <w:rPr>
                <w:rFonts w:ascii="宋体" w:hAnsi="宋体"/>
                <w:color w:val="000000"/>
                <w:sz w:val="24"/>
                <w:szCs w:val="24"/>
              </w:rPr>
            </w:pPr>
            <w:r>
              <w:rPr>
                <w:rFonts w:ascii="宋体" w:hAnsi="宋体"/>
                <w:color w:val="000000"/>
                <w:kern w:val="0"/>
                <w:sz w:val="24"/>
                <w:szCs w:val="24"/>
              </w:rPr>
              <w:t>巡检。</w:t>
            </w:r>
          </w:p>
        </w:tc>
      </w:tr>
      <w:tr w14:paraId="7F80B322">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A29DF9A">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40B20F8">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围墙、道路、侧石、窨井盖等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443B0132">
            <w:pPr>
              <w:widowControl/>
              <w:spacing w:line="280" w:lineRule="exact"/>
              <w:textAlignment w:val="center"/>
              <w:rPr>
                <w:rFonts w:ascii="宋体" w:hAnsi="宋体"/>
                <w:color w:val="000000"/>
                <w:sz w:val="24"/>
                <w:szCs w:val="24"/>
              </w:rPr>
            </w:pPr>
            <w:r>
              <w:rPr>
                <w:rFonts w:ascii="宋体" w:hAnsi="宋体"/>
                <w:color w:val="000000"/>
                <w:kern w:val="0"/>
                <w:sz w:val="24"/>
                <w:szCs w:val="24"/>
              </w:rPr>
              <w:t>巡检，发现危急安全事项立即采取应急措施并报告，及时告知业主、使用人，并安排专项维修，或者向有关部门报告。</w:t>
            </w:r>
          </w:p>
        </w:tc>
      </w:tr>
      <w:tr w14:paraId="60D036A2">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1D3F77">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9E23106">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楼梯间、公用走廊的室内墙地面</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12DAA0C">
            <w:pPr>
              <w:widowControl/>
              <w:spacing w:line="280" w:lineRule="exact"/>
              <w:textAlignment w:val="center"/>
              <w:rPr>
                <w:rFonts w:ascii="宋体" w:hAnsi="宋体"/>
                <w:color w:val="000000"/>
                <w:sz w:val="24"/>
                <w:szCs w:val="24"/>
              </w:rPr>
            </w:pPr>
            <w:r>
              <w:rPr>
                <w:rFonts w:ascii="宋体" w:hAnsi="宋体"/>
                <w:color w:val="000000"/>
                <w:kern w:val="0"/>
                <w:sz w:val="24"/>
                <w:szCs w:val="24"/>
              </w:rPr>
              <w:t>巡检。</w:t>
            </w:r>
          </w:p>
        </w:tc>
      </w:tr>
      <w:tr w14:paraId="118F2F8B">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1BAB5C">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99833D2">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建筑物、构筑物  局部外立面</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7A89132">
            <w:pPr>
              <w:widowControl/>
              <w:spacing w:line="280" w:lineRule="exact"/>
              <w:textAlignment w:val="center"/>
              <w:rPr>
                <w:rFonts w:ascii="宋体" w:hAnsi="宋体"/>
                <w:color w:val="000000"/>
                <w:sz w:val="24"/>
                <w:szCs w:val="24"/>
              </w:rPr>
            </w:pPr>
            <w:r>
              <w:rPr>
                <w:rFonts w:ascii="宋体" w:hAnsi="宋体"/>
                <w:color w:val="000000"/>
                <w:kern w:val="0"/>
                <w:sz w:val="24"/>
                <w:szCs w:val="24"/>
              </w:rPr>
              <w:t>巡检，有脱落及时消除隐患或向有关部门报告</w:t>
            </w:r>
          </w:p>
        </w:tc>
      </w:tr>
      <w:tr w14:paraId="750AA7F7">
        <w:tblPrEx>
          <w:tblCellMar>
            <w:top w:w="15" w:type="dxa"/>
            <w:left w:w="15" w:type="dxa"/>
            <w:bottom w:w="15" w:type="dxa"/>
            <w:right w:w="15" w:type="dxa"/>
          </w:tblCellMar>
        </w:tblPrEx>
        <w:trPr>
          <w:trHeight w:val="774"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544CFBD7">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公共部位</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2F815B0">
            <w:pPr>
              <w:widowControl/>
              <w:spacing w:line="270" w:lineRule="exact"/>
              <w:jc w:val="center"/>
              <w:textAlignment w:val="center"/>
              <w:rPr>
                <w:rFonts w:ascii="宋体" w:hAnsi="宋体"/>
                <w:color w:val="000000"/>
                <w:sz w:val="24"/>
                <w:szCs w:val="24"/>
              </w:rPr>
            </w:pPr>
            <w:r>
              <w:rPr>
                <w:rFonts w:ascii="宋体" w:hAnsi="宋体"/>
                <w:color w:val="000000"/>
                <w:kern w:val="0"/>
                <w:sz w:val="24"/>
                <w:szCs w:val="24"/>
              </w:rPr>
              <w:t>假山、亭、廊、雕塑、休闲椅、室外健身设施等</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552F8B6B">
            <w:pPr>
              <w:widowControl/>
              <w:spacing w:line="270" w:lineRule="exact"/>
              <w:textAlignment w:val="center"/>
              <w:rPr>
                <w:rFonts w:ascii="宋体" w:hAnsi="宋体"/>
                <w:color w:val="000000"/>
                <w:sz w:val="24"/>
                <w:szCs w:val="24"/>
              </w:rPr>
            </w:pPr>
            <w:r>
              <w:rPr>
                <w:rFonts w:ascii="宋体" w:hAnsi="宋体"/>
                <w:color w:val="000000"/>
                <w:kern w:val="0"/>
                <w:sz w:val="24"/>
                <w:szCs w:val="24"/>
              </w:rPr>
              <w:t>巡检。</w:t>
            </w:r>
          </w:p>
        </w:tc>
      </w:tr>
      <w:tr w14:paraId="778A1726">
        <w:tblPrEx>
          <w:tblCellMar>
            <w:top w:w="15" w:type="dxa"/>
            <w:left w:w="15" w:type="dxa"/>
            <w:bottom w:w="15" w:type="dxa"/>
            <w:right w:w="15" w:type="dxa"/>
          </w:tblCellMar>
        </w:tblPrEx>
        <w:trPr>
          <w:trHeight w:val="530"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2459791">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18844B3">
            <w:pPr>
              <w:widowControl/>
              <w:spacing w:line="270" w:lineRule="exact"/>
              <w:jc w:val="center"/>
              <w:textAlignment w:val="center"/>
              <w:rPr>
                <w:rFonts w:ascii="宋体" w:hAnsi="宋体"/>
                <w:color w:val="000000"/>
                <w:sz w:val="24"/>
                <w:szCs w:val="24"/>
              </w:rPr>
            </w:pPr>
            <w:r>
              <w:rPr>
                <w:rFonts w:ascii="宋体" w:hAnsi="宋体"/>
                <w:color w:val="000000"/>
                <w:kern w:val="0"/>
                <w:sz w:val="24"/>
                <w:szCs w:val="24"/>
              </w:rPr>
              <w:t>水景驳岸</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0DF05BED">
            <w:pPr>
              <w:widowControl/>
              <w:spacing w:line="270" w:lineRule="exact"/>
              <w:textAlignment w:val="center"/>
              <w:rPr>
                <w:rFonts w:ascii="宋体" w:hAnsi="宋体"/>
                <w:color w:val="000000"/>
                <w:sz w:val="24"/>
                <w:szCs w:val="24"/>
              </w:rPr>
            </w:pPr>
            <w:r>
              <w:rPr>
                <w:rFonts w:ascii="宋体" w:hAnsi="宋体"/>
                <w:color w:val="000000"/>
                <w:kern w:val="0"/>
                <w:sz w:val="24"/>
                <w:szCs w:val="24"/>
              </w:rPr>
              <w:t>巡检。</w:t>
            </w:r>
          </w:p>
        </w:tc>
      </w:tr>
      <w:tr w14:paraId="534577D3">
        <w:tblPrEx>
          <w:tblCellMar>
            <w:top w:w="15" w:type="dxa"/>
            <w:left w:w="15" w:type="dxa"/>
            <w:bottom w:w="15" w:type="dxa"/>
            <w:right w:w="15" w:type="dxa"/>
          </w:tblCellMar>
        </w:tblPrEx>
        <w:trPr>
          <w:trHeight w:val="45" w:hRule="atLeast"/>
          <w:jc w:val="center"/>
        </w:trPr>
        <w:tc>
          <w:tcPr>
            <w:tcW w:w="741"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2992123">
            <w:pPr>
              <w:widowControl/>
              <w:spacing w:line="280" w:lineRule="exact"/>
              <w:jc w:val="center"/>
              <w:textAlignment w:val="center"/>
              <w:rPr>
                <w:rFonts w:ascii="宋体" w:hAnsi="宋体"/>
                <w:color w:val="000000"/>
                <w:sz w:val="24"/>
                <w:szCs w:val="24"/>
              </w:rPr>
            </w:pPr>
            <w:r>
              <w:rPr>
                <w:rFonts w:ascii="宋体" w:hAnsi="宋体"/>
                <w:color w:val="000000"/>
                <w:kern w:val="0"/>
                <w:sz w:val="24"/>
                <w:szCs w:val="24"/>
              </w:rPr>
              <w:t>水电系统</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0F0B64F">
            <w:pPr>
              <w:widowControl/>
              <w:spacing w:line="260" w:lineRule="exact"/>
              <w:jc w:val="center"/>
              <w:textAlignment w:val="center"/>
              <w:rPr>
                <w:rFonts w:ascii="宋体" w:hAnsi="宋体"/>
                <w:color w:val="000000"/>
                <w:sz w:val="24"/>
                <w:szCs w:val="24"/>
              </w:rPr>
            </w:pPr>
            <w:r>
              <w:rPr>
                <w:rFonts w:ascii="宋体" w:hAnsi="宋体"/>
                <w:color w:val="000000"/>
                <w:kern w:val="0"/>
                <w:sz w:val="24"/>
                <w:szCs w:val="24"/>
              </w:rPr>
              <w:t>排水系统</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226650AE">
            <w:pPr>
              <w:widowControl/>
              <w:spacing w:line="260" w:lineRule="exact"/>
              <w:textAlignment w:val="center"/>
              <w:rPr>
                <w:rFonts w:ascii="宋体" w:hAnsi="宋体"/>
                <w:color w:val="000000"/>
                <w:sz w:val="24"/>
                <w:szCs w:val="24"/>
              </w:rPr>
            </w:pPr>
            <w:r>
              <w:rPr>
                <w:rFonts w:ascii="宋体" w:hAnsi="宋体"/>
                <w:color w:val="000000"/>
                <w:kern w:val="0"/>
                <w:sz w:val="24"/>
                <w:szCs w:val="24"/>
              </w:rPr>
              <w:t>巡检，每年雨季前清扫排水明沟，检查清理雨水口，疏通管道，明沟内无垃圾杂草。</w:t>
            </w:r>
          </w:p>
        </w:tc>
      </w:tr>
      <w:tr w14:paraId="47BFF313">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BD917CB">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1B1F9B4">
            <w:pPr>
              <w:widowControl/>
              <w:spacing w:line="260" w:lineRule="exact"/>
              <w:jc w:val="center"/>
              <w:textAlignment w:val="center"/>
              <w:rPr>
                <w:rFonts w:ascii="宋体" w:hAnsi="宋体"/>
                <w:color w:val="000000"/>
                <w:sz w:val="24"/>
                <w:szCs w:val="24"/>
              </w:rPr>
            </w:pPr>
            <w:r>
              <w:rPr>
                <w:rFonts w:ascii="宋体" w:hAnsi="宋体"/>
                <w:color w:val="000000"/>
                <w:kern w:val="0"/>
                <w:sz w:val="24"/>
                <w:szCs w:val="24"/>
              </w:rPr>
              <w:t>巡检、保洁</w:t>
            </w:r>
            <w:r>
              <w:rPr>
                <w:rFonts w:hint="eastAsia" w:ascii="宋体" w:hAnsi="宋体"/>
                <w:color w:val="000000"/>
                <w:kern w:val="0"/>
                <w:sz w:val="24"/>
                <w:szCs w:val="24"/>
              </w:rPr>
              <w:t>、</w:t>
            </w:r>
            <w:r>
              <w:rPr>
                <w:rFonts w:ascii="宋体" w:hAnsi="宋体"/>
                <w:color w:val="000000"/>
                <w:kern w:val="0"/>
                <w:sz w:val="24"/>
                <w:szCs w:val="24"/>
              </w:rPr>
              <w:t>配电房、年检</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49560B7">
            <w:pPr>
              <w:widowControl/>
              <w:spacing w:line="260" w:lineRule="exact"/>
              <w:textAlignment w:val="center"/>
              <w:rPr>
                <w:rFonts w:ascii="宋体" w:hAnsi="宋体"/>
                <w:color w:val="000000"/>
                <w:sz w:val="24"/>
                <w:szCs w:val="24"/>
              </w:rPr>
            </w:pPr>
            <w:r>
              <w:rPr>
                <w:rFonts w:ascii="宋体" w:hAnsi="宋体"/>
                <w:color w:val="000000"/>
                <w:kern w:val="0"/>
                <w:sz w:val="24"/>
                <w:szCs w:val="24"/>
              </w:rPr>
              <w:t>巡检。</w:t>
            </w:r>
          </w:p>
        </w:tc>
      </w:tr>
      <w:tr w14:paraId="0F92F558">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D72F365">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72E3051">
            <w:pPr>
              <w:widowControl/>
              <w:spacing w:line="260" w:lineRule="exact"/>
              <w:jc w:val="center"/>
              <w:textAlignment w:val="center"/>
              <w:rPr>
                <w:rFonts w:ascii="宋体" w:hAnsi="宋体"/>
                <w:color w:val="000000"/>
                <w:sz w:val="24"/>
                <w:szCs w:val="24"/>
              </w:rPr>
            </w:pPr>
            <w:r>
              <w:rPr>
                <w:rFonts w:ascii="宋体" w:hAnsi="宋体"/>
                <w:color w:val="000000"/>
                <w:kern w:val="0"/>
                <w:sz w:val="24"/>
                <w:szCs w:val="24"/>
              </w:rPr>
              <w:t>室内室外公共电气柜</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8001267">
            <w:pPr>
              <w:widowControl/>
              <w:spacing w:line="260" w:lineRule="exact"/>
              <w:textAlignment w:val="center"/>
              <w:rPr>
                <w:rFonts w:ascii="宋体" w:hAnsi="宋体"/>
                <w:color w:val="000000"/>
                <w:sz w:val="24"/>
                <w:szCs w:val="24"/>
              </w:rPr>
            </w:pPr>
            <w:r>
              <w:rPr>
                <w:rFonts w:ascii="宋体" w:hAnsi="宋体"/>
                <w:color w:val="000000"/>
                <w:kern w:val="0"/>
                <w:sz w:val="24"/>
                <w:szCs w:val="24"/>
              </w:rPr>
              <w:t>巡检。</w:t>
            </w:r>
          </w:p>
        </w:tc>
      </w:tr>
      <w:tr w14:paraId="79AA79D6">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2523A4">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DAF1693">
            <w:pPr>
              <w:widowControl/>
              <w:spacing w:line="260" w:lineRule="exact"/>
              <w:jc w:val="center"/>
              <w:textAlignment w:val="center"/>
              <w:rPr>
                <w:rFonts w:ascii="宋体" w:hAnsi="宋体"/>
                <w:color w:val="000000"/>
                <w:sz w:val="24"/>
                <w:szCs w:val="24"/>
              </w:rPr>
            </w:pPr>
            <w:r>
              <w:rPr>
                <w:rFonts w:ascii="宋体" w:hAnsi="宋体"/>
                <w:color w:val="000000"/>
                <w:kern w:val="0"/>
                <w:sz w:val="24"/>
                <w:szCs w:val="24"/>
              </w:rPr>
              <w:t>楼道灯及开关</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66F81533">
            <w:pPr>
              <w:widowControl/>
              <w:spacing w:line="260" w:lineRule="exact"/>
              <w:textAlignment w:val="center"/>
              <w:rPr>
                <w:rFonts w:ascii="宋体" w:hAnsi="宋体"/>
                <w:color w:val="000000"/>
                <w:sz w:val="24"/>
                <w:szCs w:val="24"/>
              </w:rPr>
            </w:pPr>
            <w:r>
              <w:rPr>
                <w:rFonts w:ascii="宋体" w:hAnsi="宋体"/>
                <w:color w:val="000000"/>
                <w:kern w:val="0"/>
                <w:sz w:val="24"/>
                <w:szCs w:val="24"/>
              </w:rPr>
              <w:t>巡检。</w:t>
            </w:r>
          </w:p>
        </w:tc>
      </w:tr>
      <w:tr w14:paraId="7D332E2D">
        <w:tblPrEx>
          <w:tblCellMar>
            <w:top w:w="15" w:type="dxa"/>
            <w:left w:w="15" w:type="dxa"/>
            <w:bottom w:w="15" w:type="dxa"/>
            <w:right w:w="15" w:type="dxa"/>
          </w:tblCellMar>
        </w:tblPrEx>
        <w:trPr>
          <w:trHeight w:val="45" w:hRule="atLeast"/>
          <w:jc w:val="center"/>
        </w:trPr>
        <w:tc>
          <w:tcPr>
            <w:tcW w:w="741"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F36C884">
            <w:pPr>
              <w:widowControl/>
              <w:spacing w:line="280" w:lineRule="exact"/>
              <w:jc w:val="center"/>
              <w:rPr>
                <w:rFonts w:ascii="宋体" w:hAnsi="宋体"/>
                <w:color w:val="000000"/>
                <w:sz w:val="24"/>
                <w:szCs w:val="24"/>
              </w:rPr>
            </w:pP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9424E6C">
            <w:pPr>
              <w:widowControl/>
              <w:spacing w:line="260" w:lineRule="exact"/>
              <w:jc w:val="center"/>
              <w:textAlignment w:val="center"/>
              <w:rPr>
                <w:rFonts w:ascii="宋体" w:hAnsi="宋体"/>
                <w:color w:val="000000"/>
                <w:sz w:val="24"/>
                <w:szCs w:val="24"/>
              </w:rPr>
            </w:pPr>
            <w:r>
              <w:rPr>
                <w:rFonts w:ascii="宋体" w:hAnsi="宋体"/>
                <w:color w:val="000000"/>
                <w:kern w:val="0"/>
                <w:sz w:val="24"/>
                <w:szCs w:val="24"/>
              </w:rPr>
              <w:t>景观灯</w:t>
            </w:r>
          </w:p>
        </w:tc>
        <w:tc>
          <w:tcPr>
            <w:tcW w:w="2940" w:type="pct"/>
            <w:tcBorders>
              <w:top w:val="single" w:color="000000" w:sz="4" w:space="0"/>
              <w:left w:val="single" w:color="000000" w:sz="4" w:space="0"/>
              <w:bottom w:val="single" w:color="000000" w:sz="4" w:space="0"/>
              <w:right w:val="single" w:color="000000" w:sz="4" w:space="0"/>
            </w:tcBorders>
            <w:noWrap w:val="0"/>
            <w:vAlign w:val="center"/>
          </w:tcPr>
          <w:p w14:paraId="33CD98BE">
            <w:pPr>
              <w:widowControl/>
              <w:spacing w:line="260" w:lineRule="exact"/>
              <w:textAlignment w:val="center"/>
              <w:rPr>
                <w:rFonts w:ascii="宋体" w:hAnsi="宋体"/>
                <w:color w:val="000000"/>
                <w:sz w:val="24"/>
                <w:szCs w:val="24"/>
              </w:rPr>
            </w:pPr>
            <w:r>
              <w:rPr>
                <w:rFonts w:ascii="宋体" w:hAnsi="宋体"/>
                <w:color w:val="000000"/>
                <w:kern w:val="0"/>
                <w:sz w:val="24"/>
                <w:szCs w:val="24"/>
              </w:rPr>
              <w:t>巡检。</w:t>
            </w:r>
          </w:p>
        </w:tc>
      </w:tr>
    </w:tbl>
    <w:p w14:paraId="6F9248B5">
      <w:pPr>
        <w:spacing w:line="400" w:lineRule="exact"/>
        <w:ind w:firstLine="482" w:firstLineChars="200"/>
        <w:jc w:val="left"/>
        <w:rPr>
          <w:rFonts w:ascii="宋体" w:hAnsi="宋体"/>
          <w:b/>
          <w:color w:val="000000"/>
          <w:sz w:val="24"/>
          <w:szCs w:val="24"/>
        </w:rPr>
      </w:pPr>
      <w:r>
        <w:rPr>
          <w:rFonts w:hint="eastAsia" w:ascii="宋体" w:hAnsi="宋体"/>
          <w:b/>
          <w:color w:val="000000"/>
          <w:sz w:val="24"/>
          <w:szCs w:val="24"/>
        </w:rPr>
        <w:t xml:space="preserve">五、人员配备要求：    </w:t>
      </w:r>
    </w:p>
    <w:p w14:paraId="7072B87B">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项目负责人不少于1名；保洁人员不少于4名；南门保安人员不少于2名；南门消控保安、监控室保安不少于2人；水电工不少于1人；特种设备操作证不少于1人。</w:t>
      </w:r>
    </w:p>
    <w:p w14:paraId="1F58B6FC">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以上人员根据入住率调整增加。</w:t>
      </w:r>
    </w:p>
    <w:p w14:paraId="53AA0227">
      <w:pPr>
        <w:spacing w:line="400" w:lineRule="exact"/>
        <w:ind w:firstLine="482" w:firstLineChars="200"/>
        <w:jc w:val="left"/>
        <w:rPr>
          <w:rFonts w:hint="eastAsia" w:ascii="宋体" w:hAnsi="宋体"/>
          <w:b/>
          <w:color w:val="000000"/>
          <w:sz w:val="24"/>
          <w:szCs w:val="24"/>
        </w:rPr>
      </w:pPr>
      <w:r>
        <w:rPr>
          <w:rFonts w:hint="eastAsia" w:ascii="宋体" w:hAnsi="宋体"/>
          <w:b/>
          <w:color w:val="000000"/>
          <w:sz w:val="24"/>
          <w:szCs w:val="24"/>
        </w:rPr>
        <w:t>六、服务时间、地点：</w:t>
      </w:r>
    </w:p>
    <w:p w14:paraId="439C44CD">
      <w:pPr>
        <w:spacing w:line="40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rPr>
        <w:t>本次招标服务期为一年，自合同签订之日起开始服务工作。如中标人在一年合同期内实施情况良好达到考核要求的（每月考核均须达到80分及以上），采购人可在预算落实、合同单价不变的基础上与中标人续签1年。合同期满前一个月，采购人将根据管理服务的总体情况，决定是否续约后一年度合同；如果中标人没有达到合同履行条件之一的，则采购人有权在委托期内终止合同</w:t>
      </w:r>
      <w:r>
        <w:rPr>
          <w:rFonts w:hint="eastAsia" w:ascii="宋体" w:hAnsi="宋体"/>
          <w:bCs/>
          <w:color w:val="000000"/>
          <w:sz w:val="24"/>
          <w:szCs w:val="24"/>
          <w:lang w:val="en-US" w:eastAsia="zh-CN"/>
        </w:rPr>
        <w:t>。</w:t>
      </w:r>
    </w:p>
    <w:p w14:paraId="6723EACD">
      <w:pPr>
        <w:widowControl/>
        <w:spacing w:line="500" w:lineRule="exact"/>
        <w:ind w:firstLine="482" w:firstLineChars="200"/>
        <w:rPr>
          <w:rFonts w:hint="eastAsia" w:ascii="宋体" w:hAnsi="宋体" w:eastAsia="宋体" w:cs="宋体"/>
          <w:b/>
          <w:color w:val="000000"/>
          <w:sz w:val="24"/>
          <w:szCs w:val="24"/>
          <w:shd w:val="clear" w:color="auto" w:fill="FFFFFF"/>
        </w:rPr>
      </w:pPr>
      <w:r>
        <w:rPr>
          <w:rFonts w:hint="eastAsia" w:ascii="宋体" w:hAnsi="宋体"/>
          <w:b/>
          <w:color w:val="000000"/>
          <w:sz w:val="24"/>
          <w:szCs w:val="24"/>
        </w:rPr>
        <w:t>七、合同金额</w:t>
      </w:r>
    </w:p>
    <w:p w14:paraId="76814922">
      <w:pPr>
        <w:widowControl/>
        <w:spacing w:line="500" w:lineRule="exact"/>
        <w:ind w:firstLine="482" w:firstLineChars="200"/>
        <w:rPr>
          <w:rFonts w:hint="eastAsia" w:ascii="宋体" w:hAnsi="宋体" w:eastAsia="宋体" w:cs="宋体"/>
          <w:b/>
          <w:color w:val="000000"/>
          <w:sz w:val="24"/>
          <w:szCs w:val="24"/>
          <w:shd w:val="clear" w:color="auto" w:fill="FFFFFF"/>
        </w:rPr>
      </w:pPr>
      <w:r>
        <w:rPr>
          <w:rFonts w:hint="eastAsia" w:ascii="宋体" w:hAnsi="宋体"/>
          <w:b/>
          <w:color w:val="000000"/>
          <w:sz w:val="24"/>
          <w:szCs w:val="24"/>
        </w:rPr>
        <w:t>年承包金额（暂定）：人民币大写：</w:t>
      </w:r>
      <w:r>
        <w:rPr>
          <w:rFonts w:hint="eastAsia" w:ascii="宋体" w:hAnsi="宋体"/>
          <w:b/>
          <w:color w:val="000000"/>
          <w:sz w:val="24"/>
          <w:szCs w:val="24"/>
          <w:lang w:val="en-US" w:eastAsia="zh-CN"/>
        </w:rPr>
        <w:t xml:space="preserve">   </w:t>
      </w:r>
      <w:r>
        <w:rPr>
          <w:rFonts w:hint="eastAsia" w:ascii="宋体" w:hAnsi="宋体"/>
          <w:b/>
          <w:bCs/>
          <w:iCs/>
          <w:color w:val="000000"/>
          <w:sz w:val="24"/>
          <w:szCs w:val="24"/>
        </w:rPr>
        <w:t xml:space="preserve"> </w:t>
      </w:r>
      <w:r>
        <w:rPr>
          <w:rFonts w:hint="eastAsia" w:ascii="宋体" w:hAnsi="宋体"/>
          <w:b/>
          <w:bCs/>
          <w:iCs/>
          <w:color w:val="000000"/>
          <w:sz w:val="24"/>
          <w:szCs w:val="24"/>
          <w:lang w:eastAsia="zh-CN"/>
        </w:rPr>
        <w:t>（</w:t>
      </w:r>
      <w:r>
        <w:rPr>
          <w:rFonts w:hint="eastAsia" w:ascii="宋体" w:hAnsi="宋体"/>
          <w:b/>
          <w:bCs/>
          <w:iCs/>
          <w:color w:val="000000"/>
          <w:sz w:val="24"/>
          <w:szCs w:val="24"/>
          <w:lang w:val="en-US" w:eastAsia="zh-CN"/>
        </w:rPr>
        <w:t>含税</w:t>
      </w:r>
      <w:r>
        <w:rPr>
          <w:rFonts w:hint="eastAsia" w:ascii="宋体" w:hAnsi="宋体"/>
          <w:b/>
          <w:bCs/>
          <w:iCs/>
          <w:color w:val="000000"/>
          <w:sz w:val="24"/>
          <w:szCs w:val="24"/>
          <w:lang w:eastAsia="zh-CN"/>
        </w:rPr>
        <w:t>）</w:t>
      </w:r>
      <w:r>
        <w:rPr>
          <w:rFonts w:hint="eastAsia" w:ascii="宋体" w:hAnsi="宋体"/>
          <w:b/>
          <w:bCs/>
          <w:iCs/>
          <w:color w:val="000000"/>
          <w:sz w:val="24"/>
          <w:szCs w:val="24"/>
        </w:rPr>
        <w:t>(¥：</w:t>
      </w:r>
      <w:r>
        <w:rPr>
          <w:rFonts w:hint="eastAsia" w:ascii="宋体" w:hAnsi="宋体"/>
          <w:b/>
          <w:bCs/>
          <w:iCs/>
          <w:color w:val="000000"/>
          <w:sz w:val="24"/>
          <w:szCs w:val="24"/>
          <w:lang w:val="en-US" w:eastAsia="zh-CN"/>
        </w:rPr>
        <w:t xml:space="preserve">   </w:t>
      </w:r>
      <w:r>
        <w:rPr>
          <w:rFonts w:hint="eastAsia" w:ascii="宋体" w:hAnsi="宋体"/>
          <w:b/>
          <w:bCs/>
          <w:iCs/>
          <w:color w:val="000000"/>
          <w:sz w:val="24"/>
          <w:szCs w:val="24"/>
        </w:rPr>
        <w:t>元</w:t>
      </w:r>
      <w:r>
        <w:rPr>
          <w:rFonts w:hint="eastAsia" w:ascii="宋体" w:hAnsi="宋体"/>
          <w:b/>
          <w:bCs/>
          <w:iCs/>
          <w:color w:val="000000"/>
          <w:sz w:val="24"/>
          <w:szCs w:val="24"/>
          <w:lang w:eastAsia="zh-CN"/>
        </w:rPr>
        <w:t>（</w:t>
      </w:r>
      <w:r>
        <w:rPr>
          <w:rFonts w:hint="eastAsia" w:ascii="宋体" w:hAnsi="宋体"/>
          <w:b/>
          <w:bCs/>
          <w:iCs/>
          <w:color w:val="000000"/>
          <w:sz w:val="24"/>
          <w:szCs w:val="24"/>
          <w:lang w:val="en-US" w:eastAsia="zh-CN"/>
        </w:rPr>
        <w:t>含税</w:t>
      </w:r>
      <w:r>
        <w:rPr>
          <w:rFonts w:hint="eastAsia" w:ascii="宋体" w:hAnsi="宋体"/>
          <w:b/>
          <w:bCs/>
          <w:iCs/>
          <w:color w:val="000000"/>
          <w:sz w:val="24"/>
          <w:szCs w:val="24"/>
          <w:lang w:eastAsia="zh-CN"/>
        </w:rPr>
        <w:t>）</w:t>
      </w:r>
      <w:r>
        <w:rPr>
          <w:rFonts w:hint="eastAsia" w:ascii="宋体" w:hAnsi="宋体"/>
          <w:b/>
          <w:bCs/>
          <w:iCs/>
          <w:color w:val="000000"/>
          <w:sz w:val="24"/>
          <w:szCs w:val="24"/>
        </w:rPr>
        <w:t>)；</w:t>
      </w:r>
    </w:p>
    <w:p w14:paraId="45ECA0BB">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lang w:val="en-US" w:eastAsia="zh-CN"/>
        </w:rPr>
        <w:t>本项目为固定单价合同。合同价为承包人完成招标范围内全部物业服务项目内容的全部费用，如承包人在投标时漏项的，不予调整；在合同期间（除国家政策性调整以外）只要本项目服务范围和工作要求不变，服务费单价不予调整，服务面积按照每三个月的入住率进行调整。在合同期内如遇国家政策性调整最低工资，产生的增量部分，由中标人向招标人提出申请，并经双方对增加费用协商一致后，由招标人承担。合同价包含（但不限于）以下各项费用：</w:t>
      </w:r>
      <w:r>
        <w:rPr>
          <w:rFonts w:hint="default" w:ascii="宋体" w:hAnsi="宋体"/>
          <w:bCs/>
          <w:color w:val="000000"/>
          <w:sz w:val="24"/>
          <w:szCs w:val="24"/>
          <w:lang w:val="en-US" w:eastAsia="zh-CN"/>
        </w:rPr>
        <w:t>①</w:t>
      </w:r>
      <w:r>
        <w:rPr>
          <w:rFonts w:hint="eastAsia" w:ascii="宋体" w:hAnsi="宋体"/>
          <w:bCs/>
          <w:color w:val="000000"/>
          <w:sz w:val="24"/>
          <w:szCs w:val="24"/>
          <w:lang w:val="en-US" w:eastAsia="zh-CN"/>
        </w:rPr>
        <w:t>物业公司支付的人员基本工资及五险一金（养老保险、医疗保险、失业保险、工伤保险和生育保险及住房公积金）、教育费、劳保用品费等一切人员费用；</w:t>
      </w:r>
      <w:r>
        <w:rPr>
          <w:rFonts w:hint="default" w:ascii="宋体" w:hAnsi="宋体"/>
          <w:bCs/>
          <w:color w:val="000000"/>
          <w:sz w:val="24"/>
          <w:szCs w:val="24"/>
          <w:lang w:val="en-US" w:eastAsia="zh-CN"/>
        </w:rPr>
        <w:t>②</w:t>
      </w:r>
      <w:r>
        <w:rPr>
          <w:rFonts w:hint="eastAsia" w:ascii="宋体" w:hAnsi="宋体"/>
          <w:bCs/>
          <w:color w:val="000000"/>
          <w:sz w:val="24"/>
          <w:szCs w:val="24"/>
          <w:lang w:val="en-US" w:eastAsia="zh-CN"/>
        </w:rPr>
        <w:t>物业管理本身已支付或将支付的各种税费，包括物业管理中的管理费、安全费、垃圾清运费等；</w:t>
      </w:r>
      <w:r>
        <w:rPr>
          <w:rFonts w:hint="default" w:ascii="宋体" w:hAnsi="宋体"/>
          <w:bCs/>
          <w:color w:val="000000"/>
          <w:sz w:val="24"/>
          <w:szCs w:val="24"/>
          <w:lang w:val="en-US" w:eastAsia="zh-CN"/>
        </w:rPr>
        <w:t>③</w:t>
      </w:r>
      <w:r>
        <w:rPr>
          <w:rFonts w:hint="eastAsia" w:ascii="宋体" w:hAnsi="宋体"/>
          <w:bCs/>
          <w:color w:val="000000"/>
          <w:sz w:val="24"/>
          <w:szCs w:val="24"/>
          <w:lang w:val="en-US" w:eastAsia="zh-CN"/>
        </w:rPr>
        <w:t>物业和公共部位所产生的电费、水费等。④用于物业管理的工具设备、保洁耗材（如抹布、毛巾、垃圾袋、茶叶篓、扫把、拖把等）及维修工具等费用；⑤物业管理区域清洁用品以及共用部位的卫生用品（如卫生球、肥皂、消杀品、洗洁用品等）；⑥其它为用户提供服务前所产生的一切费用（除维修专项资金和建设单位回访费用外），实行一次包干，无论是否计列，招标人将一律视为总报价已包括该项费用</w:t>
      </w:r>
    </w:p>
    <w:p w14:paraId="6494C2ED">
      <w:pPr>
        <w:spacing w:line="400" w:lineRule="exact"/>
        <w:ind w:firstLine="482" w:firstLineChars="200"/>
        <w:jc w:val="left"/>
        <w:rPr>
          <w:rFonts w:hint="eastAsia" w:ascii="宋体" w:hAnsi="宋体"/>
          <w:b/>
          <w:color w:val="000000"/>
          <w:sz w:val="24"/>
          <w:szCs w:val="24"/>
        </w:rPr>
      </w:pPr>
      <w:r>
        <w:rPr>
          <w:rFonts w:hint="eastAsia" w:ascii="宋体" w:hAnsi="宋体"/>
          <w:b/>
          <w:color w:val="000000"/>
          <w:sz w:val="24"/>
          <w:szCs w:val="24"/>
        </w:rPr>
        <w:t>八、付款方式：</w:t>
      </w:r>
    </w:p>
    <w:p w14:paraId="2D3D88CC">
      <w:pPr>
        <w:spacing w:line="40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每三个月服务费=中标单价*实际服务面积*3。</w:t>
      </w:r>
    </w:p>
    <w:p w14:paraId="2CB465EF">
      <w:pPr>
        <w:spacing w:line="40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实际服务面积按照每三个月的入住率进行调整（如9月份至11月份， 按照9月1日的服务面积为实际服务面积，以此类推）。</w:t>
      </w:r>
    </w:p>
    <w:p w14:paraId="299F7D40">
      <w:pPr>
        <w:spacing w:line="40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服务费按照每三个月进行支付，对之前每月的考核打分进行汇总，计算出平均分为每月的考核得分，根据考核得分进行支付。以考核得分90分为基准分，得分在90分以上（含90分）的按照实际支付服务费的100%结算，每低于基准分1分（得分采用四舍五入法保留整数）扣实际支付服务费的1% ；得分在70分以下的，成交报价不予支付。</w:t>
      </w:r>
    </w:p>
    <w:p w14:paraId="5C7BB8B0">
      <w:pPr>
        <w:spacing w:line="40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按月度对成交供应商进行考核，如发生一次月度考核得分低于80分的，则不再续签下一年度合同；连续两次月度考核得分低于70分，则自行终止合同、取消聘用关系。</w:t>
      </w:r>
    </w:p>
    <w:p w14:paraId="671EFAF3">
      <w:pPr>
        <w:spacing w:line="40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成交供应商全部履约合同义务，经采购单位验收合格无质量、进度等问题的，采购人在验收合格后一次性退还履约保证金，以现金方式提交的，同时退还保证金本金和银行同期存款利息。</w:t>
      </w:r>
    </w:p>
    <w:p w14:paraId="7982B56B">
      <w:pPr>
        <w:widowControl/>
        <w:numPr>
          <w:ilvl w:val="0"/>
          <w:numId w:val="1"/>
        </w:numPr>
        <w:spacing w:line="500" w:lineRule="exact"/>
        <w:ind w:firstLine="482" w:firstLineChars="200"/>
        <w:rPr>
          <w:rFonts w:hint="eastAsia" w:ascii="宋体" w:hAnsi="宋体"/>
          <w:b/>
          <w:color w:val="000000"/>
          <w:sz w:val="24"/>
          <w:szCs w:val="24"/>
        </w:rPr>
      </w:pPr>
      <w:r>
        <w:rPr>
          <w:rFonts w:hint="eastAsia" w:ascii="宋体" w:hAnsi="宋体"/>
          <w:b/>
          <w:color w:val="000000"/>
          <w:sz w:val="24"/>
          <w:szCs w:val="24"/>
        </w:rPr>
        <w:t>履约保证金：</w:t>
      </w:r>
    </w:p>
    <w:p w14:paraId="45B575DA">
      <w:pPr>
        <w:widowControl/>
        <w:numPr>
          <w:ilvl w:val="0"/>
          <w:numId w:val="0"/>
        </w:numPr>
        <w:spacing w:line="50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r>
        <w:rPr>
          <w:rFonts w:hint="eastAsia" w:ascii="宋体" w:hAnsi="宋体" w:eastAsia="宋体" w:cs="宋体"/>
          <w:color w:val="000000"/>
          <w:sz w:val="24"/>
          <w:szCs w:val="24"/>
          <w:shd w:val="clear" w:color="auto" w:fill="FFFFFF"/>
          <w:lang w:val="en-US" w:eastAsia="zh-CN"/>
        </w:rPr>
        <w:cr/>
      </w:r>
      <w:r>
        <w:rPr>
          <w:rFonts w:hint="eastAsia" w:ascii="宋体" w:hAnsi="宋体" w:eastAsia="宋体" w:cs="宋体"/>
          <w:color w:val="000000"/>
          <w:sz w:val="24"/>
          <w:szCs w:val="24"/>
          <w:shd w:val="clear" w:color="auto" w:fill="FFFFFF"/>
          <w:lang w:val="en-US" w:eastAsia="zh-CN"/>
        </w:rPr>
        <w:t xml:space="preserve">    2、成交供应商全部履约合同义务，经采购单位验收合格无质量、进度等问题的，采购人在验收合格后一次性退还履约保证金，采购人若逾期退还履约保证金的，按照逾期部分的每日0.05%支付违约金。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eastAsia="宋体" w:cs="宋体"/>
          <w:color w:val="000000"/>
          <w:sz w:val="24"/>
          <w:szCs w:val="24"/>
          <w:shd w:val="clear" w:color="auto" w:fill="FFFFFF"/>
          <w:lang w:val="en-US" w:eastAsia="zh-CN"/>
        </w:rPr>
        <w:cr/>
      </w:r>
      <w:r>
        <w:rPr>
          <w:rFonts w:hint="eastAsia" w:ascii="宋体" w:hAnsi="宋体" w:eastAsia="宋体" w:cs="宋体"/>
          <w:color w:val="000000"/>
          <w:sz w:val="24"/>
          <w:szCs w:val="24"/>
          <w:shd w:val="clear" w:color="auto" w:fill="FFFFFF"/>
          <w:lang w:val="en-US" w:eastAsia="zh-CN"/>
        </w:rPr>
        <w:t xml:space="preserve">    3、发生以下情况的，履约保证金不予退还或部分退还：</w:t>
      </w:r>
      <w:r>
        <w:rPr>
          <w:rFonts w:hint="eastAsia" w:ascii="宋体" w:hAnsi="宋体" w:eastAsia="宋体" w:cs="宋体"/>
          <w:color w:val="000000"/>
          <w:sz w:val="24"/>
          <w:szCs w:val="24"/>
          <w:shd w:val="clear" w:color="auto" w:fill="FFFFFF"/>
          <w:lang w:val="en-US" w:eastAsia="zh-CN"/>
        </w:rPr>
        <w:cr/>
      </w:r>
      <w:r>
        <w:rPr>
          <w:rFonts w:hint="eastAsia" w:ascii="宋体" w:hAnsi="宋体" w:eastAsia="宋体" w:cs="宋体"/>
          <w:color w:val="000000"/>
          <w:sz w:val="24"/>
          <w:szCs w:val="24"/>
          <w:shd w:val="clear" w:color="auto" w:fill="FFFFFF"/>
          <w:lang w:val="en-US" w:eastAsia="zh-CN"/>
        </w:rPr>
        <w:t xml:space="preserve">    a.签订合同后，成交供应商不履行合同义务的，采购单位有权全额扣除履约保证金，全额不予退还，同时采购单位亦有权终止合同，成交供应商还须承担相应的法律赔偿责任。</w:t>
      </w:r>
    </w:p>
    <w:p w14:paraId="23120533">
      <w:pPr>
        <w:widowControl/>
        <w:spacing w:line="50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8578CED">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十、终止合同情形：</w:t>
      </w:r>
    </w:p>
    <w:p w14:paraId="407B9EBF">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1.同一地点的存在问题三次督办仍未解决的。</w:t>
      </w:r>
    </w:p>
    <w:p w14:paraId="7FE52ADC">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2.生活垃圾未做到日产日清，连续达三天未清运的或未按镇编制数配足生活垃圾和生产垃圾清运保洁人数的。</w:t>
      </w:r>
    </w:p>
    <w:p w14:paraId="7DB9B299">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3.市季度考核中，承包区域内连续二次被重点扣分，甲方可对该承包方无条件解除合同，则视为承包方违约合同约定，甲方不予退还履约保证金，并不承担任何赔偿责任。</w:t>
      </w:r>
    </w:p>
    <w:p w14:paraId="6C282A6E">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4.因违规操作造成重大事故的。</w:t>
      </w:r>
    </w:p>
    <w:p w14:paraId="1CCD624C">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5.各级检查或重大活动时，乙方须积极配合开展第一时间整治到位，整治效果满意；否则甲方有权终止合同，并按乙方违约处理，履约保证金不予退还。</w:t>
      </w:r>
    </w:p>
    <w:p w14:paraId="00BA5934">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6.如乙方被纪委监察委等执法执纪机关查实行贿甲方工作人员或与甲方工作人员存在不正当经济往来情形，违反廉政纪律的，甲方有权无条件随时终止本合同履行，并按乙方违约处理，甲方不退换乙方的履约保证金。</w:t>
      </w:r>
    </w:p>
    <w:p w14:paraId="40578601">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 xml:space="preserve">7.乙方须按投标时的人员、设备配备承诺在合同签订后两个月内配置到位，每少1人，每人每天扣除履约保证金100元；如超过30天人员仍未足额配置到位，则视为乙方违约，甲方有权终止合同，履约保证金不予退还。 </w:t>
      </w:r>
    </w:p>
    <w:p w14:paraId="6EC3758C">
      <w:pPr>
        <w:spacing w:line="400" w:lineRule="exact"/>
        <w:ind w:firstLine="482" w:firstLineChars="200"/>
        <w:jc w:val="left"/>
        <w:rPr>
          <w:rFonts w:hint="eastAsia" w:ascii="宋体" w:hAnsi="宋体"/>
          <w:b/>
          <w:bCs/>
          <w:color w:val="000000"/>
          <w:sz w:val="24"/>
          <w:szCs w:val="24"/>
        </w:rPr>
      </w:pPr>
      <w:r>
        <w:rPr>
          <w:rFonts w:hint="eastAsia" w:ascii="宋体" w:hAnsi="宋体"/>
          <w:b/>
          <w:bCs/>
          <w:color w:val="000000"/>
          <w:sz w:val="24"/>
          <w:szCs w:val="24"/>
        </w:rPr>
        <w:t>十一、考核内容</w:t>
      </w:r>
    </w:p>
    <w:p w14:paraId="57C0CBC5">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（1）规章制度的建立</w:t>
      </w:r>
    </w:p>
    <w:p w14:paraId="29705785">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（2）服务管理</w:t>
      </w:r>
    </w:p>
    <w:p w14:paraId="171E555C">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（3）环境卫生</w:t>
      </w:r>
    </w:p>
    <w:p w14:paraId="68CE52C2">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（4）公共设施设备管理。   </w:t>
      </w:r>
    </w:p>
    <w:p w14:paraId="33DD60EC">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十二、考核办法的实施</w:t>
      </w:r>
    </w:p>
    <w:p w14:paraId="1DF9EFC7">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（1）一月一考核并公布考核结果。</w:t>
      </w:r>
    </w:p>
    <w:p w14:paraId="14B69DF5">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（2）考核得分采用百分制。采取看现场、查资料、走访业主、征询所在社区意见等方法，进行考核。考核组的成员单位，根据各自职能，进行评分、打分，并经物业公司签字确认。</w:t>
      </w:r>
    </w:p>
    <w:p w14:paraId="5A431FE7">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十三、考核结果的运用</w:t>
      </w:r>
    </w:p>
    <w:p w14:paraId="5CF3046C">
      <w:pPr>
        <w:spacing w:line="40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1.考核的评分结果与物业费的拨付结合。季度拨付前，对之前每月的考核打分进行汇总，计算出平均分为每月的考核得分，根据考核得分比例进行支付。</w:t>
      </w:r>
    </w:p>
    <w:p w14:paraId="04E2AE16">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2.物业公司应做好小区内的安全管理工作，加强对小区内落水管、外墙涂料、煤气管道、消防设施、下水道堵塞、太阳能热水器等可能存在安全隐患的设施设备的巡查工作，发现问题及时上报。若因小区物业未及时处置引起小区居民财物受损或人身安全的，由物业公司承担所有后果，并视情况解除物业服务合同。                                  </w:t>
      </w:r>
    </w:p>
    <w:p w14:paraId="0273CD0B">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十四、违约条款</w:t>
      </w:r>
    </w:p>
    <w:p w14:paraId="18D1778F">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1、一方不按期履行合同，并经另一方提示后7日内仍不履行合同的，可解除本合同，不履行合同方赔偿另一方的损失；      </w:t>
      </w:r>
    </w:p>
    <w:p w14:paraId="28FC20FC">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2、如乙方违约，甲方有权扣除乙方履约保证金，履约保证金不足部分，甲方保留追索的权利。如甲方违约，甲方应将履约保证金退给乙方；      </w:t>
      </w:r>
    </w:p>
    <w:p w14:paraId="085E51CD">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3、如因一方违约，双方未能就赔偿损失达成协议，引起诉讼或仲裁时，违约方除应赔偿对方经济损失外，还应承担对方因诉讼或仲裁所支付的律师代理费等相关费用；      </w:t>
      </w:r>
    </w:p>
    <w:p w14:paraId="71DA592D">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4、其它未尽事宜，以《中华人民共和国民法典》和其它有关法律、法规规定为准，无相关规定的，双方协商解决；     </w:t>
      </w:r>
    </w:p>
    <w:p w14:paraId="32C47BF0">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5、按照本合同规定应该偿付的违约金、赔偿金等，应当在明确责任后30日内，按银行规定或双方商定的结算办法付清，否则按逾期付款处理。     </w:t>
      </w:r>
    </w:p>
    <w:p w14:paraId="01DD324C">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 xml:space="preserve">十五、不可抗力条款     </w:t>
      </w:r>
    </w:p>
    <w:p w14:paraId="0465B9B2">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 xml:space="preserve">因不可抗力致使一方不能及时或完全履行合同的，应及时通知另一方，双方互不承担责任，并在15天内提供有关不可抗力的相应证明。     </w:t>
      </w:r>
    </w:p>
    <w:p w14:paraId="2C00F77F">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合同未履行部分是否继续履行、如何履行等问题，可由双方协商解决。</w:t>
      </w:r>
    </w:p>
    <w:p w14:paraId="126FA848">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 xml:space="preserve">十六、争议的解决方式     </w:t>
      </w:r>
    </w:p>
    <w:p w14:paraId="0A51CE03">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合同发生纠纷时，双方应协商解决，协商不成提交启东市仲裁委员会仲裁。</w:t>
      </w:r>
    </w:p>
    <w:p w14:paraId="42498CFC">
      <w:pPr>
        <w:spacing w:line="400" w:lineRule="exact"/>
        <w:ind w:firstLine="482" w:firstLineChars="200"/>
        <w:jc w:val="left"/>
        <w:rPr>
          <w:rFonts w:ascii="宋体" w:hAnsi="宋体"/>
          <w:b/>
          <w:bCs/>
          <w:color w:val="000000"/>
          <w:sz w:val="24"/>
          <w:szCs w:val="24"/>
        </w:rPr>
      </w:pPr>
      <w:r>
        <w:rPr>
          <w:rFonts w:hint="eastAsia" w:ascii="宋体" w:hAnsi="宋体"/>
          <w:b/>
          <w:bCs/>
          <w:color w:val="000000"/>
          <w:sz w:val="24"/>
          <w:szCs w:val="24"/>
        </w:rPr>
        <w:t>十七、其他</w:t>
      </w:r>
    </w:p>
    <w:p w14:paraId="71E35175">
      <w:pPr>
        <w:spacing w:line="420" w:lineRule="exact"/>
        <w:ind w:firstLine="480" w:firstLineChars="200"/>
        <w:jc w:val="left"/>
        <w:rPr>
          <w:rFonts w:hint="eastAsia" w:ascii="宋体" w:hAnsi="宋体"/>
          <w:bCs/>
          <w:sz w:val="24"/>
          <w:szCs w:val="24"/>
        </w:rPr>
      </w:pPr>
      <w:r>
        <w:rPr>
          <w:rFonts w:hint="eastAsia" w:ascii="宋体" w:hAnsi="宋体"/>
          <w:bCs/>
          <w:sz w:val="24"/>
          <w:szCs w:val="24"/>
        </w:rPr>
        <w:t>1、 双方约定自本合同生效后按政府物业管理有关规定办理接管验收手续。</w:t>
      </w:r>
    </w:p>
    <w:p w14:paraId="1165192B">
      <w:pPr>
        <w:spacing w:line="420" w:lineRule="exact"/>
        <w:ind w:firstLine="480" w:firstLineChars="200"/>
        <w:jc w:val="left"/>
        <w:rPr>
          <w:rFonts w:hint="eastAsia" w:ascii="宋体" w:hAnsi="宋体"/>
          <w:bCs/>
          <w:sz w:val="24"/>
          <w:szCs w:val="24"/>
        </w:rPr>
      </w:pPr>
      <w:r>
        <w:rPr>
          <w:rFonts w:hint="eastAsia" w:ascii="宋体" w:hAnsi="宋体"/>
          <w:bCs/>
          <w:sz w:val="24"/>
          <w:szCs w:val="24"/>
        </w:rPr>
        <w:t>2、经双方协商一致可对本合同的条款按规定进行修订、更改和补充，签订的补充协议与本合同具有同等效力。</w:t>
      </w:r>
    </w:p>
    <w:p w14:paraId="79BB3973">
      <w:pPr>
        <w:spacing w:line="420" w:lineRule="exact"/>
        <w:ind w:firstLine="480" w:firstLineChars="200"/>
        <w:jc w:val="left"/>
        <w:rPr>
          <w:rFonts w:hint="eastAsia" w:ascii="宋体" w:hAnsi="宋体"/>
          <w:bCs/>
          <w:sz w:val="24"/>
          <w:szCs w:val="24"/>
        </w:rPr>
      </w:pPr>
      <w:r>
        <w:rPr>
          <w:rFonts w:hint="eastAsia" w:ascii="宋体" w:hAnsi="宋体"/>
          <w:bCs/>
          <w:sz w:val="24"/>
          <w:szCs w:val="24"/>
        </w:rPr>
        <w:t>3、一方如需提前解除合同，应提前30日通知对方，乙方在通知时间期满后15日内必须撤离甲方物业管理区，并将相关全部物业管理档案资料同时交付甲方。</w:t>
      </w:r>
    </w:p>
    <w:p w14:paraId="74794451">
      <w:pPr>
        <w:spacing w:line="400" w:lineRule="exact"/>
        <w:ind w:firstLine="482" w:firstLineChars="200"/>
        <w:jc w:val="left"/>
        <w:rPr>
          <w:rFonts w:hint="eastAsia" w:ascii="宋体" w:hAnsi="宋体"/>
          <w:b/>
          <w:bCs/>
          <w:color w:val="000000"/>
          <w:sz w:val="24"/>
          <w:szCs w:val="24"/>
        </w:rPr>
      </w:pPr>
      <w:r>
        <w:rPr>
          <w:rFonts w:hint="eastAsia" w:ascii="宋体" w:hAnsi="宋体"/>
          <w:b/>
          <w:bCs/>
          <w:color w:val="000000"/>
          <w:sz w:val="24"/>
          <w:szCs w:val="24"/>
        </w:rPr>
        <w:t>十八、合同生效</w:t>
      </w:r>
    </w:p>
    <w:p w14:paraId="2D808F53">
      <w:pPr>
        <w:spacing w:line="400" w:lineRule="exact"/>
        <w:ind w:firstLine="480" w:firstLineChars="200"/>
        <w:jc w:val="left"/>
        <w:rPr>
          <w:rFonts w:ascii="宋体" w:hAnsi="宋体"/>
          <w:bCs/>
          <w:color w:val="000000"/>
          <w:sz w:val="24"/>
          <w:szCs w:val="24"/>
        </w:rPr>
      </w:pPr>
      <w:r>
        <w:rPr>
          <w:rFonts w:hint="eastAsia" w:ascii="宋体" w:hAnsi="宋体"/>
          <w:bCs/>
          <w:color w:val="000000"/>
          <w:sz w:val="24"/>
          <w:szCs w:val="24"/>
        </w:rPr>
        <w:t>本合同由甲乙双方签订并加盖公章，经甲乙双方法定代表人或委托代理人签字或盖章后生效，合同一式</w:t>
      </w:r>
      <w:r>
        <w:rPr>
          <w:rFonts w:hint="eastAsia" w:ascii="宋体" w:hAnsi="宋体"/>
          <w:bCs/>
          <w:color w:val="000000"/>
          <w:sz w:val="24"/>
          <w:szCs w:val="24"/>
          <w:u w:val="single"/>
        </w:rPr>
        <w:t>六</w:t>
      </w:r>
      <w:r>
        <w:rPr>
          <w:rFonts w:hint="eastAsia" w:ascii="宋体" w:hAnsi="宋体"/>
          <w:bCs/>
          <w:color w:val="000000"/>
          <w:sz w:val="24"/>
          <w:szCs w:val="24"/>
        </w:rPr>
        <w:t>份，甲乙双方各执叁份。</w:t>
      </w:r>
    </w:p>
    <w:p w14:paraId="7547C831">
      <w:pPr>
        <w:spacing w:line="400" w:lineRule="exact"/>
        <w:ind w:firstLine="480" w:firstLineChars="200"/>
        <w:jc w:val="left"/>
        <w:rPr>
          <w:rFonts w:hint="eastAsia" w:ascii="宋体" w:hAnsi="宋体"/>
          <w:bCs/>
          <w:color w:val="000000"/>
          <w:sz w:val="24"/>
          <w:szCs w:val="24"/>
        </w:rPr>
      </w:pPr>
    </w:p>
    <w:p w14:paraId="303AF827">
      <w:pPr>
        <w:spacing w:line="400" w:lineRule="exact"/>
        <w:ind w:firstLine="480" w:firstLineChars="200"/>
        <w:jc w:val="left"/>
        <w:rPr>
          <w:rFonts w:hint="eastAsia" w:ascii="宋体" w:hAnsi="宋体"/>
          <w:bCs/>
          <w:color w:val="000000"/>
          <w:sz w:val="24"/>
          <w:szCs w:val="24"/>
        </w:rPr>
      </w:pPr>
    </w:p>
    <w:p w14:paraId="6AC675DE">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rPr>
        <w:t>甲方（盖章）：</w:t>
      </w:r>
      <w:r>
        <w:rPr>
          <w:rFonts w:ascii="宋体" w:hAnsi="宋体"/>
          <w:bCs/>
          <w:color w:val="000000"/>
          <w:sz w:val="24"/>
          <w:szCs w:val="24"/>
        </w:rPr>
        <w:fldChar w:fldCharType="begin"/>
      </w:r>
      <w:r>
        <w:rPr>
          <w:rFonts w:ascii="宋体" w:hAnsi="宋体"/>
          <w:bCs/>
          <w:color w:val="000000"/>
          <w:sz w:val="24"/>
          <w:szCs w:val="24"/>
        </w:rPr>
        <w:instrText xml:space="preserve"> HYPERLINK "http://www.qianlima.com/zbdw/%C1%C4%B3%C7%CA%D0%B3%C7%CA%D0%BB%B7%BE%B3%CE%C0%C9%FA%B9%DC%C0%ED%B4%A6" \t "_blank" </w:instrText>
      </w:r>
      <w:r>
        <w:rPr>
          <w:rFonts w:ascii="宋体" w:hAnsi="宋体"/>
          <w:bCs/>
          <w:color w:val="000000"/>
          <w:sz w:val="24"/>
          <w:szCs w:val="24"/>
        </w:rPr>
        <w:fldChar w:fldCharType="separate"/>
      </w:r>
      <w:r>
        <w:rPr>
          <w:rFonts w:ascii="宋体" w:hAnsi="宋体"/>
          <w:color w:val="000000"/>
          <w:sz w:val="24"/>
          <w:szCs w:val="24"/>
        </w:rPr>
        <w:fldChar w:fldCharType="end"/>
      </w:r>
      <w:r>
        <w:rPr>
          <w:rFonts w:hint="eastAsia" w:ascii="宋体" w:hAnsi="宋体"/>
          <w:bCs/>
          <w:color w:val="000000"/>
          <w:sz w:val="24"/>
          <w:szCs w:val="24"/>
        </w:rPr>
        <w:t xml:space="preserve">                        乙方（盖章）：</w:t>
      </w:r>
    </w:p>
    <w:p w14:paraId="5D9189DB">
      <w:pPr>
        <w:spacing w:line="48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法定代表人                           法定代表人</w:t>
      </w:r>
    </w:p>
    <w:p w14:paraId="22E4FDA2">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rPr>
        <w:t>或委托代理人（签字）：                 或委托代理人（签字）：</w:t>
      </w:r>
    </w:p>
    <w:p w14:paraId="07645514">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rPr>
        <w:t>地址：                                地址：</w:t>
      </w:r>
    </w:p>
    <w:p w14:paraId="12B00B6D">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rPr>
        <w:t>邮政编码：                            邮政编码：</w:t>
      </w:r>
    </w:p>
    <w:p w14:paraId="152D77C2">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rPr>
        <w:t>电话：                                电话：</w:t>
      </w:r>
    </w:p>
    <w:p w14:paraId="7EB70AD3">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rPr>
        <w:t>开户银行：                            开户银行：</w:t>
      </w:r>
    </w:p>
    <w:p w14:paraId="745BDC62">
      <w:pPr>
        <w:spacing w:line="480" w:lineRule="auto"/>
        <w:ind w:firstLine="480" w:firstLineChars="200"/>
        <w:jc w:val="left"/>
        <w:rPr>
          <w:rFonts w:ascii="宋体" w:hAnsi="宋体"/>
          <w:bCs/>
          <w:color w:val="000000"/>
          <w:sz w:val="24"/>
          <w:szCs w:val="24"/>
        </w:rPr>
      </w:pPr>
      <w:r>
        <w:rPr>
          <w:rFonts w:hint="eastAsia" w:ascii="宋体" w:hAnsi="宋体"/>
          <w:bCs/>
          <w:color w:val="000000"/>
          <w:sz w:val="24"/>
          <w:szCs w:val="24"/>
          <w:lang w:eastAsia="zh-CN"/>
        </w:rPr>
        <w:t>账号</w:t>
      </w:r>
      <w:r>
        <w:rPr>
          <w:rFonts w:hint="eastAsia" w:ascii="宋体" w:hAnsi="宋体"/>
          <w:bCs/>
          <w:color w:val="000000"/>
          <w:sz w:val="24"/>
          <w:szCs w:val="24"/>
        </w:rPr>
        <w:t xml:space="preserve">：                                </w:t>
      </w:r>
      <w:r>
        <w:rPr>
          <w:rFonts w:hint="eastAsia" w:ascii="宋体" w:hAnsi="宋体"/>
          <w:bCs/>
          <w:color w:val="000000"/>
          <w:sz w:val="24"/>
          <w:szCs w:val="24"/>
          <w:lang w:eastAsia="zh-CN"/>
        </w:rPr>
        <w:t>账号</w:t>
      </w:r>
      <w:r>
        <w:rPr>
          <w:rFonts w:hint="eastAsia" w:ascii="宋体" w:hAnsi="宋体"/>
          <w:bCs/>
          <w:color w:val="000000"/>
          <w:sz w:val="24"/>
          <w:szCs w:val="24"/>
        </w:rPr>
        <w:t xml:space="preserve">：　　　　　　　 </w:t>
      </w:r>
      <w:r>
        <w:rPr>
          <w:rFonts w:ascii="宋体" w:hAnsi="宋体"/>
          <w:bCs/>
          <w:color w:val="000000"/>
          <w:sz w:val="24"/>
          <w:szCs w:val="24"/>
        </w:rPr>
        <w:t> </w:t>
      </w:r>
    </w:p>
    <w:p w14:paraId="30D1A23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1"/>
        <w:jc w:val="both"/>
        <w:textAlignment w:val="auto"/>
        <w:rPr>
          <w:rFonts w:hint="eastAsia" w:ascii="宋体" w:hAnsi="宋体" w:eastAsia="宋体" w:cs="宋体"/>
          <w:kern w:val="2"/>
          <w:sz w:val="24"/>
          <w:szCs w:val="24"/>
          <w:lang w:val="en-US" w:eastAsia="zh-CN"/>
        </w:rPr>
        <w:sectPr>
          <w:pgSz w:w="11906" w:h="16838"/>
          <w:pgMar w:top="1440" w:right="1519" w:bottom="1440" w:left="1519" w:header="851" w:footer="992" w:gutter="0"/>
          <w:cols w:space="425" w:num="1"/>
          <w:docGrid w:type="lines" w:linePitch="312" w:charSpace="0"/>
        </w:sectPr>
      </w:pPr>
      <w:r>
        <w:rPr>
          <w:rFonts w:hint="eastAsia" w:ascii="宋体" w:hAnsi="宋体"/>
          <w:bCs/>
          <w:color w:val="000000"/>
          <w:sz w:val="24"/>
          <w:szCs w:val="24"/>
          <w:lang w:val="en-US" w:eastAsia="zh-CN"/>
        </w:rPr>
        <w:t xml:space="preserve"> </w:t>
      </w:r>
      <w:r>
        <w:rPr>
          <w:rFonts w:hint="eastAsia" w:ascii="宋体" w:hAnsi="宋体"/>
          <w:bCs/>
          <w:color w:val="000000"/>
          <w:sz w:val="24"/>
          <w:szCs w:val="24"/>
        </w:rPr>
        <w:t xml:space="preserve">年   月   日                     </w:t>
      </w:r>
      <w:r>
        <w:rPr>
          <w:rFonts w:hint="eastAsia" w:ascii="宋体" w:hAnsi="宋体"/>
          <w:bCs/>
          <w:color w:val="000000"/>
          <w:sz w:val="24"/>
          <w:szCs w:val="24"/>
          <w:lang w:val="en-US" w:eastAsia="zh-CN"/>
        </w:rPr>
        <w:t xml:space="preserve">  </w:t>
      </w:r>
      <w:r>
        <w:rPr>
          <w:rFonts w:hint="eastAsia" w:ascii="宋体" w:hAnsi="宋体"/>
          <w:bCs/>
          <w:color w:val="000000"/>
          <w:sz w:val="24"/>
          <w:szCs w:val="24"/>
        </w:rPr>
        <w:t>年  月  日</w:t>
      </w:r>
    </w:p>
    <w:p w14:paraId="1E701626">
      <w:pPr>
        <w:adjustRightInd w:val="0"/>
        <w:snapToGrid w:val="0"/>
        <w:spacing w:line="500" w:lineRule="exact"/>
        <w:jc w:val="center"/>
        <w:outlineLvl w:val="0"/>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第四部分 评审方法和评审标准</w:t>
      </w:r>
    </w:p>
    <w:p w14:paraId="4E17E55F">
      <w:pPr>
        <w:adjustRightInd w:val="0"/>
        <w:snapToGrid w:val="0"/>
        <w:spacing w:line="500" w:lineRule="exact"/>
        <w:ind w:firstLine="480" w:firstLineChars="200"/>
        <w:jc w:val="left"/>
        <w:textAlignment w:val="baseline"/>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一、磋商方式</w:t>
      </w:r>
    </w:p>
    <w:p w14:paraId="200DD594">
      <w:pPr>
        <w:tabs>
          <w:tab w:val="left" w:pos="3585"/>
        </w:tabs>
        <w:adjustRightInd w:val="0"/>
        <w:snapToGrid w:val="0"/>
        <w:spacing w:line="500" w:lineRule="exact"/>
        <w:ind w:firstLine="460" w:firstLineChars="192"/>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磋商模式：供应商在</w:t>
      </w:r>
      <w:r>
        <w:rPr>
          <w:rFonts w:hint="eastAsia" w:ascii="Times New Roman" w:hAnsi="Times New Roman" w:cs="Times New Roman"/>
          <w:kern w:val="2"/>
          <w:sz w:val="24"/>
          <w:szCs w:val="24"/>
          <w:lang w:val="en-US" w:eastAsia="zh-CN" w:bidi="ar"/>
        </w:rPr>
        <w:t>开标现场</w:t>
      </w:r>
      <w:r>
        <w:rPr>
          <w:rFonts w:hint="eastAsia" w:ascii="Times New Roman" w:hAnsi="Times New Roman" w:cs="Times New Roman" w:eastAsiaTheme="minorEastAsia"/>
          <w:kern w:val="2"/>
          <w:sz w:val="24"/>
          <w:szCs w:val="24"/>
          <w:lang w:val="en-US" w:eastAsia="zh-CN" w:bidi="ar"/>
        </w:rPr>
        <w:t>参加磋商活动。</w:t>
      </w:r>
    </w:p>
    <w:p w14:paraId="6FA2D75E">
      <w:pPr>
        <w:adjustRightInd w:val="0"/>
        <w:snapToGrid w:val="0"/>
        <w:spacing w:line="500" w:lineRule="exact"/>
        <w:ind w:firstLine="480" w:firstLineChars="200"/>
        <w:jc w:val="left"/>
        <w:textAlignment w:val="baseline"/>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二、评审方法和标准</w:t>
      </w:r>
    </w:p>
    <w:p w14:paraId="7AE0F5BF">
      <w:pPr>
        <w:adjustRightInd w:val="0"/>
        <w:snapToGrid w:val="0"/>
        <w:spacing w:line="500" w:lineRule="exact"/>
        <w:ind w:firstLine="592" w:firstLineChars="247"/>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评审方法：综合评分法。</w:t>
      </w:r>
    </w:p>
    <w:p w14:paraId="1CD6A984">
      <w:pPr>
        <w:adjustRightInd w:val="0"/>
        <w:snapToGrid w:val="0"/>
        <w:spacing w:line="500" w:lineRule="exact"/>
        <w:ind w:firstLine="600" w:firstLineChars="25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7F25A47">
      <w:pPr>
        <w:adjustRightInd w:val="0"/>
        <w:snapToGrid w:val="0"/>
        <w:spacing w:line="500" w:lineRule="exact"/>
        <w:ind w:firstLine="480" w:firstLineChars="20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最后报价将作为评审价。发送最后报价填报通知后，所有的响应供应商须在</w:t>
      </w:r>
      <w:r>
        <w:rPr>
          <w:rFonts w:hint="eastAsia" w:ascii="Times New Roman" w:hAnsi="Times New Roman" w:cs="Times New Roman"/>
          <w:kern w:val="2"/>
          <w:sz w:val="24"/>
          <w:szCs w:val="24"/>
          <w:lang w:val="en-US" w:eastAsia="zh-CN" w:bidi="ar"/>
        </w:rPr>
        <w:t>20分钟</w:t>
      </w:r>
      <w:r>
        <w:rPr>
          <w:rFonts w:hint="eastAsia" w:ascii="Times New Roman" w:hAnsi="Times New Roman" w:cs="Times New Roman" w:eastAsiaTheme="minorEastAsia"/>
          <w:kern w:val="2"/>
          <w:sz w:val="24"/>
          <w:szCs w:val="24"/>
          <w:lang w:val="en-US" w:eastAsia="zh-CN" w:bidi="ar"/>
        </w:rPr>
        <w:t>内填写并提交最后报价，未在规定时间内提交最后报价的或超过第一轮报价的，视作无效响应处理。</w:t>
      </w:r>
    </w:p>
    <w:p w14:paraId="01211367">
      <w:pPr>
        <w:tabs>
          <w:tab w:val="left" w:pos="900"/>
        </w:tabs>
        <w:adjustRightInd w:val="0"/>
        <w:snapToGrid w:val="0"/>
        <w:spacing w:line="500" w:lineRule="exact"/>
        <w:ind w:firstLine="477" w:firstLineChars="199"/>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795DC4C8">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供应商价格部分和商务、技术部分的合计分值，为该供应商的评审总得分。</w:t>
      </w:r>
    </w:p>
    <w:p w14:paraId="327133C3">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评标结果按评审后总得分由高到低顺序排列，确定成交候选供应商名单并按顺序确定成交供应商。得分相同的，按响应报价由低到高顺序排列，得分且响应报价相同的并列。</w:t>
      </w:r>
    </w:p>
    <w:p w14:paraId="27FBC6BB">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评委在认真审阅响应文件的基础上，根据各响应文件的响应程度独立评判，不得统一打分。</w:t>
      </w:r>
    </w:p>
    <w:p w14:paraId="7A9D796C">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评标流程：评审资格审查文件—评审商务技术标—供应商现场递交最后报价—评审价格标—确定成交供应商。</w:t>
      </w:r>
    </w:p>
    <w:p w14:paraId="0DF34BDF">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（一）资格审查</w:t>
      </w:r>
    </w:p>
    <w:p w14:paraId="71AD2D95">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所有投标的供应商全部进入资格审查，由评标委员会根据参加资格审查的供应商递交的资格文件，并按照本磋商文件供应商资格要求对供应商的资格进行审查。只有资格条件评审合格的供应商，才可参加商务技术标评分。</w:t>
      </w:r>
    </w:p>
    <w:p w14:paraId="129445C2">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（二）商务技术标（</w:t>
      </w:r>
      <w:r>
        <w:rPr>
          <w:rFonts w:hint="eastAsia" w:ascii="Times New Roman" w:hAnsi="Times New Roman" w:cs="Times New Roman"/>
          <w:kern w:val="2"/>
          <w:sz w:val="24"/>
          <w:szCs w:val="24"/>
          <w:lang w:val="en-US" w:eastAsia="zh-CN" w:bidi="ar"/>
        </w:rPr>
        <w:t>70</w:t>
      </w:r>
      <w:r>
        <w:rPr>
          <w:rFonts w:hint="eastAsia" w:ascii="Times New Roman" w:hAnsi="Times New Roman" w:cs="Times New Roman" w:eastAsiaTheme="minorEastAsia"/>
          <w:kern w:val="2"/>
          <w:sz w:val="24"/>
          <w:szCs w:val="24"/>
          <w:lang w:val="en-US" w:eastAsia="zh-CN" w:bidi="ar"/>
        </w:rPr>
        <w:t>分）</w:t>
      </w:r>
    </w:p>
    <w:p w14:paraId="0DF929C0">
      <w:pPr>
        <w:adjustRightInd w:val="0"/>
        <w:snapToGrid w:val="0"/>
        <w:spacing w:line="500" w:lineRule="exact"/>
        <w:ind w:firstLine="555"/>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评标委员会根据以下几个方面进行综合评估后打分(取平均值作为供应商商务技术标的最后得分，得分采用四舍五入法保留小数点后两位小数。)</w:t>
      </w:r>
    </w:p>
    <w:tbl>
      <w:tblPr>
        <w:tblStyle w:val="6"/>
        <w:tblW w:w="516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837"/>
        <w:gridCol w:w="755"/>
        <w:gridCol w:w="7121"/>
      </w:tblGrid>
      <w:tr w14:paraId="7CED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59" w:type="pct"/>
            <w:vMerge w:val="restart"/>
            <w:noWrap w:val="0"/>
            <w:vAlign w:val="center"/>
          </w:tcPr>
          <w:p w14:paraId="2BDA4185">
            <w:pPr>
              <w:spacing w:line="276" w:lineRule="auto"/>
              <w:jc w:val="center"/>
              <w:rPr>
                <w:rFonts w:ascii="宋体" w:hAnsi="宋体"/>
                <w:color w:val="000000"/>
                <w:sz w:val="24"/>
              </w:rPr>
            </w:pPr>
            <w:r>
              <w:rPr>
                <w:rFonts w:hint="eastAsia" w:ascii="宋体" w:hAnsi="宋体"/>
                <w:color w:val="000000"/>
                <w:sz w:val="24"/>
              </w:rPr>
              <w:t>序号</w:t>
            </w:r>
          </w:p>
        </w:tc>
        <w:tc>
          <w:tcPr>
            <w:tcW w:w="446" w:type="pct"/>
            <w:vMerge w:val="restart"/>
            <w:noWrap w:val="0"/>
            <w:vAlign w:val="center"/>
          </w:tcPr>
          <w:p w14:paraId="3E2E04EB">
            <w:pPr>
              <w:spacing w:line="276" w:lineRule="auto"/>
              <w:jc w:val="center"/>
              <w:rPr>
                <w:rFonts w:ascii="宋体" w:hAnsi="宋体"/>
                <w:color w:val="000000"/>
                <w:sz w:val="24"/>
              </w:rPr>
            </w:pPr>
            <w:r>
              <w:rPr>
                <w:rFonts w:hint="eastAsia" w:ascii="宋体" w:hAnsi="宋体"/>
                <w:color w:val="000000"/>
                <w:sz w:val="24"/>
              </w:rPr>
              <w:t>内容</w:t>
            </w:r>
          </w:p>
        </w:tc>
        <w:tc>
          <w:tcPr>
            <w:tcW w:w="402" w:type="pct"/>
            <w:vMerge w:val="restart"/>
            <w:noWrap w:val="0"/>
            <w:vAlign w:val="center"/>
          </w:tcPr>
          <w:p w14:paraId="4AB09243">
            <w:pPr>
              <w:spacing w:line="276" w:lineRule="auto"/>
              <w:jc w:val="center"/>
              <w:rPr>
                <w:rFonts w:ascii="宋体" w:hAnsi="宋体"/>
                <w:color w:val="000000"/>
                <w:sz w:val="24"/>
              </w:rPr>
            </w:pPr>
            <w:r>
              <w:rPr>
                <w:rFonts w:hint="eastAsia" w:ascii="宋体" w:hAnsi="宋体"/>
                <w:color w:val="000000"/>
                <w:sz w:val="24"/>
              </w:rPr>
              <w:t>满分</w:t>
            </w:r>
          </w:p>
        </w:tc>
        <w:tc>
          <w:tcPr>
            <w:tcW w:w="3793" w:type="pct"/>
            <w:vMerge w:val="restart"/>
            <w:noWrap w:val="0"/>
            <w:vAlign w:val="center"/>
          </w:tcPr>
          <w:p w14:paraId="2F327A4F">
            <w:pPr>
              <w:spacing w:line="276" w:lineRule="auto"/>
              <w:jc w:val="center"/>
              <w:rPr>
                <w:rFonts w:ascii="宋体" w:hAnsi="宋体"/>
                <w:color w:val="000000"/>
                <w:sz w:val="24"/>
              </w:rPr>
            </w:pPr>
            <w:r>
              <w:rPr>
                <w:rFonts w:hint="eastAsia" w:ascii="宋体" w:hAnsi="宋体"/>
                <w:color w:val="000000"/>
                <w:sz w:val="24"/>
              </w:rPr>
              <w:t>评分说明</w:t>
            </w:r>
          </w:p>
        </w:tc>
      </w:tr>
      <w:tr w14:paraId="7D21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59" w:type="pct"/>
            <w:vMerge w:val="continue"/>
            <w:noWrap w:val="0"/>
            <w:vAlign w:val="center"/>
          </w:tcPr>
          <w:p w14:paraId="5B662458">
            <w:pPr>
              <w:spacing w:line="276" w:lineRule="auto"/>
              <w:jc w:val="center"/>
              <w:rPr>
                <w:rFonts w:ascii="宋体" w:hAnsi="宋体"/>
                <w:color w:val="000000"/>
                <w:sz w:val="24"/>
              </w:rPr>
            </w:pPr>
          </w:p>
        </w:tc>
        <w:tc>
          <w:tcPr>
            <w:tcW w:w="446" w:type="pct"/>
            <w:vMerge w:val="continue"/>
            <w:noWrap w:val="0"/>
            <w:vAlign w:val="center"/>
          </w:tcPr>
          <w:p w14:paraId="40458CEA">
            <w:pPr>
              <w:spacing w:line="276" w:lineRule="auto"/>
              <w:jc w:val="center"/>
              <w:rPr>
                <w:rFonts w:ascii="宋体" w:hAnsi="宋体"/>
                <w:color w:val="000000"/>
                <w:sz w:val="24"/>
              </w:rPr>
            </w:pPr>
          </w:p>
        </w:tc>
        <w:tc>
          <w:tcPr>
            <w:tcW w:w="402" w:type="pct"/>
            <w:vMerge w:val="continue"/>
            <w:noWrap w:val="0"/>
            <w:vAlign w:val="center"/>
          </w:tcPr>
          <w:p w14:paraId="61ABB1B7">
            <w:pPr>
              <w:spacing w:line="276" w:lineRule="auto"/>
              <w:jc w:val="center"/>
              <w:rPr>
                <w:rFonts w:ascii="宋体" w:hAnsi="宋体"/>
                <w:color w:val="000000"/>
                <w:sz w:val="24"/>
              </w:rPr>
            </w:pPr>
          </w:p>
        </w:tc>
        <w:tc>
          <w:tcPr>
            <w:tcW w:w="3793" w:type="pct"/>
            <w:vMerge w:val="continue"/>
            <w:noWrap w:val="0"/>
            <w:vAlign w:val="center"/>
          </w:tcPr>
          <w:p w14:paraId="1E2465B9">
            <w:pPr>
              <w:spacing w:line="276" w:lineRule="auto"/>
              <w:jc w:val="center"/>
              <w:rPr>
                <w:rFonts w:ascii="宋体" w:hAnsi="宋体"/>
                <w:color w:val="000000"/>
                <w:sz w:val="24"/>
              </w:rPr>
            </w:pPr>
          </w:p>
        </w:tc>
      </w:tr>
      <w:tr w14:paraId="01E3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9" w:type="pct"/>
            <w:noWrap w:val="0"/>
            <w:vAlign w:val="center"/>
          </w:tcPr>
          <w:p w14:paraId="1C2DEF15">
            <w:pPr>
              <w:spacing w:line="276" w:lineRule="auto"/>
              <w:jc w:val="center"/>
              <w:rPr>
                <w:rFonts w:ascii="宋体" w:hAnsi="宋体"/>
                <w:color w:val="000000"/>
                <w:sz w:val="24"/>
              </w:rPr>
            </w:pPr>
            <w:r>
              <w:rPr>
                <w:rFonts w:hint="eastAsia" w:ascii="宋体" w:hAnsi="宋体"/>
                <w:color w:val="000000"/>
                <w:sz w:val="24"/>
              </w:rPr>
              <w:t>1</w:t>
            </w:r>
          </w:p>
        </w:tc>
        <w:tc>
          <w:tcPr>
            <w:tcW w:w="446" w:type="pct"/>
            <w:noWrap w:val="0"/>
            <w:vAlign w:val="center"/>
          </w:tcPr>
          <w:p w14:paraId="3A07D2B0">
            <w:pPr>
              <w:spacing w:line="276" w:lineRule="auto"/>
              <w:jc w:val="center"/>
              <w:rPr>
                <w:rFonts w:ascii="宋体" w:hAnsi="宋体"/>
                <w:color w:val="000000"/>
                <w:sz w:val="24"/>
              </w:rPr>
            </w:pPr>
            <w:r>
              <w:rPr>
                <w:rFonts w:hint="eastAsia" w:ascii="宋体" w:hAnsi="宋体"/>
                <w:color w:val="000000"/>
                <w:sz w:val="24"/>
              </w:rPr>
              <w:t>服务方案</w:t>
            </w:r>
          </w:p>
        </w:tc>
        <w:tc>
          <w:tcPr>
            <w:tcW w:w="402" w:type="pct"/>
            <w:noWrap w:val="0"/>
            <w:vAlign w:val="center"/>
          </w:tcPr>
          <w:p w14:paraId="6C653322">
            <w:pPr>
              <w:spacing w:line="276" w:lineRule="auto"/>
              <w:jc w:val="center"/>
              <w:rPr>
                <w:rFonts w:ascii="宋体" w:hAnsi="宋体"/>
                <w:color w:val="000000"/>
                <w:sz w:val="24"/>
              </w:rPr>
            </w:pPr>
            <w:r>
              <w:rPr>
                <w:rFonts w:hint="eastAsia" w:ascii="宋体" w:hAnsi="宋体"/>
                <w:color w:val="000000"/>
                <w:sz w:val="24"/>
              </w:rPr>
              <w:t>40</w:t>
            </w:r>
          </w:p>
        </w:tc>
        <w:tc>
          <w:tcPr>
            <w:tcW w:w="3793" w:type="pct"/>
            <w:noWrap w:val="0"/>
            <w:vAlign w:val="center"/>
          </w:tcPr>
          <w:p w14:paraId="574B1C99">
            <w:pPr>
              <w:spacing w:line="276" w:lineRule="auto"/>
              <w:rPr>
                <w:rFonts w:hint="eastAsia" w:ascii="宋体" w:hAnsi="宋体"/>
                <w:bCs/>
                <w:color w:val="000000"/>
                <w:sz w:val="24"/>
              </w:rPr>
            </w:pPr>
            <w:r>
              <w:rPr>
                <w:rFonts w:hint="eastAsia" w:ascii="宋体" w:hAnsi="宋体" w:cs="宋体"/>
                <w:color w:val="000000"/>
                <w:sz w:val="24"/>
              </w:rPr>
              <w:t>A</w:t>
            </w:r>
            <w:r>
              <w:rPr>
                <w:rFonts w:hint="eastAsia" w:ascii="宋体" w:hAnsi="宋体"/>
                <w:bCs/>
                <w:color w:val="000000"/>
                <w:sz w:val="24"/>
              </w:rPr>
              <w:t>、提出有针对性的管理服务设想（包括服务定位、服务宗旨、目标以及提高物业管理服务水平的整体设想）。方案内容完整，可行性强，思路清晰，有重难点，结合实际分析表述详尽的得</w:t>
            </w:r>
            <w:r>
              <w:rPr>
                <w:rFonts w:hint="eastAsia" w:ascii="宋体" w:hAnsi="宋体"/>
                <w:bCs/>
                <w:color w:val="000000"/>
                <w:sz w:val="24"/>
                <w:lang w:val="en-US" w:eastAsia="zh-CN"/>
              </w:rPr>
              <w:t>8</w:t>
            </w:r>
            <w:r>
              <w:rPr>
                <w:rFonts w:hint="eastAsia" w:ascii="宋体" w:hAnsi="宋体"/>
                <w:bCs/>
                <w:color w:val="000000"/>
                <w:sz w:val="24"/>
              </w:rPr>
              <w:t>分；方案内容完整，表述较为详尽，但可行性不强，没有侧重点的得</w:t>
            </w:r>
            <w:r>
              <w:rPr>
                <w:rFonts w:hint="eastAsia" w:ascii="宋体" w:hAnsi="宋体"/>
                <w:bCs/>
                <w:color w:val="000000"/>
                <w:sz w:val="24"/>
                <w:lang w:val="en-US" w:eastAsia="zh-CN"/>
              </w:rPr>
              <w:t>6</w:t>
            </w:r>
            <w:r>
              <w:rPr>
                <w:rFonts w:hint="eastAsia" w:ascii="宋体" w:hAnsi="宋体"/>
                <w:bCs/>
                <w:color w:val="000000"/>
                <w:sz w:val="24"/>
              </w:rPr>
              <w:t>分；方案内容不完整，思路不清晰，可行性不强的得</w:t>
            </w:r>
            <w:r>
              <w:rPr>
                <w:rFonts w:hint="eastAsia" w:ascii="宋体" w:hAnsi="宋体"/>
                <w:bCs/>
                <w:color w:val="000000"/>
                <w:sz w:val="24"/>
                <w:lang w:val="en-US" w:eastAsia="zh-CN"/>
              </w:rPr>
              <w:t>3</w:t>
            </w:r>
            <w:r>
              <w:rPr>
                <w:rFonts w:hint="eastAsia" w:ascii="宋体" w:hAnsi="宋体"/>
                <w:bCs/>
                <w:color w:val="000000"/>
                <w:sz w:val="24"/>
              </w:rPr>
              <w:t>分；未提供的不得分。</w:t>
            </w:r>
          </w:p>
          <w:p w14:paraId="2848CF2C">
            <w:pPr>
              <w:spacing w:line="276" w:lineRule="auto"/>
              <w:rPr>
                <w:rFonts w:hint="eastAsia" w:ascii="宋体" w:hAnsi="宋体"/>
                <w:bCs/>
                <w:color w:val="000000"/>
                <w:sz w:val="24"/>
              </w:rPr>
            </w:pPr>
            <w:r>
              <w:rPr>
                <w:rFonts w:hint="eastAsia" w:ascii="宋体" w:hAnsi="宋体"/>
                <w:bCs/>
                <w:color w:val="000000"/>
                <w:sz w:val="24"/>
              </w:rPr>
              <w:t>B、拟采取的管理方式、工作计划情况。有比较明确的管理方式、详细工作计划得</w:t>
            </w:r>
            <w:r>
              <w:rPr>
                <w:rFonts w:hint="eastAsia" w:ascii="宋体" w:hAnsi="宋体"/>
                <w:bCs/>
                <w:color w:val="000000"/>
                <w:sz w:val="24"/>
                <w:lang w:val="en-US" w:eastAsia="zh-CN"/>
              </w:rPr>
              <w:t>8</w:t>
            </w:r>
            <w:r>
              <w:rPr>
                <w:rFonts w:hint="eastAsia" w:ascii="宋体" w:hAnsi="宋体"/>
                <w:bCs/>
                <w:color w:val="000000"/>
                <w:sz w:val="24"/>
              </w:rPr>
              <w:t>分；有较明确管理方式，工作计划具体得</w:t>
            </w:r>
            <w:r>
              <w:rPr>
                <w:rFonts w:hint="eastAsia" w:ascii="宋体" w:hAnsi="宋体"/>
                <w:bCs/>
                <w:color w:val="000000"/>
                <w:sz w:val="24"/>
                <w:lang w:val="en-US" w:eastAsia="zh-CN"/>
              </w:rPr>
              <w:t>6</w:t>
            </w:r>
            <w:r>
              <w:rPr>
                <w:rFonts w:hint="eastAsia" w:ascii="宋体" w:hAnsi="宋体"/>
                <w:bCs/>
                <w:color w:val="000000"/>
                <w:sz w:val="24"/>
              </w:rPr>
              <w:t>分；有管理方式，工作计划不具体得</w:t>
            </w:r>
            <w:r>
              <w:rPr>
                <w:rFonts w:hint="eastAsia" w:ascii="宋体" w:hAnsi="宋体"/>
                <w:bCs/>
                <w:color w:val="000000"/>
                <w:sz w:val="24"/>
                <w:lang w:val="en-US" w:eastAsia="zh-CN"/>
              </w:rPr>
              <w:t>3</w:t>
            </w:r>
            <w:r>
              <w:rPr>
                <w:rFonts w:hint="eastAsia" w:ascii="宋体" w:hAnsi="宋体"/>
                <w:bCs/>
                <w:color w:val="000000"/>
                <w:sz w:val="24"/>
              </w:rPr>
              <w:t>分；未提供的不得分。</w:t>
            </w:r>
          </w:p>
          <w:p w14:paraId="1157A9DC">
            <w:pPr>
              <w:spacing w:line="276" w:lineRule="auto"/>
              <w:rPr>
                <w:rFonts w:hint="eastAsia" w:ascii="宋体" w:hAnsi="宋体"/>
                <w:bCs/>
                <w:color w:val="000000"/>
                <w:sz w:val="24"/>
              </w:rPr>
            </w:pPr>
            <w:r>
              <w:rPr>
                <w:rFonts w:hint="eastAsia" w:ascii="宋体" w:hAnsi="宋体"/>
                <w:bCs/>
                <w:color w:val="000000"/>
                <w:sz w:val="24"/>
              </w:rPr>
              <w:t>C、针对本项目物业服务的特点，制定符合项目运行实际的服务方案。针对本项目的服务特点、难点分析、服务方案完整、服务标准高的得</w:t>
            </w:r>
            <w:r>
              <w:rPr>
                <w:rFonts w:hint="eastAsia" w:ascii="宋体" w:hAnsi="宋体"/>
                <w:bCs/>
                <w:color w:val="000000"/>
                <w:sz w:val="24"/>
                <w:lang w:val="en-US" w:eastAsia="zh-CN"/>
              </w:rPr>
              <w:t>8</w:t>
            </w:r>
            <w:r>
              <w:rPr>
                <w:rFonts w:hint="eastAsia" w:ascii="宋体" w:hAnsi="宋体"/>
                <w:bCs/>
                <w:color w:val="000000"/>
                <w:sz w:val="24"/>
              </w:rPr>
              <w:t>分；针对本项目的服务特点、难点分析、服务方案较完整、服务标准较高的得</w:t>
            </w:r>
            <w:r>
              <w:rPr>
                <w:rFonts w:hint="eastAsia" w:ascii="宋体" w:hAnsi="宋体"/>
                <w:bCs/>
                <w:color w:val="000000"/>
                <w:sz w:val="24"/>
                <w:lang w:val="en-US" w:eastAsia="zh-CN"/>
              </w:rPr>
              <w:t>6</w:t>
            </w:r>
            <w:r>
              <w:rPr>
                <w:rFonts w:hint="eastAsia" w:ascii="宋体" w:hAnsi="宋体"/>
                <w:bCs/>
                <w:color w:val="000000"/>
                <w:sz w:val="24"/>
              </w:rPr>
              <w:t>分；针对本项目的服务特点、难点分析、服务方案一般、服务标准一般的得</w:t>
            </w:r>
            <w:r>
              <w:rPr>
                <w:rFonts w:hint="eastAsia" w:ascii="宋体" w:hAnsi="宋体"/>
                <w:bCs/>
                <w:color w:val="000000"/>
                <w:sz w:val="24"/>
                <w:lang w:val="en-US" w:eastAsia="zh-CN"/>
              </w:rPr>
              <w:t>3</w:t>
            </w:r>
            <w:r>
              <w:rPr>
                <w:rFonts w:hint="eastAsia" w:ascii="宋体" w:hAnsi="宋体"/>
                <w:bCs/>
                <w:color w:val="000000"/>
                <w:sz w:val="24"/>
              </w:rPr>
              <w:t>分；未提供的不得分。</w:t>
            </w:r>
          </w:p>
          <w:p w14:paraId="0562AF2B">
            <w:pPr>
              <w:spacing w:line="276" w:lineRule="auto"/>
              <w:rPr>
                <w:rFonts w:hint="eastAsia" w:ascii="宋体" w:hAnsi="宋体"/>
                <w:bCs/>
                <w:color w:val="000000"/>
                <w:sz w:val="24"/>
              </w:rPr>
            </w:pPr>
            <w:r>
              <w:rPr>
                <w:rFonts w:hint="eastAsia" w:ascii="宋体" w:hAnsi="宋体"/>
                <w:bCs/>
                <w:color w:val="000000"/>
                <w:sz w:val="24"/>
              </w:rPr>
              <w:t>D、针对应急方案横向比较，方案应包含：突发事件响应时间、应急处理、突发事件解决时间，能够充分说明保证在应急状况下所采取的措施、计划。方案合理、应急措施较完善、响应计划可行，突发事件解决时间、应急响应时间迅速的得</w:t>
            </w:r>
            <w:r>
              <w:rPr>
                <w:rFonts w:hint="eastAsia" w:ascii="宋体" w:hAnsi="宋体"/>
                <w:bCs/>
                <w:color w:val="000000"/>
                <w:sz w:val="24"/>
                <w:lang w:val="en-US" w:eastAsia="zh-CN"/>
              </w:rPr>
              <w:t>8</w:t>
            </w:r>
            <w:r>
              <w:rPr>
                <w:rFonts w:hint="eastAsia" w:ascii="宋体" w:hAnsi="宋体"/>
                <w:bCs/>
                <w:color w:val="000000"/>
                <w:sz w:val="24"/>
              </w:rPr>
              <w:t>分；方案基本合理、应急措施较完善、响应计划基本可行，突发事件解决时间、应急响应时间合理的得</w:t>
            </w:r>
            <w:r>
              <w:rPr>
                <w:rFonts w:hint="eastAsia" w:ascii="宋体" w:hAnsi="宋体"/>
                <w:bCs/>
                <w:color w:val="000000"/>
                <w:sz w:val="24"/>
                <w:lang w:val="en-US" w:eastAsia="zh-CN"/>
              </w:rPr>
              <w:t>6</w:t>
            </w:r>
            <w:r>
              <w:rPr>
                <w:rFonts w:hint="eastAsia" w:ascii="宋体" w:hAnsi="宋体"/>
                <w:bCs/>
                <w:color w:val="000000"/>
                <w:sz w:val="24"/>
              </w:rPr>
              <w:t>分；方案针对性、应急措施一般、应急响应时间较缓的得</w:t>
            </w:r>
            <w:r>
              <w:rPr>
                <w:rFonts w:hint="eastAsia" w:ascii="宋体" w:hAnsi="宋体"/>
                <w:bCs/>
                <w:color w:val="000000"/>
                <w:sz w:val="24"/>
                <w:lang w:val="en-US" w:eastAsia="zh-CN"/>
              </w:rPr>
              <w:t>3</w:t>
            </w:r>
            <w:r>
              <w:rPr>
                <w:rFonts w:hint="eastAsia" w:ascii="宋体" w:hAnsi="宋体"/>
                <w:bCs/>
                <w:color w:val="000000"/>
                <w:sz w:val="24"/>
              </w:rPr>
              <w:t>分；未提供的不得分。</w:t>
            </w:r>
          </w:p>
          <w:p w14:paraId="3326F04A">
            <w:pPr>
              <w:spacing w:line="276" w:lineRule="auto"/>
              <w:rPr>
                <w:rFonts w:ascii="宋体" w:hAnsi="宋体" w:cs="宋体"/>
                <w:color w:val="000000"/>
                <w:sz w:val="24"/>
              </w:rPr>
            </w:pPr>
            <w:r>
              <w:rPr>
                <w:rFonts w:hint="eastAsia" w:ascii="宋体" w:hAnsi="宋体"/>
                <w:bCs/>
                <w:color w:val="000000"/>
                <w:sz w:val="24"/>
              </w:rPr>
              <w:t>E、针对本项目的各项服务承诺，包括服务质量承诺、依法规范用工承诺、对发生各类安全事故善后处理承诺、临时保障服务承诺、人员权益承诺及应对履约期内各类风险承诺情况。提供承诺方案贴合实际、符合需求得</w:t>
            </w:r>
            <w:r>
              <w:rPr>
                <w:rFonts w:hint="eastAsia" w:ascii="宋体" w:hAnsi="宋体"/>
                <w:bCs/>
                <w:color w:val="000000"/>
                <w:sz w:val="24"/>
                <w:lang w:val="en-US" w:eastAsia="zh-CN"/>
              </w:rPr>
              <w:t>8</w:t>
            </w:r>
            <w:r>
              <w:rPr>
                <w:rFonts w:hint="eastAsia" w:ascii="宋体" w:hAnsi="宋体"/>
                <w:bCs/>
                <w:color w:val="000000"/>
                <w:sz w:val="24"/>
              </w:rPr>
              <w:t>分；提供承诺方案较贴合实际、较符合需求得</w:t>
            </w:r>
            <w:r>
              <w:rPr>
                <w:rFonts w:hint="eastAsia" w:ascii="宋体" w:hAnsi="宋体"/>
                <w:bCs/>
                <w:color w:val="000000"/>
                <w:sz w:val="24"/>
                <w:lang w:val="en-US" w:eastAsia="zh-CN"/>
              </w:rPr>
              <w:t>6</w:t>
            </w:r>
            <w:r>
              <w:rPr>
                <w:rFonts w:hint="eastAsia" w:ascii="宋体" w:hAnsi="宋体"/>
                <w:bCs/>
                <w:color w:val="000000"/>
                <w:sz w:val="24"/>
              </w:rPr>
              <w:t>分；提供承诺方案较贴合实际、实际需求一般得</w:t>
            </w:r>
            <w:r>
              <w:rPr>
                <w:rFonts w:hint="eastAsia" w:ascii="宋体" w:hAnsi="宋体"/>
                <w:bCs/>
                <w:color w:val="000000"/>
                <w:sz w:val="24"/>
                <w:lang w:val="en-US" w:eastAsia="zh-CN"/>
              </w:rPr>
              <w:t>3</w:t>
            </w:r>
            <w:r>
              <w:rPr>
                <w:rFonts w:hint="eastAsia" w:ascii="宋体" w:hAnsi="宋体"/>
                <w:bCs/>
                <w:color w:val="000000"/>
                <w:sz w:val="24"/>
              </w:rPr>
              <w:t>分；未提供的不得分。</w:t>
            </w:r>
          </w:p>
        </w:tc>
      </w:tr>
      <w:tr w14:paraId="506B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359" w:type="pct"/>
            <w:noWrap w:val="0"/>
            <w:vAlign w:val="center"/>
          </w:tcPr>
          <w:p w14:paraId="35DFC3A5">
            <w:pPr>
              <w:spacing w:line="276" w:lineRule="auto"/>
              <w:ind w:firstLine="120" w:firstLineChars="50"/>
              <w:rPr>
                <w:rFonts w:ascii="宋体" w:hAnsi="宋体"/>
                <w:color w:val="000000"/>
                <w:sz w:val="24"/>
              </w:rPr>
            </w:pPr>
            <w:r>
              <w:rPr>
                <w:rFonts w:hint="eastAsia" w:ascii="宋体" w:hAnsi="宋体"/>
                <w:color w:val="000000"/>
                <w:sz w:val="24"/>
              </w:rPr>
              <w:t>2</w:t>
            </w:r>
          </w:p>
        </w:tc>
        <w:tc>
          <w:tcPr>
            <w:tcW w:w="446" w:type="pct"/>
            <w:noWrap w:val="0"/>
            <w:vAlign w:val="center"/>
          </w:tcPr>
          <w:p w14:paraId="20C9BA0E">
            <w:pPr>
              <w:spacing w:line="276" w:lineRule="auto"/>
              <w:jc w:val="center"/>
              <w:rPr>
                <w:rFonts w:ascii="宋体" w:hAnsi="宋体"/>
                <w:color w:val="000000"/>
                <w:sz w:val="24"/>
              </w:rPr>
            </w:pPr>
            <w:r>
              <w:rPr>
                <w:rFonts w:hint="eastAsia" w:ascii="宋体" w:hAnsi="宋体"/>
                <w:color w:val="000000"/>
                <w:sz w:val="24"/>
              </w:rPr>
              <w:t>项目管理组织架构及管理机制</w:t>
            </w:r>
          </w:p>
        </w:tc>
        <w:tc>
          <w:tcPr>
            <w:tcW w:w="402" w:type="pct"/>
            <w:noWrap w:val="0"/>
            <w:vAlign w:val="center"/>
          </w:tcPr>
          <w:p w14:paraId="20B09B6C">
            <w:pPr>
              <w:spacing w:line="276" w:lineRule="auto"/>
              <w:ind w:firstLine="240" w:firstLineChars="100"/>
              <w:rPr>
                <w:rFonts w:ascii="宋体" w:hAnsi="宋体"/>
                <w:color w:val="000000"/>
                <w:sz w:val="24"/>
              </w:rPr>
            </w:pPr>
            <w:r>
              <w:rPr>
                <w:rFonts w:hint="eastAsia" w:ascii="宋体" w:hAnsi="宋体"/>
                <w:color w:val="000000"/>
                <w:sz w:val="24"/>
              </w:rPr>
              <w:t>15</w:t>
            </w:r>
          </w:p>
        </w:tc>
        <w:tc>
          <w:tcPr>
            <w:tcW w:w="3793" w:type="pct"/>
            <w:noWrap w:val="0"/>
            <w:vAlign w:val="center"/>
          </w:tcPr>
          <w:p w14:paraId="7CA3BC2A">
            <w:pPr>
              <w:spacing w:line="276" w:lineRule="auto"/>
              <w:rPr>
                <w:rFonts w:ascii="宋体" w:hAnsi="宋体" w:cs="宋体"/>
                <w:color w:val="000000"/>
                <w:sz w:val="24"/>
              </w:rPr>
            </w:pPr>
            <w:r>
              <w:rPr>
                <w:rFonts w:hint="eastAsia" w:ascii="宋体" w:hAnsi="宋体"/>
                <w:bCs/>
                <w:color w:val="000000"/>
                <w:sz w:val="24"/>
              </w:rPr>
              <w:t>A、针对本项目的各项员工管理制度、质量管理制度、员工绩效考核制度、信息反馈与沟通协调制度、操作规程等横向比较。方案的管理制度全面、标准高的得</w:t>
            </w:r>
            <w:r>
              <w:rPr>
                <w:rFonts w:hint="eastAsia" w:ascii="宋体" w:hAnsi="宋体"/>
                <w:bCs/>
                <w:color w:val="000000"/>
                <w:sz w:val="24"/>
                <w:lang w:val="en-US" w:eastAsia="zh-CN"/>
              </w:rPr>
              <w:t>5</w:t>
            </w:r>
            <w:r>
              <w:rPr>
                <w:rFonts w:hint="eastAsia" w:ascii="宋体" w:hAnsi="宋体"/>
                <w:bCs/>
                <w:color w:val="000000"/>
                <w:sz w:val="24"/>
              </w:rPr>
              <w:t>分；管理制度较全面、标准较高的得</w:t>
            </w:r>
            <w:r>
              <w:rPr>
                <w:rFonts w:hint="eastAsia" w:ascii="宋体" w:hAnsi="宋体"/>
                <w:bCs/>
                <w:color w:val="000000"/>
                <w:sz w:val="24"/>
                <w:lang w:val="en-US" w:eastAsia="zh-CN"/>
              </w:rPr>
              <w:t>3</w:t>
            </w:r>
            <w:r>
              <w:rPr>
                <w:rFonts w:hint="eastAsia" w:ascii="宋体" w:hAnsi="宋体"/>
                <w:bCs/>
                <w:color w:val="000000"/>
                <w:sz w:val="24"/>
              </w:rPr>
              <w:t>分；管理制度、标准一般的得</w:t>
            </w:r>
            <w:r>
              <w:rPr>
                <w:rFonts w:hint="eastAsia" w:ascii="宋体" w:hAnsi="宋体"/>
                <w:bCs/>
                <w:color w:val="000000"/>
                <w:sz w:val="24"/>
                <w:lang w:val="en-US" w:eastAsia="zh-CN"/>
              </w:rPr>
              <w:t>1</w:t>
            </w:r>
            <w:r>
              <w:rPr>
                <w:rFonts w:hint="eastAsia" w:ascii="宋体" w:hAnsi="宋体"/>
                <w:bCs/>
                <w:color w:val="000000"/>
                <w:sz w:val="24"/>
              </w:rPr>
              <w:t>分；未提供的不得分。</w:t>
            </w:r>
            <w:r>
              <w:rPr>
                <w:rFonts w:hint="eastAsia" w:ascii="宋体" w:hAnsi="宋体"/>
                <w:bCs/>
                <w:color w:val="000000"/>
                <w:sz w:val="24"/>
              </w:rPr>
              <w:br w:type="textWrapping"/>
            </w:r>
            <w:r>
              <w:rPr>
                <w:rFonts w:hint="eastAsia" w:ascii="宋体" w:hAnsi="宋体"/>
                <w:bCs/>
                <w:color w:val="000000"/>
                <w:sz w:val="24"/>
              </w:rPr>
              <w:t>B、提出合理的物业服务质量检查、验收方法和标准。方案内容完整，质量标准高，方法全面得</w:t>
            </w:r>
            <w:r>
              <w:rPr>
                <w:rFonts w:hint="eastAsia" w:ascii="宋体" w:hAnsi="宋体"/>
                <w:bCs/>
                <w:color w:val="000000"/>
                <w:sz w:val="24"/>
                <w:lang w:val="en-US" w:eastAsia="zh-CN"/>
              </w:rPr>
              <w:t>5</w:t>
            </w:r>
            <w:r>
              <w:rPr>
                <w:rFonts w:hint="eastAsia" w:ascii="宋体" w:hAnsi="宋体"/>
                <w:bCs/>
                <w:color w:val="000000"/>
                <w:sz w:val="24"/>
              </w:rPr>
              <w:t>分；有方案的，内容不完整、质量检查、验收方法和标准不明确的得</w:t>
            </w:r>
            <w:r>
              <w:rPr>
                <w:rFonts w:hint="eastAsia" w:ascii="宋体" w:hAnsi="宋体"/>
                <w:bCs/>
                <w:color w:val="000000"/>
                <w:sz w:val="24"/>
                <w:lang w:val="en-US" w:eastAsia="zh-CN"/>
              </w:rPr>
              <w:t>3</w:t>
            </w:r>
            <w:r>
              <w:rPr>
                <w:rFonts w:hint="eastAsia" w:ascii="宋体" w:hAnsi="宋体"/>
                <w:bCs/>
                <w:color w:val="000000"/>
                <w:sz w:val="24"/>
              </w:rPr>
              <w:t>分；有方案的，没有质量检查、验收方法和标准的得</w:t>
            </w:r>
            <w:r>
              <w:rPr>
                <w:rFonts w:hint="eastAsia" w:ascii="宋体" w:hAnsi="宋体"/>
                <w:bCs/>
                <w:color w:val="000000"/>
                <w:sz w:val="24"/>
                <w:lang w:val="en-US" w:eastAsia="zh-CN"/>
              </w:rPr>
              <w:t>1</w:t>
            </w:r>
            <w:r>
              <w:rPr>
                <w:rFonts w:hint="eastAsia" w:ascii="宋体" w:hAnsi="宋体"/>
                <w:bCs/>
                <w:color w:val="000000"/>
                <w:sz w:val="24"/>
              </w:rPr>
              <w:t>分；无方案不得分。</w:t>
            </w:r>
            <w:r>
              <w:rPr>
                <w:rFonts w:hint="eastAsia" w:ascii="宋体" w:hAnsi="宋体"/>
                <w:bCs/>
                <w:color w:val="000000"/>
                <w:sz w:val="24"/>
              </w:rPr>
              <w:br w:type="textWrapping"/>
            </w:r>
            <w:r>
              <w:rPr>
                <w:rFonts w:hint="eastAsia" w:ascii="宋体" w:hAnsi="宋体"/>
                <w:bCs/>
                <w:color w:val="000000"/>
                <w:sz w:val="24"/>
              </w:rPr>
              <w:t>C、有完善的岗前培训和在岗培训措施，培训方案完善且有针对性，有详细的年度培训计划。培训计划结合采购人实际，科学合理的得</w:t>
            </w:r>
            <w:r>
              <w:rPr>
                <w:rFonts w:hint="eastAsia" w:ascii="宋体" w:hAnsi="宋体"/>
                <w:bCs/>
                <w:color w:val="000000"/>
                <w:sz w:val="24"/>
                <w:lang w:val="en-US" w:eastAsia="zh-CN"/>
              </w:rPr>
              <w:t>5</w:t>
            </w:r>
            <w:r>
              <w:rPr>
                <w:rFonts w:hint="eastAsia" w:ascii="宋体" w:hAnsi="宋体"/>
                <w:bCs/>
                <w:color w:val="000000"/>
                <w:sz w:val="24"/>
              </w:rPr>
              <w:t>分；有岗前培训和在岗培训措施，但培训方案不够完善，有年度培训计划但计划没有结合实际的得</w:t>
            </w:r>
            <w:r>
              <w:rPr>
                <w:rFonts w:hint="eastAsia" w:ascii="宋体" w:hAnsi="宋体"/>
                <w:bCs/>
                <w:color w:val="000000"/>
                <w:sz w:val="24"/>
                <w:lang w:val="en-US" w:eastAsia="zh-CN"/>
              </w:rPr>
              <w:t>3</w:t>
            </w:r>
            <w:r>
              <w:rPr>
                <w:rFonts w:hint="eastAsia" w:ascii="宋体" w:hAnsi="宋体"/>
                <w:bCs/>
                <w:color w:val="000000"/>
                <w:sz w:val="24"/>
              </w:rPr>
              <w:t>分；有岗前培训和在岗培训措施，但无年度培训计划的得</w:t>
            </w:r>
            <w:r>
              <w:rPr>
                <w:rFonts w:hint="eastAsia" w:ascii="宋体" w:hAnsi="宋体"/>
                <w:bCs/>
                <w:color w:val="000000"/>
                <w:sz w:val="24"/>
                <w:lang w:val="en-US" w:eastAsia="zh-CN"/>
              </w:rPr>
              <w:t>1</w:t>
            </w:r>
            <w:r>
              <w:rPr>
                <w:rFonts w:hint="eastAsia" w:ascii="宋体" w:hAnsi="宋体"/>
                <w:bCs/>
                <w:color w:val="000000"/>
                <w:sz w:val="24"/>
              </w:rPr>
              <w:t>分；未提供的不得分。</w:t>
            </w:r>
          </w:p>
        </w:tc>
      </w:tr>
      <w:tr w14:paraId="7E9B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noWrap w:val="0"/>
            <w:vAlign w:val="center"/>
          </w:tcPr>
          <w:p w14:paraId="5ACE022D">
            <w:pPr>
              <w:spacing w:line="276" w:lineRule="auto"/>
              <w:jc w:val="center"/>
              <w:rPr>
                <w:rFonts w:ascii="宋体" w:hAnsi="宋体"/>
                <w:color w:val="000000"/>
                <w:sz w:val="24"/>
              </w:rPr>
            </w:pPr>
            <w:r>
              <w:rPr>
                <w:rFonts w:hint="eastAsia" w:ascii="宋体" w:hAnsi="宋体"/>
                <w:color w:val="000000"/>
                <w:sz w:val="24"/>
              </w:rPr>
              <w:t>3</w:t>
            </w:r>
          </w:p>
        </w:tc>
        <w:tc>
          <w:tcPr>
            <w:tcW w:w="446" w:type="pct"/>
            <w:noWrap w:val="0"/>
            <w:vAlign w:val="center"/>
          </w:tcPr>
          <w:p w14:paraId="21BF245B">
            <w:pPr>
              <w:spacing w:line="276" w:lineRule="auto"/>
              <w:jc w:val="center"/>
              <w:rPr>
                <w:rFonts w:ascii="宋体" w:hAnsi="宋体"/>
                <w:color w:val="000000"/>
                <w:sz w:val="24"/>
              </w:rPr>
            </w:pPr>
            <w:r>
              <w:rPr>
                <w:rFonts w:hint="eastAsia" w:ascii="宋体" w:hAnsi="宋体"/>
                <w:bCs/>
                <w:color w:val="000000"/>
                <w:sz w:val="24"/>
              </w:rPr>
              <w:t>投标人综合实力</w:t>
            </w:r>
          </w:p>
        </w:tc>
        <w:tc>
          <w:tcPr>
            <w:tcW w:w="402" w:type="pct"/>
            <w:noWrap w:val="0"/>
            <w:vAlign w:val="center"/>
          </w:tcPr>
          <w:p w14:paraId="3388D77E">
            <w:pPr>
              <w:spacing w:line="276" w:lineRule="auto"/>
              <w:jc w:val="center"/>
              <w:rPr>
                <w:rFonts w:ascii="宋体" w:hAnsi="宋体"/>
                <w:color w:val="000000"/>
                <w:sz w:val="24"/>
              </w:rPr>
            </w:pPr>
            <w:r>
              <w:rPr>
                <w:rFonts w:hint="eastAsia" w:ascii="宋体" w:hAnsi="宋体"/>
                <w:color w:val="000000"/>
                <w:sz w:val="24"/>
              </w:rPr>
              <w:t>15</w:t>
            </w:r>
          </w:p>
        </w:tc>
        <w:tc>
          <w:tcPr>
            <w:tcW w:w="3793" w:type="pct"/>
            <w:noWrap w:val="0"/>
            <w:vAlign w:val="center"/>
          </w:tcPr>
          <w:p w14:paraId="3B9C3F29">
            <w:pPr>
              <w:spacing w:line="276" w:lineRule="auto"/>
              <w:rPr>
                <w:rFonts w:ascii="宋体" w:hAnsi="宋体"/>
                <w:bCs/>
                <w:color w:val="000000"/>
                <w:sz w:val="24"/>
              </w:rPr>
            </w:pPr>
            <w:r>
              <w:rPr>
                <w:rFonts w:hint="eastAsia" w:ascii="宋体" w:hAnsi="宋体"/>
                <w:bCs/>
                <w:color w:val="000000"/>
                <w:sz w:val="24"/>
              </w:rPr>
              <w:t>1、投标人服务业绩：6分</w:t>
            </w:r>
          </w:p>
          <w:p w14:paraId="10E929B2">
            <w:pPr>
              <w:spacing w:line="276" w:lineRule="auto"/>
              <w:rPr>
                <w:rFonts w:ascii="宋体" w:hAnsi="宋体"/>
                <w:bCs/>
                <w:color w:val="000000"/>
                <w:sz w:val="24"/>
              </w:rPr>
            </w:pPr>
            <w:r>
              <w:rPr>
                <w:rFonts w:hint="eastAsia" w:ascii="宋体" w:hAnsi="宋体"/>
                <w:bCs/>
                <w:color w:val="000000"/>
                <w:sz w:val="24"/>
              </w:rPr>
              <w:t>20</w:t>
            </w:r>
            <w:r>
              <w:rPr>
                <w:rFonts w:hint="eastAsia" w:ascii="宋体" w:hAnsi="宋体"/>
                <w:bCs/>
                <w:color w:val="000000"/>
                <w:sz w:val="24"/>
                <w:lang w:val="en-US" w:eastAsia="zh-CN"/>
              </w:rPr>
              <w:t>21</w:t>
            </w:r>
            <w:r>
              <w:rPr>
                <w:rFonts w:hint="eastAsia" w:ascii="宋体" w:hAnsi="宋体"/>
                <w:bCs/>
                <w:color w:val="000000"/>
                <w:sz w:val="24"/>
              </w:rPr>
              <w:t>年以来提供投标人具有住宅类物业服务业绩，每有一项加2分，最多得6分。（需提供中标通知书、合同扫描件，以合同签订时间为准）</w:t>
            </w:r>
          </w:p>
          <w:p w14:paraId="0D9B53B5">
            <w:pPr>
              <w:spacing w:line="276" w:lineRule="auto"/>
              <w:rPr>
                <w:rFonts w:ascii="宋体" w:hAnsi="宋体"/>
                <w:bCs/>
                <w:color w:val="000000"/>
                <w:sz w:val="24"/>
              </w:rPr>
            </w:pPr>
            <w:r>
              <w:rPr>
                <w:rFonts w:hint="eastAsia" w:ascii="宋体" w:hAnsi="宋体"/>
                <w:bCs/>
                <w:color w:val="000000"/>
                <w:sz w:val="24"/>
              </w:rPr>
              <w:t>2、投标单位获奖情况：6分</w:t>
            </w:r>
          </w:p>
          <w:p w14:paraId="281FA722">
            <w:pPr>
              <w:spacing w:line="276" w:lineRule="auto"/>
              <w:rPr>
                <w:rFonts w:ascii="宋体" w:hAnsi="宋体"/>
                <w:bCs/>
                <w:color w:val="000000"/>
                <w:sz w:val="24"/>
              </w:rPr>
            </w:pPr>
            <w:r>
              <w:rPr>
                <w:rFonts w:hint="eastAsia" w:ascii="宋体" w:hAnsi="宋体"/>
                <w:bCs/>
                <w:color w:val="000000"/>
                <w:sz w:val="24"/>
              </w:rPr>
              <w:t>投标单位获得住宅类项目地市级及以上建设行政主管部门或房地产行政主管部门颁发的物业管理优秀项目荣誉的，地市级的每个得1分，省级的每个得2分，国家级的每个得3分，本项最高6分（同一项目只按获得的最高奖项计分，需提供获奖年份的物业合同及证书扫描件）</w:t>
            </w:r>
          </w:p>
          <w:p w14:paraId="3D579923">
            <w:pPr>
              <w:spacing w:line="276" w:lineRule="auto"/>
              <w:rPr>
                <w:rFonts w:ascii="宋体" w:hAnsi="宋体"/>
                <w:bCs/>
                <w:color w:val="000000"/>
                <w:sz w:val="24"/>
              </w:rPr>
            </w:pPr>
            <w:r>
              <w:rPr>
                <w:rFonts w:hint="eastAsia" w:ascii="宋体" w:hAnsi="宋体"/>
                <w:bCs/>
                <w:color w:val="000000"/>
                <w:sz w:val="24"/>
              </w:rPr>
              <w:t>3、标准体系认证：3分</w:t>
            </w:r>
          </w:p>
          <w:p w14:paraId="689A7C2F">
            <w:pPr>
              <w:spacing w:line="276" w:lineRule="auto"/>
              <w:rPr>
                <w:rFonts w:ascii="宋体" w:hAnsi="宋体"/>
                <w:bCs/>
                <w:color w:val="000000"/>
                <w:sz w:val="24"/>
              </w:rPr>
            </w:pPr>
            <w:r>
              <w:rPr>
                <w:rFonts w:hint="eastAsia" w:ascii="宋体" w:hAnsi="宋体"/>
                <w:bCs/>
                <w:color w:val="000000"/>
                <w:sz w:val="24"/>
              </w:rPr>
              <w:t>ISO9001质量管理体系认证证书得1分；</w:t>
            </w:r>
          </w:p>
          <w:p w14:paraId="7F4F9DD8">
            <w:pPr>
              <w:spacing w:line="276" w:lineRule="auto"/>
              <w:rPr>
                <w:rFonts w:ascii="宋体" w:hAnsi="宋体"/>
                <w:bCs/>
                <w:color w:val="000000"/>
                <w:sz w:val="24"/>
              </w:rPr>
            </w:pPr>
            <w:r>
              <w:rPr>
                <w:rFonts w:hint="eastAsia" w:ascii="宋体" w:hAnsi="宋体"/>
                <w:bCs/>
                <w:color w:val="000000"/>
                <w:sz w:val="24"/>
              </w:rPr>
              <w:t>ISO14001环境管理体系认证证书得1分；</w:t>
            </w:r>
          </w:p>
          <w:p w14:paraId="2366109B">
            <w:pPr>
              <w:spacing w:line="276" w:lineRule="auto"/>
              <w:rPr>
                <w:rFonts w:ascii="宋体" w:hAnsi="宋体"/>
                <w:bCs/>
                <w:color w:val="000000"/>
                <w:sz w:val="24"/>
              </w:rPr>
            </w:pPr>
            <w:r>
              <w:rPr>
                <w:rFonts w:hint="eastAsia" w:ascii="宋体" w:hAnsi="宋体"/>
                <w:bCs/>
                <w:color w:val="000000"/>
                <w:sz w:val="24"/>
              </w:rPr>
              <w:t>ISO45001职业健康安全体系认证证书得1分。</w:t>
            </w:r>
          </w:p>
        </w:tc>
      </w:tr>
    </w:tbl>
    <w:p w14:paraId="2B3FE0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75" w:afterAutospacing="0" w:line="420" w:lineRule="exact"/>
        <w:ind w:left="0" w:right="0" w:firstLine="420"/>
        <w:jc w:val="left"/>
        <w:textAlignment w:val="auto"/>
        <w:rPr>
          <w:rFonts w:hint="default"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备注：商务技术分不满</w:t>
      </w:r>
      <w:r>
        <w:rPr>
          <w:rFonts w:hint="eastAsia" w:ascii="Times New Roman" w:hAnsi="Times New Roman" w:cs="Times New Roman"/>
          <w:kern w:val="2"/>
          <w:sz w:val="24"/>
          <w:szCs w:val="24"/>
          <w:lang w:val="en-US" w:eastAsia="zh-CN" w:bidi="ar"/>
        </w:rPr>
        <w:t>35</w:t>
      </w:r>
      <w:r>
        <w:rPr>
          <w:rFonts w:hint="eastAsia" w:ascii="Times New Roman" w:hAnsi="Times New Roman" w:cs="Times New Roman" w:eastAsiaTheme="minorEastAsia"/>
          <w:kern w:val="2"/>
          <w:sz w:val="24"/>
          <w:szCs w:val="24"/>
          <w:lang w:val="en-US" w:eastAsia="zh-CN" w:bidi="ar"/>
        </w:rPr>
        <w:t>分的，作为无效投标处理。</w:t>
      </w:r>
    </w:p>
    <w:p w14:paraId="49EF20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75" w:afterAutospacing="0" w:line="420" w:lineRule="exact"/>
        <w:ind w:left="0" w:right="0" w:firstLine="420"/>
        <w:jc w:val="left"/>
        <w:textAlignment w:val="auto"/>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（三）价格评审（</w:t>
      </w:r>
      <w:r>
        <w:rPr>
          <w:rFonts w:hint="eastAsia" w:ascii="Times New Roman" w:hAnsi="Times New Roman" w:cs="Times New Roman"/>
          <w:kern w:val="2"/>
          <w:sz w:val="24"/>
          <w:szCs w:val="24"/>
          <w:lang w:val="en-US" w:eastAsia="zh-CN" w:bidi="ar"/>
        </w:rPr>
        <w:t>3</w:t>
      </w:r>
      <w:r>
        <w:rPr>
          <w:rFonts w:hint="eastAsia" w:ascii="Times New Roman" w:hAnsi="Times New Roman" w:cs="Times New Roman" w:eastAsiaTheme="minorEastAsia"/>
          <w:kern w:val="2"/>
          <w:sz w:val="24"/>
          <w:szCs w:val="24"/>
          <w:lang w:val="en-US" w:eastAsia="zh-CN" w:bidi="ar"/>
        </w:rPr>
        <w:t>0分）</w:t>
      </w:r>
    </w:p>
    <w:p w14:paraId="79B7FA66">
      <w:pPr>
        <w:adjustRightInd w:val="0"/>
        <w:snapToGrid w:val="0"/>
        <w:spacing w:line="500" w:lineRule="exact"/>
        <w:ind w:firstLine="480" w:firstLineChars="20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价格分统一采用低价优先法计算，即满足磋商文件要求且最后报价最低的供应商的价格为磋商基准价，其价格分为满分。其他供应商的价格分统一按照下列公式计算：</w:t>
      </w:r>
    </w:p>
    <w:p w14:paraId="0F49F9D0">
      <w:pPr>
        <w:autoSpaceDE w:val="0"/>
        <w:autoSpaceDN w:val="0"/>
        <w:adjustRightInd w:val="0"/>
        <w:snapToGrid w:val="0"/>
        <w:spacing w:line="500" w:lineRule="exact"/>
        <w:ind w:firstLine="56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磋商报价得分=（磋商基准价/最后磋商报价）×价格权值×100。</w:t>
      </w:r>
    </w:p>
    <w:p w14:paraId="72AC4625">
      <w:pPr>
        <w:adjustRightInd w:val="0"/>
        <w:snapToGrid w:val="0"/>
        <w:spacing w:line="500" w:lineRule="exact"/>
        <w:ind w:firstLine="480" w:firstLineChars="200"/>
        <w:textAlignment w:val="baseline"/>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w:t>
      </w:r>
      <w:r>
        <w:rPr>
          <w:rFonts w:hint="eastAsia" w:ascii="Times New Roman" w:hAnsi="Times New Roman" w:cs="Times New Roman"/>
          <w:kern w:val="2"/>
          <w:sz w:val="24"/>
          <w:szCs w:val="24"/>
          <w:lang w:val="en-US" w:eastAsia="zh-CN" w:bidi="ar"/>
        </w:rPr>
        <w:t>四</w:t>
      </w:r>
      <w:r>
        <w:rPr>
          <w:rFonts w:hint="eastAsia" w:ascii="Times New Roman" w:hAnsi="Times New Roman" w:cs="Times New Roman" w:eastAsiaTheme="minorEastAsia"/>
          <w:kern w:val="2"/>
          <w:sz w:val="24"/>
          <w:szCs w:val="24"/>
          <w:lang w:val="en-US" w:eastAsia="zh-CN" w:bidi="ar"/>
        </w:rPr>
        <w:t>）政府采购政策功能落实</w:t>
      </w:r>
    </w:p>
    <w:p w14:paraId="471B73D5">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1、小微型企业价格扣除</w:t>
      </w:r>
    </w:p>
    <w:p w14:paraId="4304328F">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（1）本项目对小型和微型企业产品给予10%的扣除价格，用扣除后的价格参与评审。</w:t>
      </w:r>
    </w:p>
    <w:p w14:paraId="44EE20E2">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（2）供应商需按照《政府采购促进中小企业发展管理办法》（财库﹝2020﹞46 号）的规定提供相应的《中小企业声明函》。</w:t>
      </w:r>
    </w:p>
    <w:p w14:paraId="02F64A98">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（3）企业标准请参照《关于印发中小企业划型标准规定的通知》（工信部联企业[2011]300号）文件规定自行填写。</w:t>
      </w:r>
    </w:p>
    <w:p w14:paraId="6B0F7E38">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2、残疾人福利单位价格扣除</w:t>
      </w:r>
    </w:p>
    <w:p w14:paraId="25C03ABC">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（1）本项目对残疾人福利性单位，给予10%的价格扣除，用扣除后的价格参与评审。</w:t>
      </w:r>
    </w:p>
    <w:p w14:paraId="505474D8">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（2）残疾人福利单位需按照采购文件的要求提供《残疾人福利性单位声明函》。</w:t>
      </w:r>
    </w:p>
    <w:p w14:paraId="0BC4BD0B">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（3）残疾人福利单位标准请参照《关于促进残疾人就业政府采购政策的通知》（财库〔2017〕141号）。</w:t>
      </w:r>
    </w:p>
    <w:p w14:paraId="50BEFA6B">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3、监狱和戒毒企业价格扣除</w:t>
      </w:r>
    </w:p>
    <w:p w14:paraId="37CA0229">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（1）本项目对监狱和戒毒企业（简称监狱企业）给予10%的价格扣除，用扣除后的价格参与评审。</w:t>
      </w:r>
    </w:p>
    <w:p w14:paraId="0F79E639">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（2）监狱企业参加政府采购活动时，需提供由省级以上监狱管理局、戒毒管理局(含新疆生产建设兵团)出具的属于监狱企业的证明文件。供应商如不提供上述证明文件，价格将不做相应扣除。</w:t>
      </w:r>
    </w:p>
    <w:p w14:paraId="38F9FAEE">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（3）监狱企业标准请参照《关于政府采购支持监狱企业发展有关问题的通知》（财库[2014]68号）。</w:t>
      </w:r>
    </w:p>
    <w:p w14:paraId="09157931">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4、残疾人福利单位、监狱企业属于小型、微型企业的，不重复享受政策。</w:t>
      </w:r>
    </w:p>
    <w:p w14:paraId="249DA10B">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56E06997">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6、联合体各方均为小型、微型企业（残疾人福利单位、监狱企业）的，联合体享受上述同类价格扣除，用扣除后的价格参与评审。</w:t>
      </w:r>
    </w:p>
    <w:p w14:paraId="3C40CE33">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kern w:val="2"/>
          <w:sz w:val="24"/>
          <w:szCs w:val="24"/>
          <w:lang w:val="en-US" w:eastAsia="zh-CN" w:bidi="ar"/>
        </w:rPr>
        <w:t>7</w:t>
      </w:r>
      <w:r>
        <w:rPr>
          <w:rFonts w:hint="eastAsia" w:ascii="Times New Roman" w:hAnsi="Times New Roman" w:cs="Times New Roman" w:eastAsiaTheme="minorEastAsia"/>
          <w:kern w:val="2"/>
          <w:sz w:val="24"/>
          <w:szCs w:val="24"/>
          <w:lang w:val="en-US" w:eastAsia="zh-CN" w:bidi="ar"/>
        </w:rPr>
        <w:t>、根据《江苏省政府采购信用管理暂行办法》的规定，供应商信用评价结果为三星的扣2分，评价结果为二星的扣3分，评价结果为一星的扣4分。</w:t>
      </w:r>
    </w:p>
    <w:p w14:paraId="11C43AC9">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8、专门面向中小企业采购的项目或者采购包，不再执行价格评审优惠的扶持政策。</w:t>
      </w:r>
    </w:p>
    <w:p w14:paraId="6FB50D49">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w:t>
      </w:r>
      <w:r>
        <w:rPr>
          <w:rFonts w:hint="eastAsia" w:ascii="Times New Roman" w:hAnsi="Times New Roman" w:cs="Times New Roman"/>
          <w:kern w:val="2"/>
          <w:sz w:val="24"/>
          <w:szCs w:val="24"/>
          <w:lang w:val="en-US" w:eastAsia="zh-CN" w:bidi="ar"/>
        </w:rPr>
        <w:t>五</w:t>
      </w:r>
      <w:r>
        <w:rPr>
          <w:rFonts w:hint="eastAsia" w:ascii="Times New Roman" w:hAnsi="Times New Roman" w:cs="Times New Roman" w:eastAsiaTheme="minorEastAsia"/>
          <w:kern w:val="2"/>
          <w:sz w:val="24"/>
          <w:szCs w:val="24"/>
          <w:lang w:val="en-US" w:eastAsia="zh-CN" w:bidi="ar"/>
        </w:rPr>
        <w:t>）成交供应商的确定</w:t>
      </w:r>
    </w:p>
    <w:p w14:paraId="78E1F518">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磋商小组汇总各评委评分后，综合评审得分最高的供应商为成交候选供应商，若总得分者有相同时，则投标报价低者排名优先，均相同时则通过抽签方式随机确定排名顺序。</w:t>
      </w:r>
    </w:p>
    <w:p w14:paraId="25BC1B8D">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本项目（每标段）选取1名成交候选供应商，并编写评标报告。采购人应根据磋商小组推荐的成交候选供应商确定成交供应商。</w:t>
      </w:r>
    </w:p>
    <w:p w14:paraId="29F38F50">
      <w:pPr>
        <w:adjustRightInd w:val="0"/>
        <w:snapToGrid w:val="0"/>
        <w:spacing w:line="500" w:lineRule="exact"/>
        <w:ind w:firstLine="475" w:firstLineChars="198"/>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w:t>
      </w:r>
      <w:r>
        <w:rPr>
          <w:rFonts w:hint="eastAsia" w:ascii="Times New Roman" w:hAnsi="Times New Roman" w:cs="Times New Roman"/>
          <w:kern w:val="2"/>
          <w:sz w:val="24"/>
          <w:szCs w:val="24"/>
          <w:lang w:val="en-US" w:eastAsia="zh-CN" w:bidi="ar"/>
        </w:rPr>
        <w:t>六</w:t>
      </w:r>
      <w:r>
        <w:rPr>
          <w:rFonts w:hint="eastAsia" w:ascii="Times New Roman" w:hAnsi="Times New Roman" w:cs="Times New Roman" w:eastAsiaTheme="minorEastAsia"/>
          <w:kern w:val="2"/>
          <w:sz w:val="24"/>
          <w:szCs w:val="24"/>
          <w:lang w:val="en-US" w:eastAsia="zh-CN" w:bidi="ar"/>
        </w:rPr>
        <w:t>）公告成交结果</w:t>
      </w:r>
    </w:p>
    <w:p w14:paraId="627D1736">
      <w:pPr>
        <w:adjustRightInd w:val="0"/>
        <w:snapToGrid w:val="0"/>
        <w:spacing w:line="500" w:lineRule="exact"/>
        <w:ind w:firstLine="57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自确定成交供应商之日起2个工作日内，在</w:t>
      </w:r>
      <w:r>
        <w:rPr>
          <w:rFonts w:hint="eastAsia" w:ascii="Times New Roman" w:hAnsi="Times New Roman" w:cs="Times New Roman"/>
          <w:kern w:val="2"/>
          <w:sz w:val="24"/>
          <w:szCs w:val="24"/>
          <w:lang w:val="en-US" w:eastAsia="zh-CN" w:bidi="ar"/>
        </w:rPr>
        <w:t>启东市人民政府网</w:t>
      </w:r>
      <w:r>
        <w:rPr>
          <w:rFonts w:hint="eastAsia" w:ascii="Times New Roman" w:hAnsi="Times New Roman" w:cs="Times New Roman" w:eastAsiaTheme="minorEastAsia"/>
          <w:kern w:val="2"/>
          <w:sz w:val="24"/>
          <w:szCs w:val="24"/>
          <w:lang w:val="en-US" w:eastAsia="zh-CN" w:bidi="ar"/>
        </w:rPr>
        <w:t>公告成交结果，公告期限为1个工作日。</w:t>
      </w:r>
    </w:p>
    <w:p w14:paraId="01095C12">
      <w:pPr>
        <w:adjustRightInd w:val="0"/>
        <w:snapToGrid w:val="0"/>
        <w:spacing w:line="500" w:lineRule="exact"/>
        <w:ind w:firstLine="480" w:firstLineChars="20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w:t>
      </w:r>
      <w:r>
        <w:rPr>
          <w:rFonts w:hint="eastAsia" w:ascii="Times New Roman" w:hAnsi="Times New Roman" w:cs="Times New Roman"/>
          <w:kern w:val="2"/>
          <w:sz w:val="24"/>
          <w:szCs w:val="24"/>
          <w:lang w:val="en-US" w:eastAsia="zh-CN" w:bidi="ar"/>
        </w:rPr>
        <w:t>七</w:t>
      </w:r>
      <w:r>
        <w:rPr>
          <w:rFonts w:hint="eastAsia" w:ascii="Times New Roman" w:hAnsi="Times New Roman" w:cs="Times New Roman" w:eastAsiaTheme="minorEastAsia"/>
          <w:kern w:val="2"/>
          <w:sz w:val="24"/>
          <w:szCs w:val="24"/>
          <w:lang w:val="en-US" w:eastAsia="zh-CN" w:bidi="ar"/>
        </w:rPr>
        <w:t>）发放成交通知书</w:t>
      </w:r>
    </w:p>
    <w:p w14:paraId="5235FF3D">
      <w:pPr>
        <w:adjustRightInd w:val="0"/>
        <w:snapToGrid w:val="0"/>
        <w:spacing w:line="500" w:lineRule="exact"/>
        <w:ind w:firstLine="480" w:firstLineChars="20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公告成交结果的同时，向成交供应商发放成交通知书。</w:t>
      </w:r>
    </w:p>
    <w:p w14:paraId="2A6402C5">
      <w:pPr>
        <w:adjustRightInd w:val="0"/>
        <w:snapToGrid w:val="0"/>
        <w:spacing w:line="500" w:lineRule="exact"/>
        <w:ind w:firstLine="480" w:firstLineChars="200"/>
        <w:rPr>
          <w:rFonts w:hint="eastAsia" w:ascii="Times New Roman" w:hAnsi="Times New Roman" w:cs="Times New Roman" w:eastAsiaTheme="minorEastAsia"/>
          <w:kern w:val="2"/>
          <w:sz w:val="24"/>
          <w:szCs w:val="24"/>
          <w:lang w:val="en-US" w:eastAsia="zh-CN" w:bidi="ar"/>
        </w:rPr>
      </w:pPr>
      <w:r>
        <w:rPr>
          <w:rFonts w:hint="eastAsia" w:ascii="Times New Roman" w:hAnsi="Times New Roman" w:cs="Times New Roman" w:eastAsiaTheme="minorEastAsia"/>
          <w:kern w:val="2"/>
          <w:sz w:val="24"/>
          <w:szCs w:val="24"/>
          <w:lang w:val="en-US" w:eastAsia="zh-CN" w:bidi="ar"/>
        </w:rPr>
        <w:t>成交通知书发出后，采购人不得违法改变成交结果，成交供应商无正当理由不得放弃成交。</w:t>
      </w:r>
    </w:p>
    <w:p w14:paraId="5516B77D">
      <w:pPr>
        <w:adjustRightInd w:val="0"/>
        <w:snapToGrid w:val="0"/>
        <w:spacing w:line="500" w:lineRule="exact"/>
        <w:ind w:firstLine="475" w:firstLineChars="198"/>
        <w:rPr>
          <w:rFonts w:hint="eastAsia" w:ascii="Times New Roman" w:hAnsi="Times New Roman" w:cs="Times New Roman" w:eastAsiaTheme="minorEastAsia"/>
          <w:kern w:val="2"/>
          <w:sz w:val="24"/>
          <w:szCs w:val="24"/>
          <w:lang w:val="en-US" w:eastAsia="zh-CN" w:bidi="ar"/>
        </w:rPr>
      </w:pPr>
    </w:p>
    <w:p w14:paraId="36266C66">
      <w:pPr>
        <w:adjustRightInd w:val="0"/>
        <w:snapToGrid w:val="0"/>
        <w:spacing w:line="500" w:lineRule="exact"/>
        <w:jc w:val="center"/>
        <w:outlineLvl w:val="0"/>
        <w:rPr>
          <w:rFonts w:hint="eastAsia" w:ascii="方正小标宋_GBK" w:hAnsi="宋体" w:eastAsia="方正小标宋_GBK"/>
          <w:bCs/>
          <w:sz w:val="36"/>
          <w:szCs w:val="36"/>
        </w:rPr>
        <w:sectPr>
          <w:pgSz w:w="11906" w:h="16838"/>
          <w:pgMar w:top="1440" w:right="1519" w:bottom="1440" w:left="1519" w:header="851" w:footer="992" w:gutter="0"/>
          <w:cols w:space="425" w:num="1"/>
          <w:docGrid w:type="lines" w:linePitch="312" w:charSpace="0"/>
        </w:sectPr>
      </w:pPr>
    </w:p>
    <w:p w14:paraId="225E8CA8">
      <w:pPr>
        <w:adjustRightInd w:val="0"/>
        <w:snapToGrid w:val="0"/>
        <w:spacing w:line="500" w:lineRule="exact"/>
        <w:jc w:val="center"/>
        <w:outlineLvl w:val="0"/>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第五部分  响应文件格式</w:t>
      </w:r>
    </w:p>
    <w:p w14:paraId="5B1B1E6B">
      <w:pPr>
        <w:widowControl/>
        <w:snapToGrid w:val="0"/>
        <w:spacing w:before="100" w:beforeAutospacing="1" w:after="100" w:afterAutospacing="1" w:line="360" w:lineRule="auto"/>
        <w:ind w:firstLine="482" w:firstLineChars="200"/>
        <w:contextualSpacing/>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响应文件由资格审查证明材料、价格响应文件、技术商务响应文件三部分组成</w:t>
      </w:r>
      <w:r>
        <w:rPr>
          <w:rFonts w:hint="eastAsia" w:ascii="宋体" w:hAnsi="宋体" w:eastAsia="宋体" w:cs="宋体"/>
          <w:kern w:val="0"/>
          <w:sz w:val="24"/>
          <w:szCs w:val="24"/>
        </w:rPr>
        <w:t>。</w:t>
      </w:r>
    </w:p>
    <w:p w14:paraId="42F30D32">
      <w:pPr>
        <w:widowControl/>
        <w:snapToGrid w:val="0"/>
        <w:spacing w:before="100" w:beforeAutospacing="1" w:after="100" w:afterAutospacing="1" w:line="360" w:lineRule="auto"/>
        <w:ind w:firstLine="482" w:firstLineChars="200"/>
        <w:contextualSpacing/>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一、资格审查证明材料(单独密封)：</w:t>
      </w:r>
    </w:p>
    <w:p w14:paraId="5D0A0DA2">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lang w:val="zh-CN"/>
        </w:rPr>
        <w:t>1.</w:t>
      </w:r>
      <w:r>
        <w:rPr>
          <w:rFonts w:hint="eastAsia" w:ascii="Times New Roman" w:hAnsi="Times New Roman" w:eastAsia="宋体" w:cs="Times New Roman"/>
          <w:color w:val="000000"/>
          <w:kern w:val="0"/>
          <w:sz w:val="24"/>
          <w:szCs w:val="24"/>
        </w:rPr>
        <w:t>投标人符合《政府采购法》第二十二条规定条件的声明函</w:t>
      </w:r>
      <w:r>
        <w:rPr>
          <w:rFonts w:ascii="Times New Roman" w:hAnsi="Times New Roman" w:eastAsia="宋体" w:cs="Times New Roman"/>
          <w:color w:val="000000"/>
          <w:kern w:val="0"/>
          <w:sz w:val="24"/>
          <w:szCs w:val="24"/>
          <w:lang w:val="zh-CN"/>
        </w:rPr>
        <w:t>（格式见附件1）</w:t>
      </w:r>
      <w:r>
        <w:rPr>
          <w:rFonts w:hint="eastAsia" w:ascii="Times New Roman" w:hAnsi="Times New Roman" w:eastAsia="宋体" w:cs="Times New Roman"/>
          <w:color w:val="000000"/>
          <w:kern w:val="0"/>
          <w:sz w:val="24"/>
          <w:szCs w:val="24"/>
          <w:lang w:val="zh-CN"/>
        </w:rPr>
        <w:t>（如分公司参加投标的，另需提供总公司的授权证明）</w:t>
      </w:r>
      <w:r>
        <w:rPr>
          <w:rFonts w:ascii="Times New Roman" w:hAnsi="Times New Roman" w:eastAsia="宋体" w:cs="Times New Roman"/>
          <w:color w:val="000000"/>
          <w:kern w:val="0"/>
          <w:sz w:val="24"/>
          <w:szCs w:val="24"/>
          <w:lang w:val="zh-CN"/>
        </w:rPr>
        <w:t>；</w:t>
      </w:r>
    </w:p>
    <w:p w14:paraId="7BCBA220">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rPr>
        <w:t>2</w:t>
      </w:r>
      <w:r>
        <w:rPr>
          <w:rFonts w:ascii="Times New Roman" w:hAnsi="Times New Roman" w:eastAsia="宋体" w:cs="Times New Roman"/>
          <w:color w:val="000000"/>
          <w:kern w:val="0"/>
          <w:sz w:val="24"/>
          <w:szCs w:val="24"/>
          <w:lang w:val="zh-CN"/>
        </w:rPr>
        <w:t>.法定代表人身份证明书（格式见附件2）</w:t>
      </w:r>
      <w:r>
        <w:rPr>
          <w:rFonts w:hint="eastAsia" w:ascii="Times New Roman" w:hAnsi="Times New Roman" w:eastAsia="宋体" w:cs="Times New Roman"/>
          <w:color w:val="000000"/>
          <w:kern w:val="0"/>
          <w:sz w:val="24"/>
          <w:szCs w:val="24"/>
          <w:lang w:val="zh-CN"/>
        </w:rPr>
        <w:t>及法人或者其他组织的营业执照等证明文件，自然人参加的提供身份证明</w:t>
      </w:r>
      <w:r>
        <w:rPr>
          <w:rFonts w:ascii="Times New Roman" w:hAnsi="Times New Roman" w:eastAsia="宋体" w:cs="Times New Roman"/>
          <w:color w:val="000000"/>
          <w:kern w:val="0"/>
          <w:sz w:val="24"/>
          <w:szCs w:val="24"/>
          <w:lang w:val="zh-CN"/>
        </w:rPr>
        <w:t>；</w:t>
      </w:r>
    </w:p>
    <w:p w14:paraId="7448FDF3">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lang w:val="zh-CN"/>
        </w:rPr>
        <w:t>.法定代表人授权委托书原件（格式见附件3</w:t>
      </w:r>
      <w:r>
        <w:rPr>
          <w:rFonts w:hint="eastAsia" w:ascii="Times New Roman" w:hAnsi="Times New Roman" w:eastAsia="宋体" w:cs="Times New Roman"/>
          <w:color w:val="000000"/>
          <w:kern w:val="0"/>
          <w:sz w:val="24"/>
          <w:szCs w:val="24"/>
          <w:lang w:val="zh-CN"/>
        </w:rPr>
        <w:t>，法定代表人参加的，无需提供授权委托书</w:t>
      </w:r>
      <w:r>
        <w:rPr>
          <w:rFonts w:ascii="Times New Roman" w:hAnsi="Times New Roman" w:eastAsia="宋体" w:cs="Times New Roman"/>
          <w:color w:val="000000"/>
          <w:kern w:val="0"/>
          <w:sz w:val="24"/>
          <w:szCs w:val="24"/>
          <w:lang w:val="zh-CN"/>
        </w:rPr>
        <w:t>），磋商代表本人身份证复印件；</w:t>
      </w:r>
    </w:p>
    <w:p w14:paraId="0CB58E12">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rPr>
        <w:t>4.</w:t>
      </w:r>
      <w:r>
        <w:rPr>
          <w:rFonts w:hint="eastAsia" w:ascii="Times New Roman" w:hAnsi="Times New Roman" w:eastAsia="宋体" w:cs="Times New Roman"/>
          <w:color w:val="000000"/>
          <w:kern w:val="0"/>
          <w:sz w:val="24"/>
          <w:szCs w:val="24"/>
          <w:lang w:val="zh-CN"/>
        </w:rPr>
        <w:t>供应商信用承诺书（格式见附件</w:t>
      </w:r>
      <w:r>
        <w:rPr>
          <w:rFonts w:ascii="Times New Roman" w:hAnsi="Times New Roman" w:eastAsia="宋体" w:cs="Times New Roman"/>
          <w:color w:val="000000"/>
          <w:kern w:val="0"/>
          <w:sz w:val="24"/>
          <w:szCs w:val="24"/>
        </w:rPr>
        <w:t>4</w:t>
      </w:r>
      <w:r>
        <w:rPr>
          <w:rFonts w:hint="eastAsia" w:ascii="Times New Roman" w:hAnsi="Times New Roman" w:eastAsia="宋体" w:cs="Times New Roman"/>
          <w:color w:val="000000"/>
          <w:kern w:val="0"/>
          <w:sz w:val="24"/>
          <w:szCs w:val="24"/>
          <w:lang w:val="zh-CN"/>
        </w:rPr>
        <w:t>）；</w:t>
      </w:r>
    </w:p>
    <w:p w14:paraId="7806704A">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ascii="Times New Roman" w:hAnsi="Times New Roman" w:eastAsia="宋体" w:cs="Times New Roman"/>
          <w:color w:val="000000"/>
          <w:kern w:val="0"/>
          <w:sz w:val="24"/>
          <w:szCs w:val="24"/>
        </w:rPr>
        <w:t>5</w:t>
      </w:r>
      <w:r>
        <w:rPr>
          <w:rFonts w:hint="eastAsia"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lang w:val="zh-CN"/>
        </w:rPr>
        <w:t>磋商响应函（格式见附件</w:t>
      </w:r>
      <w:r>
        <w:rPr>
          <w:rFonts w:ascii="Times New Roman" w:hAnsi="Times New Roman" w:eastAsia="宋体" w:cs="Times New Roman"/>
          <w:color w:val="000000"/>
          <w:kern w:val="0"/>
          <w:sz w:val="24"/>
          <w:szCs w:val="24"/>
        </w:rPr>
        <w:t>5</w:t>
      </w:r>
      <w:r>
        <w:rPr>
          <w:rFonts w:hint="eastAsia" w:ascii="Times New Roman" w:hAnsi="Times New Roman" w:eastAsia="宋体" w:cs="Times New Roman"/>
          <w:color w:val="000000"/>
          <w:kern w:val="0"/>
          <w:sz w:val="24"/>
          <w:szCs w:val="24"/>
          <w:lang w:val="zh-CN"/>
        </w:rPr>
        <w:t>）；</w:t>
      </w:r>
    </w:p>
    <w:p w14:paraId="72B8BFC6">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r>
        <w:rPr>
          <w:rFonts w:hint="eastAsia" w:ascii="Times New Roman" w:hAnsi="Times New Roman" w:eastAsia="宋体" w:cs="Times New Roman"/>
          <w:color w:val="000000"/>
          <w:kern w:val="0"/>
          <w:sz w:val="24"/>
          <w:szCs w:val="24"/>
          <w:lang w:val="en-US" w:eastAsia="zh-CN"/>
        </w:rPr>
        <w:t>.</w:t>
      </w:r>
      <w:r>
        <w:rPr>
          <w:rFonts w:ascii="Times New Roman" w:hAnsi="Times New Roman" w:eastAsia="宋体" w:cs="Times New Roman"/>
          <w:color w:val="000000"/>
          <w:kern w:val="0"/>
          <w:sz w:val="24"/>
          <w:szCs w:val="24"/>
        </w:rPr>
        <w:t>其它需要提交的资格审查证明材料。</w:t>
      </w:r>
    </w:p>
    <w:p w14:paraId="0ADCA2F6">
      <w:pPr>
        <w:widowControl/>
        <w:snapToGrid w:val="0"/>
        <w:spacing w:before="100" w:beforeAutospacing="1" w:after="100" w:afterAutospacing="1" w:line="360" w:lineRule="auto"/>
        <w:ind w:firstLine="482" w:firstLineChars="200"/>
        <w:contextualSpacing/>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二、价格响应文件(单独密封，不得出现在技术商务响应文件部分)：</w:t>
      </w:r>
    </w:p>
    <w:p w14:paraId="5128B9A5">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1、磋商响应报价表；</w:t>
      </w:r>
    </w:p>
    <w:p w14:paraId="048B07D9">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2、磋商响应报价明细表。</w:t>
      </w:r>
    </w:p>
    <w:p w14:paraId="24305E73">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en-US" w:eastAsia="zh-CN"/>
        </w:rPr>
        <w:t>3、</w:t>
      </w:r>
      <w:r>
        <w:rPr>
          <w:rFonts w:ascii="Times New Roman" w:hAnsi="Times New Roman" w:eastAsia="宋体" w:cs="Times New Roman"/>
          <w:color w:val="000000"/>
          <w:kern w:val="0"/>
          <w:sz w:val="24"/>
          <w:szCs w:val="24"/>
        </w:rPr>
        <w:t>中小企业声明函（格式见附件9）</w:t>
      </w:r>
      <w:r>
        <w:rPr>
          <w:rFonts w:hint="eastAsia" w:ascii="Times New Roman" w:hAnsi="Times New Roman" w:eastAsia="宋体" w:cs="Times New Roman"/>
          <w:color w:val="000000"/>
          <w:kern w:val="0"/>
          <w:sz w:val="24"/>
          <w:szCs w:val="24"/>
        </w:rPr>
        <w:t>；</w:t>
      </w:r>
    </w:p>
    <w:p w14:paraId="2C0466EA">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4、</w:t>
      </w:r>
      <w:r>
        <w:rPr>
          <w:rFonts w:ascii="Times New Roman" w:hAnsi="Times New Roman" w:eastAsia="宋体" w:cs="Times New Roman"/>
          <w:color w:val="000000"/>
          <w:kern w:val="0"/>
          <w:sz w:val="24"/>
          <w:szCs w:val="24"/>
        </w:rPr>
        <w:t>残疾人福利性单位声明函（格式见附件10）</w:t>
      </w:r>
      <w:r>
        <w:rPr>
          <w:rFonts w:hint="eastAsia" w:ascii="Times New Roman" w:hAnsi="Times New Roman" w:eastAsia="宋体" w:cs="Times New Roman"/>
          <w:color w:val="000000"/>
          <w:kern w:val="0"/>
          <w:sz w:val="24"/>
          <w:szCs w:val="24"/>
        </w:rPr>
        <w:t>；</w:t>
      </w:r>
    </w:p>
    <w:p w14:paraId="49A8BA13">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b/>
          <w:color w:val="000000"/>
          <w:kern w:val="0"/>
          <w:sz w:val="24"/>
          <w:szCs w:val="24"/>
        </w:rPr>
      </w:pPr>
      <w:r>
        <w:rPr>
          <w:rFonts w:hint="eastAsia" w:ascii="Times New Roman" w:hAnsi="Times New Roman" w:eastAsia="宋体" w:cs="Times New Roman"/>
          <w:color w:val="000000"/>
          <w:kern w:val="0"/>
          <w:sz w:val="24"/>
          <w:szCs w:val="24"/>
          <w:lang w:val="en-US" w:eastAsia="zh-CN"/>
        </w:rPr>
        <w:t>5、</w:t>
      </w:r>
      <w:r>
        <w:rPr>
          <w:rFonts w:ascii="Times New Roman" w:hAnsi="Times New Roman" w:eastAsia="宋体" w:cs="Times New Roman"/>
          <w:color w:val="000000"/>
          <w:kern w:val="0"/>
          <w:sz w:val="24"/>
          <w:szCs w:val="24"/>
        </w:rPr>
        <w:t>监狱和戒毒企业证明材料（格式见附件11）</w:t>
      </w:r>
      <w:r>
        <w:rPr>
          <w:rFonts w:hint="eastAsia" w:ascii="Times New Roman" w:hAnsi="Times New Roman" w:eastAsia="宋体" w:cs="Times New Roman"/>
          <w:color w:val="000000"/>
          <w:kern w:val="0"/>
          <w:sz w:val="24"/>
          <w:szCs w:val="24"/>
        </w:rPr>
        <w:t>。</w:t>
      </w:r>
    </w:p>
    <w:p w14:paraId="7B62146D">
      <w:pPr>
        <w:widowControl/>
        <w:snapToGrid w:val="0"/>
        <w:spacing w:before="100" w:beforeAutospacing="1" w:after="100" w:afterAutospacing="1" w:line="360" w:lineRule="auto"/>
        <w:ind w:firstLine="482" w:firstLineChars="200"/>
        <w:contextualSpacing/>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三、技术商务响应文件（不得出现报价。单独密封）：</w:t>
      </w:r>
    </w:p>
    <w:p w14:paraId="250D820E">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en-US" w:eastAsia="zh-CN"/>
        </w:rPr>
        <w:t>1、</w:t>
      </w:r>
      <w:r>
        <w:rPr>
          <w:rFonts w:ascii="Times New Roman" w:hAnsi="Times New Roman" w:eastAsia="宋体" w:cs="Times New Roman"/>
          <w:color w:val="000000"/>
          <w:kern w:val="0"/>
          <w:sz w:val="24"/>
          <w:szCs w:val="24"/>
          <w:lang w:val="zh-CN"/>
        </w:rPr>
        <w:t>商务部分正负偏离表（格式见附件6）；</w:t>
      </w:r>
    </w:p>
    <w:p w14:paraId="61BFCDEE">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en-US" w:eastAsia="zh-CN"/>
        </w:rPr>
        <w:t>2、</w:t>
      </w:r>
      <w:r>
        <w:rPr>
          <w:rFonts w:ascii="Times New Roman" w:hAnsi="Times New Roman" w:eastAsia="宋体" w:cs="Times New Roman"/>
          <w:color w:val="000000"/>
          <w:kern w:val="0"/>
          <w:sz w:val="24"/>
          <w:szCs w:val="24"/>
          <w:lang w:val="zh-CN"/>
        </w:rPr>
        <w:t>技术部分正负偏离表（格式见附件7）；</w:t>
      </w:r>
    </w:p>
    <w:p w14:paraId="5086E291">
      <w:pPr>
        <w:widowControl/>
        <w:snapToGrid w:val="0"/>
        <w:spacing w:before="100" w:beforeAutospacing="1" w:after="100" w:afterAutospacing="1" w:line="360" w:lineRule="auto"/>
        <w:ind w:firstLine="480" w:firstLineChars="200"/>
        <w:contextualSpacing/>
        <w:jc w:val="left"/>
        <w:rPr>
          <w:rFonts w:hint="eastAsia"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填制正负偏离表，完全响应的，请以空白表列示。不完全响应的，必须在偏离表中列示；列示不全的，视同故意隐瞒。</w:t>
      </w:r>
    </w:p>
    <w:p w14:paraId="7DD4F67D">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ascii="Times New Roman" w:hAnsi="Times New Roman" w:eastAsia="宋体" w:cs="Times New Roman"/>
          <w:color w:val="000000"/>
          <w:kern w:val="0"/>
          <w:sz w:val="24"/>
          <w:szCs w:val="24"/>
        </w:rPr>
        <w:t>、技术商务部分评标办法中要求提供的全部资料。</w:t>
      </w:r>
    </w:p>
    <w:p w14:paraId="1AF157F4">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请供应商按评审办法中所涉及的事项顺序进行编制，可以补充相关材料。</w:t>
      </w:r>
    </w:p>
    <w:p w14:paraId="421115E7">
      <w:pPr>
        <w:widowControl/>
        <w:snapToGrid w:val="0"/>
        <w:spacing w:before="100" w:beforeAutospacing="1" w:after="100" w:afterAutospacing="1" w:line="360" w:lineRule="auto"/>
        <w:ind w:firstLine="480" w:firstLineChars="200"/>
        <w:contextualSpacing/>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4</w:t>
      </w:r>
      <w:r>
        <w:rPr>
          <w:rFonts w:ascii="Times New Roman" w:hAnsi="Times New Roman" w:eastAsia="宋体" w:cs="Times New Roman"/>
          <w:color w:val="000000"/>
          <w:kern w:val="0"/>
          <w:sz w:val="24"/>
          <w:szCs w:val="24"/>
        </w:rPr>
        <w:t>、评审办法中未涉及的事项，供应商认为需要提交的其他资料。</w:t>
      </w:r>
    </w:p>
    <w:p w14:paraId="6F755329">
      <w:pPr>
        <w:adjustRightInd w:val="0"/>
        <w:snapToGrid w:val="0"/>
        <w:spacing w:line="500" w:lineRule="exact"/>
        <w:rPr>
          <w:rFonts w:eastAsia="方正仿宋_GBK"/>
          <w:kern w:val="0"/>
          <w:sz w:val="28"/>
          <w:szCs w:val="28"/>
          <w:lang w:val="zh-CN"/>
        </w:rPr>
      </w:pPr>
    </w:p>
    <w:p w14:paraId="2F24C1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center"/>
        <w:textAlignment w:val="auto"/>
        <w:rPr>
          <w:rFonts w:hint="eastAsia" w:ascii="宋体" w:hAnsi="宋体" w:eastAsia="宋体" w:cs="宋体"/>
          <w:b/>
          <w:bCs/>
          <w:i w:val="0"/>
          <w:iCs w:val="0"/>
          <w:caps w:val="0"/>
          <w:color w:val="auto"/>
          <w:spacing w:val="0"/>
          <w:sz w:val="32"/>
          <w:szCs w:val="32"/>
          <w:shd w:val="clear" w:fill="FFFFFF"/>
        </w:rPr>
        <w:sectPr>
          <w:pgSz w:w="11906" w:h="16838"/>
          <w:pgMar w:top="1440" w:right="1519" w:bottom="1440" w:left="1519" w:header="851" w:footer="992" w:gutter="0"/>
          <w:cols w:space="425" w:num="1"/>
          <w:docGrid w:type="lines" w:linePitch="312" w:charSpace="0"/>
        </w:sectPr>
      </w:pPr>
    </w:p>
    <w:p w14:paraId="2544CCCC">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附件1</w:t>
      </w:r>
    </w:p>
    <w:p w14:paraId="1AD38578">
      <w:pPr>
        <w:jc w:val="center"/>
        <w:rPr>
          <w:rFonts w:hint="eastAsia" w:ascii="宋体" w:hAnsi="宋体"/>
          <w:b/>
          <w:color w:val="000000"/>
          <w:sz w:val="30"/>
          <w:szCs w:val="30"/>
        </w:rPr>
      </w:pPr>
      <w:r>
        <w:rPr>
          <w:rFonts w:hint="eastAsia" w:ascii="宋体" w:hAnsi="宋体"/>
          <w:b/>
          <w:color w:val="000000"/>
          <w:sz w:val="30"/>
          <w:szCs w:val="30"/>
        </w:rPr>
        <w:t>投标人符合《政府采购法》第二十二条规定条件的声明函</w:t>
      </w:r>
    </w:p>
    <w:p w14:paraId="2AF0EDEB">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08276520">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szCs w:val="21"/>
          <w:u w:val="single"/>
        </w:rPr>
        <w:t>________________ _</w:t>
      </w:r>
      <w:r>
        <w:rPr>
          <w:rFonts w:hint="eastAsia" w:ascii="宋体" w:hAnsi="宋体"/>
          <w:bCs/>
          <w:color w:val="000000"/>
          <w:sz w:val="24"/>
          <w:szCs w:val="21"/>
        </w:rPr>
        <w:t>（项目名称），</w:t>
      </w:r>
      <w:r>
        <w:rPr>
          <w:rFonts w:hint="eastAsia" w:ascii="宋体" w:hAnsi="宋体"/>
          <w:bCs/>
          <w:color w:val="000000"/>
          <w:sz w:val="24"/>
          <w:szCs w:val="21"/>
          <w:u w:val="single"/>
        </w:rPr>
        <w:t>_______ __________</w:t>
      </w:r>
      <w:r>
        <w:rPr>
          <w:rFonts w:hint="eastAsia" w:ascii="宋体" w:hAnsi="宋体"/>
          <w:bCs/>
          <w:color w:val="000000"/>
          <w:sz w:val="24"/>
          <w:szCs w:val="21"/>
        </w:rPr>
        <w:t>（项目编号）投标活动。针对《中华人民共和国政府采购法》第二十二条规定做出如下声明：</w:t>
      </w:r>
    </w:p>
    <w:p w14:paraId="05787A0C">
      <w:pPr>
        <w:spacing w:line="520" w:lineRule="exact"/>
        <w:ind w:firstLine="482"/>
        <w:rPr>
          <w:rFonts w:hint="eastAsia" w:ascii="宋体" w:hAnsi="宋体"/>
          <w:color w:val="000000"/>
          <w:sz w:val="24"/>
        </w:rPr>
      </w:pPr>
      <w:r>
        <w:rPr>
          <w:rFonts w:hint="eastAsia" w:ascii="宋体" w:hAnsi="宋体"/>
          <w:bCs/>
          <w:color w:val="000000"/>
          <w:sz w:val="24"/>
          <w:szCs w:val="21"/>
        </w:rPr>
        <w:t>1.我单位具有独立承担民事责任的能力；</w:t>
      </w:r>
    </w:p>
    <w:p w14:paraId="4A9808CD">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14:paraId="2C6BA260">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14:paraId="0AABDCA9">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14:paraId="2A0FC55D">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063EA">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14:paraId="2B1E6D01">
      <w:pPr>
        <w:spacing w:line="500" w:lineRule="exact"/>
        <w:ind w:firstLine="482"/>
        <w:rPr>
          <w:rFonts w:hint="eastAsia" w:ascii="宋体" w:hAnsi="宋体"/>
          <w:color w:val="000000"/>
          <w:sz w:val="24"/>
        </w:rPr>
      </w:pPr>
    </w:p>
    <w:p w14:paraId="1883C760">
      <w:pPr>
        <w:spacing w:line="500" w:lineRule="exact"/>
        <w:rPr>
          <w:rFonts w:hint="eastAsia" w:ascii="宋体" w:hAnsi="宋体"/>
          <w:color w:val="000000"/>
          <w:sz w:val="24"/>
        </w:rPr>
      </w:pPr>
    </w:p>
    <w:p w14:paraId="6AEDB537">
      <w:pPr>
        <w:spacing w:line="500" w:lineRule="exact"/>
        <w:rPr>
          <w:rFonts w:hint="eastAsia" w:ascii="宋体" w:hAnsi="宋体"/>
          <w:bCs/>
          <w:color w:val="000000"/>
          <w:sz w:val="24"/>
          <w:szCs w:val="21"/>
        </w:rPr>
      </w:pPr>
    </w:p>
    <w:p w14:paraId="21973B32">
      <w:pPr>
        <w:spacing w:line="500" w:lineRule="exact"/>
        <w:rPr>
          <w:rFonts w:hint="eastAsia" w:ascii="宋体" w:hAnsi="宋体"/>
          <w:bCs/>
          <w:color w:val="000000"/>
          <w:sz w:val="24"/>
          <w:szCs w:val="21"/>
        </w:rPr>
      </w:pPr>
    </w:p>
    <w:p w14:paraId="7F0EDDE6">
      <w:pPr>
        <w:spacing w:line="500" w:lineRule="exact"/>
        <w:rPr>
          <w:rFonts w:hint="eastAsia" w:ascii="宋体" w:hAnsi="宋体"/>
          <w:bCs/>
          <w:color w:val="000000"/>
          <w:sz w:val="24"/>
          <w:szCs w:val="21"/>
        </w:rPr>
      </w:pPr>
    </w:p>
    <w:p w14:paraId="5BA2816C">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14:paraId="57669E34">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w:t>
      </w:r>
    </w:p>
    <w:p w14:paraId="10142222">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11FF4E19">
      <w:pPr>
        <w:snapToGrid w:val="0"/>
        <w:spacing w:line="400" w:lineRule="exact"/>
        <w:ind w:firstLine="540" w:firstLineChars="192"/>
        <w:contextualSpacing/>
        <w:rPr>
          <w:rFonts w:hint="eastAsia" w:ascii="宋体" w:hAnsi="宋体" w:cs="宋体"/>
          <w:b/>
          <w:kern w:val="0"/>
          <w:sz w:val="28"/>
          <w:szCs w:val="28"/>
        </w:rPr>
      </w:pPr>
    </w:p>
    <w:p w14:paraId="75C96858">
      <w:pPr>
        <w:snapToGrid w:val="0"/>
        <w:spacing w:line="400" w:lineRule="exact"/>
        <w:ind w:firstLine="540" w:firstLineChars="192"/>
        <w:contextualSpacing/>
        <w:rPr>
          <w:rFonts w:hint="eastAsia" w:ascii="宋体" w:hAnsi="宋体" w:cs="宋体"/>
          <w:b/>
          <w:kern w:val="0"/>
          <w:sz w:val="28"/>
          <w:szCs w:val="28"/>
          <w:lang w:val="zh-CN"/>
        </w:rPr>
      </w:pPr>
    </w:p>
    <w:p w14:paraId="2CF0E77B">
      <w:pPr>
        <w:snapToGrid w:val="0"/>
        <w:spacing w:line="400" w:lineRule="exact"/>
        <w:contextualSpacing/>
        <w:rPr>
          <w:rFonts w:hint="eastAsia" w:ascii="宋体" w:hAnsi="宋体" w:cs="宋体"/>
          <w:b/>
          <w:kern w:val="0"/>
          <w:sz w:val="28"/>
          <w:szCs w:val="28"/>
          <w:lang w:val="zh-CN"/>
        </w:rPr>
      </w:pPr>
    </w:p>
    <w:p w14:paraId="59FA83E1">
      <w:pPr>
        <w:snapToGrid w:val="0"/>
        <w:spacing w:line="400" w:lineRule="exact"/>
        <w:contextualSpacing/>
        <w:rPr>
          <w:rFonts w:eastAsia="方正黑体_GBK"/>
          <w:kern w:val="0"/>
          <w:sz w:val="32"/>
          <w:szCs w:val="32"/>
          <w:lang w:val="zh-CN"/>
        </w:rPr>
        <w:sectPr>
          <w:pgSz w:w="11906" w:h="16838"/>
          <w:pgMar w:top="1440" w:right="1519" w:bottom="1440" w:left="1519" w:header="851" w:footer="992" w:gutter="0"/>
          <w:cols w:space="425" w:num="1"/>
          <w:docGrid w:type="lines" w:linePitch="312" w:charSpace="0"/>
        </w:sectPr>
      </w:pPr>
    </w:p>
    <w:p w14:paraId="08AA56AF">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附件2</w:t>
      </w:r>
    </w:p>
    <w:p w14:paraId="7F0FD651">
      <w:pPr>
        <w:spacing w:line="560" w:lineRule="exact"/>
        <w:jc w:val="center"/>
        <w:rPr>
          <w:rFonts w:ascii="宋体" w:hAnsi="宋体"/>
          <w:b/>
          <w:bCs/>
          <w:sz w:val="32"/>
          <w:szCs w:val="32"/>
        </w:rPr>
      </w:pPr>
      <w:r>
        <w:rPr>
          <w:rFonts w:hint="eastAsia" w:ascii="宋体" w:hAnsi="宋体"/>
          <w:b/>
          <w:bCs/>
          <w:sz w:val="32"/>
          <w:szCs w:val="32"/>
        </w:rPr>
        <w:t>法定代表人身份证明</w:t>
      </w:r>
    </w:p>
    <w:p w14:paraId="3FD5E3C3">
      <w:pPr>
        <w:spacing w:line="480" w:lineRule="exact"/>
        <w:rPr>
          <w:rFonts w:ascii="宋体" w:hAnsi="宋体"/>
          <w:sz w:val="24"/>
        </w:rPr>
      </w:pPr>
    </w:p>
    <w:p w14:paraId="2C5BB1FA">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r>
        <w:rPr>
          <w:rFonts w:ascii="宋体" w:hAnsi="宋体"/>
          <w:sz w:val="24"/>
          <w:u w:val="single"/>
        </w:rPr>
        <w:t xml:space="preserve">             </w:t>
      </w:r>
    </w:p>
    <w:p w14:paraId="144E8BB3">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14:paraId="73307365">
      <w:pPr>
        <w:spacing w:line="480" w:lineRule="exact"/>
        <w:ind w:firstLine="480"/>
        <w:rPr>
          <w:rFonts w:ascii="宋体" w:hAnsi="宋体"/>
          <w:sz w:val="24"/>
        </w:rPr>
      </w:pPr>
    </w:p>
    <w:p w14:paraId="18ABF91F">
      <w:pPr>
        <w:spacing w:after="120"/>
        <w:rPr>
          <w:szCs w:val="20"/>
        </w:rPr>
      </w:pPr>
    </w:p>
    <w:p w14:paraId="618A314D">
      <w:pPr>
        <w:adjustRightInd w:val="0"/>
        <w:spacing w:line="480" w:lineRule="auto"/>
        <w:ind w:left="3255" w:leftChars="1550" w:firstLine="210" w:firstLineChars="100"/>
        <w:rPr>
          <w:rFonts w:hint="eastAsia" w:ascii="宋体" w:hAnsi="宋体"/>
          <w:sz w:val="24"/>
        </w:rPr>
      </w:pPr>
      <w:r>
        <w:rPr>
          <w:rFonts w:hint="eastAsia"/>
        </w:rPr>
        <w:t xml:space="preserve">             </w:t>
      </w:r>
      <w:r>
        <w:rPr>
          <w:rFonts w:hint="eastAsia" w:ascii="宋体" w:hAnsi="宋体"/>
          <w:sz w:val="24"/>
        </w:rPr>
        <w:t>单位名称(盖公章)：</w:t>
      </w:r>
      <w:r>
        <w:rPr>
          <w:rFonts w:ascii="宋体" w:hAnsi="宋体"/>
          <w:sz w:val="24"/>
          <w:u w:val="single"/>
        </w:rPr>
        <w:t xml:space="preserve">               </w:t>
      </w:r>
      <w:r>
        <w:rPr>
          <w:rFonts w:hint="eastAsia" w:ascii="宋体" w:hAnsi="宋体"/>
          <w:sz w:val="24"/>
        </w:rPr>
        <w:t xml:space="preserve">   </w:t>
      </w:r>
    </w:p>
    <w:p w14:paraId="704D1662">
      <w:pPr>
        <w:adjustRightInd w:val="0"/>
        <w:spacing w:line="480" w:lineRule="auto"/>
        <w:ind w:firstLine="3840" w:firstLineChars="1600"/>
        <w:rPr>
          <w:rFonts w:hint="eastAsia" w:ascii="宋体" w:hAnsi="宋体"/>
          <w:sz w:val="24"/>
        </w:rPr>
      </w:pPr>
      <w:r>
        <w:rPr>
          <w:rFonts w:hint="eastAsia" w:ascii="宋体" w:hAnsi="宋体"/>
          <w:sz w:val="24"/>
        </w:rPr>
        <w:t>日 期：     年   月   日</w:t>
      </w:r>
    </w:p>
    <w:p w14:paraId="26C1793D"/>
    <w:p w14:paraId="5412B9FD">
      <w:pPr>
        <w:widowControl/>
        <w:spacing w:line="360" w:lineRule="auto"/>
        <w:rPr>
          <w:rFonts w:hint="eastAsia" w:ascii="仿宋" w:hAnsi="仿宋" w:eastAsia="仿宋" w:cs="仿宋"/>
          <w:b/>
          <w:bCs/>
          <w:kern w:val="0"/>
          <w:sz w:val="28"/>
          <w:szCs w:val="28"/>
        </w:rPr>
      </w:pPr>
      <w:r>
        <w:rPr>
          <w:rFonts w:hint="eastAsia" w:ascii="宋体" w:hAnsi="宋体"/>
          <w:b/>
          <w:sz w:val="24"/>
        </w:rPr>
        <w:t>附：法定代表人的身份证复印件盖单位公章</w:t>
      </w:r>
    </w:p>
    <w:p w14:paraId="15792D01">
      <w:pPr>
        <w:spacing w:line="600" w:lineRule="exact"/>
        <w:rPr>
          <w:rFonts w:ascii="宋体" w:hAnsi="宋体"/>
          <w:b/>
          <w:sz w:val="24"/>
        </w:rPr>
      </w:pPr>
    </w:p>
    <w:p w14:paraId="771212DC">
      <w:pPr>
        <w:spacing w:line="480" w:lineRule="exact"/>
        <w:ind w:firstLine="480" w:firstLineChars="200"/>
        <w:rPr>
          <w:rFonts w:eastAsia="仿宋_GB2312"/>
          <w:sz w:val="24"/>
        </w:rPr>
      </w:pPr>
    </w:p>
    <w:p w14:paraId="667D37BA"/>
    <w:p w14:paraId="1F326977">
      <w:pPr>
        <w:snapToGrid w:val="0"/>
        <w:spacing w:line="400" w:lineRule="exact"/>
        <w:ind w:firstLine="540" w:firstLineChars="192"/>
        <w:contextualSpacing/>
        <w:rPr>
          <w:rFonts w:hint="eastAsia" w:ascii="宋体" w:hAnsi="宋体" w:cs="宋体"/>
          <w:b/>
          <w:kern w:val="0"/>
          <w:sz w:val="28"/>
          <w:szCs w:val="28"/>
        </w:rPr>
      </w:pPr>
    </w:p>
    <w:p w14:paraId="2ED7E311">
      <w:pPr>
        <w:snapToGrid w:val="0"/>
        <w:spacing w:line="400" w:lineRule="exact"/>
        <w:ind w:firstLine="540" w:firstLineChars="192"/>
        <w:contextualSpacing/>
        <w:rPr>
          <w:rFonts w:hint="eastAsia" w:ascii="宋体" w:hAnsi="宋体" w:cs="宋体"/>
          <w:b/>
          <w:kern w:val="0"/>
          <w:sz w:val="28"/>
          <w:szCs w:val="28"/>
          <w:lang w:val="zh-CN"/>
        </w:rPr>
      </w:pPr>
    </w:p>
    <w:p w14:paraId="6C05D832">
      <w:pPr>
        <w:snapToGrid w:val="0"/>
        <w:spacing w:line="400" w:lineRule="exact"/>
        <w:ind w:firstLine="540" w:firstLineChars="192"/>
        <w:contextualSpacing/>
        <w:rPr>
          <w:rFonts w:hint="eastAsia" w:ascii="宋体" w:hAnsi="宋体" w:cs="宋体"/>
          <w:b/>
          <w:kern w:val="0"/>
          <w:sz w:val="28"/>
          <w:szCs w:val="28"/>
          <w:lang w:val="zh-CN"/>
        </w:rPr>
      </w:pPr>
    </w:p>
    <w:p w14:paraId="02BA45E8">
      <w:pPr>
        <w:snapToGrid w:val="0"/>
        <w:spacing w:line="400" w:lineRule="exact"/>
        <w:ind w:firstLine="540" w:firstLineChars="192"/>
        <w:contextualSpacing/>
        <w:rPr>
          <w:rFonts w:hint="eastAsia" w:ascii="宋体" w:hAnsi="宋体" w:cs="宋体"/>
          <w:b/>
          <w:kern w:val="0"/>
          <w:sz w:val="28"/>
          <w:szCs w:val="28"/>
          <w:lang w:val="zh-CN"/>
        </w:rPr>
      </w:pPr>
    </w:p>
    <w:p w14:paraId="4BE5A9A9">
      <w:pPr>
        <w:snapToGrid w:val="0"/>
        <w:spacing w:line="400" w:lineRule="exact"/>
        <w:ind w:firstLine="540" w:firstLineChars="192"/>
        <w:contextualSpacing/>
        <w:rPr>
          <w:rFonts w:hint="eastAsia" w:ascii="宋体" w:hAnsi="宋体" w:cs="宋体"/>
          <w:b/>
          <w:kern w:val="0"/>
          <w:sz w:val="28"/>
          <w:szCs w:val="28"/>
          <w:lang w:val="zh-CN"/>
        </w:rPr>
      </w:pPr>
    </w:p>
    <w:p w14:paraId="20EE7571">
      <w:pPr>
        <w:snapToGrid w:val="0"/>
        <w:spacing w:line="400" w:lineRule="exact"/>
        <w:ind w:firstLine="540" w:firstLineChars="192"/>
        <w:contextualSpacing/>
        <w:rPr>
          <w:rFonts w:hint="eastAsia" w:ascii="宋体" w:hAnsi="宋体" w:cs="宋体"/>
          <w:b/>
          <w:kern w:val="0"/>
          <w:sz w:val="28"/>
          <w:szCs w:val="28"/>
          <w:lang w:val="zh-CN"/>
        </w:rPr>
      </w:pPr>
    </w:p>
    <w:p w14:paraId="461C03F2">
      <w:pPr>
        <w:snapToGrid w:val="0"/>
        <w:spacing w:line="400" w:lineRule="exact"/>
        <w:ind w:firstLine="540" w:firstLineChars="192"/>
        <w:contextualSpacing/>
        <w:rPr>
          <w:rFonts w:hint="eastAsia" w:ascii="宋体" w:hAnsi="宋体" w:cs="宋体"/>
          <w:b/>
          <w:kern w:val="0"/>
          <w:sz w:val="28"/>
          <w:szCs w:val="28"/>
          <w:lang w:val="zh-CN"/>
        </w:rPr>
      </w:pPr>
    </w:p>
    <w:p w14:paraId="5829C75D">
      <w:pPr>
        <w:snapToGrid w:val="0"/>
        <w:spacing w:line="400" w:lineRule="exact"/>
        <w:ind w:firstLine="540" w:firstLineChars="192"/>
        <w:contextualSpacing/>
        <w:rPr>
          <w:rFonts w:hint="eastAsia" w:ascii="宋体" w:hAnsi="宋体" w:cs="宋体"/>
          <w:b/>
          <w:kern w:val="0"/>
          <w:sz w:val="28"/>
          <w:szCs w:val="28"/>
          <w:lang w:val="zh-CN"/>
        </w:rPr>
      </w:pPr>
    </w:p>
    <w:p w14:paraId="4E276B5C">
      <w:pPr>
        <w:snapToGrid w:val="0"/>
        <w:spacing w:line="400" w:lineRule="exact"/>
        <w:ind w:firstLine="540" w:firstLineChars="192"/>
        <w:contextualSpacing/>
        <w:rPr>
          <w:rFonts w:hint="eastAsia" w:ascii="宋体" w:hAnsi="宋体" w:cs="宋体"/>
          <w:b/>
          <w:kern w:val="0"/>
          <w:sz w:val="28"/>
          <w:szCs w:val="28"/>
          <w:lang w:val="zh-CN"/>
        </w:rPr>
      </w:pPr>
    </w:p>
    <w:p w14:paraId="3C5AD1AD">
      <w:pPr>
        <w:snapToGrid w:val="0"/>
        <w:spacing w:line="400" w:lineRule="exact"/>
        <w:ind w:firstLine="540" w:firstLineChars="192"/>
        <w:contextualSpacing/>
        <w:rPr>
          <w:rFonts w:hint="eastAsia" w:ascii="宋体" w:hAnsi="宋体" w:cs="宋体"/>
          <w:b/>
          <w:kern w:val="0"/>
          <w:sz w:val="28"/>
          <w:szCs w:val="28"/>
          <w:lang w:val="zh-CN"/>
        </w:rPr>
      </w:pPr>
    </w:p>
    <w:p w14:paraId="4AA43347">
      <w:pPr>
        <w:snapToGrid w:val="0"/>
        <w:spacing w:line="400" w:lineRule="exact"/>
        <w:ind w:firstLine="540" w:firstLineChars="192"/>
        <w:contextualSpacing/>
        <w:rPr>
          <w:rFonts w:hint="eastAsia" w:ascii="宋体" w:hAnsi="宋体" w:cs="宋体"/>
          <w:b/>
          <w:kern w:val="0"/>
          <w:sz w:val="28"/>
          <w:szCs w:val="28"/>
          <w:lang w:val="zh-CN"/>
        </w:rPr>
      </w:pPr>
    </w:p>
    <w:p w14:paraId="09898952">
      <w:pPr>
        <w:snapToGrid w:val="0"/>
        <w:spacing w:line="400" w:lineRule="exact"/>
        <w:ind w:firstLine="540" w:firstLineChars="192"/>
        <w:contextualSpacing/>
        <w:rPr>
          <w:rFonts w:hint="eastAsia" w:ascii="宋体" w:hAnsi="宋体" w:cs="宋体"/>
          <w:b/>
          <w:kern w:val="0"/>
          <w:sz w:val="28"/>
          <w:szCs w:val="28"/>
          <w:lang w:val="zh-CN"/>
        </w:rPr>
      </w:pPr>
    </w:p>
    <w:p w14:paraId="07E3CE94">
      <w:pPr>
        <w:snapToGrid w:val="0"/>
        <w:spacing w:line="400" w:lineRule="exact"/>
        <w:ind w:firstLine="540" w:firstLineChars="192"/>
        <w:contextualSpacing/>
        <w:rPr>
          <w:rFonts w:hint="eastAsia" w:ascii="宋体" w:hAnsi="宋体" w:cs="宋体"/>
          <w:b/>
          <w:kern w:val="0"/>
          <w:sz w:val="28"/>
          <w:szCs w:val="28"/>
          <w:lang w:val="zh-CN"/>
        </w:rPr>
      </w:pPr>
    </w:p>
    <w:p w14:paraId="6C99515C">
      <w:pPr>
        <w:snapToGrid w:val="0"/>
        <w:spacing w:line="400" w:lineRule="exact"/>
        <w:ind w:firstLine="540" w:firstLineChars="192"/>
        <w:contextualSpacing/>
        <w:rPr>
          <w:rFonts w:ascii="宋体" w:hAnsi="宋体" w:cs="宋体"/>
          <w:b/>
          <w:kern w:val="0"/>
          <w:sz w:val="28"/>
          <w:szCs w:val="28"/>
          <w:lang w:val="zh-CN"/>
        </w:rPr>
      </w:pPr>
    </w:p>
    <w:p w14:paraId="2DB833E1">
      <w:pPr>
        <w:pStyle w:val="2"/>
        <w:rPr>
          <w:lang w:val="zh-CN"/>
        </w:rPr>
      </w:pPr>
    </w:p>
    <w:p w14:paraId="235EE3A7">
      <w:pPr>
        <w:rPr>
          <w:lang w:val="zh-CN"/>
        </w:rPr>
      </w:pPr>
    </w:p>
    <w:p w14:paraId="6595D960">
      <w:pPr>
        <w:snapToGrid w:val="0"/>
        <w:spacing w:line="400" w:lineRule="exact"/>
        <w:contextualSpacing/>
        <w:rPr>
          <w:rFonts w:eastAsia="方正黑体_GBK"/>
          <w:kern w:val="0"/>
          <w:sz w:val="32"/>
          <w:szCs w:val="32"/>
          <w:lang w:val="zh-CN"/>
        </w:rPr>
      </w:pPr>
    </w:p>
    <w:p w14:paraId="4B7C3599">
      <w:pPr>
        <w:snapToGrid w:val="0"/>
        <w:spacing w:line="400" w:lineRule="exact"/>
        <w:contextualSpacing/>
        <w:rPr>
          <w:rFonts w:eastAsia="方正黑体_GBK"/>
          <w:kern w:val="0"/>
          <w:sz w:val="32"/>
          <w:szCs w:val="32"/>
          <w:lang w:val="zh-CN"/>
        </w:rPr>
      </w:pPr>
    </w:p>
    <w:p w14:paraId="5BDA044B">
      <w:pPr>
        <w:snapToGrid w:val="0"/>
        <w:spacing w:line="400" w:lineRule="exact"/>
        <w:contextualSpacing/>
        <w:rPr>
          <w:rFonts w:eastAsia="方正黑体_GBK"/>
          <w:kern w:val="0"/>
          <w:sz w:val="32"/>
          <w:szCs w:val="32"/>
          <w:lang w:val="zh-CN"/>
        </w:rPr>
      </w:pPr>
      <w:r>
        <w:rPr>
          <w:rFonts w:eastAsia="方正黑体_GBK"/>
          <w:kern w:val="0"/>
          <w:sz w:val="32"/>
          <w:szCs w:val="32"/>
          <w:lang w:val="zh-CN"/>
        </w:rPr>
        <w:t>附件3</w:t>
      </w:r>
    </w:p>
    <w:p w14:paraId="5B90AC30">
      <w:pPr>
        <w:jc w:val="center"/>
        <w:rPr>
          <w:rFonts w:ascii="Calibri" w:hAnsi="Calibri"/>
          <w:sz w:val="32"/>
          <w:szCs w:val="32"/>
        </w:rPr>
      </w:pPr>
      <w:r>
        <w:rPr>
          <w:rFonts w:hint="eastAsia" w:ascii="Calibri" w:hAnsi="Calibri"/>
          <w:sz w:val="32"/>
          <w:szCs w:val="32"/>
        </w:rPr>
        <w:t>法定代表人授权委托书</w:t>
      </w:r>
    </w:p>
    <w:p w14:paraId="3608A4E9">
      <w:pPr>
        <w:rPr>
          <w:rFonts w:ascii="Calibri" w:hAnsi="Calibri"/>
          <w:sz w:val="32"/>
          <w:szCs w:val="32"/>
        </w:rPr>
      </w:pPr>
    </w:p>
    <w:p w14:paraId="46611E1B">
      <w:pPr>
        <w:ind w:firstLine="560" w:firstLineChars="200"/>
        <w:rPr>
          <w:rFonts w:ascii="宋体" w:hAnsi="宋体"/>
          <w:sz w:val="28"/>
          <w:szCs w:val="28"/>
        </w:rPr>
      </w:pPr>
      <w:r>
        <w:rPr>
          <w:rFonts w:hint="eastAsia" w:ascii="宋体" w:hAnsi="宋体"/>
          <w:sz w:val="28"/>
          <w:szCs w:val="28"/>
        </w:rPr>
        <w:t>本人------（姓名）系————（授权单位名称）的法定代表人，现委托-------（姓名）（身份证号——————）为我方代理人，以我方名义全权处理与</w:t>
      </w:r>
      <w:r>
        <w:rPr>
          <w:rFonts w:hint="eastAsia" w:ascii="仿宋" w:hAnsi="仿宋" w:eastAsia="仿宋" w:cs="仿宋"/>
          <w:sz w:val="24"/>
          <w:u w:val="single"/>
        </w:rPr>
        <w:t>********************</w:t>
      </w:r>
      <w:r>
        <w:rPr>
          <w:rFonts w:hint="eastAsia" w:ascii="宋体" w:hAnsi="宋体"/>
          <w:sz w:val="28"/>
          <w:szCs w:val="28"/>
        </w:rPr>
        <w:t>采购项目（项目编号：----------）有关的一切事务，其法律后果由我方承担。</w:t>
      </w:r>
    </w:p>
    <w:p w14:paraId="48054F90">
      <w:pPr>
        <w:ind w:firstLine="560" w:firstLineChars="200"/>
        <w:rPr>
          <w:rFonts w:ascii="宋体" w:hAnsi="宋体"/>
          <w:sz w:val="28"/>
          <w:szCs w:val="28"/>
        </w:rPr>
      </w:pPr>
      <w:r>
        <w:rPr>
          <w:rFonts w:hint="eastAsia" w:ascii="宋体" w:hAnsi="宋体"/>
          <w:sz w:val="28"/>
          <w:szCs w:val="28"/>
        </w:rPr>
        <w:t>本授权书于---年---月---日起生效。代理人无转委托权。</w:t>
      </w:r>
    </w:p>
    <w:p w14:paraId="19C0F12C">
      <w:pPr>
        <w:ind w:firstLine="420" w:firstLineChars="150"/>
        <w:rPr>
          <w:rFonts w:ascii="宋体" w:hAnsi="宋体"/>
          <w:sz w:val="28"/>
          <w:szCs w:val="28"/>
        </w:rPr>
      </w:pPr>
      <w:r>
        <w:rPr>
          <w:rFonts w:hint="eastAsia" w:ascii="宋体" w:hAnsi="宋体"/>
          <w:sz w:val="28"/>
          <w:szCs w:val="28"/>
        </w:rPr>
        <w:t>代理人(被授权人):------</w:t>
      </w:r>
    </w:p>
    <w:p w14:paraId="4349C21E">
      <w:pPr>
        <w:ind w:firstLine="420" w:firstLineChars="150"/>
        <w:rPr>
          <w:rFonts w:ascii="宋体" w:hAnsi="宋体"/>
          <w:sz w:val="28"/>
          <w:szCs w:val="28"/>
        </w:rPr>
      </w:pPr>
      <w:r>
        <w:rPr>
          <w:rFonts w:hint="eastAsia" w:ascii="宋体" w:hAnsi="宋体"/>
          <w:sz w:val="28"/>
          <w:szCs w:val="28"/>
        </w:rPr>
        <w:t>授权单位名称（盖章）：-----</w:t>
      </w:r>
    </w:p>
    <w:p w14:paraId="141DCC12">
      <w:pPr>
        <w:ind w:firstLine="420" w:firstLineChars="150"/>
        <w:rPr>
          <w:rFonts w:ascii="宋体" w:hAnsi="宋体"/>
          <w:sz w:val="28"/>
          <w:szCs w:val="28"/>
        </w:rPr>
      </w:pPr>
      <w:r>
        <w:rPr>
          <w:rFonts w:hint="eastAsia" w:ascii="宋体" w:hAnsi="宋体"/>
          <w:sz w:val="28"/>
          <w:szCs w:val="28"/>
        </w:rPr>
        <w:t>授权单位法定代表人（签字或盖章）：-----</w:t>
      </w:r>
    </w:p>
    <w:p w14:paraId="176B5A88">
      <w:pPr>
        <w:jc w:val="right"/>
        <w:rPr>
          <w:rFonts w:ascii="宋体" w:hAnsi="宋体"/>
          <w:sz w:val="28"/>
          <w:szCs w:val="28"/>
        </w:rPr>
      </w:pPr>
    </w:p>
    <w:p w14:paraId="12B12775">
      <w:pPr>
        <w:jc w:val="right"/>
        <w:rPr>
          <w:rFonts w:ascii="宋体" w:hAnsi="宋体"/>
          <w:sz w:val="28"/>
          <w:szCs w:val="28"/>
        </w:rPr>
      </w:pPr>
      <w:r>
        <w:rPr>
          <w:rFonts w:hint="eastAsia" w:ascii="宋体" w:hAnsi="宋体"/>
          <w:sz w:val="28"/>
          <w:szCs w:val="28"/>
        </w:rPr>
        <w:t>XXXX年XX月XX日</w:t>
      </w:r>
    </w:p>
    <w:p w14:paraId="443AC8D4">
      <w:pPr>
        <w:snapToGrid w:val="0"/>
        <w:spacing w:line="400" w:lineRule="exact"/>
        <w:ind w:firstLine="540" w:firstLineChars="192"/>
        <w:contextualSpacing/>
        <w:rPr>
          <w:rFonts w:hint="eastAsia" w:ascii="宋体" w:hAnsi="宋体" w:cs="宋体"/>
          <w:b/>
          <w:kern w:val="0"/>
          <w:sz w:val="28"/>
          <w:szCs w:val="28"/>
        </w:rPr>
      </w:pPr>
    </w:p>
    <w:p w14:paraId="4DF986C7">
      <w:pPr>
        <w:snapToGrid w:val="0"/>
        <w:spacing w:line="400" w:lineRule="exact"/>
        <w:ind w:firstLine="540" w:firstLineChars="192"/>
        <w:contextualSpacing/>
        <w:rPr>
          <w:rFonts w:hint="eastAsia"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p>
    <w:p w14:paraId="7545A696">
      <w:pPr>
        <w:snapToGrid w:val="0"/>
        <w:spacing w:line="400" w:lineRule="exact"/>
        <w:ind w:firstLine="540" w:firstLineChars="192"/>
        <w:contextualSpacing/>
        <w:rPr>
          <w:rFonts w:hint="eastAsia" w:ascii="宋体" w:hAnsi="宋体" w:cs="宋体"/>
          <w:b/>
          <w:kern w:val="0"/>
          <w:sz w:val="28"/>
          <w:szCs w:val="28"/>
        </w:rPr>
      </w:pPr>
    </w:p>
    <w:p w14:paraId="722A1947">
      <w:pPr>
        <w:snapToGrid w:val="0"/>
        <w:spacing w:line="400" w:lineRule="exact"/>
        <w:ind w:firstLine="540" w:firstLineChars="192"/>
        <w:contextualSpacing/>
        <w:rPr>
          <w:rFonts w:hint="eastAsia" w:ascii="宋体" w:hAnsi="宋体" w:cs="宋体"/>
          <w:b/>
          <w:kern w:val="0"/>
          <w:sz w:val="28"/>
          <w:szCs w:val="28"/>
        </w:rPr>
      </w:pPr>
    </w:p>
    <w:p w14:paraId="321D7DC8">
      <w:pPr>
        <w:snapToGrid w:val="0"/>
        <w:spacing w:line="400" w:lineRule="exact"/>
        <w:ind w:firstLine="540" w:firstLineChars="192"/>
        <w:contextualSpacing/>
        <w:rPr>
          <w:rFonts w:hint="eastAsia" w:ascii="宋体" w:hAnsi="宋体" w:cs="宋体"/>
          <w:b/>
          <w:kern w:val="0"/>
          <w:sz w:val="28"/>
          <w:szCs w:val="28"/>
        </w:rPr>
      </w:pPr>
    </w:p>
    <w:p w14:paraId="4C078A62">
      <w:pPr>
        <w:snapToGrid w:val="0"/>
        <w:spacing w:line="400" w:lineRule="exact"/>
        <w:ind w:firstLine="540" w:firstLineChars="192"/>
        <w:contextualSpacing/>
        <w:rPr>
          <w:rFonts w:hint="eastAsia" w:ascii="宋体" w:hAnsi="宋体" w:cs="宋体"/>
          <w:b/>
          <w:kern w:val="0"/>
          <w:sz w:val="28"/>
          <w:szCs w:val="28"/>
        </w:rPr>
      </w:pPr>
    </w:p>
    <w:p w14:paraId="3E35F137">
      <w:pPr>
        <w:snapToGrid w:val="0"/>
        <w:spacing w:line="400" w:lineRule="exact"/>
        <w:ind w:firstLine="540" w:firstLineChars="192"/>
        <w:contextualSpacing/>
        <w:rPr>
          <w:rFonts w:ascii="宋体" w:hAnsi="宋体" w:cs="宋体"/>
          <w:b/>
          <w:kern w:val="0"/>
          <w:sz w:val="28"/>
          <w:szCs w:val="28"/>
        </w:rPr>
      </w:pPr>
    </w:p>
    <w:p w14:paraId="4BC71831">
      <w:pPr>
        <w:pStyle w:val="2"/>
      </w:pPr>
    </w:p>
    <w:p w14:paraId="33823A96"/>
    <w:p w14:paraId="62B79F81">
      <w:pPr>
        <w:pStyle w:val="2"/>
      </w:pPr>
    </w:p>
    <w:p w14:paraId="02302C69"/>
    <w:p w14:paraId="2E860BC4">
      <w:pPr>
        <w:pStyle w:val="2"/>
      </w:pPr>
    </w:p>
    <w:p w14:paraId="46F35920"/>
    <w:p w14:paraId="051A3DD3">
      <w:pPr>
        <w:pStyle w:val="2"/>
      </w:pPr>
    </w:p>
    <w:p w14:paraId="4E2C4A69"/>
    <w:p w14:paraId="1C6F964B">
      <w:pPr>
        <w:pStyle w:val="2"/>
      </w:pPr>
    </w:p>
    <w:p w14:paraId="034650E9">
      <w:pPr>
        <w:snapToGrid w:val="0"/>
        <w:spacing w:line="400" w:lineRule="exact"/>
        <w:contextualSpacing/>
        <w:rPr>
          <w:rFonts w:eastAsia="方正黑体_GBK"/>
          <w:kern w:val="0"/>
          <w:sz w:val="32"/>
          <w:szCs w:val="32"/>
        </w:rPr>
      </w:pPr>
      <w:r>
        <w:rPr>
          <w:rFonts w:eastAsia="方正黑体_GBK"/>
          <w:kern w:val="0"/>
          <w:sz w:val="32"/>
          <w:szCs w:val="32"/>
        </w:rPr>
        <w:t>附件4</w:t>
      </w:r>
    </w:p>
    <w:p w14:paraId="172E46B9">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70C6EA99">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39A644DA">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70AB997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49A330C5">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w14:paraId="4BCDAA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417B49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147B89D">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48B2A7D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61B59192">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7D057ECB">
      <w:pPr>
        <w:spacing w:line="360" w:lineRule="auto"/>
        <w:rPr>
          <w:rFonts w:ascii="宋体" w:hAnsi="宋体" w:cs="宋体"/>
          <w:kern w:val="0"/>
          <w:sz w:val="24"/>
          <w:lang w:val="zh-CN"/>
        </w:rPr>
      </w:pPr>
    </w:p>
    <w:p w14:paraId="21EFDC84">
      <w:pPr>
        <w:spacing w:line="360" w:lineRule="auto"/>
        <w:ind w:firstLine="4560" w:firstLineChars="1900"/>
        <w:rPr>
          <w:rFonts w:ascii="宋体" w:hAnsi="宋体" w:cs="宋体"/>
          <w:kern w:val="0"/>
          <w:sz w:val="24"/>
          <w:lang w:val="zh-CN"/>
        </w:rPr>
      </w:pPr>
    </w:p>
    <w:p w14:paraId="118A8770">
      <w:pPr>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0CD85805">
      <w:pPr>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258D1394">
      <w:pPr>
        <w:spacing w:line="360" w:lineRule="auto"/>
        <w:ind w:firstLine="3080" w:firstLineChars="1100"/>
        <w:rPr>
          <w:rFonts w:ascii="宋体" w:hAnsi="宋体" w:cs="宋体"/>
          <w:kern w:val="0"/>
          <w:sz w:val="28"/>
          <w:szCs w:val="28"/>
          <w:lang w:val="zh-CN" w:bidi="ar"/>
        </w:rPr>
      </w:pPr>
      <w:r>
        <w:rPr>
          <w:rFonts w:hint="eastAsia" w:ascii="宋体" w:hAnsi="宋体" w:cs="宋体"/>
          <w:kern w:val="0"/>
          <w:sz w:val="28"/>
          <w:szCs w:val="28"/>
          <w:lang w:val="zh-CN" w:bidi="ar"/>
        </w:rPr>
        <w:t>时间：  年  月   日</w:t>
      </w:r>
    </w:p>
    <w:p w14:paraId="42EF3263">
      <w:pPr>
        <w:snapToGrid w:val="0"/>
        <w:spacing w:line="300" w:lineRule="auto"/>
        <w:contextualSpacing/>
        <w:rPr>
          <w:rFonts w:ascii="仿宋_GB2312" w:hAnsi="宋体" w:eastAsia="仿宋_GB2312"/>
          <w:sz w:val="28"/>
          <w:szCs w:val="28"/>
        </w:rPr>
      </w:pPr>
    </w:p>
    <w:p w14:paraId="62647743">
      <w:pPr>
        <w:pStyle w:val="2"/>
        <w:rPr>
          <w:rFonts w:hint="eastAsia"/>
        </w:rPr>
      </w:pPr>
    </w:p>
    <w:p w14:paraId="38CD6125">
      <w:pPr>
        <w:snapToGrid w:val="0"/>
        <w:spacing w:line="400" w:lineRule="exact"/>
        <w:contextualSpacing/>
        <w:rPr>
          <w:rFonts w:eastAsia="方正黑体_GBK"/>
          <w:kern w:val="0"/>
          <w:sz w:val="32"/>
          <w:szCs w:val="32"/>
        </w:rPr>
        <w:sectPr>
          <w:pgSz w:w="11906" w:h="16838"/>
          <w:pgMar w:top="1440" w:right="1519" w:bottom="1440" w:left="1519" w:header="851" w:footer="992" w:gutter="0"/>
          <w:cols w:space="425" w:num="1"/>
          <w:docGrid w:type="lines" w:linePitch="312" w:charSpace="0"/>
        </w:sectPr>
      </w:pPr>
    </w:p>
    <w:p w14:paraId="680C231E">
      <w:pPr>
        <w:snapToGrid w:val="0"/>
        <w:spacing w:line="400" w:lineRule="exact"/>
        <w:contextualSpacing/>
        <w:rPr>
          <w:rFonts w:eastAsia="方正黑体_GBK"/>
          <w:kern w:val="0"/>
          <w:sz w:val="32"/>
          <w:szCs w:val="32"/>
        </w:rPr>
      </w:pPr>
      <w:r>
        <w:rPr>
          <w:rFonts w:eastAsia="方正黑体_GBK"/>
          <w:kern w:val="0"/>
          <w:sz w:val="32"/>
          <w:szCs w:val="32"/>
        </w:rPr>
        <w:t>附件5</w:t>
      </w:r>
    </w:p>
    <w:p w14:paraId="6F0D4979">
      <w:pPr>
        <w:keepNext/>
        <w:keepLines/>
        <w:spacing w:before="260" w:after="260" w:line="416" w:lineRule="auto"/>
        <w:jc w:val="center"/>
        <w:outlineLvl w:val="1"/>
        <w:rPr>
          <w:rFonts w:eastAsia="方正黑体_GBK"/>
          <w:kern w:val="0"/>
          <w:sz w:val="32"/>
          <w:szCs w:val="32"/>
        </w:rPr>
      </w:pPr>
      <w:r>
        <w:rPr>
          <w:rFonts w:hint="eastAsia" w:eastAsia="方正黑体_GBK"/>
          <w:kern w:val="0"/>
          <w:sz w:val="32"/>
          <w:szCs w:val="32"/>
        </w:rPr>
        <w:t>磋商响应函</w:t>
      </w:r>
    </w:p>
    <w:p w14:paraId="3891B7DA">
      <w:pPr>
        <w:adjustRightInd w:val="0"/>
        <w:spacing w:line="420" w:lineRule="exact"/>
        <w:jc w:val="left"/>
        <w:textAlignment w:val="baseline"/>
        <w:rPr>
          <w:rFonts w:ascii="宋体" w:hAnsi="宋体"/>
          <w:sz w:val="24"/>
          <w:szCs w:val="21"/>
        </w:rPr>
      </w:pPr>
      <w:r>
        <w:rPr>
          <w:rFonts w:hint="eastAsia" w:ascii="宋体" w:hAnsi="宋体"/>
          <w:sz w:val="24"/>
          <w:szCs w:val="21"/>
        </w:rPr>
        <w:t>致：______</w:t>
      </w:r>
      <w:r>
        <w:rPr>
          <w:rFonts w:hint="eastAsia" w:ascii="宋体" w:hAnsi="宋体"/>
          <w:sz w:val="24"/>
          <w:szCs w:val="21"/>
          <w:u w:val="single"/>
        </w:rPr>
        <w:t>__</w:t>
      </w:r>
      <w:r>
        <w:rPr>
          <w:rFonts w:ascii="宋体" w:hAnsi="宋体"/>
          <w:sz w:val="24"/>
          <w:szCs w:val="21"/>
          <w:u w:val="single"/>
        </w:rPr>
        <w:t xml:space="preserve">      </w:t>
      </w:r>
      <w:r>
        <w:rPr>
          <w:rFonts w:hint="eastAsia" w:ascii="宋体" w:hAnsi="宋体"/>
          <w:sz w:val="24"/>
          <w:szCs w:val="21"/>
          <w:u w:val="single"/>
        </w:rPr>
        <w:t>_</w:t>
      </w:r>
      <w:r>
        <w:rPr>
          <w:rFonts w:hint="eastAsia" w:ascii="宋体" w:hAnsi="宋体"/>
          <w:sz w:val="24"/>
          <w:szCs w:val="21"/>
        </w:rPr>
        <w:t>_（采购人名称）</w:t>
      </w:r>
    </w:p>
    <w:p w14:paraId="264F35E4">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根据贵方的__________（项目</w:t>
      </w:r>
      <w:r>
        <w:rPr>
          <w:rFonts w:ascii="宋体" w:hAnsi="宋体"/>
          <w:sz w:val="24"/>
          <w:szCs w:val="21"/>
        </w:rPr>
        <w:t>名称</w:t>
      </w:r>
      <w:r>
        <w:rPr>
          <w:rFonts w:hint="eastAsia" w:ascii="宋体" w:hAnsi="宋体"/>
          <w:sz w:val="24"/>
          <w:szCs w:val="21"/>
        </w:rPr>
        <w:t>、</w:t>
      </w:r>
      <w:r>
        <w:rPr>
          <w:rFonts w:ascii="宋体" w:hAnsi="宋体"/>
          <w:sz w:val="24"/>
          <w:szCs w:val="21"/>
        </w:rPr>
        <w:t>项目编号</w:t>
      </w:r>
      <w:r>
        <w:rPr>
          <w:rFonts w:hint="eastAsia" w:ascii="宋体" w:hAnsi="宋体"/>
          <w:sz w:val="24"/>
          <w:szCs w:val="21"/>
        </w:rPr>
        <w:t>）磋商文件，正式授权下述______(被授权人姓名)代表我方______________（供应商的名称），全权处理本次项目磋商的有关事宜。</w:t>
      </w:r>
    </w:p>
    <w:p w14:paraId="72CF8DA6">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据此函，__________（被授权人签字）兹宣布同意如下：</w:t>
      </w:r>
    </w:p>
    <w:p w14:paraId="79891ADD">
      <w:pPr>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1.按磋商文件规定的各项要求，向买方提供所需货物、服务（包含与货物相关的服务及与服务相关的货物）。</w:t>
      </w:r>
    </w:p>
    <w:p w14:paraId="0B361DB3">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2.我们完全理解贵方不一定将合同授予最低报价的供应商。</w:t>
      </w:r>
    </w:p>
    <w:p w14:paraId="0F312A86">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3.我们已详细审核全部磋商文件及其有效补充文件，我们知道必须放弃提出含糊不清或误解问题的权利。</w:t>
      </w:r>
    </w:p>
    <w:p w14:paraId="2F2D1552">
      <w:pPr>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4.我们同意从规定的开标日期起遵循本响应文件，并在规定的磋商有效期期满之前均具有约束力。</w:t>
      </w:r>
    </w:p>
    <w:p w14:paraId="14126956">
      <w:pPr>
        <w:adjustRightInd w:val="0"/>
        <w:spacing w:line="420" w:lineRule="exact"/>
        <w:ind w:firstLine="480"/>
        <w:jc w:val="left"/>
        <w:textAlignment w:val="baseline"/>
        <w:rPr>
          <w:rFonts w:hint="eastAsia" w:ascii="宋体" w:hAnsi="宋体"/>
          <w:sz w:val="24"/>
          <w:szCs w:val="21"/>
        </w:rPr>
      </w:pPr>
      <w:r>
        <w:rPr>
          <w:rFonts w:ascii="宋体" w:hAnsi="宋体"/>
          <w:sz w:val="24"/>
          <w:szCs w:val="21"/>
        </w:rPr>
        <w:t>5</w:t>
      </w:r>
      <w:r>
        <w:rPr>
          <w:rFonts w:hint="eastAsia" w:ascii="宋体" w:hAnsi="宋体"/>
          <w:sz w:val="24"/>
          <w:szCs w:val="21"/>
        </w:rPr>
        <w:t>.同意向贵方提供贵方可能另外要求的与磋商有关的任何证据或资料，并保证我方已提供和将要提供的文件是真实的、准确的。</w:t>
      </w:r>
    </w:p>
    <w:p w14:paraId="4828700D">
      <w:pPr>
        <w:adjustRightInd w:val="0"/>
        <w:spacing w:line="420" w:lineRule="exact"/>
        <w:ind w:firstLine="480"/>
        <w:jc w:val="left"/>
        <w:textAlignment w:val="baseline"/>
        <w:rPr>
          <w:rFonts w:hint="eastAsia" w:ascii="宋体" w:hAnsi="宋体"/>
          <w:sz w:val="24"/>
          <w:szCs w:val="21"/>
        </w:rPr>
      </w:pPr>
      <w:r>
        <w:rPr>
          <w:rFonts w:ascii="宋体" w:hAnsi="宋体"/>
          <w:sz w:val="24"/>
          <w:szCs w:val="21"/>
        </w:rPr>
        <w:t>6</w:t>
      </w:r>
      <w:r>
        <w:rPr>
          <w:rFonts w:hint="eastAsia" w:ascii="宋体" w:hAnsi="宋体"/>
          <w:sz w:val="24"/>
          <w:szCs w:val="21"/>
        </w:rPr>
        <w:t>.一旦我方成交,我方将根据磋商文件的规定，严格履行合同的责任和义务,并保证在磋商文件规定的时间完成项目，交付买方验收、使用。</w:t>
      </w:r>
    </w:p>
    <w:p w14:paraId="2A680B89">
      <w:pPr>
        <w:adjustRightInd w:val="0"/>
        <w:spacing w:line="420" w:lineRule="exact"/>
        <w:ind w:left="425"/>
        <w:jc w:val="left"/>
        <w:textAlignment w:val="baseline"/>
        <w:rPr>
          <w:rFonts w:hint="eastAsia" w:ascii="宋体" w:hAnsi="宋体"/>
          <w:sz w:val="24"/>
          <w:szCs w:val="21"/>
        </w:rPr>
      </w:pPr>
      <w:r>
        <w:rPr>
          <w:rFonts w:ascii="宋体" w:hAnsi="宋体"/>
          <w:sz w:val="24"/>
          <w:szCs w:val="21"/>
        </w:rPr>
        <w:t>7</w:t>
      </w:r>
      <w:r>
        <w:rPr>
          <w:rFonts w:hint="eastAsia" w:ascii="宋体" w:hAnsi="宋体"/>
          <w:sz w:val="24"/>
          <w:szCs w:val="21"/>
        </w:rPr>
        <w:t>.我方与本磋商有关的正式通讯地址为：</w:t>
      </w:r>
    </w:p>
    <w:p w14:paraId="04B8BFAD">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地          址：</w:t>
      </w:r>
    </w:p>
    <w:p w14:paraId="7F967114">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邮          编：</w:t>
      </w:r>
    </w:p>
    <w:p w14:paraId="5C1B0D5D">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电          话：</w:t>
      </w:r>
    </w:p>
    <w:p w14:paraId="2CD55943">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传          真：</w:t>
      </w:r>
    </w:p>
    <w:p w14:paraId="5CC087CB">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供应商开户行：</w:t>
      </w:r>
    </w:p>
    <w:p w14:paraId="74F0F402">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 xml:space="preserve">账          号： </w:t>
      </w:r>
    </w:p>
    <w:p w14:paraId="2A4FBE3E">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日           期：________年____月____日</w:t>
      </w:r>
    </w:p>
    <w:p w14:paraId="79092B73">
      <w:pPr>
        <w:snapToGrid w:val="0"/>
        <w:spacing w:line="400" w:lineRule="exact"/>
        <w:contextualSpacing/>
        <w:rPr>
          <w:rFonts w:eastAsia="方正黑体_GBK"/>
          <w:kern w:val="0"/>
          <w:sz w:val="32"/>
          <w:szCs w:val="32"/>
        </w:rPr>
      </w:pPr>
    </w:p>
    <w:p w14:paraId="2E4624A6">
      <w:pPr>
        <w:snapToGrid w:val="0"/>
        <w:spacing w:line="400" w:lineRule="exact"/>
        <w:contextualSpacing/>
        <w:rPr>
          <w:rFonts w:eastAsia="方正黑体_GBK"/>
          <w:kern w:val="0"/>
          <w:sz w:val="32"/>
          <w:szCs w:val="32"/>
        </w:rPr>
      </w:pPr>
    </w:p>
    <w:p w14:paraId="247D4AA3">
      <w:pPr>
        <w:snapToGrid w:val="0"/>
        <w:spacing w:line="400" w:lineRule="exact"/>
        <w:contextualSpacing/>
        <w:rPr>
          <w:rFonts w:eastAsia="方正黑体_GBK"/>
          <w:kern w:val="0"/>
          <w:sz w:val="32"/>
          <w:szCs w:val="32"/>
        </w:rPr>
      </w:pPr>
    </w:p>
    <w:p w14:paraId="5A8EBBE4">
      <w:pPr>
        <w:snapToGrid w:val="0"/>
        <w:spacing w:line="400" w:lineRule="exact"/>
        <w:contextualSpacing/>
        <w:rPr>
          <w:rFonts w:eastAsia="方正黑体_GBK"/>
          <w:kern w:val="0"/>
          <w:sz w:val="32"/>
          <w:szCs w:val="32"/>
        </w:rPr>
      </w:pPr>
    </w:p>
    <w:p w14:paraId="7D52B642">
      <w:pPr>
        <w:snapToGrid w:val="0"/>
        <w:spacing w:line="400" w:lineRule="exact"/>
        <w:contextualSpacing/>
        <w:rPr>
          <w:rFonts w:eastAsia="方正黑体_GBK"/>
          <w:kern w:val="0"/>
          <w:sz w:val="32"/>
          <w:szCs w:val="32"/>
        </w:rPr>
      </w:pPr>
    </w:p>
    <w:p w14:paraId="7518E309">
      <w:pPr>
        <w:snapToGrid w:val="0"/>
        <w:spacing w:line="400" w:lineRule="exact"/>
        <w:contextualSpacing/>
        <w:rPr>
          <w:rFonts w:eastAsia="方正黑体_GBK"/>
          <w:kern w:val="0"/>
          <w:sz w:val="32"/>
          <w:szCs w:val="32"/>
        </w:rPr>
      </w:pPr>
      <w:r>
        <w:rPr>
          <w:rFonts w:eastAsia="方正黑体_GBK"/>
          <w:kern w:val="0"/>
          <w:sz w:val="32"/>
          <w:szCs w:val="32"/>
        </w:rPr>
        <w:t>附件6</w:t>
      </w:r>
    </w:p>
    <w:p w14:paraId="2A288307">
      <w:pPr>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w14:paraId="6535B2DD">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2278"/>
        <w:gridCol w:w="1989"/>
        <w:gridCol w:w="2567"/>
        <w:gridCol w:w="1414"/>
      </w:tblGrid>
      <w:tr w14:paraId="3DBBB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D7D29D6">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5EFCDC6D">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694571D">
            <w:pPr>
              <w:spacing w:line="340" w:lineRule="exact"/>
              <w:jc w:val="center"/>
              <w:rPr>
                <w:rFonts w:ascii="宋体" w:hAnsi="宋体"/>
                <w:sz w:val="24"/>
              </w:rPr>
            </w:pPr>
            <w:r>
              <w:rPr>
                <w:rFonts w:hint="eastAsia" w:ascii="宋体" w:hAnsi="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20BFD7A">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022558A">
            <w:pPr>
              <w:spacing w:line="340" w:lineRule="exact"/>
              <w:jc w:val="center"/>
              <w:rPr>
                <w:rFonts w:ascii="宋体" w:hAnsi="宋体"/>
                <w:sz w:val="24"/>
              </w:rPr>
            </w:pPr>
          </w:p>
          <w:p w14:paraId="507B3F28">
            <w:pPr>
              <w:spacing w:line="340" w:lineRule="exact"/>
              <w:jc w:val="center"/>
              <w:rPr>
                <w:rFonts w:ascii="宋体" w:hAnsi="宋体"/>
                <w:sz w:val="24"/>
              </w:rPr>
            </w:pPr>
            <w:r>
              <w:rPr>
                <w:rFonts w:hint="eastAsia" w:ascii="宋体" w:hAnsi="宋体"/>
                <w:sz w:val="24"/>
              </w:rPr>
              <w:t>偏离说明</w:t>
            </w:r>
          </w:p>
        </w:tc>
      </w:tr>
      <w:tr w14:paraId="65718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B8CDC15">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828DDD9">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A3B872B">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B80790B">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3ECF2CE">
            <w:pPr>
              <w:spacing w:line="340" w:lineRule="exact"/>
              <w:jc w:val="left"/>
              <w:rPr>
                <w:sz w:val="24"/>
              </w:rPr>
            </w:pPr>
          </w:p>
        </w:tc>
      </w:tr>
      <w:tr w14:paraId="6ADD6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87DE1E7">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DCB7172">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A5D84AA">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275899">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A9078CA">
            <w:pPr>
              <w:spacing w:line="340" w:lineRule="exact"/>
              <w:jc w:val="left"/>
              <w:rPr>
                <w:sz w:val="24"/>
              </w:rPr>
            </w:pPr>
          </w:p>
        </w:tc>
      </w:tr>
      <w:tr w14:paraId="6B28A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E8F124B">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4A13F0">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1589D29">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AC0C060">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65ED510">
            <w:pPr>
              <w:spacing w:line="340" w:lineRule="exact"/>
              <w:jc w:val="left"/>
              <w:rPr>
                <w:sz w:val="24"/>
              </w:rPr>
            </w:pPr>
          </w:p>
        </w:tc>
      </w:tr>
      <w:tr w14:paraId="2CB70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494F8D8">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CAB6869">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1EB3704">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EEF7200">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083DABA">
            <w:pPr>
              <w:spacing w:line="340" w:lineRule="exact"/>
              <w:jc w:val="left"/>
              <w:rPr>
                <w:sz w:val="24"/>
              </w:rPr>
            </w:pPr>
          </w:p>
        </w:tc>
      </w:tr>
    </w:tbl>
    <w:p w14:paraId="10757C59">
      <w:pPr>
        <w:snapToGrid w:val="0"/>
        <w:spacing w:line="300" w:lineRule="auto"/>
        <w:contextualSpacing/>
        <w:rPr>
          <w:rFonts w:hint="eastAsia" w:ascii="宋体" w:hAnsi="宋体"/>
          <w:b/>
          <w:sz w:val="24"/>
        </w:rPr>
      </w:pPr>
      <w:r>
        <w:rPr>
          <w:rFonts w:hint="eastAsia" w:ascii="宋体" w:hAnsi="宋体"/>
          <w:b/>
          <w:sz w:val="24"/>
        </w:rPr>
        <w:t>注：</w:t>
      </w:r>
    </w:p>
    <w:p w14:paraId="22CFBB46">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1.供应商提交的响应文件中与磋商文件第三部分“项目需求”中的商务部分的要求，应逐条填列在偏离表中。</w:t>
      </w:r>
    </w:p>
    <w:p w14:paraId="31353883">
      <w:pPr>
        <w:snapToGrid w:val="0"/>
        <w:spacing w:line="300" w:lineRule="auto"/>
        <w:ind w:firstLine="480" w:firstLineChars="200"/>
        <w:contextualSpacing/>
        <w:rPr>
          <w:rFonts w:hint="eastAsia" w:ascii="宋体" w:hAnsi="宋体"/>
          <w:sz w:val="24"/>
        </w:rPr>
      </w:pPr>
      <w:r>
        <w:rPr>
          <w:rFonts w:hint="eastAsia" w:ascii="宋体" w:hAnsi="宋体"/>
          <w:sz w:val="24"/>
        </w:rPr>
        <w:t>2.“偏离说明”一栏选择“正偏离”、“无偏离”、“负偏离”进行填写。正偏离、无偏离的确认和负偏离的是否响应磋商文件，由磋商小组认定。</w:t>
      </w:r>
    </w:p>
    <w:p w14:paraId="726477C1">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14:paraId="5C2490CF">
      <w:pPr>
        <w:snapToGrid w:val="0"/>
        <w:spacing w:line="400" w:lineRule="exact"/>
        <w:ind w:firstLine="540" w:firstLineChars="192"/>
        <w:contextualSpacing/>
        <w:rPr>
          <w:rFonts w:hint="eastAsia" w:ascii="宋体" w:hAnsi="宋体" w:cs="宋体"/>
          <w:b/>
          <w:kern w:val="0"/>
          <w:sz w:val="28"/>
          <w:szCs w:val="28"/>
        </w:rPr>
      </w:pPr>
    </w:p>
    <w:p w14:paraId="7E838E9D">
      <w:pPr>
        <w:snapToGrid w:val="0"/>
        <w:spacing w:line="400" w:lineRule="exact"/>
        <w:ind w:firstLine="540" w:firstLineChars="192"/>
        <w:contextualSpacing/>
        <w:rPr>
          <w:rFonts w:hint="eastAsia" w:ascii="宋体" w:hAnsi="宋体" w:cs="宋体"/>
          <w:b/>
          <w:kern w:val="0"/>
          <w:sz w:val="28"/>
          <w:szCs w:val="28"/>
        </w:rPr>
      </w:pPr>
    </w:p>
    <w:p w14:paraId="0E0F1CD9">
      <w:pPr>
        <w:snapToGrid w:val="0"/>
        <w:spacing w:line="400" w:lineRule="exact"/>
        <w:ind w:firstLine="540" w:firstLineChars="192"/>
        <w:contextualSpacing/>
        <w:rPr>
          <w:rFonts w:hint="eastAsia" w:ascii="宋体" w:hAnsi="宋体" w:cs="宋体"/>
          <w:b/>
          <w:kern w:val="0"/>
          <w:sz w:val="28"/>
          <w:szCs w:val="28"/>
        </w:rPr>
      </w:pPr>
    </w:p>
    <w:p w14:paraId="0C90346A">
      <w:pPr>
        <w:snapToGrid w:val="0"/>
        <w:spacing w:line="400" w:lineRule="exact"/>
        <w:ind w:firstLine="540" w:firstLineChars="192"/>
        <w:contextualSpacing/>
        <w:rPr>
          <w:rFonts w:hint="eastAsia" w:ascii="宋体" w:hAnsi="宋体" w:cs="宋体"/>
          <w:b/>
          <w:kern w:val="0"/>
          <w:sz w:val="28"/>
          <w:szCs w:val="28"/>
        </w:rPr>
      </w:pPr>
    </w:p>
    <w:p w14:paraId="200FAC6D">
      <w:pPr>
        <w:snapToGrid w:val="0"/>
        <w:spacing w:line="400" w:lineRule="exact"/>
        <w:ind w:firstLine="540" w:firstLineChars="192"/>
        <w:contextualSpacing/>
        <w:rPr>
          <w:rFonts w:hint="eastAsia" w:ascii="宋体" w:hAnsi="宋体" w:cs="宋体"/>
          <w:b/>
          <w:kern w:val="0"/>
          <w:sz w:val="28"/>
          <w:szCs w:val="28"/>
        </w:rPr>
      </w:pPr>
    </w:p>
    <w:p w14:paraId="444EF81C">
      <w:pPr>
        <w:snapToGrid w:val="0"/>
        <w:spacing w:line="400" w:lineRule="exact"/>
        <w:ind w:firstLine="540" w:firstLineChars="192"/>
        <w:contextualSpacing/>
        <w:rPr>
          <w:rFonts w:hint="eastAsia" w:ascii="宋体" w:hAnsi="宋体" w:cs="宋体"/>
          <w:b/>
          <w:kern w:val="0"/>
          <w:sz w:val="28"/>
          <w:szCs w:val="28"/>
        </w:rPr>
      </w:pPr>
    </w:p>
    <w:p w14:paraId="14217F6D">
      <w:pPr>
        <w:snapToGrid w:val="0"/>
        <w:spacing w:line="400" w:lineRule="exact"/>
        <w:ind w:firstLine="540" w:firstLineChars="192"/>
        <w:contextualSpacing/>
        <w:rPr>
          <w:rFonts w:hint="eastAsia" w:ascii="宋体" w:hAnsi="宋体" w:cs="宋体"/>
          <w:b/>
          <w:kern w:val="0"/>
          <w:sz w:val="28"/>
          <w:szCs w:val="28"/>
        </w:rPr>
      </w:pPr>
    </w:p>
    <w:p w14:paraId="0F113A5E">
      <w:pPr>
        <w:snapToGrid w:val="0"/>
        <w:spacing w:line="400" w:lineRule="exact"/>
        <w:ind w:firstLine="540" w:firstLineChars="192"/>
        <w:contextualSpacing/>
        <w:rPr>
          <w:rFonts w:hint="eastAsia" w:ascii="宋体" w:hAnsi="宋体" w:cs="宋体"/>
          <w:b/>
          <w:kern w:val="0"/>
          <w:sz w:val="28"/>
          <w:szCs w:val="28"/>
        </w:rPr>
      </w:pPr>
    </w:p>
    <w:p w14:paraId="488A24CF">
      <w:pPr>
        <w:snapToGrid w:val="0"/>
        <w:spacing w:line="400" w:lineRule="exact"/>
        <w:ind w:firstLine="540" w:firstLineChars="192"/>
        <w:contextualSpacing/>
        <w:rPr>
          <w:rFonts w:hint="eastAsia" w:ascii="宋体" w:hAnsi="宋体" w:cs="宋体"/>
          <w:b/>
          <w:kern w:val="0"/>
          <w:sz w:val="28"/>
          <w:szCs w:val="28"/>
        </w:rPr>
      </w:pPr>
    </w:p>
    <w:p w14:paraId="52CDF67B">
      <w:pPr>
        <w:snapToGrid w:val="0"/>
        <w:spacing w:line="400" w:lineRule="exact"/>
        <w:ind w:firstLine="540" w:firstLineChars="192"/>
        <w:contextualSpacing/>
        <w:rPr>
          <w:rFonts w:hint="eastAsia" w:ascii="宋体" w:hAnsi="宋体" w:cs="宋体"/>
          <w:b/>
          <w:kern w:val="0"/>
          <w:sz w:val="28"/>
          <w:szCs w:val="28"/>
        </w:rPr>
      </w:pPr>
    </w:p>
    <w:p w14:paraId="05030FCC">
      <w:pPr>
        <w:snapToGrid w:val="0"/>
        <w:spacing w:line="400" w:lineRule="exact"/>
        <w:ind w:firstLine="540" w:firstLineChars="192"/>
        <w:contextualSpacing/>
        <w:rPr>
          <w:rFonts w:hint="eastAsia" w:ascii="宋体" w:hAnsi="宋体" w:cs="宋体"/>
          <w:b/>
          <w:kern w:val="0"/>
          <w:sz w:val="28"/>
          <w:szCs w:val="28"/>
        </w:rPr>
      </w:pPr>
    </w:p>
    <w:p w14:paraId="1C301CF4">
      <w:pPr>
        <w:snapToGrid w:val="0"/>
        <w:spacing w:line="400" w:lineRule="exact"/>
        <w:ind w:firstLine="540" w:firstLineChars="192"/>
        <w:contextualSpacing/>
        <w:rPr>
          <w:rFonts w:ascii="宋体" w:hAnsi="宋体" w:cs="宋体"/>
          <w:b/>
          <w:kern w:val="0"/>
          <w:sz w:val="28"/>
          <w:szCs w:val="28"/>
        </w:rPr>
      </w:pPr>
    </w:p>
    <w:p w14:paraId="6A478930">
      <w:pPr>
        <w:pStyle w:val="2"/>
        <w:rPr>
          <w:rFonts w:hint="eastAsia"/>
        </w:rPr>
      </w:pPr>
    </w:p>
    <w:p w14:paraId="4B1B5A3A">
      <w:pPr>
        <w:snapToGrid w:val="0"/>
        <w:spacing w:line="400" w:lineRule="exact"/>
        <w:ind w:firstLine="540" w:firstLineChars="192"/>
        <w:contextualSpacing/>
        <w:rPr>
          <w:rFonts w:hint="eastAsia" w:ascii="宋体" w:hAnsi="宋体" w:cs="宋体"/>
          <w:b/>
          <w:kern w:val="0"/>
          <w:sz w:val="28"/>
          <w:szCs w:val="28"/>
        </w:rPr>
      </w:pPr>
    </w:p>
    <w:p w14:paraId="1BF46AC8">
      <w:pPr>
        <w:snapToGrid w:val="0"/>
        <w:spacing w:line="400" w:lineRule="exact"/>
        <w:ind w:firstLine="540" w:firstLineChars="192"/>
        <w:contextualSpacing/>
        <w:rPr>
          <w:rFonts w:ascii="宋体" w:hAnsi="宋体" w:cs="宋体"/>
          <w:b/>
          <w:kern w:val="0"/>
          <w:sz w:val="28"/>
          <w:szCs w:val="28"/>
        </w:rPr>
      </w:pPr>
    </w:p>
    <w:p w14:paraId="1D35C0B5">
      <w:pPr>
        <w:pStyle w:val="2"/>
        <w:rPr>
          <w:rFonts w:hint="eastAsia"/>
        </w:rPr>
      </w:pPr>
    </w:p>
    <w:p w14:paraId="33979D99">
      <w:pPr>
        <w:snapToGrid w:val="0"/>
        <w:spacing w:line="400" w:lineRule="exact"/>
        <w:ind w:firstLine="540" w:firstLineChars="192"/>
        <w:contextualSpacing/>
        <w:rPr>
          <w:rFonts w:hint="eastAsia" w:ascii="宋体" w:hAnsi="宋体" w:cs="宋体"/>
          <w:b/>
          <w:kern w:val="0"/>
          <w:sz w:val="28"/>
          <w:szCs w:val="28"/>
        </w:rPr>
      </w:pPr>
    </w:p>
    <w:p w14:paraId="254EFF20">
      <w:pPr>
        <w:snapToGrid w:val="0"/>
        <w:spacing w:line="400" w:lineRule="exact"/>
        <w:contextualSpacing/>
        <w:rPr>
          <w:rFonts w:hint="eastAsia" w:ascii="宋体" w:hAnsi="宋体" w:cs="宋体"/>
          <w:kern w:val="0"/>
          <w:sz w:val="28"/>
          <w:szCs w:val="28"/>
        </w:rPr>
      </w:pPr>
    </w:p>
    <w:p w14:paraId="2EC5AF4F">
      <w:pPr>
        <w:snapToGrid w:val="0"/>
        <w:spacing w:line="400" w:lineRule="exact"/>
        <w:contextualSpacing/>
        <w:rPr>
          <w:rFonts w:eastAsia="方正黑体_GBK"/>
          <w:kern w:val="0"/>
          <w:sz w:val="32"/>
          <w:szCs w:val="32"/>
        </w:rPr>
      </w:pPr>
      <w:r>
        <w:rPr>
          <w:rFonts w:eastAsia="方正黑体_GBK"/>
          <w:kern w:val="0"/>
          <w:sz w:val="32"/>
          <w:szCs w:val="32"/>
        </w:rPr>
        <w:t>附件7</w:t>
      </w:r>
    </w:p>
    <w:p w14:paraId="514D4C2D">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14:paraId="79D8C76B">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6"/>
        <w:gridCol w:w="2278"/>
        <w:gridCol w:w="1989"/>
        <w:gridCol w:w="2567"/>
        <w:gridCol w:w="1414"/>
      </w:tblGrid>
      <w:tr w14:paraId="66312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0594069">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2EAC502E">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D1C8B0C">
            <w:pPr>
              <w:spacing w:line="340" w:lineRule="exact"/>
              <w:jc w:val="center"/>
              <w:rPr>
                <w:rFonts w:ascii="宋体" w:hAnsi="宋体"/>
                <w:sz w:val="24"/>
              </w:rPr>
            </w:pPr>
            <w:r>
              <w:rPr>
                <w:rFonts w:hint="eastAsia" w:ascii="宋体" w:hAnsi="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34A6F47">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18FF66AF">
            <w:pPr>
              <w:spacing w:line="340" w:lineRule="exact"/>
              <w:jc w:val="center"/>
              <w:rPr>
                <w:rFonts w:ascii="宋体" w:hAnsi="宋体"/>
                <w:sz w:val="24"/>
              </w:rPr>
            </w:pPr>
          </w:p>
          <w:p w14:paraId="0B080520">
            <w:pPr>
              <w:spacing w:line="340" w:lineRule="exact"/>
              <w:jc w:val="center"/>
              <w:rPr>
                <w:rFonts w:ascii="宋体" w:hAnsi="宋体"/>
                <w:sz w:val="24"/>
              </w:rPr>
            </w:pPr>
            <w:r>
              <w:rPr>
                <w:rFonts w:hint="eastAsia" w:ascii="宋体" w:hAnsi="宋体"/>
                <w:sz w:val="24"/>
              </w:rPr>
              <w:t>偏离说明</w:t>
            </w:r>
          </w:p>
        </w:tc>
      </w:tr>
      <w:tr w14:paraId="32960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B48B94C">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4177792">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80D2BB2">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8F3756F">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F605AAB">
            <w:pPr>
              <w:spacing w:line="340" w:lineRule="exact"/>
              <w:jc w:val="left"/>
              <w:rPr>
                <w:sz w:val="24"/>
              </w:rPr>
            </w:pPr>
          </w:p>
        </w:tc>
      </w:tr>
      <w:tr w14:paraId="27049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9435FC">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5AFD626">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B676960">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62331E">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10E89C2">
            <w:pPr>
              <w:spacing w:line="340" w:lineRule="exact"/>
              <w:jc w:val="left"/>
              <w:rPr>
                <w:sz w:val="24"/>
              </w:rPr>
            </w:pPr>
          </w:p>
        </w:tc>
      </w:tr>
      <w:tr w14:paraId="57AC9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C2010FC">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DBF68CB">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C86497E">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8E0BE9">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955890F">
            <w:pPr>
              <w:spacing w:line="340" w:lineRule="exact"/>
              <w:jc w:val="left"/>
              <w:rPr>
                <w:sz w:val="24"/>
              </w:rPr>
            </w:pPr>
          </w:p>
        </w:tc>
      </w:tr>
      <w:tr w14:paraId="0E329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2A93EA8">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187E89F">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67F1E77">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B46F9B1">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0481DD4">
            <w:pPr>
              <w:spacing w:line="340" w:lineRule="exact"/>
              <w:jc w:val="left"/>
              <w:rPr>
                <w:sz w:val="24"/>
              </w:rPr>
            </w:pPr>
          </w:p>
        </w:tc>
      </w:tr>
    </w:tbl>
    <w:p w14:paraId="6EF232C5">
      <w:pPr>
        <w:snapToGrid w:val="0"/>
        <w:spacing w:line="300" w:lineRule="auto"/>
        <w:contextualSpacing/>
        <w:rPr>
          <w:rFonts w:hint="eastAsia" w:ascii="宋体" w:hAnsi="宋体"/>
          <w:b/>
          <w:sz w:val="24"/>
        </w:rPr>
      </w:pPr>
      <w:r>
        <w:rPr>
          <w:rFonts w:hint="eastAsia" w:ascii="宋体" w:hAnsi="宋体"/>
          <w:b/>
          <w:sz w:val="24"/>
        </w:rPr>
        <w:t>注：</w:t>
      </w:r>
    </w:p>
    <w:p w14:paraId="18EE30A3">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1.供应商提交的响应文件中与磋商文件第三部分“项目需求”中的技术部分的要求，应逐条填列在偏离表中。</w:t>
      </w:r>
    </w:p>
    <w:p w14:paraId="2CE36B01">
      <w:pPr>
        <w:snapToGrid w:val="0"/>
        <w:spacing w:line="300" w:lineRule="auto"/>
        <w:ind w:firstLine="480" w:firstLineChars="200"/>
        <w:contextualSpacing/>
        <w:rPr>
          <w:rFonts w:hint="eastAsia" w:ascii="宋体" w:hAnsi="宋体"/>
          <w:sz w:val="24"/>
        </w:rPr>
      </w:pPr>
      <w:r>
        <w:rPr>
          <w:rFonts w:hint="eastAsia" w:ascii="宋体" w:hAnsi="宋体"/>
          <w:sz w:val="24"/>
        </w:rPr>
        <w:t>2.“偏离说明”一栏选择“正偏离”、“无偏离”、“负偏离”进行填写。正偏离、无偏离的确认和负偏离的是否响应磋商文件，由磋商小组认定。</w:t>
      </w:r>
    </w:p>
    <w:p w14:paraId="18119EBB">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14:paraId="67EEC2E9">
      <w:pPr>
        <w:snapToGrid w:val="0"/>
        <w:spacing w:line="400" w:lineRule="exact"/>
        <w:ind w:firstLine="540" w:firstLineChars="192"/>
        <w:contextualSpacing/>
        <w:rPr>
          <w:rFonts w:hint="eastAsia" w:ascii="宋体" w:hAnsi="宋体" w:cs="宋体"/>
          <w:b/>
          <w:kern w:val="0"/>
          <w:sz w:val="28"/>
          <w:szCs w:val="28"/>
        </w:rPr>
      </w:pPr>
    </w:p>
    <w:p w14:paraId="2070573A">
      <w:pPr>
        <w:snapToGrid w:val="0"/>
        <w:spacing w:line="400" w:lineRule="exact"/>
        <w:ind w:firstLine="540" w:firstLineChars="192"/>
        <w:contextualSpacing/>
        <w:rPr>
          <w:rFonts w:hint="eastAsia" w:ascii="宋体" w:hAnsi="宋体" w:cs="宋体"/>
          <w:b/>
          <w:kern w:val="0"/>
          <w:sz w:val="28"/>
          <w:szCs w:val="28"/>
        </w:rPr>
      </w:pPr>
    </w:p>
    <w:p w14:paraId="3AA02FBE">
      <w:pPr>
        <w:snapToGrid w:val="0"/>
        <w:spacing w:line="400" w:lineRule="exact"/>
        <w:ind w:firstLine="540" w:firstLineChars="192"/>
        <w:contextualSpacing/>
        <w:rPr>
          <w:rFonts w:hint="eastAsia" w:ascii="宋体" w:hAnsi="宋体" w:cs="宋体"/>
          <w:b/>
          <w:kern w:val="0"/>
          <w:sz w:val="28"/>
          <w:szCs w:val="28"/>
        </w:rPr>
      </w:pPr>
    </w:p>
    <w:p w14:paraId="1BBD2149">
      <w:pPr>
        <w:snapToGrid w:val="0"/>
        <w:spacing w:line="400" w:lineRule="exact"/>
        <w:ind w:firstLine="540" w:firstLineChars="192"/>
        <w:contextualSpacing/>
        <w:rPr>
          <w:rFonts w:hint="eastAsia" w:ascii="宋体" w:hAnsi="宋体" w:cs="宋体"/>
          <w:b/>
          <w:kern w:val="0"/>
          <w:sz w:val="28"/>
          <w:szCs w:val="28"/>
        </w:rPr>
      </w:pPr>
    </w:p>
    <w:p w14:paraId="4E797740">
      <w:pPr>
        <w:snapToGrid w:val="0"/>
        <w:spacing w:line="400" w:lineRule="exact"/>
        <w:ind w:firstLine="540" w:firstLineChars="192"/>
        <w:contextualSpacing/>
        <w:rPr>
          <w:rFonts w:hint="eastAsia" w:ascii="宋体" w:hAnsi="宋体" w:cs="宋体"/>
          <w:b/>
          <w:kern w:val="0"/>
          <w:sz w:val="28"/>
          <w:szCs w:val="28"/>
        </w:rPr>
      </w:pPr>
    </w:p>
    <w:p w14:paraId="70CF1190">
      <w:pPr>
        <w:snapToGrid w:val="0"/>
        <w:spacing w:line="400" w:lineRule="exact"/>
        <w:ind w:firstLine="540" w:firstLineChars="192"/>
        <w:contextualSpacing/>
        <w:rPr>
          <w:rFonts w:hint="eastAsia" w:ascii="宋体" w:hAnsi="宋体" w:cs="宋体"/>
          <w:b/>
          <w:kern w:val="0"/>
          <w:sz w:val="28"/>
          <w:szCs w:val="28"/>
        </w:rPr>
      </w:pPr>
    </w:p>
    <w:p w14:paraId="18776559">
      <w:pPr>
        <w:snapToGrid w:val="0"/>
        <w:spacing w:line="400" w:lineRule="exact"/>
        <w:ind w:firstLine="540" w:firstLineChars="192"/>
        <w:contextualSpacing/>
        <w:rPr>
          <w:rFonts w:hint="eastAsia" w:ascii="宋体" w:hAnsi="宋体" w:cs="宋体"/>
          <w:b/>
          <w:kern w:val="0"/>
          <w:sz w:val="28"/>
          <w:szCs w:val="28"/>
        </w:rPr>
      </w:pPr>
    </w:p>
    <w:p w14:paraId="35E0515D">
      <w:pPr>
        <w:snapToGrid w:val="0"/>
        <w:spacing w:line="400" w:lineRule="exact"/>
        <w:ind w:firstLine="540" w:firstLineChars="192"/>
        <w:contextualSpacing/>
        <w:rPr>
          <w:rFonts w:hint="eastAsia" w:ascii="宋体" w:hAnsi="宋体" w:cs="宋体"/>
          <w:b/>
          <w:kern w:val="0"/>
          <w:sz w:val="28"/>
          <w:szCs w:val="28"/>
        </w:rPr>
      </w:pPr>
    </w:p>
    <w:p w14:paraId="211257B4">
      <w:pPr>
        <w:snapToGrid w:val="0"/>
        <w:spacing w:line="400" w:lineRule="exact"/>
        <w:ind w:firstLine="540" w:firstLineChars="192"/>
        <w:contextualSpacing/>
        <w:rPr>
          <w:rFonts w:hint="eastAsia" w:ascii="宋体" w:hAnsi="宋体" w:cs="宋体"/>
          <w:b/>
          <w:kern w:val="0"/>
          <w:sz w:val="28"/>
          <w:szCs w:val="28"/>
        </w:rPr>
      </w:pPr>
    </w:p>
    <w:p w14:paraId="46D3008C">
      <w:pPr>
        <w:snapToGrid w:val="0"/>
        <w:spacing w:line="400" w:lineRule="exact"/>
        <w:ind w:firstLine="540" w:firstLineChars="192"/>
        <w:contextualSpacing/>
        <w:rPr>
          <w:rFonts w:hint="eastAsia" w:ascii="宋体" w:hAnsi="宋体" w:cs="宋体"/>
          <w:b/>
          <w:kern w:val="0"/>
          <w:sz w:val="28"/>
          <w:szCs w:val="28"/>
        </w:rPr>
      </w:pPr>
    </w:p>
    <w:p w14:paraId="211C3026">
      <w:pPr>
        <w:snapToGrid w:val="0"/>
        <w:spacing w:line="400" w:lineRule="exact"/>
        <w:ind w:firstLine="540" w:firstLineChars="192"/>
        <w:contextualSpacing/>
        <w:rPr>
          <w:rFonts w:hint="eastAsia" w:ascii="宋体" w:hAnsi="宋体" w:cs="宋体"/>
          <w:b/>
          <w:kern w:val="0"/>
          <w:sz w:val="28"/>
          <w:szCs w:val="28"/>
        </w:rPr>
      </w:pPr>
    </w:p>
    <w:p w14:paraId="49F204EA">
      <w:pPr>
        <w:snapToGrid w:val="0"/>
        <w:spacing w:line="400" w:lineRule="exact"/>
        <w:ind w:firstLine="540" w:firstLineChars="192"/>
        <w:contextualSpacing/>
        <w:rPr>
          <w:rFonts w:hint="eastAsia" w:ascii="宋体" w:hAnsi="宋体" w:cs="宋体"/>
          <w:b/>
          <w:kern w:val="0"/>
          <w:sz w:val="28"/>
          <w:szCs w:val="28"/>
        </w:rPr>
      </w:pPr>
    </w:p>
    <w:p w14:paraId="71FE6B9F">
      <w:pPr>
        <w:snapToGrid w:val="0"/>
        <w:spacing w:line="400" w:lineRule="exact"/>
        <w:ind w:firstLine="540" w:firstLineChars="192"/>
        <w:contextualSpacing/>
        <w:rPr>
          <w:rFonts w:hint="eastAsia" w:ascii="宋体" w:hAnsi="宋体" w:cs="宋体"/>
          <w:b/>
          <w:kern w:val="0"/>
          <w:sz w:val="28"/>
          <w:szCs w:val="28"/>
        </w:rPr>
      </w:pPr>
    </w:p>
    <w:p w14:paraId="1F574A77">
      <w:pPr>
        <w:snapToGrid w:val="0"/>
        <w:spacing w:line="400" w:lineRule="exact"/>
        <w:ind w:firstLine="540" w:firstLineChars="192"/>
        <w:contextualSpacing/>
        <w:rPr>
          <w:rFonts w:hint="eastAsia" w:ascii="宋体" w:hAnsi="宋体" w:cs="宋体"/>
          <w:b/>
          <w:kern w:val="0"/>
          <w:sz w:val="28"/>
          <w:szCs w:val="28"/>
        </w:rPr>
      </w:pPr>
    </w:p>
    <w:p w14:paraId="01BA0747">
      <w:pPr>
        <w:snapToGrid w:val="0"/>
        <w:spacing w:line="400" w:lineRule="exact"/>
        <w:ind w:firstLine="540" w:firstLineChars="192"/>
        <w:contextualSpacing/>
        <w:rPr>
          <w:rFonts w:hint="eastAsia" w:ascii="宋体" w:hAnsi="宋体" w:cs="宋体"/>
          <w:b/>
          <w:kern w:val="0"/>
          <w:sz w:val="28"/>
          <w:szCs w:val="28"/>
        </w:rPr>
      </w:pPr>
    </w:p>
    <w:p w14:paraId="28F05EDD">
      <w:pPr>
        <w:snapToGrid w:val="0"/>
        <w:spacing w:line="400" w:lineRule="exact"/>
        <w:ind w:firstLine="540" w:firstLineChars="192"/>
        <w:contextualSpacing/>
        <w:rPr>
          <w:rFonts w:hint="eastAsia" w:ascii="宋体" w:hAnsi="宋体" w:cs="宋体"/>
          <w:b/>
          <w:kern w:val="0"/>
          <w:sz w:val="28"/>
          <w:szCs w:val="28"/>
        </w:rPr>
      </w:pPr>
    </w:p>
    <w:p w14:paraId="5CD87155">
      <w:pPr>
        <w:snapToGrid w:val="0"/>
        <w:spacing w:line="400" w:lineRule="exact"/>
        <w:contextualSpacing/>
        <w:rPr>
          <w:rFonts w:eastAsia="方正黑体_GBK"/>
          <w:kern w:val="0"/>
          <w:sz w:val="32"/>
          <w:szCs w:val="32"/>
        </w:rPr>
      </w:pPr>
    </w:p>
    <w:p w14:paraId="5806D7FE">
      <w:pPr>
        <w:snapToGrid w:val="0"/>
        <w:spacing w:line="400" w:lineRule="exact"/>
        <w:contextualSpacing/>
        <w:rPr>
          <w:rFonts w:eastAsia="方正黑体_GBK"/>
          <w:kern w:val="0"/>
          <w:sz w:val="32"/>
          <w:szCs w:val="32"/>
        </w:rPr>
      </w:pPr>
      <w:r>
        <w:rPr>
          <w:rFonts w:eastAsia="方正黑体_GBK"/>
          <w:kern w:val="0"/>
          <w:sz w:val="32"/>
          <w:szCs w:val="32"/>
        </w:rPr>
        <w:t>附件8</w:t>
      </w:r>
    </w:p>
    <w:p w14:paraId="2DC6C646">
      <w:pPr>
        <w:snapToGrid w:val="0"/>
        <w:spacing w:line="400" w:lineRule="exact"/>
        <w:contextualSpacing/>
        <w:rPr>
          <w:rFonts w:hint="eastAsia" w:ascii="宋体" w:hAnsi="宋体" w:cs="宋体"/>
          <w:kern w:val="0"/>
          <w:sz w:val="28"/>
          <w:szCs w:val="28"/>
        </w:rPr>
      </w:pPr>
    </w:p>
    <w:p w14:paraId="4AD99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center"/>
        <w:textAlignment w:val="auto"/>
        <w:rPr>
          <w:rFonts w:hint="default" w:ascii="宋体" w:hAnsi="宋体" w:eastAsia="宋体" w:cs="宋体"/>
          <w:i w:val="0"/>
          <w:iCs w:val="0"/>
          <w:caps w:val="0"/>
          <w:color w:val="auto"/>
          <w:spacing w:val="0"/>
          <w:sz w:val="27"/>
          <w:szCs w:val="27"/>
          <w:shd w:val="clear" w:fill="FFFFFF"/>
          <w:lang w:val="en-US" w:eastAsia="zh-CN"/>
        </w:rPr>
      </w:pPr>
      <w:r>
        <w:rPr>
          <w:rFonts w:hint="eastAsia" w:ascii="宋体" w:hAnsi="宋体" w:eastAsia="宋体" w:cs="宋体"/>
          <w:i w:val="0"/>
          <w:iCs w:val="0"/>
          <w:caps w:val="0"/>
          <w:color w:val="auto"/>
          <w:spacing w:val="0"/>
          <w:sz w:val="27"/>
          <w:szCs w:val="27"/>
          <w:shd w:val="clear" w:fill="FFFFFF"/>
          <w:lang w:val="en-US" w:eastAsia="zh-CN"/>
        </w:rPr>
        <w:t>报价表</w:t>
      </w:r>
    </w:p>
    <w:p w14:paraId="0C6558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项目名称：</w:t>
      </w:r>
      <w:r>
        <w:rPr>
          <w:rFonts w:hint="eastAsia" w:ascii="宋体" w:hAnsi="宋体" w:eastAsia="宋体" w:cs="宋体"/>
          <w:i w:val="0"/>
          <w:iCs w:val="0"/>
          <w:caps w:val="0"/>
          <w:color w:val="auto"/>
          <w:spacing w:val="0"/>
          <w:sz w:val="27"/>
          <w:szCs w:val="27"/>
          <w:shd w:val="clear" w:fill="FFFFFF"/>
          <w:lang w:eastAsia="zh-CN"/>
        </w:rPr>
        <w:t>启东市寅阳镇2024-2025年和合苑物业服务项目</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310"/>
        <w:gridCol w:w="4445"/>
      </w:tblGrid>
      <w:tr w14:paraId="2413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4310" w:type="dxa"/>
            <w:shd w:val="clear" w:color="auto" w:fill="FFFFFF"/>
            <w:tcMar>
              <w:left w:w="45" w:type="dxa"/>
              <w:right w:w="45" w:type="dxa"/>
            </w:tcMar>
            <w:vAlign w:val="center"/>
          </w:tcPr>
          <w:p w14:paraId="3F664E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60" w:lineRule="exact"/>
              <w:ind w:left="0" w:right="0" w:firstLine="0"/>
              <w:jc w:val="center"/>
              <w:textAlignment w:val="auto"/>
              <w:rPr>
                <w:rFonts w:hint="eastAsia" w:ascii="宋体" w:hAnsi="宋体" w:eastAsia="宋体" w:cs="宋体"/>
                <w:color w:val="auto"/>
                <w:sz w:val="36"/>
                <w:szCs w:val="36"/>
              </w:rPr>
            </w:pPr>
            <w:r>
              <w:rPr>
                <w:rFonts w:hint="eastAsia" w:ascii="宋体" w:hAnsi="宋体" w:eastAsia="宋体" w:cs="宋体"/>
                <w:i w:val="0"/>
                <w:iCs w:val="0"/>
                <w:caps w:val="0"/>
                <w:color w:val="auto"/>
                <w:spacing w:val="0"/>
                <w:sz w:val="28"/>
                <w:szCs w:val="28"/>
              </w:rPr>
              <w:t>项目</w:t>
            </w:r>
          </w:p>
        </w:tc>
        <w:tc>
          <w:tcPr>
            <w:tcW w:w="4445" w:type="dxa"/>
            <w:shd w:val="clear" w:color="auto" w:fill="FFFFFF"/>
            <w:tcMar>
              <w:left w:w="45" w:type="dxa"/>
              <w:right w:w="45" w:type="dxa"/>
            </w:tcMar>
            <w:vAlign w:val="center"/>
          </w:tcPr>
          <w:p w14:paraId="52BB2A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60" w:lineRule="exact"/>
              <w:ind w:left="0" w:right="0" w:firstLine="0"/>
              <w:jc w:val="center"/>
              <w:textAlignment w:val="auto"/>
              <w:rPr>
                <w:rFonts w:hint="eastAsia" w:ascii="宋体" w:hAnsi="宋体" w:eastAsia="宋体" w:cs="宋体"/>
                <w:color w:val="auto"/>
                <w:sz w:val="36"/>
                <w:szCs w:val="36"/>
              </w:rPr>
            </w:pPr>
            <w:r>
              <w:rPr>
                <w:rFonts w:hint="eastAsia" w:ascii="宋体" w:hAnsi="宋体" w:eastAsia="宋体" w:cs="宋体"/>
                <w:i w:val="0"/>
                <w:iCs w:val="0"/>
                <w:caps w:val="0"/>
                <w:color w:val="auto"/>
                <w:spacing w:val="0"/>
                <w:sz w:val="28"/>
                <w:szCs w:val="28"/>
              </w:rPr>
              <w:t>报价</w:t>
            </w:r>
          </w:p>
        </w:tc>
      </w:tr>
      <w:tr w14:paraId="4414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21" w:hRule="atLeast"/>
          <w:jc w:val="center"/>
        </w:trPr>
        <w:tc>
          <w:tcPr>
            <w:tcW w:w="4310" w:type="dxa"/>
            <w:shd w:val="clear" w:color="auto" w:fill="FFFFFF"/>
            <w:tcMar>
              <w:left w:w="45" w:type="dxa"/>
              <w:right w:w="45" w:type="dxa"/>
            </w:tcMar>
            <w:vAlign w:val="center"/>
          </w:tcPr>
          <w:p w14:paraId="5BFBA9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60" w:lineRule="exact"/>
              <w:ind w:left="0" w:right="0" w:firstLine="0"/>
              <w:jc w:val="center"/>
              <w:textAlignment w:val="auto"/>
              <w:rPr>
                <w:rFonts w:hint="eastAsia" w:ascii="宋体" w:hAnsi="宋体" w:eastAsia="宋体" w:cs="宋体"/>
                <w:color w:val="auto"/>
                <w:sz w:val="36"/>
                <w:szCs w:val="36"/>
              </w:rPr>
            </w:pPr>
            <w:r>
              <w:rPr>
                <w:rFonts w:hint="eastAsia" w:ascii="宋体" w:hAnsi="宋体" w:eastAsia="宋体" w:cs="宋体"/>
                <w:i w:val="0"/>
                <w:iCs w:val="0"/>
                <w:caps w:val="0"/>
                <w:color w:val="auto"/>
                <w:spacing w:val="0"/>
                <w:sz w:val="27"/>
                <w:szCs w:val="27"/>
                <w:shd w:val="clear" w:fill="FFFFFF"/>
                <w:lang w:eastAsia="zh-CN"/>
              </w:rPr>
              <w:t>启东市寅阳镇2024-2025年和合苑物业服务项目</w:t>
            </w:r>
          </w:p>
        </w:tc>
        <w:tc>
          <w:tcPr>
            <w:tcW w:w="4445" w:type="dxa"/>
            <w:shd w:val="clear" w:color="auto" w:fill="FFFFFF"/>
            <w:tcMar>
              <w:left w:w="45" w:type="dxa"/>
              <w:right w:w="45" w:type="dxa"/>
            </w:tcMar>
            <w:vAlign w:val="center"/>
          </w:tcPr>
          <w:p w14:paraId="2D334F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60" w:lineRule="exact"/>
              <w:ind w:left="0" w:right="0" w:firstLine="0"/>
              <w:jc w:val="center"/>
              <w:textAlignment w:val="auto"/>
              <w:rPr>
                <w:rFonts w:hint="eastAsia" w:ascii="宋体" w:hAnsi="宋体" w:eastAsia="宋体" w:cs="宋体"/>
                <w:color w:val="auto"/>
                <w:sz w:val="36"/>
                <w:szCs w:val="36"/>
              </w:rPr>
            </w:pPr>
          </w:p>
        </w:tc>
      </w:tr>
    </w:tbl>
    <w:p w14:paraId="7DF60C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4D4816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73FF25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投标单位名称（盖公章）：</w:t>
      </w:r>
    </w:p>
    <w:p w14:paraId="3D8E55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5B1A66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法定代表人</w:t>
      </w:r>
      <w:r>
        <w:rPr>
          <w:rFonts w:hint="eastAsia" w:ascii="宋体" w:hAnsi="宋体" w:eastAsia="宋体" w:cs="宋体"/>
          <w:i w:val="0"/>
          <w:iCs w:val="0"/>
          <w:caps w:val="0"/>
          <w:color w:val="auto"/>
          <w:spacing w:val="0"/>
          <w:sz w:val="27"/>
          <w:szCs w:val="27"/>
          <w:shd w:val="clear" w:fill="FFFFFF"/>
        </w:rPr>
        <w:t>或被授权人（签字或盖章）：</w:t>
      </w:r>
    </w:p>
    <w:p w14:paraId="613492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59C5AA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日期：</w:t>
      </w:r>
    </w:p>
    <w:p w14:paraId="5DCAEADD">
      <w:pPr>
        <w:spacing w:line="400" w:lineRule="exact"/>
        <w:jc w:val="center"/>
        <w:rPr>
          <w:rFonts w:hint="eastAsia" w:ascii="Calibri" w:hAnsi="Calibri"/>
          <w:b/>
          <w:bCs/>
          <w:sz w:val="32"/>
          <w:szCs w:val="32"/>
          <w:highlight w:val="yellow"/>
        </w:rPr>
        <w:sectPr>
          <w:pgSz w:w="11906" w:h="16838"/>
          <w:pgMar w:top="1440" w:right="1519" w:bottom="1440" w:left="1519" w:header="851" w:footer="992" w:gutter="0"/>
          <w:cols w:space="425" w:num="1"/>
          <w:docGrid w:type="lines" w:linePitch="312" w:charSpace="0"/>
        </w:sectPr>
      </w:pPr>
    </w:p>
    <w:p w14:paraId="6A1AB9FF">
      <w:pPr>
        <w:spacing w:line="400" w:lineRule="exact"/>
        <w:jc w:val="center"/>
        <w:rPr>
          <w:rFonts w:ascii="Calibri" w:hAnsi="Calibri"/>
          <w:b/>
          <w:bCs/>
          <w:sz w:val="32"/>
          <w:szCs w:val="32"/>
          <w:highlight w:val="yellow"/>
        </w:rPr>
      </w:pPr>
      <w:r>
        <w:rPr>
          <w:rFonts w:hint="eastAsia" w:ascii="Calibri" w:hAnsi="Calibri"/>
          <w:b/>
          <w:bCs/>
          <w:sz w:val="32"/>
          <w:szCs w:val="32"/>
          <w:highlight w:val="yellow"/>
        </w:rPr>
        <w:t>报价明细表</w:t>
      </w:r>
    </w:p>
    <w:p w14:paraId="697ABFB1">
      <w:pPr>
        <w:snapToGrid w:val="0"/>
        <w:spacing w:line="400" w:lineRule="exact"/>
        <w:rPr>
          <w:rFonts w:ascii="仿宋_GB2312" w:hAnsi="宋体" w:eastAsia="仿宋_GB2312"/>
          <w:sz w:val="28"/>
          <w:szCs w:val="28"/>
          <w:highlight w:val="yellow"/>
        </w:rPr>
      </w:pPr>
      <w:r>
        <w:rPr>
          <w:rFonts w:hint="eastAsia" w:ascii="仿宋_GB2312" w:hAnsi="宋体" w:eastAsia="仿宋_GB2312"/>
          <w:sz w:val="28"/>
          <w:szCs w:val="28"/>
          <w:highlight w:val="yellow"/>
        </w:rPr>
        <w:t>供应商（盖章）：</w:t>
      </w:r>
    </w:p>
    <w:tbl>
      <w:tblPr>
        <w:tblStyle w:val="6"/>
        <w:tblW w:w="5280"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526"/>
        <w:gridCol w:w="2068"/>
        <w:gridCol w:w="2080"/>
        <w:gridCol w:w="1012"/>
      </w:tblGrid>
      <w:tr w14:paraId="7898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73" w:type="pct"/>
            <w:vMerge w:val="restart"/>
            <w:noWrap w:val="0"/>
            <w:vAlign w:val="center"/>
          </w:tcPr>
          <w:p w14:paraId="0C3B488E">
            <w:pPr>
              <w:snapToGrid w:val="0"/>
              <w:spacing w:line="400" w:lineRule="exact"/>
              <w:jc w:val="center"/>
              <w:rPr>
                <w:rFonts w:hint="eastAsia" w:ascii="宋体" w:hAnsi="宋体"/>
                <w:b/>
                <w:bCs/>
                <w:sz w:val="28"/>
                <w:szCs w:val="28"/>
                <w:lang w:eastAsia="en-US"/>
              </w:rPr>
            </w:pPr>
            <w:r>
              <w:rPr>
                <w:rFonts w:hint="eastAsia" w:ascii="宋体" w:hAnsi="宋体"/>
                <w:b/>
                <w:bCs/>
                <w:sz w:val="28"/>
                <w:szCs w:val="28"/>
              </w:rPr>
              <w:t>序号</w:t>
            </w:r>
          </w:p>
        </w:tc>
        <w:tc>
          <w:tcPr>
            <w:tcW w:w="1838" w:type="pct"/>
            <w:vMerge w:val="restart"/>
            <w:noWrap w:val="0"/>
            <w:vAlign w:val="center"/>
          </w:tcPr>
          <w:p w14:paraId="773A3138">
            <w:pPr>
              <w:snapToGrid w:val="0"/>
              <w:spacing w:line="400" w:lineRule="exact"/>
              <w:jc w:val="center"/>
              <w:rPr>
                <w:rFonts w:hint="eastAsia" w:ascii="宋体" w:hAnsi="宋体"/>
                <w:b/>
                <w:bCs/>
                <w:sz w:val="28"/>
                <w:szCs w:val="28"/>
              </w:rPr>
            </w:pPr>
            <w:r>
              <w:rPr>
                <w:rFonts w:hint="eastAsia" w:ascii="宋体" w:hAnsi="宋体"/>
                <w:b/>
                <w:bCs/>
                <w:sz w:val="28"/>
                <w:szCs w:val="28"/>
              </w:rPr>
              <w:t>面积</w:t>
            </w:r>
          </w:p>
        </w:tc>
        <w:tc>
          <w:tcPr>
            <w:tcW w:w="2162" w:type="pct"/>
            <w:gridSpan w:val="2"/>
            <w:noWrap w:val="0"/>
            <w:vAlign w:val="center"/>
          </w:tcPr>
          <w:p w14:paraId="0203BA8A">
            <w:pPr>
              <w:snapToGrid w:val="0"/>
              <w:spacing w:line="400" w:lineRule="exact"/>
              <w:jc w:val="center"/>
              <w:rPr>
                <w:rFonts w:ascii="宋体" w:hAnsi="宋体"/>
                <w:b/>
                <w:bCs/>
                <w:sz w:val="28"/>
                <w:szCs w:val="28"/>
              </w:rPr>
            </w:pPr>
            <w:r>
              <w:rPr>
                <w:rFonts w:hint="eastAsia" w:ascii="宋体" w:hAnsi="宋体"/>
                <w:b/>
                <w:bCs/>
                <w:sz w:val="28"/>
                <w:szCs w:val="28"/>
              </w:rPr>
              <w:t>投标报价</w:t>
            </w:r>
          </w:p>
        </w:tc>
        <w:tc>
          <w:tcPr>
            <w:tcW w:w="528" w:type="pct"/>
            <w:noWrap w:val="0"/>
            <w:vAlign w:val="center"/>
          </w:tcPr>
          <w:p w14:paraId="2A849DD1">
            <w:pPr>
              <w:snapToGrid w:val="0"/>
              <w:spacing w:line="400" w:lineRule="exact"/>
              <w:jc w:val="center"/>
              <w:rPr>
                <w:rFonts w:hint="eastAsia" w:ascii="宋体" w:hAnsi="宋体"/>
                <w:b/>
                <w:bCs/>
                <w:sz w:val="28"/>
                <w:szCs w:val="28"/>
              </w:rPr>
            </w:pPr>
            <w:r>
              <w:rPr>
                <w:rFonts w:hint="eastAsia" w:ascii="宋体" w:hAnsi="宋体"/>
                <w:b/>
                <w:bCs/>
                <w:sz w:val="28"/>
                <w:szCs w:val="28"/>
              </w:rPr>
              <w:t>备注</w:t>
            </w:r>
          </w:p>
        </w:tc>
      </w:tr>
      <w:tr w14:paraId="4B69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73" w:type="pct"/>
            <w:vMerge w:val="continue"/>
            <w:noWrap w:val="0"/>
            <w:vAlign w:val="center"/>
          </w:tcPr>
          <w:p w14:paraId="5DA53935">
            <w:pPr>
              <w:snapToGrid w:val="0"/>
              <w:spacing w:line="400" w:lineRule="exact"/>
              <w:rPr>
                <w:rFonts w:hint="eastAsia" w:ascii="宋体" w:hAnsi="宋体"/>
                <w:b/>
                <w:bCs/>
                <w:sz w:val="28"/>
                <w:szCs w:val="28"/>
                <w:lang w:eastAsia="en-US"/>
              </w:rPr>
            </w:pPr>
          </w:p>
        </w:tc>
        <w:tc>
          <w:tcPr>
            <w:tcW w:w="1838" w:type="pct"/>
            <w:vMerge w:val="continue"/>
            <w:noWrap w:val="0"/>
            <w:vAlign w:val="center"/>
          </w:tcPr>
          <w:p w14:paraId="5C6D976C">
            <w:pPr>
              <w:snapToGrid w:val="0"/>
              <w:spacing w:line="400" w:lineRule="exact"/>
              <w:rPr>
                <w:rFonts w:hint="eastAsia" w:ascii="宋体" w:hAnsi="宋体"/>
                <w:b/>
                <w:bCs/>
                <w:sz w:val="28"/>
                <w:szCs w:val="28"/>
              </w:rPr>
            </w:pPr>
          </w:p>
        </w:tc>
        <w:tc>
          <w:tcPr>
            <w:tcW w:w="1078" w:type="pct"/>
            <w:noWrap w:val="0"/>
            <w:vAlign w:val="center"/>
          </w:tcPr>
          <w:p w14:paraId="020D29CC">
            <w:pPr>
              <w:snapToGrid w:val="0"/>
              <w:spacing w:line="400" w:lineRule="exact"/>
              <w:jc w:val="center"/>
              <w:rPr>
                <w:rFonts w:hint="eastAsia" w:ascii="宋体" w:hAnsi="宋体"/>
                <w:b/>
                <w:bCs/>
                <w:sz w:val="28"/>
                <w:szCs w:val="28"/>
              </w:rPr>
            </w:pPr>
            <w:r>
              <w:rPr>
                <w:rFonts w:hint="eastAsia" w:ascii="宋体" w:hAnsi="宋体"/>
                <w:b/>
                <w:bCs/>
                <w:sz w:val="28"/>
                <w:szCs w:val="28"/>
              </w:rPr>
              <w:t>单价</w:t>
            </w:r>
          </w:p>
          <w:p w14:paraId="4CADDC89">
            <w:pPr>
              <w:snapToGrid w:val="0"/>
              <w:spacing w:line="400" w:lineRule="exact"/>
              <w:jc w:val="center"/>
              <w:rPr>
                <w:rFonts w:hint="eastAsia" w:ascii="宋体" w:hAnsi="宋体" w:cs="宋体"/>
                <w:b/>
                <w:bCs/>
                <w:sz w:val="24"/>
              </w:rPr>
            </w:pPr>
            <w:r>
              <w:rPr>
                <w:rFonts w:hint="eastAsia" w:ascii="宋体" w:hAnsi="宋体"/>
                <w:b/>
                <w:bCs/>
                <w:sz w:val="28"/>
                <w:szCs w:val="28"/>
              </w:rPr>
              <w:t>（元/㎡/月）</w:t>
            </w:r>
          </w:p>
        </w:tc>
        <w:tc>
          <w:tcPr>
            <w:tcW w:w="1084" w:type="pct"/>
            <w:noWrap w:val="0"/>
            <w:vAlign w:val="center"/>
          </w:tcPr>
          <w:p w14:paraId="73017899">
            <w:pPr>
              <w:snapToGrid w:val="0"/>
              <w:spacing w:line="400" w:lineRule="exact"/>
              <w:jc w:val="center"/>
              <w:rPr>
                <w:rFonts w:hint="eastAsia" w:ascii="宋体" w:hAnsi="宋体"/>
                <w:b/>
                <w:bCs/>
                <w:sz w:val="28"/>
                <w:szCs w:val="28"/>
              </w:rPr>
            </w:pPr>
            <w:r>
              <w:rPr>
                <w:rFonts w:hint="eastAsia" w:ascii="宋体" w:hAnsi="宋体"/>
                <w:b/>
                <w:bCs/>
                <w:sz w:val="28"/>
                <w:szCs w:val="28"/>
              </w:rPr>
              <w:t>一年合价</w:t>
            </w:r>
          </w:p>
          <w:p w14:paraId="6908684C">
            <w:pPr>
              <w:snapToGrid w:val="0"/>
              <w:spacing w:line="400" w:lineRule="exact"/>
              <w:jc w:val="center"/>
              <w:rPr>
                <w:rFonts w:hint="eastAsia" w:ascii="宋体" w:hAnsi="宋体"/>
                <w:b/>
                <w:bCs/>
                <w:sz w:val="28"/>
                <w:szCs w:val="28"/>
              </w:rPr>
            </w:pPr>
            <w:r>
              <w:rPr>
                <w:rFonts w:hint="eastAsia" w:ascii="宋体" w:hAnsi="宋体"/>
                <w:b/>
                <w:bCs/>
                <w:sz w:val="28"/>
                <w:szCs w:val="28"/>
              </w:rPr>
              <w:t>（元）</w:t>
            </w:r>
          </w:p>
        </w:tc>
        <w:tc>
          <w:tcPr>
            <w:tcW w:w="528" w:type="pct"/>
            <w:noWrap w:val="0"/>
            <w:vAlign w:val="center"/>
          </w:tcPr>
          <w:p w14:paraId="4C1F01CB">
            <w:pPr>
              <w:snapToGrid w:val="0"/>
              <w:spacing w:line="400" w:lineRule="exact"/>
              <w:rPr>
                <w:rFonts w:hint="eastAsia" w:ascii="宋体" w:hAnsi="宋体"/>
                <w:b/>
                <w:bCs/>
                <w:sz w:val="28"/>
                <w:szCs w:val="28"/>
              </w:rPr>
            </w:pPr>
          </w:p>
        </w:tc>
      </w:tr>
      <w:tr w14:paraId="3904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473" w:type="pct"/>
            <w:noWrap w:val="0"/>
            <w:vAlign w:val="center"/>
          </w:tcPr>
          <w:p w14:paraId="5BF3E68F">
            <w:pPr>
              <w:snapToGrid w:val="0"/>
              <w:spacing w:line="400" w:lineRule="exact"/>
              <w:jc w:val="center"/>
              <w:rPr>
                <w:rFonts w:hint="eastAsia" w:ascii="宋体" w:hAnsi="宋体"/>
                <w:sz w:val="28"/>
                <w:szCs w:val="28"/>
              </w:rPr>
            </w:pPr>
            <w:r>
              <w:rPr>
                <w:rFonts w:hint="eastAsia" w:ascii="宋体" w:hAnsi="宋体"/>
                <w:sz w:val="28"/>
                <w:szCs w:val="28"/>
                <w:lang w:eastAsia="en-US"/>
              </w:rPr>
              <w:t>1</w:t>
            </w:r>
          </w:p>
        </w:tc>
        <w:tc>
          <w:tcPr>
            <w:tcW w:w="1838" w:type="pct"/>
            <w:noWrap w:val="0"/>
            <w:vAlign w:val="center"/>
          </w:tcPr>
          <w:p w14:paraId="2A0A33F3">
            <w:pPr>
              <w:snapToGrid w:val="0"/>
              <w:spacing w:line="400" w:lineRule="exact"/>
              <w:rPr>
                <w:rFonts w:hint="eastAsia" w:ascii="宋体" w:hAnsi="宋体"/>
                <w:sz w:val="28"/>
                <w:szCs w:val="28"/>
              </w:rPr>
            </w:pPr>
            <w:r>
              <w:rPr>
                <w:rFonts w:hint="eastAsia" w:ascii="宋体" w:hAnsi="宋体"/>
                <w:sz w:val="28"/>
                <w:szCs w:val="28"/>
              </w:rPr>
              <w:t>现</w:t>
            </w:r>
            <w:r>
              <w:rPr>
                <w:rFonts w:hint="eastAsia" w:ascii="宋体" w:hAnsi="宋体"/>
                <w:sz w:val="28"/>
                <w:szCs w:val="28"/>
                <w:lang w:eastAsia="en-US"/>
              </w:rPr>
              <w:t>服务面积为</w:t>
            </w:r>
            <w:r>
              <w:rPr>
                <w:rFonts w:hint="eastAsia" w:ascii="宋体" w:hAnsi="宋体"/>
                <w:sz w:val="28"/>
                <w:szCs w:val="28"/>
                <w:lang w:val="en-US" w:eastAsia="zh-CN"/>
              </w:rPr>
              <w:t>86590.96</w:t>
            </w:r>
            <w:r>
              <w:rPr>
                <w:rFonts w:hint="eastAsia" w:ascii="宋体" w:hAnsi="宋体"/>
                <w:sz w:val="28"/>
                <w:szCs w:val="28"/>
                <w:lang w:eastAsia="en-US"/>
              </w:rPr>
              <w:t>平方米</w:t>
            </w:r>
          </w:p>
        </w:tc>
        <w:tc>
          <w:tcPr>
            <w:tcW w:w="1078" w:type="pct"/>
            <w:noWrap w:val="0"/>
            <w:vAlign w:val="center"/>
          </w:tcPr>
          <w:p w14:paraId="39D289CC">
            <w:pPr>
              <w:snapToGrid w:val="0"/>
              <w:spacing w:line="400" w:lineRule="exact"/>
              <w:rPr>
                <w:rFonts w:ascii="宋体" w:hAnsi="宋体"/>
                <w:sz w:val="28"/>
                <w:szCs w:val="28"/>
              </w:rPr>
            </w:pPr>
          </w:p>
        </w:tc>
        <w:tc>
          <w:tcPr>
            <w:tcW w:w="1084" w:type="pct"/>
            <w:noWrap w:val="0"/>
            <w:vAlign w:val="center"/>
          </w:tcPr>
          <w:p w14:paraId="419748D0">
            <w:pPr>
              <w:snapToGrid w:val="0"/>
              <w:spacing w:line="400" w:lineRule="exact"/>
              <w:rPr>
                <w:rFonts w:ascii="宋体" w:hAnsi="宋体"/>
                <w:sz w:val="28"/>
                <w:szCs w:val="28"/>
              </w:rPr>
            </w:pPr>
          </w:p>
        </w:tc>
        <w:tc>
          <w:tcPr>
            <w:tcW w:w="528" w:type="pct"/>
            <w:noWrap w:val="0"/>
            <w:vAlign w:val="center"/>
          </w:tcPr>
          <w:p w14:paraId="3899FD1E">
            <w:pPr>
              <w:snapToGrid w:val="0"/>
              <w:spacing w:line="400" w:lineRule="exact"/>
              <w:rPr>
                <w:rFonts w:hint="eastAsia" w:ascii="宋体" w:hAnsi="宋体"/>
                <w:sz w:val="28"/>
                <w:szCs w:val="28"/>
              </w:rPr>
            </w:pPr>
          </w:p>
        </w:tc>
      </w:tr>
      <w:tr w14:paraId="38A5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73" w:type="pct"/>
            <w:noWrap w:val="0"/>
            <w:vAlign w:val="center"/>
          </w:tcPr>
          <w:p w14:paraId="1813937A">
            <w:pPr>
              <w:snapToGrid w:val="0"/>
              <w:spacing w:line="400" w:lineRule="exact"/>
              <w:rPr>
                <w:rFonts w:hint="eastAsia" w:ascii="宋体" w:hAnsi="宋体"/>
                <w:sz w:val="28"/>
                <w:szCs w:val="28"/>
              </w:rPr>
            </w:pPr>
            <w:r>
              <w:rPr>
                <w:rFonts w:hint="eastAsia" w:ascii="宋体" w:hAnsi="宋体"/>
                <w:sz w:val="28"/>
                <w:szCs w:val="28"/>
              </w:rPr>
              <w:t>合计总价</w:t>
            </w:r>
          </w:p>
        </w:tc>
        <w:tc>
          <w:tcPr>
            <w:tcW w:w="4527" w:type="pct"/>
            <w:gridSpan w:val="4"/>
            <w:noWrap w:val="0"/>
            <w:vAlign w:val="center"/>
          </w:tcPr>
          <w:p w14:paraId="79C8516C">
            <w:pPr>
              <w:snapToGrid w:val="0"/>
              <w:spacing w:line="400" w:lineRule="exact"/>
              <w:rPr>
                <w:rFonts w:ascii="宋体" w:hAnsi="宋体"/>
                <w:sz w:val="28"/>
                <w:szCs w:val="28"/>
              </w:rPr>
            </w:pPr>
            <w:r>
              <w:rPr>
                <w:rFonts w:hint="eastAsia" w:ascii="宋体" w:hAnsi="宋体"/>
                <w:sz w:val="28"/>
                <w:szCs w:val="28"/>
              </w:rPr>
              <w:t>大写：                           （小写</w:t>
            </w:r>
            <w:r>
              <w:rPr>
                <w:rFonts w:ascii="宋体" w:hAnsi="宋体"/>
                <w:sz w:val="28"/>
                <w:szCs w:val="28"/>
              </w:rPr>
              <w:t>¥</w:t>
            </w:r>
            <w:r>
              <w:rPr>
                <w:rFonts w:hint="eastAsia" w:ascii="宋体" w:hAnsi="宋体"/>
                <w:sz w:val="28"/>
                <w:szCs w:val="28"/>
              </w:rPr>
              <w:t>：          ）</w:t>
            </w:r>
          </w:p>
        </w:tc>
      </w:tr>
    </w:tbl>
    <w:p w14:paraId="2E10BB38">
      <w:pPr>
        <w:snapToGrid w:val="0"/>
        <w:spacing w:line="300" w:lineRule="auto"/>
        <w:outlineLvl w:val="0"/>
        <w:rPr>
          <w:rFonts w:hint="eastAsia" w:ascii="宋体" w:hAnsi="宋体" w:cs="宋体"/>
          <w:b/>
          <w:kern w:val="0"/>
          <w:sz w:val="28"/>
          <w:szCs w:val="28"/>
          <w:highlight w:val="yellow"/>
          <w:lang w:val="zh-CN"/>
        </w:rPr>
      </w:pPr>
    </w:p>
    <w:p w14:paraId="085DDDC6">
      <w:pPr>
        <w:snapToGrid w:val="0"/>
        <w:spacing w:line="300" w:lineRule="auto"/>
        <w:outlineLvl w:val="0"/>
        <w:rPr>
          <w:rFonts w:eastAsia="方正黑体_GBK"/>
          <w:sz w:val="32"/>
          <w:szCs w:val="32"/>
        </w:rPr>
      </w:pPr>
    </w:p>
    <w:p w14:paraId="1C8DACB4">
      <w:pPr>
        <w:snapToGrid w:val="0"/>
        <w:spacing w:line="300" w:lineRule="auto"/>
        <w:outlineLvl w:val="0"/>
        <w:rPr>
          <w:rFonts w:eastAsia="方正黑体_GBK"/>
          <w:sz w:val="32"/>
          <w:szCs w:val="32"/>
        </w:rPr>
      </w:pPr>
    </w:p>
    <w:p w14:paraId="178ABB37">
      <w:pPr>
        <w:snapToGrid w:val="0"/>
        <w:spacing w:line="300" w:lineRule="auto"/>
        <w:outlineLvl w:val="0"/>
        <w:rPr>
          <w:rFonts w:eastAsia="方正黑体_GBK"/>
          <w:sz w:val="32"/>
          <w:szCs w:val="32"/>
        </w:rPr>
      </w:pPr>
    </w:p>
    <w:p w14:paraId="6B30E9E3">
      <w:pPr>
        <w:snapToGrid w:val="0"/>
        <w:spacing w:line="300" w:lineRule="auto"/>
        <w:outlineLvl w:val="0"/>
        <w:rPr>
          <w:rFonts w:eastAsia="方正黑体_GBK"/>
          <w:sz w:val="32"/>
          <w:szCs w:val="32"/>
        </w:rPr>
      </w:pPr>
    </w:p>
    <w:p w14:paraId="09C57EDF">
      <w:pPr>
        <w:snapToGrid w:val="0"/>
        <w:spacing w:line="300" w:lineRule="auto"/>
        <w:outlineLvl w:val="0"/>
        <w:rPr>
          <w:rFonts w:eastAsia="方正黑体_GBK"/>
          <w:sz w:val="32"/>
          <w:szCs w:val="32"/>
        </w:rPr>
      </w:pPr>
    </w:p>
    <w:p w14:paraId="0E6CC948">
      <w:pPr>
        <w:snapToGrid w:val="0"/>
        <w:spacing w:line="300" w:lineRule="auto"/>
        <w:outlineLvl w:val="0"/>
        <w:rPr>
          <w:rFonts w:eastAsia="方正黑体_GBK"/>
          <w:sz w:val="32"/>
          <w:szCs w:val="32"/>
        </w:rPr>
      </w:pPr>
    </w:p>
    <w:p w14:paraId="125348B1">
      <w:pPr>
        <w:snapToGrid w:val="0"/>
        <w:spacing w:line="300" w:lineRule="auto"/>
        <w:outlineLvl w:val="0"/>
        <w:rPr>
          <w:rFonts w:eastAsia="方正黑体_GBK"/>
          <w:sz w:val="32"/>
          <w:szCs w:val="32"/>
        </w:rPr>
      </w:pPr>
    </w:p>
    <w:p w14:paraId="3B647FD8">
      <w:pPr>
        <w:snapToGrid w:val="0"/>
        <w:spacing w:line="300" w:lineRule="auto"/>
        <w:outlineLvl w:val="0"/>
        <w:rPr>
          <w:rFonts w:eastAsia="方正黑体_GBK"/>
          <w:sz w:val="32"/>
          <w:szCs w:val="32"/>
        </w:rPr>
      </w:pPr>
    </w:p>
    <w:p w14:paraId="234B75DD">
      <w:pPr>
        <w:snapToGrid w:val="0"/>
        <w:spacing w:line="300" w:lineRule="auto"/>
        <w:outlineLvl w:val="0"/>
        <w:rPr>
          <w:rFonts w:eastAsia="方正黑体_GBK"/>
          <w:sz w:val="32"/>
          <w:szCs w:val="32"/>
        </w:rPr>
      </w:pPr>
    </w:p>
    <w:p w14:paraId="2629A96D">
      <w:pPr>
        <w:snapToGrid w:val="0"/>
        <w:spacing w:line="300" w:lineRule="auto"/>
        <w:outlineLvl w:val="0"/>
        <w:rPr>
          <w:rFonts w:eastAsia="方正黑体_GBK"/>
          <w:sz w:val="32"/>
          <w:szCs w:val="32"/>
        </w:rPr>
      </w:pPr>
    </w:p>
    <w:p w14:paraId="447D29AC">
      <w:pPr>
        <w:snapToGrid w:val="0"/>
        <w:spacing w:line="300" w:lineRule="auto"/>
        <w:outlineLvl w:val="0"/>
        <w:rPr>
          <w:rFonts w:eastAsia="方正黑体_GBK"/>
          <w:sz w:val="32"/>
          <w:szCs w:val="32"/>
        </w:rPr>
        <w:sectPr>
          <w:pgSz w:w="11906" w:h="16838"/>
          <w:pgMar w:top="1440" w:right="1519" w:bottom="1440" w:left="1519" w:header="851" w:footer="992" w:gutter="0"/>
          <w:cols w:space="425" w:num="1"/>
          <w:docGrid w:type="lines" w:linePitch="312" w:charSpace="0"/>
        </w:sectPr>
      </w:pPr>
    </w:p>
    <w:p w14:paraId="2462E7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center"/>
        <w:textAlignment w:val="auto"/>
        <w:rPr>
          <w:rFonts w:hint="eastAsia" w:ascii="宋体" w:hAnsi="宋体" w:eastAsia="宋体" w:cs="宋体"/>
          <w:b/>
          <w:bCs/>
          <w:i w:val="0"/>
          <w:iCs w:val="0"/>
          <w:caps w:val="0"/>
          <w:color w:val="auto"/>
          <w:spacing w:val="0"/>
          <w:sz w:val="40"/>
          <w:szCs w:val="40"/>
          <w:shd w:val="clear" w:fill="FFFFFF"/>
        </w:rPr>
      </w:pPr>
      <w:r>
        <w:rPr>
          <w:rFonts w:hint="eastAsia" w:ascii="宋体" w:hAnsi="宋体" w:eastAsia="宋体" w:cs="宋体"/>
          <w:b/>
          <w:bCs/>
          <w:i w:val="0"/>
          <w:iCs w:val="0"/>
          <w:caps w:val="0"/>
          <w:color w:val="auto"/>
          <w:spacing w:val="0"/>
          <w:sz w:val="40"/>
          <w:szCs w:val="40"/>
          <w:shd w:val="clear" w:fill="FFFFFF"/>
        </w:rPr>
        <w:t>最后报价一览表</w:t>
      </w:r>
    </w:p>
    <w:p w14:paraId="1FF9E1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center"/>
        <w:textAlignment w:val="auto"/>
        <w:rPr>
          <w:rFonts w:hint="eastAsia" w:ascii="宋体" w:hAnsi="宋体" w:eastAsia="宋体" w:cs="宋体"/>
          <w:b/>
          <w:bCs/>
          <w:i w:val="0"/>
          <w:iCs w:val="0"/>
          <w:caps w:val="0"/>
          <w:color w:val="auto"/>
          <w:spacing w:val="0"/>
          <w:sz w:val="40"/>
          <w:szCs w:val="40"/>
          <w:shd w:val="clear" w:fill="FFFFFF"/>
        </w:rPr>
      </w:pPr>
    </w:p>
    <w:p w14:paraId="62BA92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项目名称：</w:t>
      </w:r>
      <w:r>
        <w:rPr>
          <w:rFonts w:hint="eastAsia" w:ascii="宋体" w:hAnsi="宋体" w:eastAsia="宋体" w:cs="宋体"/>
          <w:i w:val="0"/>
          <w:iCs w:val="0"/>
          <w:caps w:val="0"/>
          <w:color w:val="auto"/>
          <w:spacing w:val="0"/>
          <w:sz w:val="27"/>
          <w:szCs w:val="27"/>
          <w:shd w:val="clear" w:fill="FFFFFF"/>
          <w:lang w:eastAsia="zh-CN"/>
        </w:rPr>
        <w:t>启东市寅阳镇2024-2025年和合苑物业服务项目</w:t>
      </w:r>
    </w:p>
    <w:tbl>
      <w:tblPr>
        <w:tblStyle w:val="6"/>
        <w:tblW w:w="5280"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526"/>
        <w:gridCol w:w="2068"/>
        <w:gridCol w:w="2080"/>
        <w:gridCol w:w="1012"/>
      </w:tblGrid>
      <w:tr w14:paraId="7A62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73" w:type="pct"/>
            <w:vMerge w:val="restart"/>
            <w:noWrap w:val="0"/>
            <w:vAlign w:val="center"/>
          </w:tcPr>
          <w:p w14:paraId="6C3AE56F">
            <w:pPr>
              <w:snapToGrid w:val="0"/>
              <w:spacing w:line="400" w:lineRule="exact"/>
              <w:jc w:val="center"/>
              <w:rPr>
                <w:rFonts w:hint="eastAsia" w:ascii="宋体" w:hAnsi="宋体"/>
                <w:b/>
                <w:bCs/>
                <w:sz w:val="28"/>
                <w:szCs w:val="28"/>
                <w:lang w:eastAsia="en-US"/>
              </w:rPr>
            </w:pPr>
            <w:r>
              <w:rPr>
                <w:rFonts w:hint="eastAsia" w:ascii="宋体" w:hAnsi="宋体"/>
                <w:b/>
                <w:bCs/>
                <w:sz w:val="28"/>
                <w:szCs w:val="28"/>
              </w:rPr>
              <w:t>序号</w:t>
            </w:r>
          </w:p>
        </w:tc>
        <w:tc>
          <w:tcPr>
            <w:tcW w:w="1838" w:type="pct"/>
            <w:vMerge w:val="restart"/>
            <w:noWrap w:val="0"/>
            <w:vAlign w:val="center"/>
          </w:tcPr>
          <w:p w14:paraId="21B97ECE">
            <w:pPr>
              <w:snapToGrid w:val="0"/>
              <w:spacing w:line="400" w:lineRule="exact"/>
              <w:jc w:val="center"/>
              <w:rPr>
                <w:rFonts w:hint="eastAsia" w:ascii="宋体" w:hAnsi="宋体"/>
                <w:b/>
                <w:bCs/>
                <w:sz w:val="28"/>
                <w:szCs w:val="28"/>
              </w:rPr>
            </w:pPr>
            <w:r>
              <w:rPr>
                <w:rFonts w:hint="eastAsia" w:ascii="宋体" w:hAnsi="宋体"/>
                <w:b/>
                <w:bCs/>
                <w:sz w:val="28"/>
                <w:szCs w:val="28"/>
              </w:rPr>
              <w:t>面积</w:t>
            </w:r>
          </w:p>
        </w:tc>
        <w:tc>
          <w:tcPr>
            <w:tcW w:w="2162" w:type="pct"/>
            <w:gridSpan w:val="2"/>
            <w:noWrap w:val="0"/>
            <w:vAlign w:val="center"/>
          </w:tcPr>
          <w:p w14:paraId="37796864">
            <w:pPr>
              <w:snapToGrid w:val="0"/>
              <w:spacing w:line="400" w:lineRule="exact"/>
              <w:jc w:val="center"/>
              <w:rPr>
                <w:rFonts w:ascii="宋体" w:hAnsi="宋体"/>
                <w:b/>
                <w:bCs/>
                <w:sz w:val="28"/>
                <w:szCs w:val="28"/>
              </w:rPr>
            </w:pPr>
            <w:r>
              <w:rPr>
                <w:rFonts w:hint="eastAsia" w:ascii="宋体" w:hAnsi="宋体"/>
                <w:b/>
                <w:bCs/>
                <w:sz w:val="28"/>
                <w:szCs w:val="28"/>
              </w:rPr>
              <w:t>投标报价</w:t>
            </w:r>
          </w:p>
        </w:tc>
        <w:tc>
          <w:tcPr>
            <w:tcW w:w="528" w:type="pct"/>
            <w:noWrap w:val="0"/>
            <w:vAlign w:val="center"/>
          </w:tcPr>
          <w:p w14:paraId="3BA9653C">
            <w:pPr>
              <w:snapToGrid w:val="0"/>
              <w:spacing w:line="400" w:lineRule="exact"/>
              <w:jc w:val="center"/>
              <w:rPr>
                <w:rFonts w:hint="eastAsia" w:ascii="宋体" w:hAnsi="宋体"/>
                <w:b/>
                <w:bCs/>
                <w:sz w:val="28"/>
                <w:szCs w:val="28"/>
              </w:rPr>
            </w:pPr>
            <w:r>
              <w:rPr>
                <w:rFonts w:hint="eastAsia" w:ascii="宋体" w:hAnsi="宋体"/>
                <w:b/>
                <w:bCs/>
                <w:sz w:val="28"/>
                <w:szCs w:val="28"/>
              </w:rPr>
              <w:t>备注</w:t>
            </w:r>
          </w:p>
        </w:tc>
      </w:tr>
      <w:tr w14:paraId="163D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73" w:type="pct"/>
            <w:vMerge w:val="continue"/>
            <w:noWrap w:val="0"/>
            <w:vAlign w:val="center"/>
          </w:tcPr>
          <w:p w14:paraId="6A49316B">
            <w:pPr>
              <w:snapToGrid w:val="0"/>
              <w:spacing w:line="400" w:lineRule="exact"/>
              <w:rPr>
                <w:rFonts w:hint="eastAsia" w:ascii="宋体" w:hAnsi="宋体"/>
                <w:b/>
                <w:bCs/>
                <w:sz w:val="28"/>
                <w:szCs w:val="28"/>
                <w:lang w:eastAsia="en-US"/>
              </w:rPr>
            </w:pPr>
          </w:p>
        </w:tc>
        <w:tc>
          <w:tcPr>
            <w:tcW w:w="1838" w:type="pct"/>
            <w:vMerge w:val="continue"/>
            <w:noWrap w:val="0"/>
            <w:vAlign w:val="center"/>
          </w:tcPr>
          <w:p w14:paraId="39BA5CFD">
            <w:pPr>
              <w:snapToGrid w:val="0"/>
              <w:spacing w:line="400" w:lineRule="exact"/>
              <w:rPr>
                <w:rFonts w:hint="eastAsia" w:ascii="宋体" w:hAnsi="宋体"/>
                <w:b/>
                <w:bCs/>
                <w:sz w:val="28"/>
                <w:szCs w:val="28"/>
              </w:rPr>
            </w:pPr>
          </w:p>
        </w:tc>
        <w:tc>
          <w:tcPr>
            <w:tcW w:w="1078" w:type="pct"/>
            <w:noWrap w:val="0"/>
            <w:vAlign w:val="center"/>
          </w:tcPr>
          <w:p w14:paraId="4583BDFF">
            <w:pPr>
              <w:snapToGrid w:val="0"/>
              <w:spacing w:line="400" w:lineRule="exact"/>
              <w:jc w:val="center"/>
              <w:rPr>
                <w:rFonts w:hint="eastAsia" w:ascii="宋体" w:hAnsi="宋体"/>
                <w:b/>
                <w:bCs/>
                <w:sz w:val="28"/>
                <w:szCs w:val="28"/>
              </w:rPr>
            </w:pPr>
            <w:r>
              <w:rPr>
                <w:rFonts w:hint="eastAsia" w:ascii="宋体" w:hAnsi="宋体"/>
                <w:b/>
                <w:bCs/>
                <w:sz w:val="28"/>
                <w:szCs w:val="28"/>
              </w:rPr>
              <w:t>单价</w:t>
            </w:r>
          </w:p>
          <w:p w14:paraId="2B55F91A">
            <w:pPr>
              <w:snapToGrid w:val="0"/>
              <w:spacing w:line="400" w:lineRule="exact"/>
              <w:jc w:val="center"/>
              <w:rPr>
                <w:rFonts w:hint="eastAsia" w:ascii="宋体" w:hAnsi="宋体" w:cs="宋体"/>
                <w:b/>
                <w:bCs/>
                <w:sz w:val="24"/>
              </w:rPr>
            </w:pPr>
            <w:r>
              <w:rPr>
                <w:rFonts w:hint="eastAsia" w:ascii="宋体" w:hAnsi="宋体"/>
                <w:b/>
                <w:bCs/>
                <w:sz w:val="28"/>
                <w:szCs w:val="28"/>
              </w:rPr>
              <w:t>（元/㎡/月）</w:t>
            </w:r>
          </w:p>
        </w:tc>
        <w:tc>
          <w:tcPr>
            <w:tcW w:w="1084" w:type="pct"/>
            <w:noWrap w:val="0"/>
            <w:vAlign w:val="center"/>
          </w:tcPr>
          <w:p w14:paraId="3661D9B7">
            <w:pPr>
              <w:snapToGrid w:val="0"/>
              <w:spacing w:line="400" w:lineRule="exact"/>
              <w:jc w:val="center"/>
              <w:rPr>
                <w:rFonts w:hint="eastAsia" w:ascii="宋体" w:hAnsi="宋体"/>
                <w:b/>
                <w:bCs/>
                <w:sz w:val="28"/>
                <w:szCs w:val="28"/>
              </w:rPr>
            </w:pPr>
            <w:r>
              <w:rPr>
                <w:rFonts w:hint="eastAsia" w:ascii="宋体" w:hAnsi="宋体"/>
                <w:b/>
                <w:bCs/>
                <w:sz w:val="28"/>
                <w:szCs w:val="28"/>
              </w:rPr>
              <w:t>一年合价</w:t>
            </w:r>
          </w:p>
          <w:p w14:paraId="1A157AB5">
            <w:pPr>
              <w:snapToGrid w:val="0"/>
              <w:spacing w:line="400" w:lineRule="exact"/>
              <w:jc w:val="center"/>
              <w:rPr>
                <w:rFonts w:hint="eastAsia" w:ascii="宋体" w:hAnsi="宋体"/>
                <w:b/>
                <w:bCs/>
                <w:sz w:val="28"/>
                <w:szCs w:val="28"/>
              </w:rPr>
            </w:pPr>
            <w:r>
              <w:rPr>
                <w:rFonts w:hint="eastAsia" w:ascii="宋体" w:hAnsi="宋体"/>
                <w:b/>
                <w:bCs/>
                <w:sz w:val="28"/>
                <w:szCs w:val="28"/>
              </w:rPr>
              <w:t>（元）</w:t>
            </w:r>
          </w:p>
        </w:tc>
        <w:tc>
          <w:tcPr>
            <w:tcW w:w="528" w:type="pct"/>
            <w:noWrap w:val="0"/>
            <w:vAlign w:val="center"/>
          </w:tcPr>
          <w:p w14:paraId="07D412D2">
            <w:pPr>
              <w:snapToGrid w:val="0"/>
              <w:spacing w:line="400" w:lineRule="exact"/>
              <w:rPr>
                <w:rFonts w:hint="eastAsia" w:ascii="宋体" w:hAnsi="宋体"/>
                <w:b/>
                <w:bCs/>
                <w:sz w:val="28"/>
                <w:szCs w:val="28"/>
              </w:rPr>
            </w:pPr>
          </w:p>
        </w:tc>
      </w:tr>
      <w:tr w14:paraId="4367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473" w:type="pct"/>
            <w:noWrap w:val="0"/>
            <w:vAlign w:val="center"/>
          </w:tcPr>
          <w:p w14:paraId="6A8109A8">
            <w:pPr>
              <w:snapToGrid w:val="0"/>
              <w:spacing w:line="400" w:lineRule="exact"/>
              <w:jc w:val="center"/>
              <w:rPr>
                <w:rFonts w:hint="eastAsia" w:ascii="宋体" w:hAnsi="宋体"/>
                <w:sz w:val="28"/>
                <w:szCs w:val="28"/>
              </w:rPr>
            </w:pPr>
            <w:r>
              <w:rPr>
                <w:rFonts w:hint="eastAsia" w:ascii="宋体" w:hAnsi="宋体"/>
                <w:sz w:val="28"/>
                <w:szCs w:val="28"/>
                <w:lang w:eastAsia="en-US"/>
              </w:rPr>
              <w:t>1</w:t>
            </w:r>
          </w:p>
        </w:tc>
        <w:tc>
          <w:tcPr>
            <w:tcW w:w="1838" w:type="pct"/>
            <w:noWrap w:val="0"/>
            <w:vAlign w:val="center"/>
          </w:tcPr>
          <w:p w14:paraId="450AA998">
            <w:pPr>
              <w:snapToGrid w:val="0"/>
              <w:spacing w:line="400" w:lineRule="exact"/>
              <w:rPr>
                <w:rFonts w:hint="eastAsia" w:ascii="宋体" w:hAnsi="宋体"/>
                <w:sz w:val="28"/>
                <w:szCs w:val="28"/>
              </w:rPr>
            </w:pPr>
            <w:r>
              <w:rPr>
                <w:rFonts w:hint="eastAsia" w:ascii="宋体" w:hAnsi="宋体"/>
                <w:sz w:val="28"/>
                <w:szCs w:val="28"/>
              </w:rPr>
              <w:t>现</w:t>
            </w:r>
            <w:r>
              <w:rPr>
                <w:rFonts w:hint="eastAsia" w:ascii="宋体" w:hAnsi="宋体"/>
                <w:sz w:val="28"/>
                <w:szCs w:val="28"/>
                <w:lang w:eastAsia="en-US"/>
              </w:rPr>
              <w:t>服务面积为</w:t>
            </w:r>
            <w:r>
              <w:rPr>
                <w:rFonts w:hint="eastAsia" w:ascii="宋体" w:hAnsi="宋体"/>
                <w:sz w:val="28"/>
                <w:szCs w:val="28"/>
                <w:lang w:val="en-US" w:eastAsia="zh-CN"/>
              </w:rPr>
              <w:t>86590.96</w:t>
            </w:r>
            <w:r>
              <w:rPr>
                <w:rFonts w:hint="eastAsia" w:ascii="宋体" w:hAnsi="宋体"/>
                <w:sz w:val="28"/>
                <w:szCs w:val="28"/>
                <w:lang w:eastAsia="en-US"/>
              </w:rPr>
              <w:t>平方米</w:t>
            </w:r>
          </w:p>
        </w:tc>
        <w:tc>
          <w:tcPr>
            <w:tcW w:w="1078" w:type="pct"/>
            <w:noWrap w:val="0"/>
            <w:vAlign w:val="center"/>
          </w:tcPr>
          <w:p w14:paraId="046D9B1B">
            <w:pPr>
              <w:snapToGrid w:val="0"/>
              <w:spacing w:line="400" w:lineRule="exact"/>
              <w:rPr>
                <w:rFonts w:ascii="宋体" w:hAnsi="宋体"/>
                <w:sz w:val="28"/>
                <w:szCs w:val="28"/>
              </w:rPr>
            </w:pPr>
          </w:p>
        </w:tc>
        <w:tc>
          <w:tcPr>
            <w:tcW w:w="1084" w:type="pct"/>
            <w:noWrap w:val="0"/>
            <w:vAlign w:val="center"/>
          </w:tcPr>
          <w:p w14:paraId="31F7D71D">
            <w:pPr>
              <w:snapToGrid w:val="0"/>
              <w:spacing w:line="400" w:lineRule="exact"/>
              <w:rPr>
                <w:rFonts w:ascii="宋体" w:hAnsi="宋体"/>
                <w:sz w:val="28"/>
                <w:szCs w:val="28"/>
              </w:rPr>
            </w:pPr>
          </w:p>
        </w:tc>
        <w:tc>
          <w:tcPr>
            <w:tcW w:w="528" w:type="pct"/>
            <w:noWrap w:val="0"/>
            <w:vAlign w:val="center"/>
          </w:tcPr>
          <w:p w14:paraId="218E7FB4">
            <w:pPr>
              <w:snapToGrid w:val="0"/>
              <w:spacing w:line="400" w:lineRule="exact"/>
              <w:rPr>
                <w:rFonts w:hint="eastAsia" w:ascii="宋体" w:hAnsi="宋体"/>
                <w:sz w:val="28"/>
                <w:szCs w:val="28"/>
              </w:rPr>
            </w:pPr>
          </w:p>
        </w:tc>
      </w:tr>
      <w:tr w14:paraId="7B56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73" w:type="pct"/>
            <w:noWrap w:val="0"/>
            <w:vAlign w:val="center"/>
          </w:tcPr>
          <w:p w14:paraId="43358470">
            <w:pPr>
              <w:snapToGrid w:val="0"/>
              <w:spacing w:line="400" w:lineRule="exact"/>
              <w:rPr>
                <w:rFonts w:hint="eastAsia" w:ascii="宋体" w:hAnsi="宋体"/>
                <w:sz w:val="28"/>
                <w:szCs w:val="28"/>
              </w:rPr>
            </w:pPr>
            <w:r>
              <w:rPr>
                <w:rFonts w:hint="eastAsia" w:ascii="宋体" w:hAnsi="宋体"/>
                <w:sz w:val="28"/>
                <w:szCs w:val="28"/>
              </w:rPr>
              <w:t>合计总价</w:t>
            </w:r>
          </w:p>
        </w:tc>
        <w:tc>
          <w:tcPr>
            <w:tcW w:w="4527" w:type="pct"/>
            <w:gridSpan w:val="4"/>
            <w:noWrap w:val="0"/>
            <w:vAlign w:val="center"/>
          </w:tcPr>
          <w:p w14:paraId="5195E282">
            <w:pPr>
              <w:snapToGrid w:val="0"/>
              <w:spacing w:line="400" w:lineRule="exact"/>
              <w:rPr>
                <w:rFonts w:ascii="宋体" w:hAnsi="宋体"/>
                <w:sz w:val="28"/>
                <w:szCs w:val="28"/>
              </w:rPr>
            </w:pPr>
            <w:r>
              <w:rPr>
                <w:rFonts w:hint="eastAsia" w:ascii="宋体" w:hAnsi="宋体"/>
                <w:sz w:val="28"/>
                <w:szCs w:val="28"/>
              </w:rPr>
              <w:t>大写：                           （小写</w:t>
            </w:r>
            <w:r>
              <w:rPr>
                <w:rFonts w:ascii="宋体" w:hAnsi="宋体"/>
                <w:sz w:val="28"/>
                <w:szCs w:val="28"/>
              </w:rPr>
              <w:t>¥</w:t>
            </w:r>
            <w:r>
              <w:rPr>
                <w:rFonts w:hint="eastAsia" w:ascii="宋体" w:hAnsi="宋体"/>
                <w:sz w:val="28"/>
                <w:szCs w:val="28"/>
              </w:rPr>
              <w:t>：          ）</w:t>
            </w:r>
          </w:p>
        </w:tc>
      </w:tr>
    </w:tbl>
    <w:p w14:paraId="15E578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6A2148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65F90B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投标单位名称（盖公章）：</w:t>
      </w:r>
    </w:p>
    <w:p w14:paraId="736432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173730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lang w:val="en-US" w:eastAsia="zh-CN"/>
        </w:rPr>
        <w:t>法定代表人</w:t>
      </w:r>
      <w:r>
        <w:rPr>
          <w:rFonts w:hint="eastAsia" w:ascii="宋体" w:hAnsi="宋体" w:eastAsia="宋体" w:cs="宋体"/>
          <w:i w:val="0"/>
          <w:iCs w:val="0"/>
          <w:caps w:val="0"/>
          <w:color w:val="auto"/>
          <w:spacing w:val="0"/>
          <w:sz w:val="27"/>
          <w:szCs w:val="27"/>
          <w:shd w:val="clear" w:fill="FFFFFF"/>
        </w:rPr>
        <w:t>或被授权人（签字或盖章）：</w:t>
      </w:r>
    </w:p>
    <w:p w14:paraId="7350CE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244FFB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日期：</w:t>
      </w:r>
    </w:p>
    <w:p w14:paraId="780371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shd w:val="clear" w:fill="FFFFFF"/>
        </w:rPr>
      </w:pPr>
    </w:p>
    <w:p w14:paraId="7F90D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460" w:lineRule="exact"/>
        <w:ind w:left="0" w:right="0" w:firstLine="420"/>
        <w:jc w:val="left"/>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7"/>
          <w:szCs w:val="27"/>
          <w:shd w:val="clear" w:fill="FFFFFF"/>
        </w:rPr>
        <w:t>（说明：投标单位可按以上格式制作“最后报价一览表”，签字并加盖单位公章后密封在价格标密封袋内，在开标现场填写，供最后报价时使用。）</w:t>
      </w:r>
    </w:p>
    <w:p w14:paraId="614A2D61">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p>
    <w:p w14:paraId="239FC9CF">
      <w:pPr>
        <w:snapToGrid w:val="0"/>
        <w:spacing w:line="300" w:lineRule="auto"/>
        <w:outlineLvl w:val="0"/>
        <w:rPr>
          <w:rFonts w:eastAsia="方正黑体_GBK"/>
          <w:sz w:val="32"/>
          <w:szCs w:val="32"/>
        </w:rPr>
        <w:sectPr>
          <w:pgSz w:w="11906" w:h="16838"/>
          <w:pgMar w:top="1440" w:right="1519" w:bottom="1440" w:left="1519" w:header="851" w:footer="992" w:gutter="0"/>
          <w:cols w:space="425" w:num="1"/>
          <w:docGrid w:type="lines" w:linePitch="312" w:charSpace="0"/>
        </w:sectPr>
      </w:pPr>
    </w:p>
    <w:p w14:paraId="59D0DBBD">
      <w:pPr>
        <w:snapToGrid w:val="0"/>
        <w:spacing w:line="300" w:lineRule="auto"/>
        <w:outlineLvl w:val="0"/>
        <w:rPr>
          <w:rFonts w:eastAsia="方正黑体_GBK"/>
          <w:sz w:val="32"/>
          <w:szCs w:val="32"/>
        </w:rPr>
      </w:pPr>
      <w:r>
        <w:rPr>
          <w:rFonts w:eastAsia="方正黑体_GBK"/>
          <w:sz w:val="32"/>
          <w:szCs w:val="32"/>
        </w:rPr>
        <w:t>附件9</w:t>
      </w:r>
    </w:p>
    <w:p w14:paraId="4E0770CE">
      <w:pPr>
        <w:snapToGrid w:val="0"/>
        <w:spacing w:line="300" w:lineRule="auto"/>
        <w:jc w:val="center"/>
        <w:outlineLvl w:val="0"/>
        <w:rPr>
          <w:b/>
          <w:bCs/>
          <w:sz w:val="28"/>
          <w:szCs w:val="28"/>
          <w:lang w:bidi="zh-CN"/>
        </w:rPr>
      </w:pPr>
      <w:r>
        <w:rPr>
          <w:b/>
          <w:bCs/>
          <w:sz w:val="28"/>
          <w:szCs w:val="28"/>
          <w:lang w:bidi="zh-CN"/>
        </w:rPr>
        <w:t>中小企业声明函（工程、服务）</w:t>
      </w:r>
    </w:p>
    <w:p w14:paraId="07EB242B">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46 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2849B4AD">
      <w:pPr>
        <w:snapToGrid w:val="0"/>
        <w:spacing w:line="360" w:lineRule="auto"/>
        <w:jc w:val="left"/>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55102CF7">
      <w:pPr>
        <w:snapToGrid w:val="0"/>
        <w:spacing w:line="360" w:lineRule="auto"/>
        <w:jc w:val="left"/>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57B05372">
      <w:pPr>
        <w:snapToGrid w:val="0"/>
        <w:spacing w:line="360" w:lineRule="auto"/>
        <w:jc w:val="left"/>
        <w:outlineLvl w:val="0"/>
        <w:rPr>
          <w:sz w:val="28"/>
          <w:szCs w:val="28"/>
          <w:lang w:bidi="zh-CN"/>
        </w:rPr>
      </w:pPr>
      <w:r>
        <w:rPr>
          <w:sz w:val="28"/>
          <w:szCs w:val="28"/>
          <w:lang w:bidi="zh-CN"/>
        </w:rPr>
        <w:t>……</w:t>
      </w:r>
    </w:p>
    <w:p w14:paraId="23D70518">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59697172">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73535C51">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w14:paraId="31589D68">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1AEFF365">
      <w:pPr>
        <w:snapToGrid w:val="0"/>
        <w:spacing w:line="300" w:lineRule="auto"/>
        <w:ind w:firstLine="420" w:firstLineChars="200"/>
        <w:outlineLvl w:val="0"/>
        <w:rPr>
          <w:rFonts w:hint="eastAsia"/>
          <w:sz w:val="28"/>
          <w:szCs w:val="28"/>
          <w:lang w:bidi="zh-CN"/>
        </w:rPr>
      </w:pPr>
      <w:r>
        <w:rPr>
          <w:rFonts w:hint="eastAsia" w:ascii="宋体" w:hAnsi="宋体" w:cs="宋体"/>
          <w:szCs w:val="21"/>
          <w:lang w:bidi="zh-CN"/>
        </w:rPr>
        <w:t>3.中标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结果公告进行公示。供应商按照本办法规定提供声明函内容不实的，属于提供虚假材料谋取中标、成交，依照《中华人民共和国政府采购法》等国家有关规定追究相应责任。</w:t>
      </w:r>
    </w:p>
    <w:p w14:paraId="6A19F3A5">
      <w:pPr>
        <w:snapToGrid w:val="0"/>
        <w:spacing w:line="300" w:lineRule="auto"/>
        <w:ind w:firstLine="4900" w:firstLineChars="1750"/>
        <w:outlineLvl w:val="0"/>
        <w:rPr>
          <w:rFonts w:hint="eastAsia"/>
          <w:sz w:val="28"/>
          <w:szCs w:val="28"/>
          <w:lang w:bidi="zh-CN"/>
        </w:rPr>
      </w:pPr>
      <w:r>
        <w:rPr>
          <w:sz w:val="28"/>
          <w:szCs w:val="28"/>
          <w:lang w:bidi="zh-CN"/>
        </w:rPr>
        <w:t>企业名称（盖章）：</w:t>
      </w:r>
    </w:p>
    <w:p w14:paraId="28CFCAC5">
      <w:pPr>
        <w:snapToGrid w:val="0"/>
        <w:spacing w:line="300" w:lineRule="auto"/>
        <w:ind w:firstLine="4900" w:firstLineChars="1750"/>
        <w:outlineLvl w:val="0"/>
        <w:rPr>
          <w:sz w:val="28"/>
          <w:szCs w:val="28"/>
          <w:lang w:bidi="zh-CN"/>
        </w:rPr>
      </w:pPr>
      <w:r>
        <w:rPr>
          <w:sz w:val="28"/>
          <w:szCs w:val="28"/>
          <w:lang w:bidi="zh-CN"/>
        </w:rPr>
        <w:t>日期：</w:t>
      </w:r>
    </w:p>
    <w:p w14:paraId="7C8C60E7">
      <w:pPr>
        <w:snapToGrid w:val="0"/>
        <w:spacing w:line="300" w:lineRule="auto"/>
        <w:outlineLvl w:val="0"/>
        <w:rPr>
          <w:rFonts w:eastAsia="方正黑体_GBK"/>
          <w:sz w:val="32"/>
          <w:szCs w:val="32"/>
        </w:rPr>
        <w:sectPr>
          <w:pgSz w:w="11906" w:h="16838"/>
          <w:pgMar w:top="1440" w:right="1519" w:bottom="1440" w:left="1519" w:header="851" w:footer="992" w:gutter="0"/>
          <w:cols w:space="425" w:num="1"/>
          <w:docGrid w:type="lines" w:linePitch="312" w:charSpace="0"/>
        </w:sectPr>
      </w:pPr>
    </w:p>
    <w:p w14:paraId="019048CF">
      <w:pPr>
        <w:snapToGrid w:val="0"/>
        <w:spacing w:line="300" w:lineRule="auto"/>
        <w:outlineLvl w:val="0"/>
        <w:rPr>
          <w:rFonts w:eastAsia="方正黑体_GBK"/>
          <w:sz w:val="32"/>
          <w:szCs w:val="32"/>
        </w:rPr>
      </w:pPr>
      <w:r>
        <w:rPr>
          <w:rFonts w:eastAsia="方正黑体_GBK"/>
          <w:sz w:val="32"/>
          <w:szCs w:val="32"/>
        </w:rPr>
        <w:t>附件10</w:t>
      </w:r>
    </w:p>
    <w:p w14:paraId="36DF61A6">
      <w:pPr>
        <w:spacing w:line="460" w:lineRule="exact"/>
        <w:jc w:val="center"/>
        <w:rPr>
          <w:rFonts w:hint="eastAsia" w:ascii="宋体" w:hAnsi="宋体"/>
          <w:b/>
          <w:sz w:val="32"/>
          <w:szCs w:val="32"/>
        </w:rPr>
      </w:pPr>
      <w:r>
        <w:rPr>
          <w:rFonts w:hint="eastAsia" w:ascii="宋体" w:hAnsi="宋体"/>
          <w:b/>
          <w:sz w:val="32"/>
          <w:szCs w:val="32"/>
        </w:rPr>
        <w:t>残疾人福利性单位声明函</w:t>
      </w:r>
    </w:p>
    <w:p w14:paraId="40536393">
      <w:pPr>
        <w:spacing w:line="588" w:lineRule="exact"/>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4AE9AE46">
      <w:pPr>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14:paraId="523EF369">
      <w:pPr>
        <w:spacing w:line="588" w:lineRule="exact"/>
        <w:ind w:firstLine="560" w:firstLineChars="200"/>
        <w:rPr>
          <w:rFonts w:ascii="宋体" w:hAnsi="宋体"/>
          <w:sz w:val="28"/>
          <w:szCs w:val="28"/>
        </w:rPr>
      </w:pPr>
    </w:p>
    <w:p w14:paraId="4B312360">
      <w:pPr>
        <w:snapToGrid w:val="0"/>
        <w:spacing w:line="300" w:lineRule="auto"/>
        <w:outlineLvl w:val="0"/>
        <w:rPr>
          <w:rFonts w:ascii="宋体" w:hAnsi="宋体" w:cs="宋体"/>
          <w:sz w:val="28"/>
          <w:szCs w:val="28"/>
          <w:highlight w:val="green"/>
          <w:lang w:bidi="zh-CN"/>
        </w:rPr>
      </w:pPr>
    </w:p>
    <w:p w14:paraId="604D2634">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07804891">
      <w:pPr>
        <w:spacing w:line="588" w:lineRule="exact"/>
        <w:ind w:firstLine="560" w:firstLineChars="200"/>
        <w:rPr>
          <w:rFonts w:hint="eastAsia" w:ascii="仿宋_GB2312" w:eastAsia="仿宋_GB2312"/>
          <w:spacing w:val="6"/>
          <w:sz w:val="28"/>
          <w:szCs w:val="28"/>
        </w:rPr>
      </w:pPr>
      <w:r>
        <w:rPr>
          <w:rFonts w:hint="eastAsia" w:ascii="宋体" w:hAnsi="宋体" w:cs="宋体"/>
          <w:sz w:val="28"/>
          <w:szCs w:val="28"/>
          <w:lang w:bidi="zh-CN"/>
        </w:rPr>
        <w:t>2、中标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供应商为残疾人福利单位的，此声明函将随中标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结果同时公告，接受社会监督。供应商按照本办法规定提供声明函内容不实的，属于提供虚假材料谋取中标</w:t>
      </w:r>
      <w:r>
        <w:rPr>
          <w:rFonts w:ascii="宋体" w:hAnsi="宋体" w:cs="宋体"/>
          <w:sz w:val="28"/>
          <w:szCs w:val="28"/>
          <w:lang w:bidi="zh-CN"/>
        </w:rPr>
        <w:t>、</w:t>
      </w:r>
      <w:r>
        <w:rPr>
          <w:rFonts w:hint="eastAsia" w:ascii="宋体" w:hAnsi="宋体" w:cs="宋体"/>
          <w:sz w:val="28"/>
          <w:szCs w:val="28"/>
          <w:lang w:bidi="zh-CN"/>
        </w:rPr>
        <w:t>成交，依照《中华人民共和国政府采购法》等国家有关规定追究相应责任。</w:t>
      </w:r>
    </w:p>
    <w:p w14:paraId="08DEFC42">
      <w:pPr>
        <w:spacing w:line="588" w:lineRule="exact"/>
        <w:ind w:firstLine="584" w:firstLineChars="200"/>
        <w:rPr>
          <w:rFonts w:hint="eastAsia" w:ascii="仿宋_GB2312" w:eastAsia="仿宋_GB2312"/>
          <w:spacing w:val="6"/>
          <w:sz w:val="28"/>
          <w:szCs w:val="28"/>
        </w:rPr>
      </w:pPr>
    </w:p>
    <w:p w14:paraId="1EC0FA42">
      <w:pPr>
        <w:tabs>
          <w:tab w:val="left" w:pos="4860"/>
        </w:tabs>
        <w:spacing w:line="588" w:lineRule="exact"/>
        <w:ind w:right="1560" w:firstLine="584" w:firstLineChars="200"/>
        <w:jc w:val="center"/>
        <w:rPr>
          <w:rFonts w:ascii="宋体" w:hAnsi="宋体"/>
          <w:sz w:val="28"/>
          <w:szCs w:val="28"/>
        </w:rPr>
      </w:pPr>
      <w:r>
        <w:rPr>
          <w:rFonts w:hint="eastAsia" w:ascii="仿宋_GB2312" w:eastAsia="仿宋_GB2312"/>
          <w:spacing w:val="6"/>
          <w:sz w:val="28"/>
          <w:szCs w:val="28"/>
        </w:rPr>
        <w:t xml:space="preserve">             </w:t>
      </w:r>
      <w:r>
        <w:rPr>
          <w:rFonts w:hint="eastAsia" w:ascii="宋体" w:hAnsi="宋体"/>
          <w:sz w:val="28"/>
          <w:szCs w:val="28"/>
        </w:rPr>
        <w:t xml:space="preserve">           供应商全称（盖章）：</w:t>
      </w:r>
    </w:p>
    <w:p w14:paraId="36E9A442">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3577219B">
      <w:pPr>
        <w:ind w:firstLine="420"/>
        <w:rPr>
          <w:rFonts w:hint="eastAsia" w:ascii="仿宋_GB2312" w:hAnsi="宋体" w:eastAsia="仿宋_GB2312"/>
          <w:sz w:val="28"/>
          <w:szCs w:val="28"/>
        </w:rPr>
      </w:pPr>
    </w:p>
    <w:p w14:paraId="43C37F75">
      <w:pPr>
        <w:snapToGrid w:val="0"/>
        <w:spacing w:line="300" w:lineRule="auto"/>
        <w:outlineLvl w:val="0"/>
        <w:rPr>
          <w:sz w:val="28"/>
          <w:szCs w:val="28"/>
        </w:rPr>
      </w:pPr>
    </w:p>
    <w:p w14:paraId="20B3A4E0">
      <w:pPr>
        <w:pStyle w:val="2"/>
      </w:pPr>
    </w:p>
    <w:p w14:paraId="0CDE984E"/>
    <w:p w14:paraId="0553F70E">
      <w:pPr>
        <w:pStyle w:val="2"/>
        <w:rPr>
          <w:rFonts w:hint="eastAsia"/>
        </w:rPr>
      </w:pPr>
    </w:p>
    <w:p w14:paraId="47AD8F2D">
      <w:pPr>
        <w:snapToGrid w:val="0"/>
        <w:spacing w:line="300" w:lineRule="auto"/>
        <w:outlineLvl w:val="0"/>
        <w:rPr>
          <w:rFonts w:hint="eastAsia"/>
          <w:sz w:val="28"/>
          <w:szCs w:val="28"/>
        </w:rPr>
      </w:pPr>
    </w:p>
    <w:p w14:paraId="573092B2">
      <w:pPr>
        <w:snapToGrid w:val="0"/>
        <w:spacing w:line="300" w:lineRule="auto"/>
        <w:outlineLvl w:val="0"/>
        <w:rPr>
          <w:rFonts w:eastAsia="方正黑体_GBK"/>
          <w:sz w:val="32"/>
          <w:szCs w:val="32"/>
        </w:rPr>
        <w:sectPr>
          <w:pgSz w:w="11906" w:h="16838"/>
          <w:pgMar w:top="1440" w:right="1519" w:bottom="1440" w:left="1519" w:header="851" w:footer="992" w:gutter="0"/>
          <w:cols w:space="425" w:num="1"/>
          <w:docGrid w:type="lines" w:linePitch="312" w:charSpace="0"/>
        </w:sectPr>
      </w:pPr>
    </w:p>
    <w:p w14:paraId="2F391F16">
      <w:pPr>
        <w:snapToGrid w:val="0"/>
        <w:spacing w:line="300" w:lineRule="auto"/>
        <w:outlineLvl w:val="0"/>
        <w:rPr>
          <w:rFonts w:eastAsia="方正黑体_GBK"/>
          <w:sz w:val="32"/>
          <w:szCs w:val="32"/>
        </w:rPr>
      </w:pPr>
      <w:r>
        <w:rPr>
          <w:rFonts w:eastAsia="方正黑体_GBK"/>
          <w:sz w:val="32"/>
          <w:szCs w:val="32"/>
        </w:rPr>
        <w:t>附件11</w:t>
      </w:r>
    </w:p>
    <w:p w14:paraId="7AD886F7">
      <w:pPr>
        <w:snapToGrid w:val="0"/>
        <w:spacing w:line="420" w:lineRule="exact"/>
        <w:jc w:val="center"/>
        <w:outlineLvl w:val="3"/>
        <w:rPr>
          <w:rFonts w:ascii="Calibri" w:hAnsi="Calibri"/>
          <w:b/>
          <w:bCs/>
          <w:sz w:val="32"/>
          <w:szCs w:val="32"/>
        </w:rPr>
      </w:pPr>
      <w:r>
        <w:rPr>
          <w:rFonts w:hint="eastAsia" w:ascii="Calibri" w:hAnsi="Calibri"/>
          <w:b/>
          <w:bCs/>
          <w:sz w:val="32"/>
          <w:szCs w:val="32"/>
        </w:rPr>
        <w:t>监狱和戒毒企业证明材料</w:t>
      </w:r>
    </w:p>
    <w:p w14:paraId="3FAAAAD8">
      <w:pPr>
        <w:snapToGrid w:val="0"/>
        <w:spacing w:line="420" w:lineRule="exact"/>
        <w:ind w:firstLine="495" w:firstLineChars="177"/>
        <w:rPr>
          <w:rFonts w:hint="eastAsia" w:ascii="宋体" w:hAnsi="宋体" w:cs="宋体"/>
          <w:sz w:val="28"/>
          <w:szCs w:val="28"/>
        </w:rPr>
      </w:pPr>
    </w:p>
    <w:p w14:paraId="56FBD5EB">
      <w:pPr>
        <w:snapToGrid w:val="0"/>
        <w:spacing w:line="420" w:lineRule="exact"/>
        <w:ind w:firstLine="498" w:firstLineChars="177"/>
        <w:rPr>
          <w:rFonts w:hint="eastAsia" w:ascii="宋体" w:hAnsi="宋体" w:cs="宋体"/>
          <w:b/>
          <w:sz w:val="28"/>
          <w:szCs w:val="28"/>
        </w:rPr>
      </w:pPr>
      <w:r>
        <w:rPr>
          <w:rFonts w:hint="eastAsia" w:ascii="宋体" w:hAnsi="宋体" w:cs="宋体"/>
          <w:b/>
          <w:sz w:val="28"/>
          <w:szCs w:val="28"/>
        </w:rPr>
        <w:t>（格式自拟）</w:t>
      </w:r>
    </w:p>
    <w:p w14:paraId="02E6B793">
      <w:pPr>
        <w:snapToGrid w:val="0"/>
        <w:spacing w:line="420" w:lineRule="exact"/>
        <w:ind w:firstLine="495" w:firstLineChars="177"/>
        <w:rPr>
          <w:rFonts w:ascii="宋体" w:hAnsi="宋体" w:cs="宋体"/>
          <w:sz w:val="28"/>
          <w:szCs w:val="28"/>
        </w:rPr>
      </w:pPr>
    </w:p>
    <w:p w14:paraId="2D3D5EBD">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2F98FCCC">
      <w:pPr>
        <w:snapToGrid w:val="0"/>
        <w:spacing w:line="300" w:lineRule="auto"/>
        <w:outlineLvl w:val="0"/>
        <w:rPr>
          <w:rFonts w:hint="eastAsia"/>
          <w:sz w:val="28"/>
          <w:szCs w:val="28"/>
        </w:rPr>
      </w:pPr>
    </w:p>
    <w:p w14:paraId="6E0F2DE3">
      <w:pPr>
        <w:snapToGrid w:val="0"/>
        <w:spacing w:line="300" w:lineRule="auto"/>
        <w:outlineLvl w:val="0"/>
        <w:rPr>
          <w:rFonts w:hint="eastAsia"/>
          <w:sz w:val="28"/>
          <w:szCs w:val="28"/>
        </w:rPr>
      </w:pPr>
    </w:p>
    <w:p w14:paraId="6661D08F">
      <w:pPr>
        <w:snapToGrid w:val="0"/>
        <w:spacing w:line="300" w:lineRule="auto"/>
        <w:outlineLvl w:val="0"/>
        <w:rPr>
          <w:rFonts w:hint="eastAsia"/>
          <w:sz w:val="28"/>
          <w:szCs w:val="28"/>
        </w:rPr>
      </w:pPr>
    </w:p>
    <w:p w14:paraId="1754B959">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7C25A5FB">
      <w:pPr>
        <w:snapToGrid w:val="0"/>
        <w:spacing w:line="300" w:lineRule="auto"/>
        <w:ind w:firstLine="560" w:firstLineChars="200"/>
        <w:outlineLvl w:val="0"/>
        <w:rPr>
          <w:rFonts w:hint="eastAsia"/>
          <w:sz w:val="28"/>
          <w:szCs w:val="28"/>
        </w:rPr>
      </w:pPr>
      <w:r>
        <w:rPr>
          <w:rFonts w:hint="eastAsia" w:ascii="宋体" w:hAnsi="宋体" w:cs="宋体"/>
          <w:sz w:val="28"/>
          <w:szCs w:val="28"/>
          <w:lang w:bidi="zh-CN"/>
        </w:rPr>
        <w:t>2、中标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供应商为监狱企业的，此声明函将随中标</w:t>
      </w:r>
      <w:r>
        <w:rPr>
          <w:rFonts w:ascii="宋体" w:hAnsi="宋体" w:cs="宋体"/>
          <w:sz w:val="28"/>
          <w:szCs w:val="28"/>
          <w:lang w:bidi="zh-CN"/>
        </w:rPr>
        <w:t>（</w:t>
      </w:r>
      <w:r>
        <w:rPr>
          <w:rFonts w:hint="eastAsia" w:ascii="宋体" w:hAnsi="宋体" w:cs="宋体"/>
          <w:sz w:val="28"/>
          <w:szCs w:val="28"/>
          <w:lang w:bidi="zh-CN"/>
        </w:rPr>
        <w:t>成交</w:t>
      </w:r>
      <w:r>
        <w:rPr>
          <w:rFonts w:ascii="宋体" w:hAnsi="宋体" w:cs="宋体"/>
          <w:sz w:val="28"/>
          <w:szCs w:val="28"/>
          <w:lang w:bidi="zh-CN"/>
        </w:rPr>
        <w:t>）</w:t>
      </w:r>
      <w:r>
        <w:rPr>
          <w:rFonts w:hint="eastAsia" w:ascii="宋体" w:hAnsi="宋体" w:cs="宋体"/>
          <w:sz w:val="28"/>
          <w:szCs w:val="28"/>
          <w:lang w:bidi="zh-CN"/>
        </w:rPr>
        <w:t>结果同时公告，接受社会监督。供应商按照本办法规定提供声明函内容不实的，属于提供虚假材料谋取中标</w:t>
      </w:r>
      <w:r>
        <w:rPr>
          <w:rFonts w:ascii="宋体" w:hAnsi="宋体" w:cs="宋体"/>
          <w:sz w:val="28"/>
          <w:szCs w:val="28"/>
          <w:lang w:bidi="zh-CN"/>
        </w:rPr>
        <w:t>、</w:t>
      </w:r>
      <w:r>
        <w:rPr>
          <w:rFonts w:hint="eastAsia" w:ascii="宋体" w:hAnsi="宋体" w:cs="宋体"/>
          <w:sz w:val="28"/>
          <w:szCs w:val="28"/>
          <w:lang w:bidi="zh-CN"/>
        </w:rPr>
        <w:t>成交，依照《中华人民共和国政府采购法》等国家有关规定追究相应责任。</w:t>
      </w:r>
    </w:p>
    <w:p w14:paraId="42E72E17">
      <w:pPr>
        <w:snapToGrid w:val="0"/>
        <w:spacing w:line="300" w:lineRule="auto"/>
        <w:outlineLvl w:val="0"/>
        <w:rPr>
          <w:rFonts w:hint="eastAsia"/>
          <w:sz w:val="28"/>
          <w:szCs w:val="28"/>
        </w:rPr>
      </w:pPr>
    </w:p>
    <w:p w14:paraId="606360B8">
      <w:pPr>
        <w:snapToGrid w:val="0"/>
        <w:spacing w:line="300" w:lineRule="auto"/>
        <w:outlineLvl w:val="0"/>
        <w:rPr>
          <w:rFonts w:hint="eastAsia"/>
          <w:sz w:val="28"/>
          <w:szCs w:val="28"/>
        </w:rPr>
      </w:pPr>
    </w:p>
    <w:p w14:paraId="332D46DF">
      <w:pPr>
        <w:snapToGrid w:val="0"/>
        <w:spacing w:line="300" w:lineRule="auto"/>
        <w:outlineLvl w:val="0"/>
        <w:rPr>
          <w:rFonts w:hint="eastAsia"/>
          <w:sz w:val="28"/>
          <w:szCs w:val="28"/>
        </w:rPr>
      </w:pPr>
    </w:p>
    <w:p w14:paraId="12250A86">
      <w:pPr>
        <w:snapToGrid w:val="0"/>
        <w:spacing w:line="300" w:lineRule="auto"/>
        <w:outlineLvl w:val="0"/>
        <w:rPr>
          <w:rFonts w:hint="eastAsia"/>
          <w:sz w:val="28"/>
          <w:szCs w:val="28"/>
        </w:rPr>
      </w:pPr>
    </w:p>
    <w:p w14:paraId="13470B8E">
      <w:pPr>
        <w:snapToGrid w:val="0"/>
        <w:spacing w:line="300" w:lineRule="auto"/>
        <w:outlineLvl w:val="0"/>
        <w:rPr>
          <w:rFonts w:hint="eastAsia"/>
          <w:sz w:val="28"/>
          <w:szCs w:val="28"/>
        </w:rPr>
      </w:pPr>
    </w:p>
    <w:p w14:paraId="222F01F1">
      <w:pPr>
        <w:snapToGrid w:val="0"/>
        <w:spacing w:line="300" w:lineRule="auto"/>
        <w:outlineLvl w:val="0"/>
        <w:rPr>
          <w:rFonts w:hint="eastAsia"/>
          <w:sz w:val="28"/>
          <w:szCs w:val="28"/>
        </w:rPr>
      </w:pPr>
    </w:p>
    <w:p w14:paraId="7F428B9E">
      <w:pPr>
        <w:snapToGrid w:val="0"/>
        <w:spacing w:line="300" w:lineRule="auto"/>
        <w:outlineLvl w:val="0"/>
        <w:rPr>
          <w:rFonts w:hint="eastAsia"/>
          <w:sz w:val="28"/>
          <w:szCs w:val="28"/>
        </w:rPr>
      </w:pPr>
    </w:p>
    <w:p w14:paraId="53004A33">
      <w:pPr>
        <w:snapToGrid w:val="0"/>
        <w:spacing w:line="300" w:lineRule="auto"/>
        <w:outlineLvl w:val="0"/>
        <w:rPr>
          <w:sz w:val="28"/>
          <w:szCs w:val="28"/>
        </w:rPr>
      </w:pPr>
    </w:p>
    <w:p w14:paraId="1E642BC8">
      <w:pPr>
        <w:pStyle w:val="2"/>
      </w:pPr>
    </w:p>
    <w:p w14:paraId="4A23DABB"/>
    <w:p w14:paraId="064F89A2">
      <w:pPr>
        <w:pStyle w:val="2"/>
      </w:pPr>
    </w:p>
    <w:p w14:paraId="250BE8F7"/>
    <w:p w14:paraId="1FB499C1">
      <w:pPr>
        <w:pStyle w:val="2"/>
        <w:rPr>
          <w:rFonts w:hint="eastAsia"/>
        </w:rPr>
      </w:pPr>
    </w:p>
    <w:p w14:paraId="27DE6819">
      <w:pPr>
        <w:snapToGrid w:val="0"/>
        <w:spacing w:line="300" w:lineRule="auto"/>
        <w:outlineLvl w:val="0"/>
        <w:rPr>
          <w:rFonts w:hint="eastAsia"/>
          <w:sz w:val="28"/>
          <w:szCs w:val="28"/>
        </w:rPr>
      </w:pPr>
    </w:p>
    <w:p w14:paraId="07786D13">
      <w:pPr>
        <w:snapToGrid w:val="0"/>
        <w:spacing w:line="300" w:lineRule="auto"/>
        <w:outlineLvl w:val="0"/>
        <w:rPr>
          <w:rFonts w:hint="eastAsia"/>
          <w:sz w:val="28"/>
          <w:szCs w:val="28"/>
        </w:rPr>
      </w:pPr>
    </w:p>
    <w:p w14:paraId="67A620A4">
      <w:pPr>
        <w:rPr>
          <w:rFonts w:hint="eastAsia" w:eastAsia="方正黑体_GBK"/>
          <w:bCs/>
          <w:sz w:val="32"/>
          <w:szCs w:val="32"/>
          <w:lang w:bidi="ar"/>
        </w:rPr>
      </w:pPr>
      <w:r>
        <w:rPr>
          <w:rFonts w:eastAsia="方正黑体_GBK"/>
          <w:bCs/>
          <w:sz w:val="32"/>
          <w:szCs w:val="32"/>
          <w:lang w:bidi="ar"/>
        </w:rPr>
        <w:t>附件12</w:t>
      </w:r>
    </w:p>
    <w:p w14:paraId="5F537A85">
      <w:pPr>
        <w:jc w:val="center"/>
        <w:rPr>
          <w:rFonts w:ascii="黑体" w:hAnsi="黑体" w:eastAsia="黑体" w:cs="仿宋"/>
          <w:bCs/>
          <w:sz w:val="44"/>
          <w:szCs w:val="44"/>
        </w:rPr>
      </w:pPr>
      <w:r>
        <w:rPr>
          <w:rFonts w:hint="eastAsia" w:ascii="黑体" w:hAnsi="黑体" w:eastAsia="黑体" w:cs="仿宋"/>
          <w:bCs/>
          <w:sz w:val="44"/>
          <w:szCs w:val="44"/>
        </w:rPr>
        <w:t>质疑函范本</w:t>
      </w:r>
    </w:p>
    <w:p w14:paraId="4172515D">
      <w:pPr>
        <w:adjustRightInd w:val="0"/>
        <w:snapToGrid w:val="0"/>
        <w:spacing w:before="240" w:beforeLines="100" w:line="360" w:lineRule="auto"/>
        <w:rPr>
          <w:rFonts w:ascii="宋体" w:hAnsi="宋体" w:cs="仿宋"/>
          <w:bCs/>
          <w:sz w:val="32"/>
          <w:szCs w:val="32"/>
        </w:rPr>
      </w:pPr>
      <w:r>
        <w:rPr>
          <w:rFonts w:hint="eastAsia" w:ascii="宋体" w:hAnsi="宋体" w:cs="仿宋"/>
          <w:bCs/>
          <w:sz w:val="32"/>
          <w:szCs w:val="32"/>
        </w:rPr>
        <w:t>一、质疑供应商基本信息</w:t>
      </w:r>
    </w:p>
    <w:p w14:paraId="58222B20">
      <w:pPr>
        <w:adjustRightInd w:val="0"/>
        <w:snapToGrid w:val="0"/>
        <w:spacing w:line="360" w:lineRule="auto"/>
        <w:rPr>
          <w:rFonts w:ascii="宋体" w:hAnsi="宋体" w:cs="仿宋"/>
          <w:sz w:val="32"/>
          <w:szCs w:val="32"/>
          <w:u w:val="dotted"/>
        </w:rPr>
      </w:pPr>
      <w:r>
        <w:rPr>
          <w:rFonts w:hint="eastAsia" w:ascii="宋体" w:hAnsi="宋体" w:cs="仿宋"/>
          <w:sz w:val="32"/>
          <w:szCs w:val="32"/>
        </w:rPr>
        <w:t>质疑供应商：</w:t>
      </w:r>
    </w:p>
    <w:p w14:paraId="49A2F4D5">
      <w:pPr>
        <w:adjustRightInd w:val="0"/>
        <w:snapToGrid w:val="0"/>
        <w:spacing w:line="360" w:lineRule="auto"/>
        <w:rPr>
          <w:rFonts w:ascii="宋体" w:hAnsi="宋体" w:cs="仿宋"/>
          <w:sz w:val="32"/>
          <w:szCs w:val="32"/>
        </w:rPr>
      </w:pPr>
      <w:r>
        <w:rPr>
          <w:rFonts w:hint="eastAsia" w:ascii="宋体" w:hAnsi="宋体" w:cs="仿宋"/>
          <w:sz w:val="32"/>
          <w:szCs w:val="32"/>
        </w:rPr>
        <w:t>地址：邮编：</w:t>
      </w:r>
    </w:p>
    <w:p w14:paraId="5D013177">
      <w:pPr>
        <w:adjustRightInd w:val="0"/>
        <w:snapToGrid w:val="0"/>
        <w:spacing w:line="360" w:lineRule="auto"/>
        <w:rPr>
          <w:rFonts w:ascii="宋体" w:hAnsi="宋体" w:cs="仿宋"/>
          <w:sz w:val="32"/>
          <w:szCs w:val="32"/>
        </w:rPr>
      </w:pPr>
      <w:r>
        <w:rPr>
          <w:rFonts w:hint="eastAsia" w:ascii="宋体" w:hAnsi="宋体" w:cs="仿宋"/>
          <w:sz w:val="32"/>
          <w:szCs w:val="32"/>
        </w:rPr>
        <w:t>联系人：联系电话：</w:t>
      </w:r>
    </w:p>
    <w:p w14:paraId="10751EC8">
      <w:pPr>
        <w:adjustRightInd w:val="0"/>
        <w:snapToGrid w:val="0"/>
        <w:spacing w:line="360" w:lineRule="auto"/>
        <w:rPr>
          <w:rFonts w:ascii="宋体" w:hAnsi="宋体" w:cs="仿宋"/>
          <w:sz w:val="32"/>
          <w:szCs w:val="32"/>
          <w:u w:val="dotted"/>
        </w:rPr>
      </w:pPr>
      <w:r>
        <w:rPr>
          <w:rFonts w:hint="eastAsia" w:ascii="宋体" w:hAnsi="宋体" w:cs="仿宋"/>
          <w:sz w:val="32"/>
          <w:szCs w:val="32"/>
        </w:rPr>
        <w:t>授权代表：</w:t>
      </w:r>
    </w:p>
    <w:p w14:paraId="64E9D768">
      <w:pPr>
        <w:adjustRightInd w:val="0"/>
        <w:snapToGrid w:val="0"/>
        <w:spacing w:line="360" w:lineRule="auto"/>
        <w:rPr>
          <w:rFonts w:ascii="宋体" w:hAnsi="宋体" w:cs="仿宋"/>
          <w:sz w:val="32"/>
          <w:szCs w:val="32"/>
        </w:rPr>
      </w:pPr>
      <w:r>
        <w:rPr>
          <w:rFonts w:hint="eastAsia" w:ascii="宋体" w:hAnsi="宋体" w:cs="仿宋"/>
          <w:sz w:val="32"/>
          <w:szCs w:val="32"/>
        </w:rPr>
        <w:t>联系电话：</w:t>
      </w:r>
    </w:p>
    <w:p w14:paraId="43E4908B">
      <w:pPr>
        <w:adjustRightInd w:val="0"/>
        <w:snapToGrid w:val="0"/>
        <w:spacing w:line="360" w:lineRule="auto"/>
        <w:rPr>
          <w:rFonts w:ascii="宋体" w:hAnsi="宋体" w:cs="仿宋"/>
          <w:sz w:val="32"/>
          <w:szCs w:val="32"/>
        </w:rPr>
      </w:pPr>
      <w:r>
        <w:rPr>
          <w:rFonts w:hint="eastAsia" w:ascii="宋体" w:hAnsi="宋体" w:cs="仿宋"/>
          <w:sz w:val="32"/>
          <w:szCs w:val="32"/>
        </w:rPr>
        <w:t>地址：邮编：</w:t>
      </w:r>
    </w:p>
    <w:p w14:paraId="332F1B39">
      <w:pPr>
        <w:adjustRightInd w:val="0"/>
        <w:snapToGrid w:val="0"/>
        <w:spacing w:line="360" w:lineRule="auto"/>
        <w:rPr>
          <w:rFonts w:ascii="宋体" w:hAnsi="宋体" w:cs="仿宋"/>
          <w:bCs/>
          <w:sz w:val="32"/>
          <w:szCs w:val="32"/>
        </w:rPr>
      </w:pPr>
      <w:r>
        <w:rPr>
          <w:rFonts w:hint="eastAsia" w:ascii="宋体" w:hAnsi="宋体" w:cs="仿宋"/>
          <w:bCs/>
          <w:sz w:val="32"/>
          <w:szCs w:val="32"/>
        </w:rPr>
        <w:t>二、质疑项目基本情况</w:t>
      </w:r>
    </w:p>
    <w:p w14:paraId="6E7C3867">
      <w:pPr>
        <w:adjustRightInd w:val="0"/>
        <w:snapToGrid w:val="0"/>
        <w:spacing w:line="360" w:lineRule="auto"/>
        <w:rPr>
          <w:rFonts w:ascii="宋体" w:hAnsi="宋体" w:cs="仿宋"/>
          <w:sz w:val="32"/>
          <w:szCs w:val="32"/>
        </w:rPr>
      </w:pPr>
      <w:r>
        <w:rPr>
          <w:rFonts w:hint="eastAsia" w:ascii="宋体" w:hAnsi="宋体" w:cs="仿宋"/>
          <w:sz w:val="32"/>
          <w:szCs w:val="32"/>
        </w:rPr>
        <w:t>质疑项目的名称：</w:t>
      </w:r>
    </w:p>
    <w:p w14:paraId="37B6C3CF">
      <w:pPr>
        <w:adjustRightInd w:val="0"/>
        <w:snapToGrid w:val="0"/>
        <w:spacing w:line="360" w:lineRule="auto"/>
        <w:rPr>
          <w:rFonts w:ascii="宋体" w:hAnsi="宋体" w:cs="仿宋"/>
          <w:sz w:val="32"/>
          <w:szCs w:val="32"/>
        </w:rPr>
      </w:pPr>
      <w:r>
        <w:rPr>
          <w:rFonts w:hint="eastAsia" w:ascii="宋体" w:hAnsi="宋体" w:cs="仿宋"/>
          <w:sz w:val="32"/>
          <w:szCs w:val="32"/>
        </w:rPr>
        <w:t>质疑项目的编号：包号：</w:t>
      </w:r>
    </w:p>
    <w:p w14:paraId="6EF064C5">
      <w:pPr>
        <w:adjustRightInd w:val="0"/>
        <w:snapToGrid w:val="0"/>
        <w:spacing w:line="360" w:lineRule="auto"/>
        <w:rPr>
          <w:rFonts w:ascii="宋体" w:hAnsi="宋体" w:cs="仿宋"/>
          <w:sz w:val="32"/>
          <w:szCs w:val="32"/>
          <w:u w:val="dotted"/>
        </w:rPr>
      </w:pPr>
      <w:r>
        <w:rPr>
          <w:rFonts w:hint="eastAsia" w:ascii="宋体" w:hAnsi="宋体" w:cs="仿宋"/>
          <w:sz w:val="32"/>
          <w:szCs w:val="32"/>
        </w:rPr>
        <w:t>采购人名称：</w:t>
      </w:r>
    </w:p>
    <w:p w14:paraId="3C852B4D">
      <w:pPr>
        <w:adjustRightInd w:val="0"/>
        <w:snapToGrid w:val="0"/>
        <w:spacing w:line="360" w:lineRule="auto"/>
        <w:rPr>
          <w:rFonts w:ascii="宋体" w:hAnsi="宋体" w:cs="仿宋"/>
          <w:sz w:val="32"/>
          <w:szCs w:val="32"/>
        </w:rPr>
      </w:pPr>
      <w:r>
        <w:rPr>
          <w:rFonts w:hint="eastAsia" w:ascii="宋体" w:hAnsi="宋体" w:cs="仿宋"/>
          <w:sz w:val="32"/>
          <w:szCs w:val="32"/>
        </w:rPr>
        <w:t>采购文件获取日期：</w:t>
      </w:r>
    </w:p>
    <w:p w14:paraId="37DE1ACF">
      <w:pPr>
        <w:adjustRightInd w:val="0"/>
        <w:snapToGrid w:val="0"/>
        <w:spacing w:line="360" w:lineRule="auto"/>
        <w:rPr>
          <w:rFonts w:ascii="宋体" w:hAnsi="宋体" w:cs="仿宋"/>
          <w:bCs/>
          <w:sz w:val="32"/>
          <w:szCs w:val="32"/>
        </w:rPr>
      </w:pPr>
      <w:r>
        <w:rPr>
          <w:rFonts w:hint="eastAsia" w:ascii="宋体" w:hAnsi="宋体" w:cs="仿宋"/>
          <w:bCs/>
          <w:sz w:val="32"/>
          <w:szCs w:val="32"/>
        </w:rPr>
        <w:t>三、质疑事项具体内容</w:t>
      </w:r>
    </w:p>
    <w:p w14:paraId="36D8A607">
      <w:pPr>
        <w:adjustRightInd w:val="0"/>
        <w:snapToGrid w:val="0"/>
        <w:spacing w:line="360" w:lineRule="auto"/>
        <w:rPr>
          <w:rFonts w:ascii="宋体" w:hAnsi="宋体" w:cs="仿宋"/>
          <w:sz w:val="32"/>
          <w:szCs w:val="32"/>
          <w:u w:val="dotted"/>
        </w:rPr>
      </w:pPr>
      <w:r>
        <w:rPr>
          <w:rFonts w:hint="eastAsia" w:ascii="宋体" w:hAnsi="宋体" w:cs="仿宋"/>
          <w:sz w:val="32"/>
          <w:szCs w:val="32"/>
        </w:rPr>
        <w:t>质疑事项1：</w:t>
      </w:r>
    </w:p>
    <w:p w14:paraId="66E77C1B">
      <w:pPr>
        <w:adjustRightInd w:val="0"/>
        <w:snapToGrid w:val="0"/>
        <w:spacing w:line="360" w:lineRule="auto"/>
        <w:rPr>
          <w:rFonts w:ascii="宋体" w:hAnsi="宋体" w:cs="仿宋"/>
          <w:sz w:val="32"/>
          <w:szCs w:val="32"/>
          <w:u w:val="dotted"/>
        </w:rPr>
      </w:pPr>
      <w:r>
        <w:rPr>
          <w:rFonts w:hint="eastAsia" w:ascii="宋体" w:hAnsi="宋体" w:cs="仿宋"/>
          <w:sz w:val="32"/>
          <w:szCs w:val="32"/>
        </w:rPr>
        <w:t>事实依据：</w:t>
      </w:r>
    </w:p>
    <w:p w14:paraId="470F5B8A">
      <w:pPr>
        <w:adjustRightInd w:val="0"/>
        <w:snapToGrid w:val="0"/>
        <w:spacing w:line="360" w:lineRule="auto"/>
        <w:rPr>
          <w:rFonts w:ascii="宋体" w:hAnsi="宋体" w:cs="仿宋"/>
          <w:sz w:val="32"/>
          <w:szCs w:val="32"/>
        </w:rPr>
      </w:pPr>
    </w:p>
    <w:p w14:paraId="18C7EDEF">
      <w:pPr>
        <w:adjustRightInd w:val="0"/>
        <w:snapToGrid w:val="0"/>
        <w:spacing w:line="360" w:lineRule="auto"/>
        <w:rPr>
          <w:rFonts w:ascii="宋体" w:hAnsi="宋体" w:cs="仿宋"/>
          <w:sz w:val="32"/>
          <w:szCs w:val="32"/>
          <w:u w:val="dotted"/>
        </w:rPr>
      </w:pPr>
      <w:r>
        <w:rPr>
          <w:rFonts w:hint="eastAsia" w:ascii="宋体" w:hAnsi="宋体" w:cs="仿宋"/>
          <w:sz w:val="32"/>
          <w:szCs w:val="32"/>
        </w:rPr>
        <w:t>法律依据：</w:t>
      </w:r>
    </w:p>
    <w:p w14:paraId="47B31794">
      <w:pPr>
        <w:adjustRightInd w:val="0"/>
        <w:snapToGrid w:val="0"/>
        <w:spacing w:line="360" w:lineRule="auto"/>
        <w:rPr>
          <w:rFonts w:ascii="宋体" w:hAnsi="宋体" w:cs="仿宋"/>
          <w:sz w:val="32"/>
          <w:szCs w:val="32"/>
          <w:u w:val="dotted"/>
        </w:rPr>
      </w:pPr>
    </w:p>
    <w:p w14:paraId="0AC74C13">
      <w:pPr>
        <w:adjustRightInd w:val="0"/>
        <w:snapToGrid w:val="0"/>
        <w:spacing w:line="360" w:lineRule="auto"/>
        <w:rPr>
          <w:rFonts w:ascii="宋体" w:hAnsi="宋体" w:cs="仿宋"/>
          <w:sz w:val="32"/>
          <w:szCs w:val="32"/>
          <w:u w:val="dotted"/>
        </w:rPr>
      </w:pPr>
      <w:r>
        <w:rPr>
          <w:rFonts w:hint="eastAsia" w:ascii="宋体" w:hAnsi="宋体" w:cs="仿宋"/>
          <w:sz w:val="32"/>
          <w:szCs w:val="32"/>
        </w:rPr>
        <w:t>质疑事项2</w:t>
      </w:r>
    </w:p>
    <w:p w14:paraId="583FD8AD">
      <w:pPr>
        <w:adjustRightInd w:val="0"/>
        <w:snapToGrid w:val="0"/>
        <w:spacing w:line="360" w:lineRule="auto"/>
        <w:rPr>
          <w:rFonts w:ascii="宋体" w:hAnsi="宋体" w:cs="仿宋"/>
          <w:sz w:val="32"/>
          <w:szCs w:val="32"/>
        </w:rPr>
      </w:pPr>
      <w:r>
        <w:rPr>
          <w:rFonts w:hint="eastAsia" w:ascii="宋体" w:hAnsi="宋体" w:cs="仿宋"/>
          <w:sz w:val="32"/>
          <w:szCs w:val="32"/>
        </w:rPr>
        <w:t>……</w:t>
      </w:r>
    </w:p>
    <w:p w14:paraId="6F61DC26">
      <w:pPr>
        <w:adjustRightInd w:val="0"/>
        <w:snapToGrid w:val="0"/>
        <w:spacing w:line="360" w:lineRule="auto"/>
        <w:rPr>
          <w:rFonts w:ascii="宋体" w:hAnsi="宋体" w:cs="仿宋"/>
          <w:bCs/>
          <w:sz w:val="32"/>
          <w:szCs w:val="32"/>
        </w:rPr>
      </w:pPr>
      <w:r>
        <w:rPr>
          <w:rFonts w:hint="eastAsia" w:ascii="宋体" w:hAnsi="宋体" w:cs="仿宋"/>
          <w:bCs/>
          <w:sz w:val="32"/>
          <w:szCs w:val="32"/>
        </w:rPr>
        <w:t>四、与质疑事项相关的质疑请求</w:t>
      </w:r>
    </w:p>
    <w:p w14:paraId="4742AA3E">
      <w:pPr>
        <w:adjustRightInd w:val="0"/>
        <w:snapToGrid w:val="0"/>
        <w:spacing w:line="360" w:lineRule="auto"/>
        <w:rPr>
          <w:rFonts w:ascii="宋体" w:hAnsi="宋体" w:cs="仿宋"/>
          <w:sz w:val="32"/>
          <w:szCs w:val="32"/>
          <w:u w:val="dotted"/>
        </w:rPr>
      </w:pPr>
      <w:r>
        <w:rPr>
          <w:rFonts w:hint="eastAsia" w:ascii="宋体" w:hAnsi="宋体" w:cs="仿宋"/>
          <w:sz w:val="32"/>
          <w:szCs w:val="32"/>
        </w:rPr>
        <w:t>请求：</w:t>
      </w:r>
    </w:p>
    <w:p w14:paraId="09457667">
      <w:pPr>
        <w:rPr>
          <w:rFonts w:ascii="宋体" w:hAnsi="宋体"/>
          <w:sz w:val="30"/>
          <w:szCs w:val="30"/>
        </w:rPr>
      </w:pPr>
      <w:r>
        <w:rPr>
          <w:rFonts w:hint="eastAsia" w:ascii="宋体" w:hAnsi="宋体"/>
          <w:sz w:val="30"/>
          <w:szCs w:val="30"/>
        </w:rPr>
        <w:t xml:space="preserve">签字(签章)：                   公章：                      </w:t>
      </w:r>
    </w:p>
    <w:p w14:paraId="23160FCE">
      <w:pPr>
        <w:rPr>
          <w:rFonts w:ascii="宋体" w:hAnsi="宋体"/>
          <w:sz w:val="30"/>
          <w:szCs w:val="30"/>
        </w:rPr>
      </w:pPr>
      <w:r>
        <w:rPr>
          <w:rFonts w:hint="eastAsia" w:ascii="宋体" w:hAnsi="宋体"/>
          <w:sz w:val="30"/>
          <w:szCs w:val="30"/>
        </w:rPr>
        <w:t xml:space="preserve">日期：    </w:t>
      </w:r>
    </w:p>
    <w:p w14:paraId="31E97D4B">
      <w:pPr>
        <w:adjustRightInd w:val="0"/>
        <w:snapToGrid w:val="0"/>
        <w:spacing w:line="360" w:lineRule="auto"/>
        <w:rPr>
          <w:rFonts w:ascii="宋体" w:hAnsi="宋体" w:cs="仿宋"/>
          <w:sz w:val="32"/>
          <w:szCs w:val="32"/>
        </w:rPr>
      </w:pPr>
    </w:p>
    <w:p w14:paraId="174004AA">
      <w:pPr>
        <w:rPr>
          <w:rFonts w:ascii="宋体" w:hAnsi="宋体"/>
          <w:b/>
          <w:sz w:val="32"/>
          <w:szCs w:val="32"/>
        </w:rPr>
      </w:pPr>
    </w:p>
    <w:p w14:paraId="70D3D6B6">
      <w:pPr>
        <w:rPr>
          <w:rFonts w:ascii="宋体" w:hAnsi="宋体"/>
          <w:b/>
          <w:sz w:val="32"/>
          <w:szCs w:val="32"/>
        </w:rPr>
      </w:pPr>
      <w:r>
        <w:rPr>
          <w:rFonts w:hint="eastAsia" w:ascii="宋体" w:hAnsi="宋体"/>
          <w:b/>
          <w:sz w:val="32"/>
          <w:szCs w:val="32"/>
        </w:rPr>
        <w:t>质疑函制作说明：</w:t>
      </w:r>
    </w:p>
    <w:p w14:paraId="60C35F56">
      <w:pPr>
        <w:widowControl/>
        <w:ind w:firstLine="640" w:firstLineChars="200"/>
        <w:jc w:val="left"/>
        <w:rPr>
          <w:rFonts w:ascii="宋体" w:hAnsi="宋体"/>
          <w:sz w:val="32"/>
          <w:szCs w:val="32"/>
        </w:rPr>
      </w:pPr>
      <w:r>
        <w:rPr>
          <w:rFonts w:hint="eastAsia" w:ascii="宋体" w:hAnsi="宋体"/>
          <w:sz w:val="32"/>
          <w:szCs w:val="32"/>
        </w:rPr>
        <w:t>1.供应商提出质疑时，应提交质疑函和必要的证明材料。</w:t>
      </w:r>
    </w:p>
    <w:p w14:paraId="1AA63729">
      <w:pPr>
        <w:widowControl/>
        <w:ind w:firstLine="640" w:firstLineChars="200"/>
        <w:jc w:val="left"/>
        <w:rPr>
          <w:rFonts w:ascii="宋体" w:hAnsi="宋体"/>
          <w:sz w:val="32"/>
          <w:szCs w:val="32"/>
        </w:rPr>
      </w:pPr>
      <w:r>
        <w:rPr>
          <w:rFonts w:hint="eastAsia" w:ascii="宋体" w:hAnsi="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0330C67A">
      <w:pPr>
        <w:widowControl/>
        <w:ind w:firstLine="640" w:firstLineChars="200"/>
        <w:jc w:val="left"/>
        <w:rPr>
          <w:rFonts w:ascii="宋体" w:hAnsi="宋体"/>
          <w:sz w:val="32"/>
          <w:szCs w:val="32"/>
        </w:rPr>
      </w:pPr>
      <w:r>
        <w:rPr>
          <w:rFonts w:hint="eastAsia" w:ascii="宋体" w:hAnsi="宋体"/>
          <w:sz w:val="32"/>
          <w:szCs w:val="32"/>
        </w:rPr>
        <w:t>3.质疑供应商若对项目的某一分包进行质疑，质疑函中应列明具体分包号。</w:t>
      </w:r>
    </w:p>
    <w:p w14:paraId="57E154E3">
      <w:pPr>
        <w:widowControl/>
        <w:ind w:firstLine="640" w:firstLineChars="200"/>
        <w:jc w:val="left"/>
        <w:rPr>
          <w:rFonts w:ascii="宋体" w:hAnsi="宋体"/>
          <w:sz w:val="32"/>
          <w:szCs w:val="32"/>
        </w:rPr>
      </w:pPr>
      <w:r>
        <w:rPr>
          <w:rFonts w:hint="eastAsia" w:ascii="宋体" w:hAnsi="宋体"/>
          <w:sz w:val="32"/>
          <w:szCs w:val="32"/>
        </w:rPr>
        <w:t>4.质疑函的质疑事项应具体、明确，并有必要的事实依据和法律依据。</w:t>
      </w:r>
    </w:p>
    <w:p w14:paraId="05E6FD74">
      <w:pPr>
        <w:widowControl/>
        <w:ind w:firstLine="640" w:firstLineChars="200"/>
        <w:jc w:val="left"/>
        <w:rPr>
          <w:rFonts w:ascii="宋体" w:hAnsi="宋体"/>
          <w:sz w:val="32"/>
          <w:szCs w:val="32"/>
        </w:rPr>
      </w:pPr>
      <w:r>
        <w:rPr>
          <w:rFonts w:hint="eastAsia" w:ascii="宋体" w:hAnsi="宋体"/>
          <w:sz w:val="32"/>
          <w:szCs w:val="32"/>
        </w:rPr>
        <w:t>5.质疑函的质疑请求应与质疑事项相关。</w:t>
      </w:r>
    </w:p>
    <w:p w14:paraId="41C2863D">
      <w:pPr>
        <w:widowControl/>
        <w:ind w:firstLine="640" w:firstLineChars="200"/>
        <w:jc w:val="left"/>
        <w:rPr>
          <w:rFonts w:ascii="宋体" w:hAnsi="宋体"/>
          <w:sz w:val="32"/>
          <w:szCs w:val="32"/>
        </w:rPr>
      </w:pPr>
      <w:r>
        <w:rPr>
          <w:rFonts w:hint="eastAsia" w:ascii="宋体" w:hAnsi="宋体"/>
          <w:sz w:val="32"/>
          <w:szCs w:val="32"/>
        </w:rPr>
        <w:t>6.质疑供应商为自然人的，质疑函应由本人签字；质疑供应商为法人或者其他组织的，质疑函应由法定代表人、主要负责人，或者其授权代表签字或者盖章，并加盖公章。</w:t>
      </w:r>
    </w:p>
    <w:p w14:paraId="516F5EC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59F7D8-54B8-424B-9157-B62908B890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27AECF-52E2-4760-AC72-8CE909B070D9}"/>
  </w:font>
  <w:font w:name="新宋体">
    <w:panose1 w:val="02010609030101010101"/>
    <w:charset w:val="86"/>
    <w:family w:val="modern"/>
    <w:pitch w:val="default"/>
    <w:sig w:usb0="000002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03471770-8CDA-4ECF-9E57-6729C6E4FF85}"/>
  </w:font>
  <w:font w:name="仿宋_GB2312">
    <w:panose1 w:val="02010609030101010101"/>
    <w:charset w:val="86"/>
    <w:family w:val="modern"/>
    <w:pitch w:val="default"/>
    <w:sig w:usb0="00000001" w:usb1="080E0000" w:usb2="00000000" w:usb3="00000000" w:csb0="00040000" w:csb1="00000000"/>
    <w:embedRegular r:id="rId4" w:fontKey="{CE90A0A3-0F9D-477A-8EB7-B2EF9C159F1D}"/>
  </w:font>
  <w:font w:name="方正小标宋_GBK">
    <w:panose1 w:val="03000509000000000000"/>
    <w:charset w:val="86"/>
    <w:family w:val="script"/>
    <w:pitch w:val="default"/>
    <w:sig w:usb0="00000001" w:usb1="080E0000" w:usb2="00000000" w:usb3="00000000" w:csb0="00040000" w:csb1="00000000"/>
    <w:embedRegular r:id="rId5" w:fontKey="{E1A18A3A-4EBB-4084-92F5-EA1F538E2A3C}"/>
  </w:font>
  <w:font w:name="方正黑体_GBK">
    <w:altName w:val="Arial Unicode MS"/>
    <w:panose1 w:val="03000509000000000000"/>
    <w:charset w:val="86"/>
    <w:family w:val="script"/>
    <w:pitch w:val="default"/>
    <w:sig w:usb0="00000000" w:usb1="00000000" w:usb2="00000010" w:usb3="00000000" w:csb0="00040000" w:csb1="00000000"/>
    <w:embedRegular r:id="rId6" w:fontKey="{ED8D8E00-4666-4571-91E3-7E605747C91D}"/>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7" w:fontKey="{24904BD0-6D9C-4A36-B1E5-962B25DA6B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59F9D"/>
    <w:multiLevelType w:val="singleLevel"/>
    <w:tmpl w:val="16959F9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GU4OGFiZDJlMTZhMTM5NjMzYmVlZWUyY2M4NDQifQ=="/>
  </w:docVars>
  <w:rsids>
    <w:rsidRoot w:val="00000000"/>
    <w:rsid w:val="00A903CF"/>
    <w:rsid w:val="00EA6A45"/>
    <w:rsid w:val="01F114A6"/>
    <w:rsid w:val="02EE44AB"/>
    <w:rsid w:val="031A67DB"/>
    <w:rsid w:val="05A306C5"/>
    <w:rsid w:val="063F6C84"/>
    <w:rsid w:val="072D4D2F"/>
    <w:rsid w:val="076C5E50"/>
    <w:rsid w:val="07CA6288"/>
    <w:rsid w:val="081128A2"/>
    <w:rsid w:val="0811309B"/>
    <w:rsid w:val="0A53517C"/>
    <w:rsid w:val="0A957C0F"/>
    <w:rsid w:val="0B274535"/>
    <w:rsid w:val="0C4D5E73"/>
    <w:rsid w:val="0C6306C8"/>
    <w:rsid w:val="0DCB18AB"/>
    <w:rsid w:val="0F331350"/>
    <w:rsid w:val="0F4731AF"/>
    <w:rsid w:val="0F7A6F7F"/>
    <w:rsid w:val="108A459A"/>
    <w:rsid w:val="10923E54"/>
    <w:rsid w:val="10EA5A3E"/>
    <w:rsid w:val="114A3B4D"/>
    <w:rsid w:val="12007E3C"/>
    <w:rsid w:val="126F6B43"/>
    <w:rsid w:val="12AA7B7B"/>
    <w:rsid w:val="143516C6"/>
    <w:rsid w:val="157E7936"/>
    <w:rsid w:val="15BE79F8"/>
    <w:rsid w:val="16656284"/>
    <w:rsid w:val="16EB1087"/>
    <w:rsid w:val="176E561B"/>
    <w:rsid w:val="17D336B6"/>
    <w:rsid w:val="18487256"/>
    <w:rsid w:val="18F87ADE"/>
    <w:rsid w:val="19866520"/>
    <w:rsid w:val="1A172434"/>
    <w:rsid w:val="1B436A51"/>
    <w:rsid w:val="1B803B6F"/>
    <w:rsid w:val="1C170489"/>
    <w:rsid w:val="1C3E1334"/>
    <w:rsid w:val="1C6763BC"/>
    <w:rsid w:val="1D5B7A7C"/>
    <w:rsid w:val="1E530018"/>
    <w:rsid w:val="1EE3324B"/>
    <w:rsid w:val="20B51A11"/>
    <w:rsid w:val="21091F11"/>
    <w:rsid w:val="217801DA"/>
    <w:rsid w:val="221A409F"/>
    <w:rsid w:val="223374E5"/>
    <w:rsid w:val="224347B9"/>
    <w:rsid w:val="229005CE"/>
    <w:rsid w:val="22B55875"/>
    <w:rsid w:val="23A75A11"/>
    <w:rsid w:val="25D06632"/>
    <w:rsid w:val="273E043A"/>
    <w:rsid w:val="27806CA5"/>
    <w:rsid w:val="2838551F"/>
    <w:rsid w:val="28887BBF"/>
    <w:rsid w:val="29C56BF1"/>
    <w:rsid w:val="29F27FD8"/>
    <w:rsid w:val="2A024C96"/>
    <w:rsid w:val="2A704DAF"/>
    <w:rsid w:val="2AAB2C02"/>
    <w:rsid w:val="2AED2B71"/>
    <w:rsid w:val="2C572D5A"/>
    <w:rsid w:val="2C9C1E8B"/>
    <w:rsid w:val="2D2D342B"/>
    <w:rsid w:val="2DB0030D"/>
    <w:rsid w:val="2E0777D8"/>
    <w:rsid w:val="2E8A5916"/>
    <w:rsid w:val="342A19EB"/>
    <w:rsid w:val="35373099"/>
    <w:rsid w:val="35F51433"/>
    <w:rsid w:val="36034D29"/>
    <w:rsid w:val="360867E3"/>
    <w:rsid w:val="37CC393A"/>
    <w:rsid w:val="37CF580A"/>
    <w:rsid w:val="38F82B3F"/>
    <w:rsid w:val="39025328"/>
    <w:rsid w:val="39072007"/>
    <w:rsid w:val="3C574020"/>
    <w:rsid w:val="3CD64F45"/>
    <w:rsid w:val="3D3D6D72"/>
    <w:rsid w:val="3D8A3387"/>
    <w:rsid w:val="3DDD67A7"/>
    <w:rsid w:val="3E66054B"/>
    <w:rsid w:val="3E8770F5"/>
    <w:rsid w:val="3F171845"/>
    <w:rsid w:val="41A07708"/>
    <w:rsid w:val="41B82E6B"/>
    <w:rsid w:val="41DD28D2"/>
    <w:rsid w:val="42140384"/>
    <w:rsid w:val="422420A8"/>
    <w:rsid w:val="449C6A74"/>
    <w:rsid w:val="45E5444B"/>
    <w:rsid w:val="46D37977"/>
    <w:rsid w:val="48840FF6"/>
    <w:rsid w:val="488A3088"/>
    <w:rsid w:val="48D371C2"/>
    <w:rsid w:val="48DB1B35"/>
    <w:rsid w:val="49944BDF"/>
    <w:rsid w:val="4B773C69"/>
    <w:rsid w:val="4BB40B47"/>
    <w:rsid w:val="4C121900"/>
    <w:rsid w:val="4C147838"/>
    <w:rsid w:val="4C52210E"/>
    <w:rsid w:val="4EA734BD"/>
    <w:rsid w:val="5007610C"/>
    <w:rsid w:val="50097D76"/>
    <w:rsid w:val="504F52E3"/>
    <w:rsid w:val="53937A5C"/>
    <w:rsid w:val="54553556"/>
    <w:rsid w:val="54C142D5"/>
    <w:rsid w:val="54CE7ACD"/>
    <w:rsid w:val="551C08F7"/>
    <w:rsid w:val="552B2BBC"/>
    <w:rsid w:val="55A726AD"/>
    <w:rsid w:val="562529FE"/>
    <w:rsid w:val="569D5A57"/>
    <w:rsid w:val="56D228C8"/>
    <w:rsid w:val="56EB73E7"/>
    <w:rsid w:val="57AC6CB0"/>
    <w:rsid w:val="5A1B4BD1"/>
    <w:rsid w:val="5A2A62D7"/>
    <w:rsid w:val="5BF136F2"/>
    <w:rsid w:val="5BFE2A26"/>
    <w:rsid w:val="5CCC2FE1"/>
    <w:rsid w:val="5D62354E"/>
    <w:rsid w:val="5E426F07"/>
    <w:rsid w:val="5E98599A"/>
    <w:rsid w:val="5F1863C2"/>
    <w:rsid w:val="5F5D1F24"/>
    <w:rsid w:val="5FCE44A4"/>
    <w:rsid w:val="60107EBF"/>
    <w:rsid w:val="607D4F3A"/>
    <w:rsid w:val="6357614B"/>
    <w:rsid w:val="63DD630A"/>
    <w:rsid w:val="676072E5"/>
    <w:rsid w:val="681C38A5"/>
    <w:rsid w:val="6887497E"/>
    <w:rsid w:val="691E054C"/>
    <w:rsid w:val="69945DF2"/>
    <w:rsid w:val="69CE7197"/>
    <w:rsid w:val="6A8B3277"/>
    <w:rsid w:val="6B585C08"/>
    <w:rsid w:val="6C835CB4"/>
    <w:rsid w:val="6D424466"/>
    <w:rsid w:val="6DBB4AEC"/>
    <w:rsid w:val="6E5A4E4A"/>
    <w:rsid w:val="6E9C129B"/>
    <w:rsid w:val="6F603DF0"/>
    <w:rsid w:val="6F626602"/>
    <w:rsid w:val="6F8D6E36"/>
    <w:rsid w:val="70613A2A"/>
    <w:rsid w:val="71526FFA"/>
    <w:rsid w:val="71A57103"/>
    <w:rsid w:val="73FA3D49"/>
    <w:rsid w:val="755D7777"/>
    <w:rsid w:val="75B07D22"/>
    <w:rsid w:val="768A0E99"/>
    <w:rsid w:val="77560455"/>
    <w:rsid w:val="7805267D"/>
    <w:rsid w:val="783F675B"/>
    <w:rsid w:val="787944E6"/>
    <w:rsid w:val="79D949B7"/>
    <w:rsid w:val="7AE364A4"/>
    <w:rsid w:val="7B206849"/>
    <w:rsid w:val="7B6A44CF"/>
    <w:rsid w:val="7D0163B1"/>
    <w:rsid w:val="7D136E58"/>
    <w:rsid w:val="7E4B3DEC"/>
    <w:rsid w:val="7F3217A8"/>
    <w:rsid w:val="7F40339A"/>
    <w:rsid w:val="7FA451A1"/>
    <w:rsid w:val="7FC1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jc w:val="center"/>
      <w:outlineLvl w:val="3"/>
    </w:pPr>
    <w:rPr>
      <w:rFonts w:eastAsia="新宋体"/>
      <w:sz w:val="30"/>
      <w:szCs w:val="21"/>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Body Text Indent"/>
    <w:basedOn w:val="1"/>
    <w:qFormat/>
    <w:uiPriority w:val="0"/>
    <w:pPr>
      <w:spacing w:after="120"/>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首行缩进"/>
    <w:basedOn w:val="1"/>
    <w:autoRedefine/>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8279</Words>
  <Characters>8756</Characters>
  <Lines>0</Lines>
  <Paragraphs>0</Paragraphs>
  <TotalTime>0</TotalTime>
  <ScaleCrop>false</ScaleCrop>
  <LinksUpToDate>false</LinksUpToDate>
  <CharactersWithSpaces>9028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2023-01-10T06:41:00Z</dcterms:created>
  <dc:creator>95207</dc:creator>
  <cp:lastModifiedBy>9877</cp:lastModifiedBy>
  <dcterms:modified xsi:type="dcterms:W3CDTF">2024-11-29T01:56:20Z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77E0F9B95D854793AA19B83118828158</vt:lpwstr>
  </property>
</Properties>
</file>