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建</w:t>
      </w:r>
      <w:r>
        <w:rPr>
          <w:rFonts w:hint="eastAsia" w:ascii="黑体" w:eastAsia="黑体"/>
          <w:b/>
          <w:sz w:val="36"/>
          <w:szCs w:val="36"/>
        </w:rPr>
        <w:t>设项目环评审批基础信息表</w:t>
      </w:r>
    </w:p>
    <w:p>
      <w:pPr>
        <w:rPr>
          <w:rFonts w:hint="eastAsia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填表单位（盖章）：启东市辰甜金属制品有限公司                                                                            填表人（签字）：                项目经办人（签字）：</w:t>
      </w:r>
      <w:r>
        <w:rPr>
          <w:rFonts w:hint="eastAsia"/>
          <w:szCs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88"/>
        <w:gridCol w:w="932"/>
        <w:gridCol w:w="1325"/>
        <w:gridCol w:w="1386"/>
        <w:gridCol w:w="482"/>
        <w:gridCol w:w="1083"/>
        <w:gridCol w:w="351"/>
        <w:gridCol w:w="213"/>
        <w:gridCol w:w="257"/>
        <w:gridCol w:w="531"/>
        <w:gridCol w:w="572"/>
        <w:gridCol w:w="233"/>
        <w:gridCol w:w="523"/>
        <w:gridCol w:w="294"/>
        <w:gridCol w:w="1153"/>
        <w:gridCol w:w="266"/>
        <w:gridCol w:w="94"/>
        <w:gridCol w:w="265"/>
        <w:gridCol w:w="1342"/>
        <w:gridCol w:w="253"/>
        <w:gridCol w:w="295"/>
        <w:gridCol w:w="228"/>
        <w:gridCol w:w="638"/>
        <w:gridCol w:w="728"/>
        <w:gridCol w:w="1059"/>
        <w:gridCol w:w="662"/>
        <w:gridCol w:w="114"/>
        <w:gridCol w:w="846"/>
        <w:gridCol w:w="390"/>
        <w:gridCol w:w="2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 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项 目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项目名称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金属制品加工</w:t>
            </w:r>
          </w:p>
        </w:tc>
        <w:tc>
          <w:tcPr>
            <w:tcW w:w="2743" w:type="dxa"/>
            <w:gridSpan w:val="7"/>
            <w:vMerge w:val="restart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建设地点</w:t>
            </w:r>
          </w:p>
        </w:tc>
        <w:tc>
          <w:tcPr>
            <w:tcW w:w="6508" w:type="dxa"/>
            <w:gridSpan w:val="8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启东市寅阳镇江夏村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项目代码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2019-320663-33-03-557794</w:t>
            </w:r>
          </w:p>
        </w:tc>
        <w:tc>
          <w:tcPr>
            <w:tcW w:w="2743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6508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建设内容、规模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ind w:firstLine="361" w:firstLineChars="20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建设内容：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金属制品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 xml:space="preserve">  规模：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3000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 xml:space="preserve">  计量单位：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吨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计划开工时间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9.11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项目建设周期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个月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预计投产时间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19.12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环境影响评价行业类别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“二十二、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金属制品业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”中68、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金属制品表面处理及热处理加工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类别中的“其他”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国民经济行业类型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[C3360]金属表面处理及热处理加工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建设性质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 xml:space="preserve">新 建（迁 建）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 xml:space="preserve">改 、 扩 建 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技 术 改 造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2743" w:type="dxa"/>
            <w:gridSpan w:val="7"/>
            <w:vMerge w:val="restart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项目申请类别</w:t>
            </w:r>
          </w:p>
        </w:tc>
        <w:tc>
          <w:tcPr>
            <w:tcW w:w="6508" w:type="dxa"/>
            <w:gridSpan w:val="8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新报项目                         □不予批准后再次申报项目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□超5年重新申报项目               □变动项目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现有工程排污许可证编号</w:t>
            </w:r>
          </w:p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（改、扩建项目）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6508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规划环评开展情况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不 需 开 展                       □已 开 展 并 通 过 审 查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规划环评文件名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规划环评审查机关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规划环评审查意见文号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建设地点中心坐标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（非线性工程）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经度</w:t>
            </w:r>
          </w:p>
        </w:tc>
        <w:tc>
          <w:tcPr>
            <w:tcW w:w="2129" w:type="dxa"/>
            <w:gridSpan w:val="4"/>
            <w:noWrap w:val="0"/>
            <w:vAlign w:val="center"/>
          </w:tcPr>
          <w:p>
            <w:pPr>
              <w:spacing w:line="320" w:lineRule="exact"/>
              <w:ind w:right="27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121.8396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纬度</w:t>
            </w:r>
          </w:p>
        </w:tc>
        <w:tc>
          <w:tcPr>
            <w:tcW w:w="22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31.7345</w:t>
            </w:r>
          </w:p>
        </w:tc>
        <w:tc>
          <w:tcPr>
            <w:tcW w:w="2743" w:type="dxa"/>
            <w:gridSpan w:val="7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环境影响评价文件类别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 xml:space="preserve">□环 境 影 响 报 告 书                  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环 境 影 响 报 告 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建设地点坐标（线性工程）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起点经度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起点纬度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终点经度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终点纬度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工程长度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总投资（万元）</w:t>
            </w:r>
          </w:p>
        </w:tc>
        <w:tc>
          <w:tcPr>
            <w:tcW w:w="707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251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环保投资（万元）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所占比例（%）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建 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单 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启东市辰甜金属制品有限公司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法人代表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陈东</w:t>
            </w:r>
          </w:p>
        </w:tc>
        <w:tc>
          <w:tcPr>
            <w:tcW w:w="62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评 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单 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eastAsia="zh-CN"/>
              </w:rPr>
              <w:t>江苏中气环境科技有限公司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  <w:t>证书编号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通   讯   地    址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启东市寅阳镇江夏村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严军</w:t>
            </w:r>
          </w:p>
        </w:tc>
        <w:tc>
          <w:tcPr>
            <w:tcW w:w="62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通讯地址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联系电话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统一社会信用代码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（组织机构代码）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1320681MA1YX7UQ2B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13002157373</w:t>
            </w:r>
          </w:p>
        </w:tc>
        <w:tc>
          <w:tcPr>
            <w:tcW w:w="62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环评文件项目负责人</w:t>
            </w:r>
          </w:p>
        </w:tc>
        <w:tc>
          <w:tcPr>
            <w:tcW w:w="673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62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spacing w:val="2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20"/>
                <w:sz w:val="18"/>
                <w:szCs w:val="18"/>
              </w:rPr>
              <w:t>污染物排放量</w:t>
            </w:r>
          </w:p>
        </w:tc>
        <w:tc>
          <w:tcPr>
            <w:tcW w:w="284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污染物</w:t>
            </w:r>
          </w:p>
        </w:tc>
        <w:tc>
          <w:tcPr>
            <w:tcW w:w="377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现有工程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（已建+在建）</w:t>
            </w: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本工程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（拟建或调整变更）</w:t>
            </w:r>
          </w:p>
        </w:tc>
        <w:tc>
          <w:tcPr>
            <w:tcW w:w="7391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总体工程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（已建+在建+拟建或调整变更）</w:t>
            </w:r>
          </w:p>
        </w:tc>
        <w:tc>
          <w:tcPr>
            <w:tcW w:w="3307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ind w:left="-48" w:leftChars="-20" w:right="-48" w:rightChars="-2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62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spacing w:val="20"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1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①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实际排放量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2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②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许可排放量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3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③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预测排放量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4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④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“以新带老”削减量（吨/年）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5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⑤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区域平衡替代本工程削减量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vertAlign w:val="superscript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6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⑥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预测排放总量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instrText xml:space="preserve"> = 7 \* GB3 </w:instrTex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⑦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排放增减量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（吨/年）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ind w:left="-48" w:leftChars="-20" w:right="-48" w:rightChars="-2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废水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废水量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129.6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129.6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+129.6</w:t>
            </w:r>
          </w:p>
        </w:tc>
        <w:tc>
          <w:tcPr>
            <w:tcW w:w="3307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不排放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□间接排放：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市政管网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集中式工业污水处理厂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□直接排放：受纳水体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lang w:eastAsia="zh-CN"/>
              </w:rPr>
              <w:t>COD</w:t>
            </w:r>
            <w:r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vertAlign w:val="subscript"/>
                <w:lang w:eastAsia="zh-CN"/>
              </w:rPr>
              <w:t>Cr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0.0454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0.0454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+0.0454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lang w:eastAsia="zh-CN"/>
              </w:rPr>
              <w:t>SS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0.0259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0.0259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+0.0259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lang w:eastAsia="zh-CN"/>
              </w:rPr>
              <w:t>氨氮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0.0039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0.0039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+0.0039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Calibri" w:cs="Times New Roman"/>
                <w:b/>
                <w:kern w:val="0"/>
                <w:sz w:val="18"/>
                <w:szCs w:val="18"/>
                <w:lang w:eastAsia="zh-CN"/>
              </w:rPr>
              <w:t>TP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pStyle w:val="1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+0.0005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废气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废气量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307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0.0399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0.0399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+0.0399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SO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0.0069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0.0069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+0.0069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NOx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0.0596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0.0596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+0.0596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VOCs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+0.047</w:t>
            </w:r>
          </w:p>
        </w:tc>
        <w:tc>
          <w:tcPr>
            <w:tcW w:w="330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1575"/>
        </w:tabs>
        <w:spacing w:line="240" w:lineRule="exact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注：1、同级经济部门审批核发的唯一项目代码</w:t>
      </w:r>
    </w:p>
    <w:p>
      <w:pPr>
        <w:tabs>
          <w:tab w:val="left" w:pos="1575"/>
        </w:tabs>
        <w:spacing w:line="240" w:lineRule="exact"/>
        <w:ind w:firstLine="360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2、分类依据：国民经济行业分类(GB/T 4754-2011)</w:t>
      </w:r>
    </w:p>
    <w:p>
      <w:pPr>
        <w:tabs>
          <w:tab w:val="left" w:pos="1575"/>
        </w:tabs>
        <w:spacing w:line="240" w:lineRule="exact"/>
        <w:ind w:firstLine="360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3、对多点项目仅提供主体工程的中心座标</w:t>
      </w:r>
    </w:p>
    <w:p>
      <w:pPr>
        <w:tabs>
          <w:tab w:val="left" w:pos="1575"/>
        </w:tabs>
        <w:spacing w:line="240" w:lineRule="exact"/>
        <w:ind w:firstLine="360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4、指该项目所在区域通过“区域平衡”专为本工程替代削减的量</w:t>
      </w:r>
    </w:p>
    <w:p>
      <w:pPr>
        <w:tabs>
          <w:tab w:val="left" w:pos="1575"/>
        </w:tabs>
        <w:spacing w:line="240" w:lineRule="exact"/>
        <w:ind w:firstLine="360" w:firstLineChars="200"/>
      </w:pPr>
      <w:r>
        <w:rPr>
          <w:rFonts w:hint="default" w:ascii="Times New Roman" w:hAnsi="Times New Roman" w:eastAsia="宋体" w:cs="Times New Roman"/>
          <w:sz w:val="18"/>
          <w:szCs w:val="18"/>
        </w:rPr>
        <w:t>5、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7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⑦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＝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3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③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－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4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④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－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5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⑤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6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⑥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＝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2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②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－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4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④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  <w:r>
        <w:rPr>
          <w:rFonts w:hint="default" w:ascii="Times New Roman" w:hAnsi="Times New Roman" w:eastAsia="宋体" w:cs="Times New Roman"/>
          <w:sz w:val="18"/>
          <w:szCs w:val="18"/>
        </w:rPr>
        <w:t>＋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begin"/>
      </w:r>
      <w:r>
        <w:rPr>
          <w:rFonts w:hint="default" w:ascii="Times New Roman" w:hAnsi="Times New Roman" w:eastAsia="宋体" w:cs="Times New Roman"/>
          <w:sz w:val="18"/>
          <w:szCs w:val="18"/>
        </w:rPr>
        <w:instrText xml:space="preserve"> = 3 \* GB3 </w:instrTex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eastAsia="宋体" w:cs="Times New Roman"/>
          <w:sz w:val="18"/>
          <w:szCs w:val="18"/>
        </w:rPr>
        <w:t>③</w:t>
      </w:r>
      <w:r>
        <w:rPr>
          <w:rFonts w:hint="default" w:ascii="Times New Roman" w:hAnsi="Times New Roman" w:eastAsia="宋体" w:cs="Times New Roman"/>
          <w:sz w:val="18"/>
          <w:szCs w:val="18"/>
        </w:rPr>
        <w:fldChar w:fldCharType="end"/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054"/>
        <w:gridCol w:w="1339"/>
        <w:gridCol w:w="3213"/>
        <w:gridCol w:w="2072"/>
        <w:gridCol w:w="2967"/>
        <w:gridCol w:w="1443"/>
        <w:gridCol w:w="1218"/>
        <w:gridCol w:w="33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81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项目涉及保护区与风景名胜区的情况</w:t>
            </w:r>
          </w:p>
        </w:tc>
        <w:tc>
          <w:tcPr>
            <w:tcW w:w="3054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影响及主要措施</w:t>
            </w:r>
          </w:p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生态保护目标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名称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级别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主要保护对象（目标）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工程影响情况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是否占用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占用面积（hm2）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生态防护措施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11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自然保护区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国家级、省级、市级、县级（下拉）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核心区、缓冲区、实验区（下拉式）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是、否（下拉）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避让、减缓、补偿、重建（下拉多选）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811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饮用水水源保护区（地表）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国家级、省级、市级、县级（下拉）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一级保护区、二级保护区、准保护区（下拉式）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是、否（下拉）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避让、减缓、补偿、重建（下拉多选）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811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饮用水水源保护区（地下）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国家级、省级、市级、县级（下拉）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一级保护区、二级保护区、准保护区（下拉式）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是、否（下拉）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避让、减缓、补偿、重建（下拉多选）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811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textAlignment w:val="top"/>
              <w:rPr>
                <w:rFonts w:hint="eastAsia" w:ascii="黑体" w:eastAsia="黑体"/>
                <w:b/>
                <w:spacing w:val="2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pacing w:val="20"/>
                <w:sz w:val="18"/>
                <w:szCs w:val="18"/>
              </w:rPr>
              <w:t>风景名胜区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国家级、省级、市级、县级（下拉）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核心景区、其他景区（下拉式）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是、否（下拉）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避让、减缓、补偿、重建（下拉多选）</w:t>
            </w:r>
          </w:p>
        </w:tc>
      </w:tr>
    </w:tbl>
    <w:p>
      <w:bookmarkStart w:id="0" w:name="_GoBack"/>
      <w:bookmarkEnd w:id="0"/>
    </w:p>
    <w:p/>
    <w:sectPr>
      <w:pgSz w:w="23757" w:h="16783" w:orient="landscape"/>
      <w:pgMar w:top="283" w:right="1440" w:bottom="283" w:left="1440" w:header="720" w:footer="737" w:gutter="454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5013"/>
    <w:multiLevelType w:val="multilevel"/>
    <w:tmpl w:val="7323501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hint="eastAsia" w:ascii="仿宋_GB2312" w:eastAsia="仿宋_GB2312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hint="eastAsia" w:ascii="仿宋_GB2312" w:eastAsia="仿宋_GB2312"/>
        <w:b/>
        <w:i w:val="0"/>
        <w:sz w:val="30"/>
      </w:rPr>
    </w:lvl>
    <w:lvl w:ilvl="2" w:tentative="0">
      <w:start w:val="1"/>
      <w:numFmt w:val="decimal"/>
      <w:pStyle w:val="2"/>
      <w:lvlText w:val="%1.%2.%3."/>
      <w:lvlJc w:val="left"/>
      <w:pPr>
        <w:tabs>
          <w:tab w:val="left" w:pos="1080"/>
        </w:tabs>
        <w:ind w:left="0" w:firstLine="0"/>
      </w:pPr>
      <w:rPr>
        <w:rFonts w:hint="eastAsia" w:ascii="仿宋_GB2312" w:eastAsia="仿宋_GB2312"/>
        <w:b w:val="0"/>
        <w:i w:val="0"/>
        <w:sz w:val="28"/>
      </w:rPr>
    </w:lvl>
    <w:lvl w:ilvl="3" w:tentative="0">
      <w:start w:val="1"/>
      <w:numFmt w:val="decimal"/>
      <w:lvlText w:val="%1.%2.%3.%4."/>
      <w:lvlJc w:val="left"/>
      <w:pPr>
        <w:tabs>
          <w:tab w:val="left" w:pos="1440"/>
        </w:tabs>
        <w:ind w:left="0" w:firstLine="0"/>
      </w:pPr>
      <w:rPr>
        <w:rFonts w:hint="eastAsia" w:ascii="仿宋_GB2312" w:eastAsia="仿宋_GB2312"/>
        <w:b w:val="0"/>
        <w:i w:val="0"/>
        <w:sz w:val="28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5D14"/>
    <w:rsid w:val="08E25683"/>
    <w:rsid w:val="0A7B24F9"/>
    <w:rsid w:val="0CDF3DF9"/>
    <w:rsid w:val="0FB01FF8"/>
    <w:rsid w:val="10E36C6C"/>
    <w:rsid w:val="15F02ABB"/>
    <w:rsid w:val="1A306098"/>
    <w:rsid w:val="1F614971"/>
    <w:rsid w:val="24BE3D0B"/>
    <w:rsid w:val="24DA4D62"/>
    <w:rsid w:val="27C86F3C"/>
    <w:rsid w:val="27DC2761"/>
    <w:rsid w:val="28903269"/>
    <w:rsid w:val="30E12806"/>
    <w:rsid w:val="342E6240"/>
    <w:rsid w:val="364F3C23"/>
    <w:rsid w:val="375D4A67"/>
    <w:rsid w:val="42305852"/>
    <w:rsid w:val="45422C1D"/>
    <w:rsid w:val="466329F8"/>
    <w:rsid w:val="47D80CE9"/>
    <w:rsid w:val="4C235A13"/>
    <w:rsid w:val="4CDE4C45"/>
    <w:rsid w:val="57BF7B28"/>
    <w:rsid w:val="5B732F61"/>
    <w:rsid w:val="5BB36064"/>
    <w:rsid w:val="5CAE1DC8"/>
    <w:rsid w:val="5E6B4AD0"/>
    <w:rsid w:val="69B8310D"/>
    <w:rsid w:val="6A493527"/>
    <w:rsid w:val="715310B5"/>
    <w:rsid w:val="77AD271B"/>
    <w:rsid w:val="7856613C"/>
    <w:rsid w:val="7A225F63"/>
    <w:rsid w:val="7B313BCA"/>
    <w:rsid w:val="7B384351"/>
    <w:rsid w:val="7DB93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仿宋_GB2312" w:asciiTheme="minorHAnsi" w:hAnsiTheme="minorHAnsi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widowControl w:val="0"/>
      <w:numPr>
        <w:ilvl w:val="2"/>
        <w:numId w:val="1"/>
      </w:numPr>
      <w:tabs>
        <w:tab w:val="left" w:pos="360"/>
        <w:tab w:val="clear" w:pos="1080"/>
      </w:tabs>
      <w:adjustRightInd w:val="0"/>
      <w:snapToGrid w:val="0"/>
      <w:spacing w:before="50" w:beforeLines="50" w:after="50" w:afterLines="50" w:line="300" w:lineRule="auto"/>
      <w:jc w:val="both"/>
      <w:outlineLvl w:val="2"/>
    </w:pPr>
    <w:rPr>
      <w:rFonts w:ascii="仿宋_GB2312"/>
      <w:bCs/>
      <w:kern w:val="2"/>
      <w:sz w:val="28"/>
      <w:szCs w:val="32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overflowPunct w:val="0"/>
      <w:autoSpaceDE w:val="0"/>
      <w:adjustRightInd w:val="0"/>
      <w:snapToGrid w:val="0"/>
      <w:spacing w:line="480" w:lineRule="exact"/>
      <w:ind w:firstLine="560" w:firstLineChars="200"/>
      <w:jc w:val="both"/>
    </w:pPr>
    <w:rPr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index 1"/>
    <w:basedOn w:val="1"/>
    <w:next w:val="1"/>
    <w:semiHidden/>
    <w:qFormat/>
    <w:uiPriority w:val="0"/>
    <w:pPr>
      <w:spacing w:line="360" w:lineRule="exact"/>
      <w:jc w:val="center"/>
    </w:pPr>
    <w:rPr>
      <w:rFonts w:eastAsia="宋体"/>
      <w:sz w:val="21"/>
    </w:rPr>
  </w:style>
  <w:style w:type="paragraph" w:customStyle="1" w:styleId="8">
    <w:name w:val="_Style 33"/>
    <w:basedOn w:val="1"/>
    <w:link w:val="7"/>
    <w:qFormat/>
    <w:uiPriority w:val="0"/>
    <w:pPr>
      <w:widowControl w:val="0"/>
      <w:jc w:val="both"/>
    </w:pPr>
  </w:style>
  <w:style w:type="character" w:styleId="9">
    <w:name w:val="page number"/>
    <w:basedOn w:val="7"/>
    <w:qFormat/>
    <w:uiPriority w:val="0"/>
  </w:style>
  <w:style w:type="paragraph" w:customStyle="1" w:styleId="10">
    <w:name w:val="表格文字"/>
    <w:basedOn w:val="1"/>
    <w:qFormat/>
    <w:uiPriority w:val="0"/>
    <w:pPr>
      <w:widowControl w:val="0"/>
      <w:adjustRightInd w:val="0"/>
      <w:snapToGrid w:val="0"/>
      <w:jc w:val="center"/>
    </w:pPr>
    <w:rPr>
      <w:rFonts w:ascii="仿宋_GB2312" w:hAnsi="Arial Black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4+1</cp:lastModifiedBy>
  <dcterms:modified xsi:type="dcterms:W3CDTF">2019-12-23T07:41:00Z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