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  <w:lang w:eastAsia="zh-CN"/>
        </w:rPr>
        <w:t>建</w:t>
      </w:r>
      <w:r>
        <w:rPr>
          <w:rFonts w:hint="eastAsia" w:ascii="黑体" w:eastAsia="黑体"/>
          <w:b/>
          <w:sz w:val="36"/>
          <w:szCs w:val="36"/>
        </w:rPr>
        <w:t>设项目环评审批基础信息表</w:t>
      </w:r>
    </w:p>
    <w:p>
      <w:pPr>
        <w:rPr>
          <w:rFonts w:hint="eastAsia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填表单位（盖章）：启东市辰甜金属制品有限公司                                                                            填表人（签字）：                项目经办人（签字）：</w:t>
      </w:r>
      <w:r>
        <w:rPr>
          <w:rFonts w:hint="eastAsia"/>
          <w:szCs w:val="21"/>
        </w:rPr>
        <w:t xml:space="preserve"> </w:t>
      </w:r>
    </w:p>
    <w:tbl>
      <w:tblPr>
        <w:tblStyle w:val="6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588"/>
        <w:gridCol w:w="932"/>
        <w:gridCol w:w="1325"/>
        <w:gridCol w:w="1386"/>
        <w:gridCol w:w="482"/>
        <w:gridCol w:w="1083"/>
        <w:gridCol w:w="351"/>
        <w:gridCol w:w="213"/>
        <w:gridCol w:w="257"/>
        <w:gridCol w:w="531"/>
        <w:gridCol w:w="572"/>
        <w:gridCol w:w="233"/>
        <w:gridCol w:w="523"/>
        <w:gridCol w:w="294"/>
        <w:gridCol w:w="1153"/>
        <w:gridCol w:w="266"/>
        <w:gridCol w:w="94"/>
        <w:gridCol w:w="265"/>
        <w:gridCol w:w="1342"/>
        <w:gridCol w:w="253"/>
        <w:gridCol w:w="295"/>
        <w:gridCol w:w="228"/>
        <w:gridCol w:w="638"/>
        <w:gridCol w:w="728"/>
        <w:gridCol w:w="1059"/>
        <w:gridCol w:w="662"/>
        <w:gridCol w:w="114"/>
        <w:gridCol w:w="846"/>
        <w:gridCol w:w="390"/>
        <w:gridCol w:w="207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" w:hRule="atLeast"/>
          <w:jc w:val="center"/>
        </w:trPr>
        <w:tc>
          <w:tcPr>
            <w:tcW w:w="126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建 设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项 目</w:t>
            </w:r>
          </w:p>
        </w:tc>
        <w:tc>
          <w:tcPr>
            <w:tcW w:w="2845" w:type="dxa"/>
            <w:gridSpan w:val="3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项目名称</w:t>
            </w:r>
          </w:p>
        </w:tc>
        <w:tc>
          <w:tcPr>
            <w:tcW w:w="7078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lang w:eastAsia="zh-CN"/>
              </w:rPr>
              <w:t>金属制品加工</w:t>
            </w:r>
          </w:p>
        </w:tc>
        <w:tc>
          <w:tcPr>
            <w:tcW w:w="2743" w:type="dxa"/>
            <w:gridSpan w:val="7"/>
            <w:vMerge w:val="restart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建设地点</w:t>
            </w:r>
          </w:p>
        </w:tc>
        <w:tc>
          <w:tcPr>
            <w:tcW w:w="6508" w:type="dxa"/>
            <w:gridSpan w:val="8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lang w:eastAsia="zh-CN"/>
              </w:rPr>
              <w:t>启东市寅阳镇江夏村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" w:hRule="atLeast"/>
          <w:jc w:val="center"/>
        </w:trPr>
        <w:tc>
          <w:tcPr>
            <w:tcW w:w="12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2845" w:type="dxa"/>
            <w:gridSpan w:val="3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项目代码</w:t>
            </w: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078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  <w:t>2019-320663-33-03-557794</w:t>
            </w:r>
          </w:p>
        </w:tc>
        <w:tc>
          <w:tcPr>
            <w:tcW w:w="2743" w:type="dxa"/>
            <w:gridSpan w:val="7"/>
            <w:vMerge w:val="continue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6508" w:type="dxa"/>
            <w:gridSpan w:val="8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2845" w:type="dxa"/>
            <w:gridSpan w:val="3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建设内容、规模</w:t>
            </w:r>
          </w:p>
        </w:tc>
        <w:tc>
          <w:tcPr>
            <w:tcW w:w="7078" w:type="dxa"/>
            <w:gridSpan w:val="12"/>
            <w:noWrap w:val="0"/>
            <w:vAlign w:val="center"/>
          </w:tcPr>
          <w:p>
            <w:pPr>
              <w:spacing w:line="320" w:lineRule="exact"/>
              <w:ind w:firstLine="361" w:firstLineChars="20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  <w:t>建设内容：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18"/>
                <w:szCs w:val="18"/>
                <w:u w:val="single"/>
                <w:lang w:eastAsia="zh-CN"/>
              </w:rPr>
              <w:t>金属制品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  <w:u w:val="singl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  <w:t xml:space="preserve">  规模：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18"/>
                <w:szCs w:val="18"/>
                <w:u w:val="single"/>
                <w:lang w:val="en-US" w:eastAsia="zh-CN"/>
              </w:rPr>
              <w:t>3000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  <w:u w:val="single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</w:rPr>
              <w:t xml:space="preserve">  计量单位：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18"/>
                <w:szCs w:val="18"/>
                <w:u w:val="single"/>
                <w:lang w:eastAsia="zh-CN"/>
              </w:rPr>
              <w:t>吨</w:t>
            </w:r>
          </w:p>
        </w:tc>
        <w:tc>
          <w:tcPr>
            <w:tcW w:w="2743" w:type="dxa"/>
            <w:gridSpan w:val="7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计划开工时间</w:t>
            </w:r>
          </w:p>
        </w:tc>
        <w:tc>
          <w:tcPr>
            <w:tcW w:w="6508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201</w:t>
            </w: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  <w:t>9.11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2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2845" w:type="dxa"/>
            <w:gridSpan w:val="3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项目建设周期</w:t>
            </w:r>
          </w:p>
        </w:tc>
        <w:tc>
          <w:tcPr>
            <w:tcW w:w="7078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</w:rPr>
              <w:t>个月</w:t>
            </w:r>
          </w:p>
        </w:tc>
        <w:tc>
          <w:tcPr>
            <w:tcW w:w="2743" w:type="dxa"/>
            <w:gridSpan w:val="7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预计投产时间</w:t>
            </w:r>
          </w:p>
        </w:tc>
        <w:tc>
          <w:tcPr>
            <w:tcW w:w="6508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20</w:t>
            </w: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  <w:t>19.12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2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2845" w:type="dxa"/>
            <w:gridSpan w:val="3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环境影响评价行业类别</w:t>
            </w:r>
          </w:p>
        </w:tc>
        <w:tc>
          <w:tcPr>
            <w:tcW w:w="7078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lang w:val="en-US" w:eastAsia="zh-CN"/>
              </w:rPr>
              <w:t>“二十二、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u w:val="single"/>
                <w:lang w:val="en-US" w:eastAsia="zh-CN"/>
              </w:rPr>
              <w:t>金属制品业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lang w:val="en-US" w:eastAsia="zh-CN"/>
              </w:rPr>
              <w:t>”中68、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u w:val="single"/>
                <w:lang w:val="en-US" w:eastAsia="zh-CN"/>
              </w:rPr>
              <w:t>金属制品表面处理及热处理加工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lang w:val="en-US" w:eastAsia="zh-CN"/>
              </w:rPr>
              <w:t>类别中的“其他”</w:t>
            </w:r>
          </w:p>
        </w:tc>
        <w:tc>
          <w:tcPr>
            <w:tcW w:w="2743" w:type="dxa"/>
            <w:gridSpan w:val="7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国民经济行业类型</w:t>
            </w: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508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  <w:t>[C3360]金属表面处理及热处理加工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2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2845" w:type="dxa"/>
            <w:gridSpan w:val="3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建设性质</w:t>
            </w:r>
          </w:p>
        </w:tc>
        <w:tc>
          <w:tcPr>
            <w:tcW w:w="7078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18"/>
                <w:szCs w:val="18"/>
              </w:rPr>
              <w:sym w:font="Wingdings 2" w:char="0052"/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18"/>
                <w:szCs w:val="18"/>
              </w:rPr>
              <w:t xml:space="preserve">新 建（迁 建）           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18"/>
                <w:szCs w:val="18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18"/>
                <w:szCs w:val="18"/>
              </w:rPr>
              <w:t xml:space="preserve">改 、 扩 建            </w:t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18"/>
                <w:szCs w:val="18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b/>
                <w:color w:val="auto"/>
                <w:sz w:val="18"/>
                <w:szCs w:val="18"/>
              </w:rPr>
              <w:t>技 术 改 造</w:t>
            </w: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  <w:t xml:space="preserve">   </w:t>
            </w:r>
          </w:p>
        </w:tc>
        <w:tc>
          <w:tcPr>
            <w:tcW w:w="2743" w:type="dxa"/>
            <w:gridSpan w:val="7"/>
            <w:vMerge w:val="restart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项目申请类别</w:t>
            </w:r>
          </w:p>
        </w:tc>
        <w:tc>
          <w:tcPr>
            <w:tcW w:w="6508" w:type="dxa"/>
            <w:gridSpan w:val="8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sym w:font="Wingdings 2" w:char="0052"/>
            </w: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新报项目                         □不予批准后再次申报项目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□超5年重新申报项目               □变动项目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2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2845" w:type="dxa"/>
            <w:gridSpan w:val="3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现有工程排污许可证编号</w:t>
            </w:r>
          </w:p>
          <w:p>
            <w:pPr>
              <w:spacing w:line="320" w:lineRule="exact"/>
              <w:jc w:val="distribute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（改、扩建项目）</w:t>
            </w:r>
          </w:p>
        </w:tc>
        <w:tc>
          <w:tcPr>
            <w:tcW w:w="7078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2743" w:type="dxa"/>
            <w:gridSpan w:val="7"/>
            <w:vMerge w:val="continue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6508" w:type="dxa"/>
            <w:gridSpan w:val="8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2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2845" w:type="dxa"/>
            <w:gridSpan w:val="3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规划环评开展情况</w:t>
            </w:r>
          </w:p>
        </w:tc>
        <w:tc>
          <w:tcPr>
            <w:tcW w:w="7078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sym w:font="Wingdings 2" w:char="0052"/>
            </w: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不 需 开 展                       □已 开 展 并 通 过 审 查</w:t>
            </w:r>
          </w:p>
        </w:tc>
        <w:tc>
          <w:tcPr>
            <w:tcW w:w="2743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规划环评文件名</w:t>
            </w:r>
          </w:p>
        </w:tc>
        <w:tc>
          <w:tcPr>
            <w:tcW w:w="6508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2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2845" w:type="dxa"/>
            <w:gridSpan w:val="3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规划环评审查机关</w:t>
            </w:r>
          </w:p>
        </w:tc>
        <w:tc>
          <w:tcPr>
            <w:tcW w:w="7078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43" w:type="dxa"/>
            <w:gridSpan w:val="7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规划环评审查意见文号</w:t>
            </w:r>
          </w:p>
        </w:tc>
        <w:tc>
          <w:tcPr>
            <w:tcW w:w="6508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2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2845" w:type="dxa"/>
            <w:gridSpan w:val="3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建设地点中心坐标</w:t>
            </w: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  <w:vertAlign w:val="superscript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（非线性工程）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18"/>
                <w:szCs w:val="18"/>
              </w:rPr>
              <w:t>经度</w:t>
            </w:r>
          </w:p>
        </w:tc>
        <w:tc>
          <w:tcPr>
            <w:tcW w:w="2129" w:type="dxa"/>
            <w:gridSpan w:val="4"/>
            <w:noWrap w:val="0"/>
            <w:vAlign w:val="center"/>
          </w:tcPr>
          <w:p>
            <w:pPr>
              <w:spacing w:line="320" w:lineRule="exact"/>
              <w:ind w:right="270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18"/>
                <w:szCs w:val="18"/>
                <w:lang w:val="en-US" w:eastAsia="zh-CN"/>
              </w:rPr>
              <w:t>121.8396</w:t>
            </w:r>
          </w:p>
        </w:tc>
        <w:tc>
          <w:tcPr>
            <w:tcW w:w="13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18"/>
                <w:szCs w:val="18"/>
              </w:rPr>
              <w:t>纬度</w:t>
            </w:r>
          </w:p>
        </w:tc>
        <w:tc>
          <w:tcPr>
            <w:tcW w:w="220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18"/>
                <w:szCs w:val="18"/>
                <w:lang w:val="en-US" w:eastAsia="zh-CN"/>
              </w:rPr>
              <w:t>31.7345</w:t>
            </w:r>
          </w:p>
        </w:tc>
        <w:tc>
          <w:tcPr>
            <w:tcW w:w="2743" w:type="dxa"/>
            <w:gridSpan w:val="7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环境影响评价文件类别</w:t>
            </w:r>
          </w:p>
        </w:tc>
        <w:tc>
          <w:tcPr>
            <w:tcW w:w="6508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 xml:space="preserve">□环 境 影 响 报 告 书                  </w:t>
            </w: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sym w:font="Wingdings 2" w:char="0052"/>
            </w: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环 境 影 响 报 告 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2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2845" w:type="dxa"/>
            <w:gridSpan w:val="3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建设地点坐标（线性工程）</w:t>
            </w:r>
          </w:p>
        </w:tc>
        <w:tc>
          <w:tcPr>
            <w:tcW w:w="13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起点经度</w:t>
            </w: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35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18"/>
                <w:szCs w:val="18"/>
              </w:rPr>
              <w:t>起点纬度</w:t>
            </w:r>
          </w:p>
        </w:tc>
        <w:tc>
          <w:tcPr>
            <w:tcW w:w="162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18"/>
                <w:szCs w:val="18"/>
              </w:rPr>
              <w:t>终点经度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141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终点纬度</w:t>
            </w:r>
          </w:p>
        </w:tc>
        <w:tc>
          <w:tcPr>
            <w:tcW w:w="178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162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工程长度</w:t>
            </w:r>
          </w:p>
        </w:tc>
        <w:tc>
          <w:tcPr>
            <w:tcW w:w="246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2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45" w:type="dxa"/>
            <w:gridSpan w:val="3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总投资（万元）</w:t>
            </w:r>
          </w:p>
        </w:tc>
        <w:tc>
          <w:tcPr>
            <w:tcW w:w="7078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251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18"/>
                <w:szCs w:val="18"/>
              </w:rPr>
              <w:t>环保投资（万元）</w:t>
            </w:r>
          </w:p>
        </w:tc>
        <w:tc>
          <w:tcPr>
            <w:tcW w:w="331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18"/>
                <w:szCs w:val="18"/>
              </w:rPr>
              <w:t>所占比例（%）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auto"/>
                <w:sz w:val="18"/>
                <w:szCs w:val="1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262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建 设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单 位</w:t>
            </w:r>
          </w:p>
        </w:tc>
        <w:tc>
          <w:tcPr>
            <w:tcW w:w="2845" w:type="dxa"/>
            <w:gridSpan w:val="3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单位名称</w:t>
            </w:r>
          </w:p>
        </w:tc>
        <w:tc>
          <w:tcPr>
            <w:tcW w:w="330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lang w:eastAsia="zh-CN"/>
              </w:rPr>
              <w:t>启东市辰甜金属制品有限公司</w:t>
            </w:r>
          </w:p>
        </w:tc>
        <w:tc>
          <w:tcPr>
            <w:tcW w:w="180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lang w:eastAsia="zh-CN"/>
              </w:rPr>
              <w:t>法人代表</w:t>
            </w:r>
          </w:p>
        </w:tc>
        <w:tc>
          <w:tcPr>
            <w:tcW w:w="197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lang w:eastAsia="zh-CN"/>
              </w:rPr>
              <w:t>陈东</w:t>
            </w:r>
          </w:p>
        </w:tc>
        <w:tc>
          <w:tcPr>
            <w:tcW w:w="625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评 价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单 位</w:t>
            </w: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单位名称</w:t>
            </w:r>
          </w:p>
        </w:tc>
        <w:tc>
          <w:tcPr>
            <w:tcW w:w="3315" w:type="dxa"/>
            <w:gridSpan w:val="5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eastAsia" w:ascii="Times New Roman" w:hAnsi="Times New Roman" w:eastAsia="宋体" w:cs="Times New Roman"/>
                <w:b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/>
                <w:b/>
                <w:sz w:val="18"/>
                <w:szCs w:val="18"/>
                <w:lang w:eastAsia="zh-CN"/>
              </w:rPr>
              <w:t>江苏中气环境科技有限公司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default" w:ascii="Times New Roman" w:hAnsi="Times New Roman" w:eastAsia="宋体" w:cs="Times New Roman"/>
                <w:b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auto"/>
                <w:sz w:val="18"/>
                <w:szCs w:val="18"/>
              </w:rPr>
              <w:t>证书编号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default" w:ascii="Times New Roman" w:hAnsi="Times New Roman" w:eastAsia="宋体" w:cs="Times New Roman"/>
                <w:b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2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28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通   讯   地    址</w:t>
            </w:r>
          </w:p>
        </w:tc>
        <w:tc>
          <w:tcPr>
            <w:tcW w:w="330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lang w:eastAsia="zh-CN"/>
              </w:rPr>
              <w:t>启东市寅阳镇江夏村</w:t>
            </w:r>
          </w:p>
        </w:tc>
        <w:tc>
          <w:tcPr>
            <w:tcW w:w="180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lang w:eastAsia="zh-CN"/>
              </w:rPr>
              <w:t>技术负责人</w:t>
            </w:r>
          </w:p>
        </w:tc>
        <w:tc>
          <w:tcPr>
            <w:tcW w:w="197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18"/>
                <w:szCs w:val="18"/>
                <w:lang w:eastAsia="zh-CN"/>
              </w:rPr>
              <w:t>严军</w:t>
            </w:r>
          </w:p>
        </w:tc>
        <w:tc>
          <w:tcPr>
            <w:tcW w:w="625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通讯地址</w:t>
            </w:r>
          </w:p>
        </w:tc>
        <w:tc>
          <w:tcPr>
            <w:tcW w:w="3315" w:type="dxa"/>
            <w:gridSpan w:val="5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联系电话</w:t>
            </w:r>
          </w:p>
        </w:tc>
        <w:tc>
          <w:tcPr>
            <w:tcW w:w="2071" w:type="dxa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2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284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统一社会信用代码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（组织机构代码）</w:t>
            </w:r>
          </w:p>
        </w:tc>
        <w:tc>
          <w:tcPr>
            <w:tcW w:w="330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18"/>
                <w:szCs w:val="18"/>
                <w:lang w:val="en-US" w:eastAsia="zh-CN"/>
              </w:rPr>
              <w:t>1320681MA1YX7UQ2B</w:t>
            </w:r>
          </w:p>
        </w:tc>
        <w:tc>
          <w:tcPr>
            <w:tcW w:w="180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197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18"/>
                <w:szCs w:val="18"/>
                <w:lang w:val="en-US" w:eastAsia="zh-CN"/>
              </w:rPr>
              <w:t>13002157373</w:t>
            </w:r>
          </w:p>
        </w:tc>
        <w:tc>
          <w:tcPr>
            <w:tcW w:w="625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环评文件项目负责人</w:t>
            </w:r>
          </w:p>
        </w:tc>
        <w:tc>
          <w:tcPr>
            <w:tcW w:w="6736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262" w:type="dxa"/>
            <w:vMerge w:val="restart"/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spacing w:val="20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pacing w:val="20"/>
                <w:sz w:val="18"/>
                <w:szCs w:val="18"/>
              </w:rPr>
              <w:t>污染物排放量</w:t>
            </w:r>
          </w:p>
        </w:tc>
        <w:tc>
          <w:tcPr>
            <w:tcW w:w="2845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污染物</w:t>
            </w:r>
          </w:p>
        </w:tc>
        <w:tc>
          <w:tcPr>
            <w:tcW w:w="3772" w:type="dxa"/>
            <w:gridSpan w:val="6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现有工程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（已建+在建）</w:t>
            </w:r>
          </w:p>
        </w:tc>
        <w:tc>
          <w:tcPr>
            <w:tcW w:w="185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本工程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（拟建或调整变更）</w:t>
            </w:r>
          </w:p>
        </w:tc>
        <w:tc>
          <w:tcPr>
            <w:tcW w:w="7391" w:type="dxa"/>
            <w:gridSpan w:val="1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总体工程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（已建+在建+拟建或调整变更）</w:t>
            </w:r>
          </w:p>
        </w:tc>
        <w:tc>
          <w:tcPr>
            <w:tcW w:w="3307" w:type="dxa"/>
            <w:gridSpan w:val="3"/>
            <w:vMerge w:val="restart"/>
            <w:noWrap w:val="0"/>
            <w:vAlign w:val="center"/>
          </w:tcPr>
          <w:p>
            <w:pPr>
              <w:spacing w:line="260" w:lineRule="exact"/>
              <w:ind w:left="-48" w:leftChars="-20" w:right="-48" w:rightChars="-20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排放方式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62" w:type="dxa"/>
            <w:vMerge w:val="continue"/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textAlignment w:val="top"/>
              <w:rPr>
                <w:rFonts w:hint="default" w:ascii="Times New Roman" w:hAnsi="Times New Roman" w:eastAsia="宋体" w:cs="Times New Roman"/>
                <w:b/>
                <w:spacing w:val="20"/>
                <w:sz w:val="18"/>
                <w:szCs w:val="18"/>
              </w:rPr>
            </w:pPr>
          </w:p>
        </w:tc>
        <w:tc>
          <w:tcPr>
            <w:tcW w:w="2845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186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instrText xml:space="preserve"> = 1 \* GB3 </w:instrText>
            </w: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①</w:t>
            </w: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实际排放量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（吨/年）</w:t>
            </w:r>
          </w:p>
        </w:tc>
        <w:tc>
          <w:tcPr>
            <w:tcW w:w="1904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instrText xml:space="preserve"> = 2 \* GB3 </w:instrText>
            </w: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②</w:t>
            </w: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许可排放量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（吨/年）</w:t>
            </w:r>
          </w:p>
        </w:tc>
        <w:tc>
          <w:tcPr>
            <w:tcW w:w="185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instrText xml:space="preserve"> = 3 \* GB3 </w:instrText>
            </w: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③</w:t>
            </w: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预测排放量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（吨/年）</w:t>
            </w:r>
          </w:p>
        </w:tc>
        <w:tc>
          <w:tcPr>
            <w:tcW w:w="180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instrText xml:space="preserve"> = 4 \* GB3 </w:instrText>
            </w: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④</w:t>
            </w: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“以新带老”削减量（吨/年）</w:t>
            </w: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instrText xml:space="preserve"> = 5 \* GB3 </w:instrText>
            </w: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⑤</w:t>
            </w: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区域平衡替代本工程削减量</w:t>
            </w: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  <w:vertAlign w:val="superscript"/>
              </w:rPr>
              <w:t>4</w:t>
            </w: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（吨/年）</w:t>
            </w:r>
          </w:p>
        </w:tc>
        <w:tc>
          <w:tcPr>
            <w:tcW w:w="188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instrText xml:space="preserve"> = 6 \* GB3 </w:instrText>
            </w: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⑥</w:t>
            </w: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预测排放总量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（吨/年）</w:t>
            </w:r>
          </w:p>
        </w:tc>
        <w:tc>
          <w:tcPr>
            <w:tcW w:w="183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instrText xml:space="preserve"> = 7 \* GB3 </w:instrText>
            </w: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⑦</w:t>
            </w: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fldChar w:fldCharType="end"/>
            </w: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排放增减量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（吨/年）</w:t>
            </w:r>
          </w:p>
        </w:tc>
        <w:tc>
          <w:tcPr>
            <w:tcW w:w="3307" w:type="dxa"/>
            <w:gridSpan w:val="3"/>
            <w:vMerge w:val="continue"/>
            <w:noWrap w:val="0"/>
            <w:vAlign w:val="center"/>
          </w:tcPr>
          <w:p>
            <w:pPr>
              <w:spacing w:line="260" w:lineRule="exact"/>
              <w:ind w:left="-48" w:leftChars="-20" w:right="-48" w:rightChars="-20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" w:hRule="atLeast"/>
          <w:jc w:val="center"/>
        </w:trPr>
        <w:tc>
          <w:tcPr>
            <w:tcW w:w="12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废水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废水量</w:t>
            </w:r>
          </w:p>
        </w:tc>
        <w:tc>
          <w:tcPr>
            <w:tcW w:w="186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904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85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  <w:t>129.6</w:t>
            </w:r>
          </w:p>
        </w:tc>
        <w:tc>
          <w:tcPr>
            <w:tcW w:w="180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88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  <w:t>129.6</w:t>
            </w:r>
          </w:p>
        </w:tc>
        <w:tc>
          <w:tcPr>
            <w:tcW w:w="183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  <w:t>+129.6</w:t>
            </w:r>
          </w:p>
        </w:tc>
        <w:tc>
          <w:tcPr>
            <w:tcW w:w="3307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不排放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□间接排放：</w:t>
            </w: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市政管网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 xml:space="preserve">           </w:t>
            </w: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sym w:font="Wingdings 2" w:char="0052"/>
            </w: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集中式工业污水处理厂</w:t>
            </w: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□直接排放：受纳水体</w:t>
            </w: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" w:hRule="atLeast"/>
          <w:jc w:val="center"/>
        </w:trPr>
        <w:tc>
          <w:tcPr>
            <w:tcW w:w="12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pStyle w:val="10"/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Calibri" w:cs="Times New Roman"/>
                <w:b/>
                <w:kern w:val="0"/>
                <w:sz w:val="18"/>
                <w:szCs w:val="18"/>
                <w:lang w:eastAsia="zh-CN"/>
              </w:rPr>
              <w:t>COD</w:t>
            </w:r>
            <w:r>
              <w:rPr>
                <w:rFonts w:hint="default" w:ascii="Times New Roman" w:hAnsi="Times New Roman" w:eastAsia="Calibri" w:cs="Times New Roman"/>
                <w:b/>
                <w:kern w:val="0"/>
                <w:sz w:val="18"/>
                <w:szCs w:val="18"/>
                <w:vertAlign w:val="subscript"/>
                <w:lang w:eastAsia="zh-CN"/>
              </w:rPr>
              <w:t>Cr</w:t>
            </w:r>
          </w:p>
        </w:tc>
        <w:tc>
          <w:tcPr>
            <w:tcW w:w="186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904" w:type="dxa"/>
            <w:gridSpan w:val="4"/>
            <w:noWrap w:val="0"/>
            <w:vAlign w:val="center"/>
          </w:tcPr>
          <w:p>
            <w:pPr>
              <w:pStyle w:val="10"/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85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  <w:t>0.0454</w:t>
            </w:r>
          </w:p>
        </w:tc>
        <w:tc>
          <w:tcPr>
            <w:tcW w:w="180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88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  <w:t>0.0454</w:t>
            </w:r>
          </w:p>
        </w:tc>
        <w:tc>
          <w:tcPr>
            <w:tcW w:w="183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  <w:t>+0.0454</w:t>
            </w:r>
          </w:p>
        </w:tc>
        <w:tc>
          <w:tcPr>
            <w:tcW w:w="3307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" w:hRule="atLeast"/>
          <w:jc w:val="center"/>
        </w:trPr>
        <w:tc>
          <w:tcPr>
            <w:tcW w:w="12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pStyle w:val="10"/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Calibri" w:cs="Times New Roman"/>
                <w:b/>
                <w:kern w:val="0"/>
                <w:sz w:val="18"/>
                <w:szCs w:val="18"/>
                <w:lang w:eastAsia="zh-CN"/>
              </w:rPr>
              <w:t>SS</w:t>
            </w:r>
          </w:p>
        </w:tc>
        <w:tc>
          <w:tcPr>
            <w:tcW w:w="186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904" w:type="dxa"/>
            <w:gridSpan w:val="4"/>
            <w:noWrap w:val="0"/>
            <w:vAlign w:val="center"/>
          </w:tcPr>
          <w:p>
            <w:pPr>
              <w:pStyle w:val="10"/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85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  <w:t>0.0259</w:t>
            </w:r>
          </w:p>
        </w:tc>
        <w:tc>
          <w:tcPr>
            <w:tcW w:w="180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88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  <w:t>0.0259</w:t>
            </w:r>
          </w:p>
        </w:tc>
        <w:tc>
          <w:tcPr>
            <w:tcW w:w="183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  <w:t>+0.0259</w:t>
            </w:r>
          </w:p>
        </w:tc>
        <w:tc>
          <w:tcPr>
            <w:tcW w:w="3307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" w:hRule="atLeast"/>
          <w:jc w:val="center"/>
        </w:trPr>
        <w:tc>
          <w:tcPr>
            <w:tcW w:w="12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pStyle w:val="10"/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Calibri" w:cs="Times New Roman"/>
                <w:b/>
                <w:kern w:val="0"/>
                <w:sz w:val="18"/>
                <w:szCs w:val="18"/>
                <w:lang w:eastAsia="zh-CN"/>
              </w:rPr>
              <w:t>氨氮</w:t>
            </w:r>
          </w:p>
        </w:tc>
        <w:tc>
          <w:tcPr>
            <w:tcW w:w="186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904" w:type="dxa"/>
            <w:gridSpan w:val="4"/>
            <w:noWrap w:val="0"/>
            <w:vAlign w:val="center"/>
          </w:tcPr>
          <w:p>
            <w:pPr>
              <w:pStyle w:val="10"/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85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  <w:t>0.0039</w:t>
            </w:r>
          </w:p>
        </w:tc>
        <w:tc>
          <w:tcPr>
            <w:tcW w:w="180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88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  <w:t>0.0039</w:t>
            </w:r>
          </w:p>
        </w:tc>
        <w:tc>
          <w:tcPr>
            <w:tcW w:w="183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  <w:t>+0.0039</w:t>
            </w:r>
          </w:p>
        </w:tc>
        <w:tc>
          <w:tcPr>
            <w:tcW w:w="3307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" w:hRule="atLeast"/>
          <w:jc w:val="center"/>
        </w:trPr>
        <w:tc>
          <w:tcPr>
            <w:tcW w:w="12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pStyle w:val="10"/>
              <w:spacing w:line="240" w:lineRule="auto"/>
              <w:ind w:firstLine="0" w:firstLineChars="0"/>
              <w:rPr>
                <w:rFonts w:hint="default" w:ascii="Times New Roman" w:hAnsi="Times New Roman" w:eastAsia="Calibri" w:cs="Times New Roman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Calibri" w:cs="Times New Roman"/>
                <w:b/>
                <w:kern w:val="0"/>
                <w:sz w:val="18"/>
                <w:szCs w:val="18"/>
                <w:lang w:eastAsia="zh-CN"/>
              </w:rPr>
              <w:t>TP</w:t>
            </w:r>
          </w:p>
        </w:tc>
        <w:tc>
          <w:tcPr>
            <w:tcW w:w="186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904" w:type="dxa"/>
            <w:gridSpan w:val="4"/>
            <w:noWrap w:val="0"/>
            <w:vAlign w:val="center"/>
          </w:tcPr>
          <w:p>
            <w:pPr>
              <w:pStyle w:val="10"/>
              <w:spacing w:line="240" w:lineRule="auto"/>
              <w:ind w:firstLine="0" w:firstLineChars="0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85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  <w:t>0.0005</w:t>
            </w:r>
          </w:p>
        </w:tc>
        <w:tc>
          <w:tcPr>
            <w:tcW w:w="180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88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  <w:t>0.0005</w:t>
            </w:r>
          </w:p>
        </w:tc>
        <w:tc>
          <w:tcPr>
            <w:tcW w:w="183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  <w:t>+0.0005</w:t>
            </w:r>
          </w:p>
        </w:tc>
        <w:tc>
          <w:tcPr>
            <w:tcW w:w="3307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" w:hRule="atLeast"/>
          <w:jc w:val="center"/>
        </w:trPr>
        <w:tc>
          <w:tcPr>
            <w:tcW w:w="12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588" w:type="dxa"/>
            <w:vMerge w:val="restart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  <w:t>废气</w:t>
            </w:r>
          </w:p>
        </w:tc>
        <w:tc>
          <w:tcPr>
            <w:tcW w:w="225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  <w:t>废气量</w:t>
            </w:r>
          </w:p>
        </w:tc>
        <w:tc>
          <w:tcPr>
            <w:tcW w:w="186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904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85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80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88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83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3307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" w:hRule="atLeast"/>
          <w:jc w:val="center"/>
        </w:trPr>
        <w:tc>
          <w:tcPr>
            <w:tcW w:w="12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186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904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85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  <w:t>0.0399</w:t>
            </w:r>
          </w:p>
        </w:tc>
        <w:tc>
          <w:tcPr>
            <w:tcW w:w="180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88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  <w:t>0.0399</w:t>
            </w:r>
          </w:p>
        </w:tc>
        <w:tc>
          <w:tcPr>
            <w:tcW w:w="183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  <w:t>+0.0399</w:t>
            </w:r>
          </w:p>
        </w:tc>
        <w:tc>
          <w:tcPr>
            <w:tcW w:w="3307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" w:hRule="atLeast"/>
          <w:jc w:val="center"/>
        </w:trPr>
        <w:tc>
          <w:tcPr>
            <w:tcW w:w="12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  <w:t>SO</w:t>
            </w: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  <w:vertAlign w:val="subscript"/>
                <w:lang w:val="en-US" w:eastAsia="zh-CN"/>
              </w:rPr>
              <w:t>2</w:t>
            </w:r>
          </w:p>
        </w:tc>
        <w:tc>
          <w:tcPr>
            <w:tcW w:w="186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904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85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  <w:t>0.0069</w:t>
            </w:r>
          </w:p>
        </w:tc>
        <w:tc>
          <w:tcPr>
            <w:tcW w:w="180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88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  <w:t>0.0069</w:t>
            </w:r>
          </w:p>
        </w:tc>
        <w:tc>
          <w:tcPr>
            <w:tcW w:w="183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  <w:t>+0.0069</w:t>
            </w:r>
          </w:p>
        </w:tc>
        <w:tc>
          <w:tcPr>
            <w:tcW w:w="3307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" w:hRule="atLeast"/>
          <w:jc w:val="center"/>
        </w:trPr>
        <w:tc>
          <w:tcPr>
            <w:tcW w:w="12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  <w:t>NOx</w:t>
            </w:r>
          </w:p>
        </w:tc>
        <w:tc>
          <w:tcPr>
            <w:tcW w:w="186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904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85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  <w:t>0.0596</w:t>
            </w:r>
          </w:p>
        </w:tc>
        <w:tc>
          <w:tcPr>
            <w:tcW w:w="180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88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  <w:t>0.0596</w:t>
            </w:r>
          </w:p>
        </w:tc>
        <w:tc>
          <w:tcPr>
            <w:tcW w:w="183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  <w:t>+0.0596</w:t>
            </w:r>
          </w:p>
        </w:tc>
        <w:tc>
          <w:tcPr>
            <w:tcW w:w="3307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" w:hRule="atLeast"/>
          <w:jc w:val="center"/>
        </w:trPr>
        <w:tc>
          <w:tcPr>
            <w:tcW w:w="126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</w:p>
        </w:tc>
        <w:tc>
          <w:tcPr>
            <w:tcW w:w="2257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  <w:t>VOCs</w:t>
            </w:r>
          </w:p>
        </w:tc>
        <w:tc>
          <w:tcPr>
            <w:tcW w:w="186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904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85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  <w:t>0.047</w:t>
            </w:r>
          </w:p>
        </w:tc>
        <w:tc>
          <w:tcPr>
            <w:tcW w:w="1807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860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</w:p>
        </w:tc>
        <w:tc>
          <w:tcPr>
            <w:tcW w:w="1889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  <w:t>0.047</w:t>
            </w:r>
          </w:p>
        </w:tc>
        <w:tc>
          <w:tcPr>
            <w:tcW w:w="183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  <w:lang w:val="en-US" w:eastAsia="zh-CN"/>
              </w:rPr>
              <w:t>+0.047</w:t>
            </w:r>
          </w:p>
        </w:tc>
        <w:tc>
          <w:tcPr>
            <w:tcW w:w="3307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sz w:val="18"/>
                <w:szCs w:val="18"/>
              </w:rPr>
            </w:pPr>
          </w:p>
        </w:tc>
      </w:tr>
    </w:tbl>
    <w:p>
      <w:pPr>
        <w:tabs>
          <w:tab w:val="left" w:pos="1575"/>
        </w:tabs>
        <w:spacing w:line="240" w:lineRule="exact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注：1、同级经济部门审批核发的唯一项目代码</w:t>
      </w:r>
    </w:p>
    <w:p>
      <w:pPr>
        <w:tabs>
          <w:tab w:val="left" w:pos="1575"/>
        </w:tabs>
        <w:spacing w:line="240" w:lineRule="exact"/>
        <w:ind w:firstLine="360" w:firstLineChars="200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2、分类依据：国民经济行业分类(GB/T 4754-2011)</w:t>
      </w:r>
    </w:p>
    <w:p>
      <w:pPr>
        <w:tabs>
          <w:tab w:val="left" w:pos="1575"/>
        </w:tabs>
        <w:spacing w:line="240" w:lineRule="exact"/>
        <w:ind w:firstLine="360" w:firstLineChars="200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3、对多点项目仅提供主体工程的中心座标</w:t>
      </w:r>
    </w:p>
    <w:p>
      <w:pPr>
        <w:tabs>
          <w:tab w:val="left" w:pos="1575"/>
        </w:tabs>
        <w:spacing w:line="240" w:lineRule="exact"/>
        <w:ind w:firstLine="360" w:firstLineChars="200"/>
        <w:rPr>
          <w:rFonts w:hint="default" w:ascii="Times New Roman" w:hAnsi="Times New Roman" w:eastAsia="宋体" w:cs="Times New Roman"/>
          <w:sz w:val="18"/>
          <w:szCs w:val="18"/>
        </w:rPr>
      </w:pPr>
      <w:r>
        <w:rPr>
          <w:rFonts w:hint="default" w:ascii="Times New Roman" w:hAnsi="Times New Roman" w:eastAsia="宋体" w:cs="Times New Roman"/>
          <w:sz w:val="18"/>
          <w:szCs w:val="18"/>
        </w:rPr>
        <w:t>4、指该项目所在区域通过“区域平衡”专为本工程替代削减的量</w:t>
      </w:r>
    </w:p>
    <w:p>
      <w:pPr>
        <w:tabs>
          <w:tab w:val="left" w:pos="1575"/>
        </w:tabs>
        <w:spacing w:line="240" w:lineRule="exact"/>
        <w:ind w:firstLine="360" w:firstLineChars="200"/>
      </w:pPr>
      <w:r>
        <w:rPr>
          <w:rFonts w:hint="default" w:ascii="Times New Roman" w:hAnsi="Times New Roman" w:eastAsia="宋体" w:cs="Times New Roman"/>
          <w:sz w:val="18"/>
          <w:szCs w:val="18"/>
        </w:rPr>
        <w:t>5、</w:t>
      </w:r>
      <w:r>
        <w:rPr>
          <w:rFonts w:hint="default" w:ascii="Times New Roman" w:hAnsi="Times New Roman" w:eastAsia="宋体" w:cs="Times New Roman"/>
          <w:sz w:val="18"/>
          <w:szCs w:val="18"/>
        </w:rPr>
        <w:fldChar w:fldCharType="begin"/>
      </w:r>
      <w:r>
        <w:rPr>
          <w:rFonts w:hint="default" w:ascii="Times New Roman" w:hAnsi="Times New Roman" w:eastAsia="宋体" w:cs="Times New Roman"/>
          <w:sz w:val="18"/>
          <w:szCs w:val="18"/>
        </w:rPr>
        <w:instrText xml:space="preserve"> = 7 \* GB3 </w:instrText>
      </w:r>
      <w:r>
        <w:rPr>
          <w:rFonts w:hint="default" w:ascii="Times New Roman" w:hAnsi="Times New Roman" w:eastAsia="宋体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eastAsia="宋体" w:cs="Times New Roman"/>
          <w:sz w:val="18"/>
          <w:szCs w:val="18"/>
        </w:rPr>
        <w:t>⑦</w:t>
      </w:r>
      <w:r>
        <w:rPr>
          <w:rFonts w:hint="default" w:ascii="Times New Roman" w:hAnsi="Times New Roman" w:eastAsia="宋体" w:cs="Times New Roman"/>
          <w:sz w:val="18"/>
          <w:szCs w:val="18"/>
        </w:rPr>
        <w:fldChar w:fldCharType="end"/>
      </w:r>
      <w:r>
        <w:rPr>
          <w:rFonts w:hint="default" w:ascii="Times New Roman" w:hAnsi="Times New Roman" w:eastAsia="宋体" w:cs="Times New Roman"/>
          <w:sz w:val="18"/>
          <w:szCs w:val="18"/>
        </w:rPr>
        <w:t>＝</w:t>
      </w:r>
      <w:r>
        <w:rPr>
          <w:rFonts w:hint="default" w:ascii="Times New Roman" w:hAnsi="Times New Roman" w:eastAsia="宋体" w:cs="Times New Roman"/>
          <w:sz w:val="18"/>
          <w:szCs w:val="18"/>
        </w:rPr>
        <w:fldChar w:fldCharType="begin"/>
      </w:r>
      <w:r>
        <w:rPr>
          <w:rFonts w:hint="default" w:ascii="Times New Roman" w:hAnsi="Times New Roman" w:eastAsia="宋体" w:cs="Times New Roman"/>
          <w:sz w:val="18"/>
          <w:szCs w:val="18"/>
        </w:rPr>
        <w:instrText xml:space="preserve"> = 3 \* GB3 </w:instrText>
      </w:r>
      <w:r>
        <w:rPr>
          <w:rFonts w:hint="default" w:ascii="Times New Roman" w:hAnsi="Times New Roman" w:eastAsia="宋体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eastAsia="宋体" w:cs="Times New Roman"/>
          <w:sz w:val="18"/>
          <w:szCs w:val="18"/>
        </w:rPr>
        <w:t>③</w:t>
      </w:r>
      <w:r>
        <w:rPr>
          <w:rFonts w:hint="default" w:ascii="Times New Roman" w:hAnsi="Times New Roman" w:eastAsia="宋体" w:cs="Times New Roman"/>
          <w:sz w:val="18"/>
          <w:szCs w:val="18"/>
        </w:rPr>
        <w:fldChar w:fldCharType="end"/>
      </w:r>
      <w:r>
        <w:rPr>
          <w:rFonts w:hint="default" w:ascii="Times New Roman" w:hAnsi="Times New Roman" w:eastAsia="宋体" w:cs="Times New Roman"/>
          <w:sz w:val="18"/>
          <w:szCs w:val="18"/>
        </w:rPr>
        <w:t>－</w:t>
      </w:r>
      <w:r>
        <w:rPr>
          <w:rFonts w:hint="default" w:ascii="Times New Roman" w:hAnsi="Times New Roman" w:eastAsia="宋体" w:cs="Times New Roman"/>
          <w:sz w:val="18"/>
          <w:szCs w:val="18"/>
        </w:rPr>
        <w:fldChar w:fldCharType="begin"/>
      </w:r>
      <w:r>
        <w:rPr>
          <w:rFonts w:hint="default" w:ascii="Times New Roman" w:hAnsi="Times New Roman" w:eastAsia="宋体" w:cs="Times New Roman"/>
          <w:sz w:val="18"/>
          <w:szCs w:val="18"/>
        </w:rPr>
        <w:instrText xml:space="preserve"> = 4 \* GB3 </w:instrText>
      </w:r>
      <w:r>
        <w:rPr>
          <w:rFonts w:hint="default" w:ascii="Times New Roman" w:hAnsi="Times New Roman" w:eastAsia="宋体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eastAsia="宋体" w:cs="Times New Roman"/>
          <w:sz w:val="18"/>
          <w:szCs w:val="18"/>
        </w:rPr>
        <w:t>④</w:t>
      </w:r>
      <w:r>
        <w:rPr>
          <w:rFonts w:hint="default" w:ascii="Times New Roman" w:hAnsi="Times New Roman" w:eastAsia="宋体" w:cs="Times New Roman"/>
          <w:sz w:val="18"/>
          <w:szCs w:val="18"/>
        </w:rPr>
        <w:fldChar w:fldCharType="end"/>
      </w:r>
      <w:r>
        <w:rPr>
          <w:rFonts w:hint="default" w:ascii="Times New Roman" w:hAnsi="Times New Roman" w:eastAsia="宋体" w:cs="Times New Roman"/>
          <w:sz w:val="18"/>
          <w:szCs w:val="18"/>
        </w:rPr>
        <w:t>－</w:t>
      </w:r>
      <w:r>
        <w:rPr>
          <w:rFonts w:hint="default" w:ascii="Times New Roman" w:hAnsi="Times New Roman" w:eastAsia="宋体" w:cs="Times New Roman"/>
          <w:sz w:val="18"/>
          <w:szCs w:val="18"/>
        </w:rPr>
        <w:fldChar w:fldCharType="begin"/>
      </w:r>
      <w:r>
        <w:rPr>
          <w:rFonts w:hint="default" w:ascii="Times New Roman" w:hAnsi="Times New Roman" w:eastAsia="宋体" w:cs="Times New Roman"/>
          <w:sz w:val="18"/>
          <w:szCs w:val="18"/>
        </w:rPr>
        <w:instrText xml:space="preserve"> = 5 \* GB3 </w:instrText>
      </w:r>
      <w:r>
        <w:rPr>
          <w:rFonts w:hint="default" w:ascii="Times New Roman" w:hAnsi="Times New Roman" w:eastAsia="宋体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eastAsia="宋体" w:cs="Times New Roman"/>
          <w:sz w:val="18"/>
          <w:szCs w:val="18"/>
        </w:rPr>
        <w:t>⑤</w:t>
      </w:r>
      <w:r>
        <w:rPr>
          <w:rFonts w:hint="default" w:ascii="Times New Roman" w:hAnsi="Times New Roman" w:eastAsia="宋体" w:cs="Times New Roman"/>
          <w:sz w:val="18"/>
          <w:szCs w:val="18"/>
        </w:rPr>
        <w:fldChar w:fldCharType="end"/>
      </w:r>
      <w:r>
        <w:rPr>
          <w:rFonts w:hint="default" w:ascii="Times New Roman" w:hAnsi="Times New Roman" w:eastAsia="宋体" w:cs="Times New Roman"/>
          <w:sz w:val="18"/>
          <w:szCs w:val="18"/>
        </w:rPr>
        <w:t>，</w:t>
      </w:r>
      <w:r>
        <w:rPr>
          <w:rFonts w:hint="default" w:ascii="Times New Roman" w:hAnsi="Times New Roman" w:eastAsia="宋体" w:cs="Times New Roman"/>
          <w:sz w:val="18"/>
          <w:szCs w:val="18"/>
        </w:rPr>
        <w:fldChar w:fldCharType="begin"/>
      </w:r>
      <w:r>
        <w:rPr>
          <w:rFonts w:hint="default" w:ascii="Times New Roman" w:hAnsi="Times New Roman" w:eastAsia="宋体" w:cs="Times New Roman"/>
          <w:sz w:val="18"/>
          <w:szCs w:val="18"/>
        </w:rPr>
        <w:instrText xml:space="preserve"> = 6 \* GB3 </w:instrText>
      </w:r>
      <w:r>
        <w:rPr>
          <w:rFonts w:hint="default" w:ascii="Times New Roman" w:hAnsi="Times New Roman" w:eastAsia="宋体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eastAsia="宋体" w:cs="Times New Roman"/>
          <w:sz w:val="18"/>
          <w:szCs w:val="18"/>
        </w:rPr>
        <w:t>⑥</w:t>
      </w:r>
      <w:r>
        <w:rPr>
          <w:rFonts w:hint="default" w:ascii="Times New Roman" w:hAnsi="Times New Roman" w:eastAsia="宋体" w:cs="Times New Roman"/>
          <w:sz w:val="18"/>
          <w:szCs w:val="18"/>
        </w:rPr>
        <w:fldChar w:fldCharType="end"/>
      </w:r>
      <w:r>
        <w:rPr>
          <w:rFonts w:hint="default" w:ascii="Times New Roman" w:hAnsi="Times New Roman" w:eastAsia="宋体" w:cs="Times New Roman"/>
          <w:sz w:val="18"/>
          <w:szCs w:val="18"/>
        </w:rPr>
        <w:t>＝</w:t>
      </w:r>
      <w:r>
        <w:rPr>
          <w:rFonts w:hint="default" w:ascii="Times New Roman" w:hAnsi="Times New Roman" w:eastAsia="宋体" w:cs="Times New Roman"/>
          <w:sz w:val="18"/>
          <w:szCs w:val="18"/>
        </w:rPr>
        <w:fldChar w:fldCharType="begin"/>
      </w:r>
      <w:r>
        <w:rPr>
          <w:rFonts w:hint="default" w:ascii="Times New Roman" w:hAnsi="Times New Roman" w:eastAsia="宋体" w:cs="Times New Roman"/>
          <w:sz w:val="18"/>
          <w:szCs w:val="18"/>
        </w:rPr>
        <w:instrText xml:space="preserve"> = 2 \* GB3 </w:instrText>
      </w:r>
      <w:r>
        <w:rPr>
          <w:rFonts w:hint="default" w:ascii="Times New Roman" w:hAnsi="Times New Roman" w:eastAsia="宋体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eastAsia="宋体" w:cs="Times New Roman"/>
          <w:sz w:val="18"/>
          <w:szCs w:val="18"/>
        </w:rPr>
        <w:t>②</w:t>
      </w:r>
      <w:r>
        <w:rPr>
          <w:rFonts w:hint="default" w:ascii="Times New Roman" w:hAnsi="Times New Roman" w:eastAsia="宋体" w:cs="Times New Roman"/>
          <w:sz w:val="18"/>
          <w:szCs w:val="18"/>
        </w:rPr>
        <w:fldChar w:fldCharType="end"/>
      </w:r>
      <w:r>
        <w:rPr>
          <w:rFonts w:hint="default" w:ascii="Times New Roman" w:hAnsi="Times New Roman" w:eastAsia="宋体" w:cs="Times New Roman"/>
          <w:sz w:val="18"/>
          <w:szCs w:val="18"/>
        </w:rPr>
        <w:t>－</w:t>
      </w:r>
      <w:r>
        <w:rPr>
          <w:rFonts w:hint="default" w:ascii="Times New Roman" w:hAnsi="Times New Roman" w:eastAsia="宋体" w:cs="Times New Roman"/>
          <w:sz w:val="18"/>
          <w:szCs w:val="18"/>
        </w:rPr>
        <w:fldChar w:fldCharType="begin"/>
      </w:r>
      <w:r>
        <w:rPr>
          <w:rFonts w:hint="default" w:ascii="Times New Roman" w:hAnsi="Times New Roman" w:eastAsia="宋体" w:cs="Times New Roman"/>
          <w:sz w:val="18"/>
          <w:szCs w:val="18"/>
        </w:rPr>
        <w:instrText xml:space="preserve"> = 4 \* GB3 </w:instrText>
      </w:r>
      <w:r>
        <w:rPr>
          <w:rFonts w:hint="default" w:ascii="Times New Roman" w:hAnsi="Times New Roman" w:eastAsia="宋体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eastAsia="宋体" w:cs="Times New Roman"/>
          <w:sz w:val="18"/>
          <w:szCs w:val="18"/>
        </w:rPr>
        <w:t>④</w:t>
      </w:r>
      <w:r>
        <w:rPr>
          <w:rFonts w:hint="default" w:ascii="Times New Roman" w:hAnsi="Times New Roman" w:eastAsia="宋体" w:cs="Times New Roman"/>
          <w:sz w:val="18"/>
          <w:szCs w:val="18"/>
        </w:rPr>
        <w:fldChar w:fldCharType="end"/>
      </w:r>
      <w:r>
        <w:rPr>
          <w:rFonts w:hint="default" w:ascii="Times New Roman" w:hAnsi="Times New Roman" w:eastAsia="宋体" w:cs="Times New Roman"/>
          <w:sz w:val="18"/>
          <w:szCs w:val="18"/>
        </w:rPr>
        <w:t>＋</w:t>
      </w:r>
      <w:r>
        <w:rPr>
          <w:rFonts w:hint="default" w:ascii="Times New Roman" w:hAnsi="Times New Roman" w:eastAsia="宋体" w:cs="Times New Roman"/>
          <w:sz w:val="18"/>
          <w:szCs w:val="18"/>
        </w:rPr>
        <w:fldChar w:fldCharType="begin"/>
      </w:r>
      <w:r>
        <w:rPr>
          <w:rFonts w:hint="default" w:ascii="Times New Roman" w:hAnsi="Times New Roman" w:eastAsia="宋体" w:cs="Times New Roman"/>
          <w:sz w:val="18"/>
          <w:szCs w:val="18"/>
        </w:rPr>
        <w:instrText xml:space="preserve"> = 3 \* GB3 </w:instrText>
      </w:r>
      <w:r>
        <w:rPr>
          <w:rFonts w:hint="default" w:ascii="Times New Roman" w:hAnsi="Times New Roman" w:eastAsia="宋体" w:cs="Times New Roman"/>
          <w:sz w:val="18"/>
          <w:szCs w:val="18"/>
        </w:rPr>
        <w:fldChar w:fldCharType="separate"/>
      </w:r>
      <w:r>
        <w:rPr>
          <w:rFonts w:hint="default" w:ascii="Times New Roman" w:hAnsi="Times New Roman" w:eastAsia="宋体" w:cs="Times New Roman"/>
          <w:sz w:val="18"/>
          <w:szCs w:val="18"/>
        </w:rPr>
        <w:t>③</w:t>
      </w:r>
      <w:r>
        <w:rPr>
          <w:rFonts w:hint="default" w:ascii="Times New Roman" w:hAnsi="Times New Roman" w:eastAsia="宋体" w:cs="Times New Roman"/>
          <w:sz w:val="18"/>
          <w:szCs w:val="18"/>
        </w:rPr>
        <w:fldChar w:fldCharType="end"/>
      </w:r>
    </w:p>
    <w:tbl>
      <w:tblPr>
        <w:tblStyle w:val="6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3054"/>
        <w:gridCol w:w="1339"/>
        <w:gridCol w:w="3213"/>
        <w:gridCol w:w="2072"/>
        <w:gridCol w:w="2967"/>
        <w:gridCol w:w="1443"/>
        <w:gridCol w:w="1218"/>
        <w:gridCol w:w="331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811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textAlignment w:val="top"/>
              <w:rPr>
                <w:rFonts w:hint="eastAsia" w:ascii="黑体" w:eastAsia="黑体"/>
                <w:b/>
                <w:spacing w:val="20"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pacing w:val="20"/>
                <w:sz w:val="18"/>
                <w:szCs w:val="18"/>
              </w:rPr>
              <w:t>项目涉及保护区与风景名胜区的情况</w:t>
            </w:r>
          </w:p>
        </w:tc>
        <w:tc>
          <w:tcPr>
            <w:tcW w:w="3054" w:type="dxa"/>
            <w:tcBorders>
              <w:tl2br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textAlignment w:val="top"/>
              <w:rPr>
                <w:rFonts w:hint="eastAsia" w:ascii="黑体" w:eastAsia="黑体"/>
                <w:b/>
                <w:spacing w:val="20"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pacing w:val="20"/>
                <w:sz w:val="18"/>
                <w:szCs w:val="18"/>
              </w:rPr>
              <w:t>影响及主要措施</w:t>
            </w:r>
          </w:p>
          <w:p>
            <w:pPr>
              <w:widowControl/>
              <w:spacing w:line="320" w:lineRule="exact"/>
              <w:ind w:left="113" w:right="113"/>
              <w:jc w:val="center"/>
              <w:textAlignment w:val="top"/>
              <w:rPr>
                <w:rFonts w:hint="eastAsia" w:ascii="黑体" w:eastAsia="黑体"/>
                <w:b/>
                <w:spacing w:val="2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ind w:left="113" w:right="113"/>
              <w:jc w:val="center"/>
              <w:textAlignment w:val="top"/>
              <w:rPr>
                <w:rFonts w:hint="eastAsia" w:ascii="黑体" w:eastAsia="黑体"/>
                <w:b/>
                <w:spacing w:val="20"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pacing w:val="20"/>
                <w:sz w:val="18"/>
                <w:szCs w:val="18"/>
              </w:rPr>
              <w:t>生态保护目标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textAlignment w:val="top"/>
              <w:rPr>
                <w:rFonts w:hint="eastAsia" w:ascii="黑体" w:eastAsia="黑体"/>
                <w:b/>
                <w:spacing w:val="20"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pacing w:val="20"/>
                <w:sz w:val="18"/>
                <w:szCs w:val="18"/>
              </w:rPr>
              <w:t>名称</w:t>
            </w:r>
          </w:p>
        </w:tc>
        <w:tc>
          <w:tcPr>
            <w:tcW w:w="3213" w:type="dxa"/>
            <w:noWrap w:val="0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textAlignment w:val="top"/>
              <w:rPr>
                <w:rFonts w:hint="eastAsia" w:ascii="黑体" w:eastAsia="黑体"/>
                <w:b/>
                <w:spacing w:val="20"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pacing w:val="20"/>
                <w:sz w:val="18"/>
                <w:szCs w:val="18"/>
              </w:rPr>
              <w:t>级别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textAlignment w:val="top"/>
              <w:rPr>
                <w:rFonts w:hint="eastAsia" w:ascii="黑体" w:eastAsia="黑体"/>
                <w:b/>
                <w:spacing w:val="20"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pacing w:val="20"/>
                <w:sz w:val="18"/>
                <w:szCs w:val="18"/>
              </w:rPr>
              <w:t>主要保护对象（目标）</w:t>
            </w:r>
          </w:p>
        </w:tc>
        <w:tc>
          <w:tcPr>
            <w:tcW w:w="2967" w:type="dxa"/>
            <w:noWrap w:val="0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textAlignment w:val="top"/>
              <w:rPr>
                <w:rFonts w:hint="eastAsia" w:ascii="黑体" w:eastAsia="黑体"/>
                <w:b/>
                <w:spacing w:val="20"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pacing w:val="20"/>
                <w:sz w:val="18"/>
                <w:szCs w:val="18"/>
              </w:rPr>
              <w:t>工程影响情况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textAlignment w:val="top"/>
              <w:rPr>
                <w:rFonts w:hint="eastAsia" w:ascii="黑体" w:eastAsia="黑体"/>
                <w:b/>
                <w:spacing w:val="20"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pacing w:val="20"/>
                <w:sz w:val="18"/>
                <w:szCs w:val="18"/>
              </w:rPr>
              <w:t>是否占用</w:t>
            </w:r>
          </w:p>
        </w:tc>
        <w:tc>
          <w:tcPr>
            <w:tcW w:w="12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textAlignment w:val="top"/>
              <w:rPr>
                <w:rFonts w:hint="eastAsia" w:ascii="黑体" w:eastAsia="黑体"/>
                <w:b/>
                <w:spacing w:val="20"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pacing w:val="20"/>
                <w:sz w:val="18"/>
                <w:szCs w:val="18"/>
              </w:rPr>
              <w:t>占用面积（hm2）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textAlignment w:val="top"/>
              <w:rPr>
                <w:rFonts w:hint="eastAsia" w:ascii="黑体" w:eastAsia="黑体"/>
                <w:b/>
                <w:spacing w:val="20"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pacing w:val="20"/>
                <w:sz w:val="18"/>
                <w:szCs w:val="18"/>
              </w:rPr>
              <w:t>生态防护措施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" w:hRule="atLeast"/>
          <w:jc w:val="center"/>
        </w:trPr>
        <w:tc>
          <w:tcPr>
            <w:tcW w:w="1811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ind w:left="113" w:right="113"/>
              <w:jc w:val="center"/>
              <w:textAlignment w:val="top"/>
              <w:rPr>
                <w:rFonts w:hint="eastAsia" w:ascii="黑体" w:eastAsia="黑体"/>
                <w:b/>
                <w:spacing w:val="20"/>
                <w:sz w:val="18"/>
                <w:szCs w:val="18"/>
              </w:rPr>
            </w:pPr>
          </w:p>
        </w:tc>
        <w:tc>
          <w:tcPr>
            <w:tcW w:w="3054" w:type="dxa"/>
            <w:noWrap w:val="0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textAlignment w:val="top"/>
              <w:rPr>
                <w:rFonts w:hint="eastAsia" w:ascii="黑体" w:eastAsia="黑体"/>
                <w:b/>
                <w:spacing w:val="20"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pacing w:val="20"/>
                <w:sz w:val="18"/>
                <w:szCs w:val="18"/>
              </w:rPr>
              <w:t>自然保护区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/</w:t>
            </w:r>
          </w:p>
        </w:tc>
        <w:tc>
          <w:tcPr>
            <w:tcW w:w="32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国家级、省级、市级、县级（下拉）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/</w:t>
            </w:r>
          </w:p>
        </w:tc>
        <w:tc>
          <w:tcPr>
            <w:tcW w:w="29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核心区、缓冲区、实验区（下拉式）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是、否（下拉）</w:t>
            </w:r>
          </w:p>
        </w:tc>
        <w:tc>
          <w:tcPr>
            <w:tcW w:w="12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/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避让、减缓、补偿、重建（下拉多选）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  <w:jc w:val="center"/>
        </w:trPr>
        <w:tc>
          <w:tcPr>
            <w:tcW w:w="1811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ind w:left="113" w:right="113"/>
              <w:jc w:val="center"/>
              <w:textAlignment w:val="top"/>
              <w:rPr>
                <w:rFonts w:hint="eastAsia" w:ascii="黑体" w:eastAsia="黑体"/>
                <w:b/>
                <w:spacing w:val="20"/>
                <w:sz w:val="18"/>
                <w:szCs w:val="18"/>
              </w:rPr>
            </w:pPr>
          </w:p>
        </w:tc>
        <w:tc>
          <w:tcPr>
            <w:tcW w:w="3054" w:type="dxa"/>
            <w:noWrap w:val="0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textAlignment w:val="top"/>
              <w:rPr>
                <w:rFonts w:hint="eastAsia" w:ascii="黑体" w:eastAsia="黑体"/>
                <w:b/>
                <w:spacing w:val="20"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pacing w:val="20"/>
                <w:sz w:val="18"/>
                <w:szCs w:val="18"/>
              </w:rPr>
              <w:t>饮用水水源保护区（地表）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/</w:t>
            </w:r>
          </w:p>
        </w:tc>
        <w:tc>
          <w:tcPr>
            <w:tcW w:w="32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国家级、省级、市级、县级（下拉）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/</w:t>
            </w:r>
          </w:p>
        </w:tc>
        <w:tc>
          <w:tcPr>
            <w:tcW w:w="29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一级保护区、二级保护区、准保护区（下拉式）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是、否（下拉）</w:t>
            </w:r>
          </w:p>
        </w:tc>
        <w:tc>
          <w:tcPr>
            <w:tcW w:w="12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/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避让、减缓、补偿、重建（下拉多选）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  <w:jc w:val="center"/>
        </w:trPr>
        <w:tc>
          <w:tcPr>
            <w:tcW w:w="1811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ind w:left="113" w:right="113"/>
              <w:jc w:val="center"/>
              <w:textAlignment w:val="top"/>
              <w:rPr>
                <w:rFonts w:hint="eastAsia" w:ascii="黑体" w:eastAsia="黑体"/>
                <w:b/>
                <w:spacing w:val="20"/>
                <w:sz w:val="18"/>
                <w:szCs w:val="18"/>
              </w:rPr>
            </w:pPr>
          </w:p>
        </w:tc>
        <w:tc>
          <w:tcPr>
            <w:tcW w:w="3054" w:type="dxa"/>
            <w:noWrap w:val="0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textAlignment w:val="top"/>
              <w:rPr>
                <w:rFonts w:hint="eastAsia" w:ascii="黑体" w:eastAsia="黑体"/>
                <w:b/>
                <w:spacing w:val="20"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pacing w:val="20"/>
                <w:sz w:val="18"/>
                <w:szCs w:val="18"/>
              </w:rPr>
              <w:t>饮用水水源保护区（地下）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/</w:t>
            </w:r>
          </w:p>
        </w:tc>
        <w:tc>
          <w:tcPr>
            <w:tcW w:w="32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国家级、省级、市级、县级（下拉）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/</w:t>
            </w:r>
          </w:p>
        </w:tc>
        <w:tc>
          <w:tcPr>
            <w:tcW w:w="29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一级保护区、二级保护区、准保护区（下拉式）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是、否（下拉）</w:t>
            </w:r>
          </w:p>
        </w:tc>
        <w:tc>
          <w:tcPr>
            <w:tcW w:w="12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/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避让、减缓、补偿、重建（下拉多选）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" w:hRule="atLeast"/>
          <w:jc w:val="center"/>
        </w:trPr>
        <w:tc>
          <w:tcPr>
            <w:tcW w:w="1811" w:type="dxa"/>
            <w:vMerge w:val="continue"/>
            <w:noWrap w:val="0"/>
            <w:vAlign w:val="top"/>
          </w:tcPr>
          <w:p>
            <w:pPr>
              <w:widowControl/>
              <w:spacing w:line="320" w:lineRule="exact"/>
              <w:ind w:left="113" w:right="113"/>
              <w:jc w:val="center"/>
              <w:textAlignment w:val="top"/>
              <w:rPr>
                <w:rFonts w:hint="eastAsia" w:ascii="黑体" w:eastAsia="黑体"/>
                <w:b/>
                <w:spacing w:val="20"/>
                <w:sz w:val="18"/>
                <w:szCs w:val="18"/>
              </w:rPr>
            </w:pPr>
          </w:p>
        </w:tc>
        <w:tc>
          <w:tcPr>
            <w:tcW w:w="3054" w:type="dxa"/>
            <w:noWrap w:val="0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textAlignment w:val="top"/>
              <w:rPr>
                <w:rFonts w:hint="eastAsia" w:ascii="黑体" w:eastAsia="黑体"/>
                <w:b/>
                <w:spacing w:val="20"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pacing w:val="20"/>
                <w:sz w:val="18"/>
                <w:szCs w:val="18"/>
              </w:rPr>
              <w:t>风景名胜区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/</w:t>
            </w:r>
          </w:p>
        </w:tc>
        <w:tc>
          <w:tcPr>
            <w:tcW w:w="32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国家级、省级、市级、县级（下拉）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/</w:t>
            </w:r>
          </w:p>
        </w:tc>
        <w:tc>
          <w:tcPr>
            <w:tcW w:w="29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核心景区、其他景区（下拉式）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是、否（下拉）</w:t>
            </w:r>
          </w:p>
        </w:tc>
        <w:tc>
          <w:tcPr>
            <w:tcW w:w="12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/</w:t>
            </w:r>
          </w:p>
        </w:tc>
        <w:tc>
          <w:tcPr>
            <w:tcW w:w="33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避让、减缓、补偿、重建（下拉多选）</w:t>
            </w:r>
          </w:p>
        </w:tc>
      </w:tr>
    </w:tbl>
    <w:p>
      <w:bookmarkStart w:id="0" w:name="_GoBack"/>
      <w:bookmarkEnd w:id="0"/>
    </w:p>
    <w:p/>
    <w:sectPr>
      <w:pgSz w:w="23757" w:h="16783" w:orient="landscape"/>
      <w:pgMar w:top="283" w:right="1440" w:bottom="283" w:left="1440" w:header="720" w:footer="737" w:gutter="454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35013"/>
    <w:multiLevelType w:val="multilevel"/>
    <w:tmpl w:val="73235013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0" w:firstLine="0"/>
      </w:pPr>
      <w:rPr>
        <w:rFonts w:hint="eastAsia" w:ascii="仿宋_GB2312" w:eastAsia="仿宋_GB2312"/>
        <w:b/>
        <w:i w:val="0"/>
        <w:sz w:val="32"/>
      </w:rPr>
    </w:lvl>
    <w:lvl w:ilvl="1" w:tentative="0">
      <w:start w:val="1"/>
      <w:numFmt w:val="decimal"/>
      <w:lvlText w:val="%1.%2."/>
      <w:lvlJc w:val="left"/>
      <w:pPr>
        <w:tabs>
          <w:tab w:val="left" w:pos="720"/>
        </w:tabs>
        <w:ind w:left="0" w:firstLine="0"/>
      </w:pPr>
      <w:rPr>
        <w:rFonts w:hint="eastAsia" w:ascii="仿宋_GB2312" w:eastAsia="仿宋_GB2312"/>
        <w:b/>
        <w:i w:val="0"/>
        <w:sz w:val="30"/>
      </w:rPr>
    </w:lvl>
    <w:lvl w:ilvl="2" w:tentative="0">
      <w:start w:val="1"/>
      <w:numFmt w:val="decimal"/>
      <w:pStyle w:val="2"/>
      <w:lvlText w:val="%1.%2.%3."/>
      <w:lvlJc w:val="left"/>
      <w:pPr>
        <w:tabs>
          <w:tab w:val="left" w:pos="1080"/>
        </w:tabs>
        <w:ind w:left="0" w:firstLine="0"/>
      </w:pPr>
      <w:rPr>
        <w:rFonts w:hint="eastAsia" w:ascii="仿宋_GB2312" w:eastAsia="仿宋_GB2312"/>
        <w:b w:val="0"/>
        <w:i w:val="0"/>
        <w:sz w:val="28"/>
      </w:rPr>
    </w:lvl>
    <w:lvl w:ilvl="3" w:tentative="0">
      <w:start w:val="1"/>
      <w:numFmt w:val="decimal"/>
      <w:lvlText w:val="%1.%2.%3.%4."/>
      <w:lvlJc w:val="left"/>
      <w:pPr>
        <w:tabs>
          <w:tab w:val="left" w:pos="1440"/>
        </w:tabs>
        <w:ind w:left="0" w:firstLine="0"/>
      </w:pPr>
      <w:rPr>
        <w:rFonts w:hint="eastAsia" w:ascii="仿宋_GB2312" w:eastAsia="仿宋_GB2312"/>
        <w:b w:val="0"/>
        <w:i w:val="0"/>
        <w:sz w:val="28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35D14"/>
    <w:rsid w:val="08E25683"/>
    <w:rsid w:val="0A7B24F9"/>
    <w:rsid w:val="0CDF3DF9"/>
    <w:rsid w:val="0FB01FF8"/>
    <w:rsid w:val="10E36C6C"/>
    <w:rsid w:val="15F02ABB"/>
    <w:rsid w:val="1A306098"/>
    <w:rsid w:val="1F614971"/>
    <w:rsid w:val="24BE3D0B"/>
    <w:rsid w:val="24DA4D62"/>
    <w:rsid w:val="27C86F3C"/>
    <w:rsid w:val="27DC2761"/>
    <w:rsid w:val="28903269"/>
    <w:rsid w:val="30E12806"/>
    <w:rsid w:val="342E6240"/>
    <w:rsid w:val="364F3C23"/>
    <w:rsid w:val="375D4A67"/>
    <w:rsid w:val="42305852"/>
    <w:rsid w:val="45422C1D"/>
    <w:rsid w:val="466329F8"/>
    <w:rsid w:val="47D80CE9"/>
    <w:rsid w:val="4C235A13"/>
    <w:rsid w:val="4CDE4C45"/>
    <w:rsid w:val="57BF7B28"/>
    <w:rsid w:val="5B732F61"/>
    <w:rsid w:val="5BB36064"/>
    <w:rsid w:val="5CAE1DC8"/>
    <w:rsid w:val="5E6B4AD0"/>
    <w:rsid w:val="69B8310D"/>
    <w:rsid w:val="6A493527"/>
    <w:rsid w:val="715310B5"/>
    <w:rsid w:val="77AD271B"/>
    <w:rsid w:val="7856613C"/>
    <w:rsid w:val="7A225F63"/>
    <w:rsid w:val="7B313BCA"/>
    <w:rsid w:val="7B384351"/>
    <w:rsid w:val="7DB930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eastAsia="仿宋_GB2312" w:asciiTheme="minorHAnsi" w:hAnsiTheme="minorHAnsi" w:cstheme="minorBidi"/>
      <w:sz w:val="24"/>
      <w:szCs w:val="22"/>
      <w:lang w:val="en-US" w:eastAsia="zh-CN" w:bidi="ar-SA"/>
    </w:rPr>
  </w:style>
  <w:style w:type="paragraph" w:styleId="2">
    <w:name w:val="heading 3"/>
    <w:basedOn w:val="1"/>
    <w:next w:val="3"/>
    <w:unhideWhenUsed/>
    <w:qFormat/>
    <w:uiPriority w:val="0"/>
    <w:pPr>
      <w:keepNext/>
      <w:keepLines/>
      <w:widowControl w:val="0"/>
      <w:numPr>
        <w:ilvl w:val="2"/>
        <w:numId w:val="1"/>
      </w:numPr>
      <w:tabs>
        <w:tab w:val="left" w:pos="360"/>
        <w:tab w:val="clear" w:pos="1080"/>
      </w:tabs>
      <w:adjustRightInd w:val="0"/>
      <w:snapToGrid w:val="0"/>
      <w:spacing w:before="50" w:beforeLines="50" w:after="50" w:afterLines="50" w:line="300" w:lineRule="auto"/>
      <w:jc w:val="both"/>
      <w:outlineLvl w:val="2"/>
    </w:pPr>
    <w:rPr>
      <w:rFonts w:ascii="仿宋_GB2312"/>
      <w:bCs/>
      <w:kern w:val="2"/>
      <w:sz w:val="28"/>
      <w:szCs w:val="32"/>
    </w:rPr>
  </w:style>
  <w:style w:type="character" w:default="1" w:styleId="7">
    <w:name w:val="Default Paragraph Font"/>
    <w:link w:val="8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widowControl w:val="0"/>
      <w:overflowPunct w:val="0"/>
      <w:autoSpaceDE w:val="0"/>
      <w:adjustRightInd w:val="0"/>
      <w:snapToGrid w:val="0"/>
      <w:spacing w:line="480" w:lineRule="exact"/>
      <w:ind w:firstLine="560" w:firstLineChars="200"/>
      <w:jc w:val="both"/>
    </w:pPr>
    <w:rPr>
      <w:bCs/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index 1"/>
    <w:basedOn w:val="1"/>
    <w:next w:val="1"/>
    <w:semiHidden/>
    <w:qFormat/>
    <w:uiPriority w:val="0"/>
    <w:pPr>
      <w:spacing w:line="360" w:lineRule="exact"/>
      <w:jc w:val="center"/>
    </w:pPr>
    <w:rPr>
      <w:rFonts w:eastAsia="宋体"/>
      <w:sz w:val="21"/>
    </w:rPr>
  </w:style>
  <w:style w:type="paragraph" w:customStyle="1" w:styleId="8">
    <w:name w:val="_Style 33"/>
    <w:basedOn w:val="1"/>
    <w:link w:val="7"/>
    <w:qFormat/>
    <w:uiPriority w:val="0"/>
    <w:pPr>
      <w:widowControl w:val="0"/>
      <w:jc w:val="both"/>
    </w:pPr>
  </w:style>
  <w:style w:type="character" w:styleId="9">
    <w:name w:val="page number"/>
    <w:basedOn w:val="7"/>
    <w:qFormat/>
    <w:uiPriority w:val="0"/>
  </w:style>
  <w:style w:type="paragraph" w:customStyle="1" w:styleId="10">
    <w:name w:val="表格文字"/>
    <w:basedOn w:val="1"/>
    <w:qFormat/>
    <w:uiPriority w:val="0"/>
    <w:pPr>
      <w:widowControl w:val="0"/>
      <w:adjustRightInd w:val="0"/>
      <w:snapToGrid w:val="0"/>
      <w:jc w:val="center"/>
    </w:pPr>
    <w:rPr>
      <w:rFonts w:ascii="仿宋_GB2312" w:hAnsi="Arial Black"/>
      <w:kern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4+1</cp:lastModifiedBy>
  <dcterms:modified xsi:type="dcterms:W3CDTF">2019-12-23T07:41:00Z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