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both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海工园（寅阳镇）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突发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网络舆情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与信息安全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应急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处置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预案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突发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，最大限度地避免、减少和消除因网络舆情造成的各种负面影响，营造良好的舆论环境，根据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园区（镇）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1、准确把握、快速反应。网络舆情事件发生后，力争在第一时间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报告上级部门，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发布准确、权威信息，稳定公众情绪，最大限度地避免或减少公众猜测和新闻媒体的不准确报道，掌握新闻舆论的主动权。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、讲究方法、提高效能。坚持网络舆情突发事件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与新闻发布同时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、同时落实，新闻发布依托主流强势媒体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舆情突发事件的各部门密切配合新闻发布工作等行之有效的做法，确保以最短的时间、最快的速度，发布最新消息，正确引导舆论。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68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、严格制度、明确职责。加强组织协调和归口管理，健全制度，明确责任，严明纪律，严格奖惩。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与信息安全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联席会议领导小组，</w:t>
      </w:r>
      <w:r>
        <w:rPr>
          <w:rFonts w:hint="eastAsia" w:ascii="仿宋_GB2312" w:hAnsi="宋体" w:eastAsia="仿宋_GB2312"/>
          <w:sz w:val="30"/>
          <w:szCs w:val="30"/>
        </w:rPr>
        <w:t>园区党工委委员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梁松波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小组成员为指定宣传干事。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三、应对机制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发现网络舆情第一时间报告上级部门，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根据网络舆情的发生发展启动应急预案。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2、对网络舆情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过程中出现的新情况、新问题及时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，提出解决方案及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措施，确定相关部门进行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3、依纪依法对当事人、责任人、责任单位提出处理和责任追究意见建议，并按有关程序移交相关部门处理。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工作小组</w:t>
      </w:r>
      <w:r>
        <w:rPr>
          <w:rFonts w:hint="eastAsia" w:ascii="仿宋_GB2312" w:hAnsi="仿宋_GB2312" w:eastAsia="仿宋_GB2312" w:cs="仿宋_GB2312"/>
          <w:sz w:val="32"/>
          <w:szCs w:val="32"/>
        </w:rPr>
        <w:t>要做好舆情突发事件的全程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工作的文字材料、声音、影像的记录和保存保管工作。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、落实上级领导交办的其他事项。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四、严格责任和追究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要建立舆情应对工作责任制，明确责任领导，明确责任人员，完善登记制度，严格责任追究。对在舆情突发事件应急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工作中做出突出贡献的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或个人，要给予表彰奖励；对因工作不力、责任心不强，网络监控出现遗漏时段和监控盲区，延误应对时机的，追究相关领导和直接责任人责任；对因机制不畅、重视不够，应对不及时，造成不良影响和严重后果的,追究有关责任人的责任；对玩忽职守、不听指挥，导致舆论引导不力、突发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不及时，造成消极影响和严重后果的视情节轻重追究领导者的责任；构成犯罪的，依法追究其刑事责任；对违反工作纪律，蓄意封锁或隐瞒不报舆情突发事件，造成事态失控，产生重大消极影响和严重后果的，追究有关责任人的责任；对新闻媒体擅自发布与事态发展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情况不相符的信息，或报道不真实情况的，视情节轻重和造成的后果，依纪依法对其负责人、直接责任人给予党政纪处分，触犯刑律的移交司法机关惩处。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中共启东海工船舶工业园工作委员会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　　　　　　　　　　  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46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026A"/>
    <w:rsid w:val="29891916"/>
    <w:rsid w:val="36CD5578"/>
    <w:rsid w:val="423C56C9"/>
    <w:rsid w:val="5BD066E0"/>
    <w:rsid w:val="6C01782A"/>
    <w:rsid w:val="6CF21ABC"/>
    <w:rsid w:val="6DCC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瞿瞿</cp:lastModifiedBy>
  <dcterms:modified xsi:type="dcterms:W3CDTF">2019-12-24T00:58:26Z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