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imes New Roman" w:hAnsi="Times New Roman" w:cs="Times New Roman"/>
          <w:color w:val="auto"/>
          <w:sz w:val="28"/>
          <w:szCs w:val="28"/>
          <w:shd w:val="clear" w:color="auto" w:fill="FFFFFF"/>
          <w:lang w:eastAsia="zh-CN"/>
        </w:rPr>
      </w:pPr>
      <w:r>
        <w:rPr>
          <w:rFonts w:hint="eastAsia" w:ascii="Times New Roman" w:hAnsi="Times New Roman" w:cs="Times New Roman"/>
          <w:color w:val="auto"/>
          <w:sz w:val="28"/>
          <w:szCs w:val="28"/>
          <w:shd w:val="clear" w:color="auto" w:fill="FFFFFF"/>
          <w:lang w:eastAsia="zh-CN"/>
        </w:rPr>
        <w:t>启东市寅阳镇和合镇人民路（江海路-兴和路）外立面亮化项目</w:t>
      </w:r>
    </w:p>
    <w:p>
      <w:pPr>
        <w:ind w:firstLine="640" w:firstLineChars="200"/>
        <w:jc w:val="center"/>
        <w:rPr>
          <w:rFonts w:hint="eastAsia" w:ascii="Times New Roman" w:hAnsi="Times New Roman" w:cs="Times New Roman"/>
          <w:color w:val="auto"/>
          <w:sz w:val="32"/>
          <w:szCs w:val="32"/>
          <w:shd w:val="clear" w:color="auto" w:fill="FFFFFF"/>
          <w:lang w:eastAsia="zh-CN"/>
        </w:rPr>
      </w:pPr>
      <w:r>
        <w:rPr>
          <w:rFonts w:hint="eastAsia" w:ascii="Times New Roman" w:hAnsi="Times New Roman" w:cs="Times New Roman"/>
          <w:color w:val="auto"/>
          <w:sz w:val="32"/>
          <w:szCs w:val="32"/>
          <w:shd w:val="clear" w:color="auto" w:fill="FFFFFF"/>
          <w:lang w:eastAsia="zh-CN"/>
        </w:rPr>
        <w:t>市场询价公告</w:t>
      </w:r>
    </w:p>
    <w:p>
      <w:pPr>
        <w:spacing w:line="360" w:lineRule="auto"/>
        <w:ind w:firstLine="480" w:firstLineChars="200"/>
        <w:rPr>
          <w:rFonts w:ascii="Times New Roman" w:hAnsi="Times New Roman" w:cs="Times New Roman"/>
          <w:color w:val="auto"/>
          <w:sz w:val="24"/>
          <w:szCs w:val="24"/>
          <w:shd w:val="clear" w:color="auto" w:fill="FFFFFF"/>
        </w:rPr>
      </w:pPr>
      <w:r>
        <w:rPr>
          <w:rFonts w:hint="eastAsia" w:ascii="Times New Roman" w:hAnsi="Times New Roman" w:cs="Times New Roman"/>
          <w:color w:val="auto"/>
          <w:sz w:val="24"/>
          <w:szCs w:val="24"/>
          <w:shd w:val="clear" w:color="auto" w:fill="FFFFFF"/>
          <w:lang w:eastAsia="zh-CN"/>
        </w:rPr>
        <w:t>启东市寅阳镇和合镇人民路（江海路-兴和路）外立面亮化项目</w:t>
      </w:r>
      <w:r>
        <w:rPr>
          <w:rFonts w:ascii="Times New Roman" w:hAnsi="Times New Roman" w:cs="Times New Roman"/>
          <w:color w:val="auto"/>
          <w:sz w:val="24"/>
          <w:szCs w:val="24"/>
          <w:shd w:val="clear" w:color="auto" w:fill="FFFFFF"/>
        </w:rPr>
        <w:t>即将实施，现就</w:t>
      </w:r>
      <w:r>
        <w:rPr>
          <w:rFonts w:hint="eastAsia" w:ascii="Times New Roman" w:hAnsi="Times New Roman" w:cs="Times New Roman"/>
          <w:color w:val="auto"/>
          <w:sz w:val="24"/>
          <w:szCs w:val="24"/>
          <w:shd w:val="clear" w:color="auto" w:fill="FFFFFF"/>
          <w:lang w:eastAsia="zh-CN"/>
        </w:rPr>
        <w:t>启东市寅阳镇和合镇人民路（江海路-兴和路）外立面亮化项目</w:t>
      </w:r>
      <w:r>
        <w:rPr>
          <w:rFonts w:ascii="Times New Roman" w:hAnsi="Times New Roman" w:cs="Times New Roman"/>
          <w:color w:val="auto"/>
          <w:sz w:val="24"/>
          <w:szCs w:val="24"/>
          <w:shd w:val="clear" w:color="auto" w:fill="FFFFFF"/>
        </w:rPr>
        <w:t>进行市场询价调研。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color w:val="auto"/>
          <w:sz w:val="24"/>
          <w:szCs w:val="24"/>
          <w:shd w:val="clear" w:color="auto" w:fill="FFFFFF"/>
          <w:lang w:val="en-US" w:eastAsia="zh-CN"/>
        </w:rPr>
      </w:pPr>
      <w:r>
        <w:rPr>
          <w:rFonts w:hint="eastAsia" w:ascii="Times New Roman" w:hAnsi="Times New Roman" w:cs="Times New Roman"/>
          <w:color w:val="auto"/>
          <w:sz w:val="24"/>
          <w:szCs w:val="24"/>
          <w:lang w:val="en-US" w:eastAsia="zh-CN"/>
        </w:rPr>
        <w:t>一、采购内</w:t>
      </w:r>
      <w:r>
        <w:rPr>
          <w:rFonts w:hint="eastAsia" w:ascii="Times New Roman" w:hAnsi="Times New Roman" w:cs="Times New Roman"/>
          <w:color w:val="auto"/>
          <w:sz w:val="24"/>
          <w:szCs w:val="24"/>
          <w:shd w:val="clear" w:color="auto" w:fill="FFFFFF"/>
          <w:lang w:val="en-US" w:eastAsia="zh-CN"/>
        </w:rPr>
        <w:t>容</w:t>
      </w:r>
      <w:r>
        <w:rPr>
          <w:rFonts w:hint="eastAsia" w:ascii="Times New Roman" w:hAnsi="Times New Roman" w:cs="Times New Roman"/>
          <w:color w:val="auto"/>
          <w:sz w:val="24"/>
          <w:szCs w:val="24"/>
          <w:shd w:val="clear" w:color="auto" w:fill="FFFFFF"/>
          <w:lang w:eastAsia="zh-CN"/>
        </w:rPr>
        <w:t>：</w:t>
      </w:r>
    </w:p>
    <w:tbl>
      <w:tblPr>
        <w:tblStyle w:val="15"/>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727"/>
        <w:gridCol w:w="4282"/>
        <w:gridCol w:w="799"/>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0" w:name="_Toc20050"/>
            <w:bookmarkStart w:id="1" w:name="_Toc421519552"/>
            <w:r>
              <w:rPr>
                <w:rFonts w:hint="eastAsia" w:ascii="宋体" w:hAnsi="宋体" w:eastAsia="宋体" w:cs="宋体"/>
                <w:b/>
                <w:bCs/>
                <w:i w:val="0"/>
                <w:iCs w:val="0"/>
                <w:color w:val="000000"/>
                <w:kern w:val="0"/>
                <w:sz w:val="24"/>
                <w:szCs w:val="24"/>
                <w:u w:val="none"/>
                <w:lang w:val="en-US" w:eastAsia="zh-CN" w:bidi="ar"/>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12W,1.0M,DC24V,LED光源，色温3500k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6W,0.5M,DC24V,LED光源，色温3500k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3.6W,0.3M,DC24V,LED光源，色温3500k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洗墙灯（2'）</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9W,0.5M,DC24V,LED光源，色温3000k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洗墙灯（2”）</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5.4W,0.3M,DC24V,LED光源，色温3000k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点光源(d）</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2W,DC24V,LED光源，色温3000k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点光源(d1）</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5W,DC24V,LED光源，色温3000k</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不锈钢箱体，含智能控制器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DC24V，400W</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YJV-3*6mm2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YJV-3*4mm2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MR40*30（YJV-3*4mm2,YJV-3*6mm2用）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YJV-3*2.5mm2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RVV-2*2.5mm2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RVV-3*1.5mm2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MR40*30（RVV2*2.5mm2用）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MR30*20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注：报价包含主辅材料费、运输费、安装费、税金等完成项目所需的全部费用，安装要求详见图纸</w:t>
            </w:r>
          </w:p>
        </w:tc>
      </w:tr>
    </w:tbl>
    <w:p>
      <w:pPr>
        <w:pStyle w:val="13"/>
        <w:widowControl/>
        <w:spacing w:line="360" w:lineRule="auto"/>
        <w:ind w:firstLine="560"/>
        <w:jc w:val="both"/>
        <w:rPr>
          <w:rFonts w:hint="eastAsia"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zh-CN" w:eastAsia="zh-CN"/>
        </w:rPr>
        <w:t>二</w:t>
      </w:r>
      <w:bookmarkEnd w:id="0"/>
      <w:bookmarkEnd w:id="1"/>
      <w:r>
        <w:rPr>
          <w:rFonts w:hint="eastAsia" w:ascii="Times New Roman" w:hAnsi="Times New Roman" w:cs="Times New Roman"/>
          <w:color w:val="auto"/>
          <w:kern w:val="2"/>
          <w:szCs w:val="24"/>
          <w:highlight w:val="none"/>
          <w:lang w:val="en-US" w:eastAsia="zh-CN"/>
        </w:rPr>
        <w:t>、报价供应商的要求：</w:t>
      </w:r>
    </w:p>
    <w:p>
      <w:pPr>
        <w:pStyle w:val="13"/>
        <w:widowControl/>
        <w:spacing w:line="360" w:lineRule="auto"/>
        <w:ind w:firstLine="560"/>
        <w:jc w:val="both"/>
        <w:rPr>
          <w:rFonts w:hint="eastAsia"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en-US" w:eastAsia="zh-CN"/>
        </w:rPr>
        <w:t>1.满足《中华人民共和国政府采购法》第二十二条规定</w:t>
      </w:r>
    </w:p>
    <w:p>
      <w:pPr>
        <w:pStyle w:val="13"/>
        <w:widowControl/>
        <w:spacing w:line="360" w:lineRule="auto"/>
        <w:ind w:firstLine="560"/>
        <w:jc w:val="both"/>
        <w:rPr>
          <w:rFonts w:hint="default"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en-US" w:eastAsia="zh-CN"/>
        </w:rPr>
        <w:t>2.具有有效的营业执照</w:t>
      </w:r>
    </w:p>
    <w:p>
      <w:pPr>
        <w:pStyle w:val="13"/>
        <w:widowControl/>
        <w:spacing w:line="360" w:lineRule="auto"/>
        <w:ind w:firstLine="560"/>
        <w:jc w:val="both"/>
        <w:rPr>
          <w:rFonts w:hint="eastAsia"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en-US" w:eastAsia="zh-CN"/>
        </w:rPr>
        <w:t>三、约定事项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0"/>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1</w:t>
      </w:r>
      <w:r>
        <w:rPr>
          <w:rFonts w:hint="eastAsia" w:ascii="Times New Roman" w:hAnsi="Times New Roman" w:cs="Times New Roman" w:eastAsiaTheme="minorEastAsia"/>
          <w:color w:val="auto"/>
          <w:kern w:val="2"/>
          <w:sz w:val="24"/>
          <w:szCs w:val="24"/>
          <w:highlight w:val="none"/>
          <w:lang w:val="en-US" w:eastAsia="zh-CN" w:bidi="ar-SA"/>
        </w:rPr>
        <w:t>.质保要求：项目要求整体质保</w:t>
      </w:r>
      <w:r>
        <w:rPr>
          <w:rFonts w:hint="eastAsia" w:ascii="Times New Roman" w:hAnsi="Times New Roman" w:cs="Times New Roman"/>
          <w:color w:val="auto"/>
          <w:kern w:val="2"/>
          <w:sz w:val="24"/>
          <w:szCs w:val="24"/>
          <w:highlight w:val="none"/>
          <w:lang w:val="en-US" w:eastAsia="zh-CN" w:bidi="ar-SA"/>
        </w:rPr>
        <w:t>三年</w:t>
      </w:r>
      <w:r>
        <w:rPr>
          <w:rFonts w:hint="eastAsia" w:ascii="Times New Roman" w:hAnsi="Times New Roman" w:cs="Times New Roman" w:eastAsiaTheme="minorEastAsia"/>
          <w:color w:val="auto"/>
          <w:kern w:val="2"/>
          <w:sz w:val="24"/>
          <w:szCs w:val="24"/>
          <w:highlight w:val="none"/>
          <w:lang w:val="en-US" w:eastAsia="zh-CN" w:bidi="ar-SA"/>
        </w:rPr>
        <w:t>，本项目所有货物必须提供</w:t>
      </w:r>
      <w:r>
        <w:rPr>
          <w:rFonts w:hint="eastAsia" w:ascii="Times New Roman" w:hAnsi="Times New Roman" w:cs="Times New Roman"/>
          <w:color w:val="auto"/>
          <w:kern w:val="2"/>
          <w:sz w:val="24"/>
          <w:szCs w:val="24"/>
          <w:highlight w:val="none"/>
          <w:lang w:val="en-US" w:eastAsia="zh-CN" w:bidi="ar-SA"/>
        </w:rPr>
        <w:t>三年</w:t>
      </w:r>
      <w:r>
        <w:rPr>
          <w:rFonts w:hint="eastAsia" w:ascii="Times New Roman" w:hAnsi="Times New Roman" w:cs="Times New Roman" w:eastAsiaTheme="minorEastAsia"/>
          <w:color w:val="auto"/>
          <w:kern w:val="2"/>
          <w:sz w:val="24"/>
          <w:szCs w:val="24"/>
          <w:highlight w:val="none"/>
          <w:lang w:val="en-US" w:eastAsia="zh-CN" w:bidi="ar-SA"/>
        </w:rPr>
        <w:t>上门服务及全免费质保等售后服务。</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textAlignment w:val="auto"/>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cs="Times New Roman" w:eastAsiaTheme="minorEastAsia"/>
          <w:color w:val="auto"/>
          <w:kern w:val="2"/>
          <w:sz w:val="24"/>
          <w:szCs w:val="24"/>
          <w:highlight w:val="none"/>
          <w:lang w:val="en-US" w:eastAsia="zh-CN" w:bidi="ar-SA"/>
        </w:rPr>
        <w:t>.售后服务要求：在</w:t>
      </w:r>
      <w:r>
        <w:rPr>
          <w:rFonts w:hint="eastAsia" w:ascii="Times New Roman" w:hAnsi="Times New Roman" w:cs="Times New Roman"/>
          <w:color w:val="auto"/>
          <w:kern w:val="2"/>
          <w:sz w:val="24"/>
          <w:szCs w:val="24"/>
          <w:highlight w:val="none"/>
          <w:lang w:val="en-US" w:eastAsia="zh-CN" w:bidi="ar-SA"/>
        </w:rPr>
        <w:t>三年</w:t>
      </w:r>
      <w:r>
        <w:rPr>
          <w:rFonts w:hint="eastAsia" w:ascii="Times New Roman" w:hAnsi="Times New Roman" w:cs="Times New Roman" w:eastAsiaTheme="minorEastAsia"/>
          <w:color w:val="auto"/>
          <w:kern w:val="2"/>
          <w:sz w:val="24"/>
          <w:szCs w:val="24"/>
          <w:highlight w:val="none"/>
          <w:lang w:val="en-US" w:eastAsia="zh-CN" w:bidi="ar-SA"/>
        </w:rPr>
        <w:t>免费保修期内，成交供应商在接到用户单位电话维修通知后，供应商到达现场不超过2小时，一般质量问题在3小时内负责修复，确保不影响用户单位实际使用。12小时内不能排除故障的，在24小时内提供备用设备供用户方使用。质保期内，同一商品、同一质量问题连续两次维修仍无法正常使用，成交供应商应无条件给予全套更新，更换后的部件质保期自更换之日起重新计算。</w:t>
      </w:r>
    </w:p>
    <w:p>
      <w:pPr>
        <w:pStyle w:val="13"/>
        <w:widowControl/>
        <w:spacing w:line="360" w:lineRule="auto"/>
        <w:ind w:firstLine="560"/>
        <w:jc w:val="both"/>
        <w:rPr>
          <w:rFonts w:hint="eastAsia" w:ascii="Times New Roman" w:hAnsi="Times New Roman" w:cs="Times New Roman" w:eastAsiaTheme="minorEastAsia"/>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3</w:t>
      </w:r>
      <w:r>
        <w:rPr>
          <w:rFonts w:hint="eastAsia" w:ascii="Times New Roman" w:hAnsi="Times New Roman" w:cs="Times New Roman" w:eastAsiaTheme="minorEastAsia"/>
          <w:color w:val="auto"/>
          <w:kern w:val="2"/>
          <w:sz w:val="24"/>
          <w:szCs w:val="24"/>
          <w:highlight w:val="none"/>
          <w:lang w:val="en-US" w:eastAsia="zh-CN" w:bidi="ar-SA"/>
        </w:rPr>
        <w:t>.供货与安装周期：签订合同之日起30日历天</w:t>
      </w:r>
      <w:r>
        <w:rPr>
          <w:rFonts w:hint="eastAsia" w:ascii="Times New Roman" w:hAnsi="Times New Roman" w:cs="Times New Roman"/>
          <w:color w:val="auto"/>
          <w:kern w:val="2"/>
          <w:sz w:val="24"/>
          <w:szCs w:val="24"/>
          <w:highlight w:val="none"/>
          <w:lang w:val="en-US" w:eastAsia="zh-CN" w:bidi="ar-SA"/>
        </w:rPr>
        <w:t>。</w:t>
      </w:r>
    </w:p>
    <w:p>
      <w:pPr>
        <w:pStyle w:val="13"/>
        <w:widowControl/>
        <w:spacing w:line="360" w:lineRule="auto"/>
        <w:ind w:firstLine="560"/>
        <w:jc w:val="both"/>
        <w:rPr>
          <w:rStyle w:val="27"/>
          <w:rFonts w:hint="eastAsia" w:ascii="宋体" w:hAnsi="宋体" w:eastAsia="宋体" w:cs="宋体"/>
          <w:kern w:val="0"/>
          <w:sz w:val="24"/>
          <w:szCs w:val="24"/>
          <w:lang w:val="en-US" w:eastAsia="zh-CN"/>
        </w:rPr>
      </w:pPr>
      <w:r>
        <w:rPr>
          <w:rFonts w:hint="eastAsia" w:ascii="Times New Roman" w:hAnsi="Times New Roman"/>
          <w:color w:val="auto"/>
          <w:kern w:val="2"/>
          <w:szCs w:val="24"/>
          <w:highlight w:val="none"/>
          <w:lang w:val="en-US" w:eastAsia="zh-CN"/>
        </w:rPr>
        <w:t>4.</w:t>
      </w:r>
      <w:r>
        <w:rPr>
          <w:rFonts w:hint="eastAsia" w:ascii="Times New Roman" w:hAnsi="Times New Roman"/>
          <w:color w:val="auto"/>
          <w:kern w:val="2"/>
          <w:szCs w:val="24"/>
          <w:highlight w:val="none"/>
        </w:rPr>
        <w:t>参与报价的单位</w:t>
      </w:r>
      <w:r>
        <w:rPr>
          <w:rStyle w:val="27"/>
          <w:rFonts w:hint="eastAsia" w:ascii="宋体" w:hAnsi="宋体" w:eastAsia="宋体" w:cs="宋体"/>
          <w:kern w:val="0"/>
          <w:sz w:val="24"/>
          <w:szCs w:val="24"/>
          <w:lang w:val="en-US" w:eastAsia="zh-CN"/>
        </w:rPr>
        <w:t>必须选用招标人的推荐品牌【灯具：深圳明之辉、南京库柏、江苏林洋、无锡朗辉、济南三星；配电箱元器件：正泰、德力西、上海人民电气（上海上联）、施耐德；电缆：远东、江南、远程、上上。】</w:t>
      </w:r>
    </w:p>
    <w:p>
      <w:pPr>
        <w:pStyle w:val="13"/>
        <w:widowControl/>
        <w:spacing w:line="360" w:lineRule="auto"/>
        <w:ind w:firstLine="560"/>
        <w:jc w:val="both"/>
        <w:rPr>
          <w:rFonts w:hint="eastAsia" w:ascii="Times New Roman" w:hAnsi="Times New Roman"/>
          <w:color w:val="auto"/>
          <w:kern w:val="2"/>
          <w:szCs w:val="24"/>
          <w:highlight w:val="none"/>
        </w:rPr>
      </w:pPr>
      <w:r>
        <w:rPr>
          <w:rFonts w:hint="eastAsia" w:ascii="Times New Roman" w:hAnsi="Times New Roman"/>
          <w:color w:val="auto"/>
          <w:kern w:val="2"/>
          <w:szCs w:val="24"/>
          <w:highlight w:val="none"/>
          <w:lang w:val="en-US" w:eastAsia="zh-CN"/>
        </w:rPr>
        <w:t>5.参与报价的单位</w:t>
      </w:r>
      <w:r>
        <w:rPr>
          <w:rFonts w:hint="eastAsia" w:ascii="Times New Roman" w:hAnsi="Times New Roman"/>
          <w:color w:val="auto"/>
          <w:kern w:val="2"/>
          <w:szCs w:val="24"/>
          <w:highlight w:val="none"/>
        </w:rPr>
        <w:t>需将法人营业执照复印件</w:t>
      </w:r>
      <w:r>
        <w:rPr>
          <w:rFonts w:hint="eastAsia" w:ascii="Times New Roman" w:hAnsi="Times New Roman"/>
          <w:color w:val="auto"/>
          <w:kern w:val="2"/>
          <w:szCs w:val="24"/>
          <w:highlight w:val="none"/>
          <w:lang w:eastAsia="zh-CN"/>
        </w:rPr>
        <w:t>、</w:t>
      </w:r>
      <w:r>
        <w:rPr>
          <w:rFonts w:hint="eastAsia" w:ascii="Times New Roman" w:hAnsi="Times New Roman" w:cs="Times New Roman"/>
          <w:color w:val="auto"/>
          <w:kern w:val="2"/>
          <w:szCs w:val="24"/>
          <w:highlight w:val="none"/>
          <w:lang w:val="en-US" w:eastAsia="zh-CN"/>
        </w:rPr>
        <w:t>市场询价表于</w:t>
      </w:r>
      <w:r>
        <w:rPr>
          <w:rFonts w:hint="eastAsia" w:ascii="Times New Roman" w:hAnsi="Times New Roman" w:cs="Times New Roman"/>
          <w:color w:val="0000FF"/>
          <w:kern w:val="2"/>
          <w:szCs w:val="24"/>
          <w:highlight w:val="none"/>
          <w:lang w:val="en-US" w:eastAsia="zh-CN"/>
        </w:rPr>
        <w:t>2024年5月    20日17:00前</w:t>
      </w:r>
      <w:r>
        <w:rPr>
          <w:rFonts w:hint="eastAsia" w:ascii="Times New Roman" w:hAnsi="Times New Roman" w:cs="Times New Roman"/>
          <w:color w:val="auto"/>
          <w:kern w:val="2"/>
          <w:szCs w:val="24"/>
          <w:highlight w:val="none"/>
          <w:lang w:val="en-US" w:eastAsia="zh-CN"/>
        </w:rPr>
        <w:t>，送或寄或发送电子邮件，联系地址：启东市南苑路国动产业园18号楼501，联系人：陈燕，联系电话：18932203970，邮箱：514361830@qq.</w:t>
      </w:r>
      <w:r>
        <w:rPr>
          <w:rFonts w:hint="eastAsia" w:ascii="Times New Roman" w:hAnsi="Times New Roman"/>
          <w:color w:val="auto"/>
          <w:kern w:val="2"/>
          <w:szCs w:val="24"/>
          <w:highlight w:val="none"/>
          <w:lang w:val="en-US" w:eastAsia="zh-CN"/>
        </w:rPr>
        <w:t>com</w:t>
      </w:r>
      <w:r>
        <w:rPr>
          <w:rFonts w:hint="eastAsia" w:ascii="Times New Roman" w:hAnsi="Times New Roman"/>
          <w:color w:val="auto"/>
          <w:kern w:val="2"/>
          <w:szCs w:val="24"/>
          <w:highlight w:val="none"/>
        </w:rPr>
        <w:t>。</w:t>
      </w:r>
    </w:p>
    <w:p>
      <w:pPr>
        <w:pStyle w:val="13"/>
        <w:widowControl/>
        <w:spacing w:line="360" w:lineRule="auto"/>
        <w:ind w:firstLine="560"/>
        <w:jc w:val="both"/>
        <w:rPr>
          <w:rFonts w:hint="eastAsia"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en-US" w:eastAsia="zh-CN"/>
        </w:rPr>
        <w:t>6.拟定支付方式及期限：</w:t>
      </w:r>
      <w:r>
        <w:rPr>
          <w:rStyle w:val="27"/>
          <w:rFonts w:hint="eastAsia" w:ascii="宋体" w:hAnsi="宋体" w:eastAsia="宋体" w:cs="宋体"/>
          <w:kern w:val="0"/>
          <w:sz w:val="24"/>
          <w:szCs w:val="24"/>
        </w:rPr>
        <w:t>凭启东市市场监督管理局合格的检测报告或有效的证明文件作为付款依据。合同签订后，货物运送到采购方指定地点安装完成，并经业主组织验收通过合格后一个月内合同价款</w:t>
      </w:r>
      <w:r>
        <w:rPr>
          <w:rStyle w:val="27"/>
          <w:rFonts w:hint="eastAsia" w:ascii="宋体" w:hAnsi="宋体" w:eastAsia="宋体" w:cs="宋体"/>
          <w:kern w:val="0"/>
          <w:sz w:val="24"/>
          <w:szCs w:val="24"/>
          <w:lang w:val="en-US" w:eastAsia="zh-CN"/>
        </w:rPr>
        <w:t>90</w:t>
      </w:r>
      <w:r>
        <w:rPr>
          <w:rStyle w:val="27"/>
          <w:rFonts w:hint="eastAsia" w:ascii="宋体" w:hAnsi="宋体" w:eastAsia="宋体" w:cs="宋体"/>
          <w:kern w:val="0"/>
          <w:sz w:val="24"/>
          <w:szCs w:val="24"/>
        </w:rPr>
        <w:t>%，余款</w:t>
      </w:r>
      <w:r>
        <w:rPr>
          <w:rStyle w:val="27"/>
          <w:rFonts w:hint="eastAsia" w:ascii="宋体" w:hAnsi="宋体" w:eastAsia="宋体" w:cs="宋体"/>
          <w:kern w:val="0"/>
          <w:sz w:val="24"/>
          <w:szCs w:val="24"/>
          <w:lang w:val="en-US" w:eastAsia="zh-CN"/>
        </w:rPr>
        <w:t>待</w:t>
      </w:r>
      <w:r>
        <w:rPr>
          <w:rStyle w:val="27"/>
          <w:rFonts w:hint="eastAsia" w:ascii="宋体" w:hAnsi="宋体" w:eastAsia="宋体" w:cs="宋体"/>
          <w:kern w:val="0"/>
          <w:sz w:val="24"/>
          <w:szCs w:val="24"/>
        </w:rPr>
        <w:t>质保期（</w:t>
      </w:r>
      <w:r>
        <w:rPr>
          <w:rStyle w:val="27"/>
          <w:rFonts w:hint="eastAsia" w:ascii="宋体" w:hAnsi="宋体" w:eastAsia="宋体" w:cs="宋体"/>
          <w:kern w:val="0"/>
          <w:sz w:val="24"/>
          <w:szCs w:val="24"/>
          <w:lang w:val="en-US" w:eastAsia="zh-CN"/>
        </w:rPr>
        <w:t>三年，</w:t>
      </w:r>
      <w:r>
        <w:rPr>
          <w:rStyle w:val="27"/>
          <w:rFonts w:hint="eastAsia" w:ascii="宋体" w:hAnsi="宋体" w:eastAsia="宋体" w:cs="宋体"/>
          <w:kern w:val="0"/>
          <w:sz w:val="24"/>
          <w:szCs w:val="24"/>
        </w:rPr>
        <w:t>从验收合格之日算起）满时提供使用单位出具的无质量问题后付清（不计利息）。</w:t>
      </w:r>
    </w:p>
    <w:p>
      <w:pPr>
        <w:pStyle w:val="13"/>
        <w:widowControl/>
        <w:spacing w:line="360" w:lineRule="auto"/>
        <w:ind w:firstLine="560"/>
        <w:jc w:val="both"/>
        <w:rPr>
          <w:rFonts w:hint="eastAsia" w:ascii="Times New Roman" w:hAnsi="Times New Roman" w:cs="Times New Roman"/>
          <w:color w:val="auto"/>
          <w:kern w:val="2"/>
          <w:szCs w:val="24"/>
          <w:highlight w:val="none"/>
          <w:lang w:val="en-US" w:eastAsia="zh-CN"/>
        </w:rPr>
      </w:pPr>
      <w:r>
        <w:rPr>
          <w:rFonts w:hint="eastAsia" w:ascii="Times New Roman" w:hAnsi="Times New Roman" w:cs="Times New Roman"/>
          <w:color w:val="auto"/>
          <w:kern w:val="2"/>
          <w:szCs w:val="24"/>
          <w:highlight w:val="none"/>
          <w:lang w:val="en-US" w:eastAsia="zh-CN"/>
        </w:rPr>
        <w:t>7.其他：⑴请报价单位认真核算、如实报价，如发现虚假报价的，报上级主管部门；⑵本次报价仅作为市场调研用，因此价格仅供参考；⑶本次调研询价不接收质疑函，只接收对本项目的建议。</w:t>
      </w:r>
    </w:p>
    <w:p>
      <w:pPr>
        <w:ind w:firstLine="5520" w:firstLineChars="2300"/>
        <w:rPr>
          <w:rFonts w:ascii="Times New Roman" w:hAnsi="Times New Roman" w:cs="Times New Roman"/>
          <w:color w:val="auto"/>
          <w:sz w:val="24"/>
          <w:szCs w:val="24"/>
        </w:rPr>
      </w:pPr>
    </w:p>
    <w:p>
      <w:pPr>
        <w:ind w:firstLine="5520" w:firstLineChars="2300"/>
        <w:rPr>
          <w:rFonts w:ascii="Times New Roman" w:hAnsi="Times New Roman" w:cs="Times New Roman"/>
          <w:color w:val="auto"/>
          <w:sz w:val="24"/>
          <w:szCs w:val="24"/>
        </w:rPr>
      </w:pPr>
    </w:p>
    <w:p>
      <w:pPr>
        <w:ind w:firstLine="480"/>
        <w:jc w:val="right"/>
        <w:rPr>
          <w:rFonts w:ascii="Times New Roman" w:hAnsi="Times New Roman" w:cs="Times New Roman"/>
          <w:color w:val="auto"/>
          <w:sz w:val="24"/>
          <w:szCs w:val="24"/>
        </w:rPr>
      </w:pPr>
      <w:r>
        <w:rPr>
          <w:rFonts w:hint="eastAsia" w:ascii="Times New Roman" w:hAnsi="Times New Roman" w:cs="Times New Roman"/>
          <w:color w:val="auto"/>
          <w:sz w:val="24"/>
          <w:szCs w:val="24"/>
          <w:lang w:eastAsia="zh-CN"/>
        </w:rPr>
        <w:t>启东市寅阳镇人民政府</w:t>
      </w:r>
      <w:r>
        <w:rPr>
          <w:rFonts w:ascii="Times New Roman" w:hAnsi="Times New Roman" w:cs="Times New Roman"/>
          <w:color w:val="auto"/>
          <w:sz w:val="24"/>
          <w:szCs w:val="24"/>
        </w:rPr>
        <w:t xml:space="preserve">                                    </w:t>
      </w:r>
    </w:p>
    <w:p>
      <w:pPr>
        <w:ind w:firstLine="480"/>
        <w:jc w:val="right"/>
        <w:rPr>
          <w:rFonts w:hint="eastAsia" w:ascii="Times New Roman" w:hAnsi="Times New Roman" w:cs="Times New Roman"/>
          <w:color w:val="auto"/>
          <w:sz w:val="24"/>
          <w:szCs w:val="24"/>
          <w:lang w:val="en-US" w:eastAsia="zh-CN"/>
        </w:rPr>
        <w:sectPr>
          <w:pgSz w:w="11906" w:h="16838"/>
          <w:pgMar w:top="1440" w:right="1800" w:bottom="1440" w:left="1800" w:header="851" w:footer="992" w:gutter="0"/>
          <w:cols w:space="425" w:num="1"/>
          <w:docGrid w:type="lines" w:linePitch="312" w:charSpace="0"/>
        </w:sectPr>
      </w:pPr>
      <w:r>
        <w:rPr>
          <w:rFonts w:ascii="Times New Roman" w:hAnsi="Times New Roman" w:cs="Times New Roman"/>
          <w:color w:val="auto"/>
          <w:sz w:val="24"/>
          <w:szCs w:val="24"/>
        </w:rPr>
        <w:t xml:space="preserve">       202</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16</w:t>
      </w:r>
      <w:bookmarkStart w:id="2" w:name="_GoBack"/>
      <w:bookmarkEnd w:id="2"/>
      <w:r>
        <w:rPr>
          <w:rFonts w:hint="eastAsia" w:ascii="Times New Roman" w:hAnsi="Times New Roman" w:cs="Times New Roman"/>
          <w:color w:val="auto"/>
          <w:sz w:val="24"/>
          <w:szCs w:val="24"/>
          <w:lang w:val="en-US" w:eastAsia="zh-CN"/>
        </w:rPr>
        <w:t>日</w:t>
      </w:r>
    </w:p>
    <w:p>
      <w:pPr>
        <w:pStyle w:val="6"/>
        <w:jc w:val="center"/>
        <w:rPr>
          <w:rFonts w:hint="default"/>
          <w:lang w:val="en-US" w:eastAsia="zh-CN"/>
        </w:rPr>
      </w:pPr>
      <w:r>
        <w:rPr>
          <w:rFonts w:hint="eastAsia" w:ascii="Times New Roman" w:hAnsi="Times New Roman" w:cs="Times New Roman"/>
          <w:color w:val="auto"/>
          <w:sz w:val="32"/>
          <w:szCs w:val="32"/>
          <w:shd w:val="clear" w:color="auto" w:fill="FFFFFF"/>
          <w:lang w:eastAsia="zh-CN"/>
        </w:rPr>
        <w:t>启东市寅阳镇和合镇人民路（江海路-兴和路）外立面亮化项目</w:t>
      </w:r>
      <w:r>
        <w:rPr>
          <w:rFonts w:hint="eastAsia" w:ascii="Times New Roman" w:hAnsi="Times New Roman" w:cs="Times New Roman"/>
          <w:color w:val="auto"/>
          <w:sz w:val="32"/>
          <w:szCs w:val="32"/>
          <w:shd w:val="clear" w:color="auto" w:fill="FFFFFF"/>
          <w:lang w:val="en-US" w:eastAsia="zh-CN"/>
        </w:rPr>
        <w:t>报价表</w:t>
      </w:r>
    </w:p>
    <w:tbl>
      <w:tblPr>
        <w:tblStyle w:val="15"/>
        <w:tblW w:w="53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614"/>
        <w:gridCol w:w="3924"/>
        <w:gridCol w:w="774"/>
        <w:gridCol w:w="1097"/>
        <w:gridCol w:w="586"/>
        <w:gridCol w:w="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 格</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12W,1.0M,DC24V,LED光源，色温3500k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6W,0.5M,DC24V,LED光源，色温3500k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线条灯（1”）</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3.6W,0.3M,DC24V,LED光源，色温3500k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洗墙灯（2'）</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9W,0.5M,DC24V,LED光源，色温3000k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洗墙灯（2”）</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5.4W,0.3M,DC24V,LED光源，色温3000k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点光源(d）</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2W,DC24V,LED光源，色温3000k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点光源(d1）</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5W,DC24V,LED光源，色温3000k</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不锈钢箱体，含智能控制器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DC24V，400W</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YJV-3*6mm2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YJV-3*4mm2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MR40*30（YJV-3*4mm2,YJV-3*6mm2用）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YJV-3*2.5mm2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186.4</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RVV-2*2.5mm2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3350.92</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RVV-3*1.5mm2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MR40*30（RVV2*2.5mm2用）</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295.38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w:t>
            </w:r>
          </w:p>
        </w:tc>
        <w:tc>
          <w:tcPr>
            <w:tcW w:w="2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MR30*20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1713.28</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25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注：报价包含主辅材料费、运输费、安装费、税金等完成项目所需的全部费用，安装要求详见图纸</w:t>
            </w:r>
          </w:p>
        </w:tc>
      </w:tr>
    </w:tbl>
    <w:p>
      <w:pPr>
        <w:pStyle w:val="7"/>
        <w:rPr>
          <w:rFonts w:hint="default"/>
          <w:sz w:val="32"/>
          <w:szCs w:val="36"/>
          <w:lang w:val="en-US" w:eastAsia="zh-CN"/>
        </w:rPr>
      </w:pPr>
      <w:r>
        <w:rPr>
          <w:rFonts w:hint="eastAsia"/>
          <w:sz w:val="32"/>
          <w:szCs w:val="36"/>
          <w:lang w:val="en-US" w:eastAsia="zh-CN"/>
        </w:rPr>
        <w:t>附营业执照</w:t>
      </w:r>
    </w:p>
    <w:p>
      <w:pPr>
        <w:pStyle w:val="7"/>
        <w:rPr>
          <w:rFonts w:hint="eastAsia"/>
          <w:sz w:val="32"/>
          <w:szCs w:val="36"/>
          <w:lang w:val="en-US" w:eastAsia="zh-CN"/>
        </w:rPr>
      </w:pPr>
    </w:p>
    <w:p>
      <w:pPr>
        <w:pStyle w:val="7"/>
        <w:rPr>
          <w:rFonts w:hint="eastAsia"/>
          <w:sz w:val="32"/>
          <w:szCs w:val="36"/>
          <w:lang w:val="en-US" w:eastAsia="zh-CN"/>
        </w:rPr>
      </w:pPr>
    </w:p>
    <w:p>
      <w:pPr>
        <w:pStyle w:val="7"/>
        <w:rPr>
          <w:rFonts w:hint="eastAsia"/>
          <w:sz w:val="32"/>
          <w:szCs w:val="36"/>
          <w:lang w:val="en-US" w:eastAsia="zh-CN"/>
        </w:rPr>
      </w:pPr>
      <w:r>
        <w:rPr>
          <w:rFonts w:hint="eastAsia"/>
          <w:sz w:val="32"/>
          <w:szCs w:val="36"/>
          <w:lang w:val="en-US" w:eastAsia="zh-CN"/>
        </w:rPr>
        <w:t>报价单位：</w:t>
      </w:r>
    </w:p>
    <w:p>
      <w:pPr>
        <w:pStyle w:val="7"/>
        <w:rPr>
          <w:rFonts w:hint="eastAsia"/>
          <w:sz w:val="32"/>
          <w:szCs w:val="36"/>
          <w:lang w:val="en-US" w:eastAsia="zh-CN"/>
        </w:rPr>
      </w:pPr>
      <w:r>
        <w:rPr>
          <w:rFonts w:hint="eastAsia"/>
          <w:sz w:val="32"/>
          <w:szCs w:val="36"/>
          <w:lang w:val="en-US" w:eastAsia="zh-CN"/>
        </w:rPr>
        <w:t>联系人：</w:t>
      </w:r>
    </w:p>
    <w:p>
      <w:pPr>
        <w:pStyle w:val="7"/>
        <w:rPr>
          <w:rFonts w:hint="eastAsia"/>
          <w:sz w:val="32"/>
          <w:szCs w:val="36"/>
          <w:lang w:val="en-US" w:eastAsia="zh-CN"/>
        </w:rPr>
      </w:pPr>
      <w:r>
        <w:rPr>
          <w:rFonts w:hint="eastAsia"/>
          <w:sz w:val="32"/>
          <w:szCs w:val="36"/>
          <w:lang w:val="en-US" w:eastAsia="zh-CN"/>
        </w:rPr>
        <w:t>联系电话：</w:t>
      </w:r>
    </w:p>
    <w:p>
      <w:pPr>
        <w:pStyle w:val="7"/>
        <w:rPr>
          <w:rFonts w:hint="default"/>
          <w:sz w:val="32"/>
          <w:szCs w:val="36"/>
          <w:lang w:val="en-US" w:eastAsia="zh-CN"/>
        </w:rPr>
      </w:pPr>
      <w:r>
        <w:rPr>
          <w:rFonts w:hint="eastAsia"/>
          <w:sz w:val="32"/>
          <w:szCs w:val="36"/>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Dk5NDZiYmM1Njc0MzFiYWYwNmQ2OTU2Y2U5ZGMifQ=="/>
    <w:docVar w:name="KSO_WPS_MARK_KEY" w:val="fabfbd92-9147-4de9-87c5-7d4e6a048101"/>
  </w:docVars>
  <w:rsids>
    <w:rsidRoot w:val="00CE500D"/>
    <w:rsid w:val="00017D04"/>
    <w:rsid w:val="0023679F"/>
    <w:rsid w:val="002E440A"/>
    <w:rsid w:val="0034394B"/>
    <w:rsid w:val="00401700"/>
    <w:rsid w:val="005615DA"/>
    <w:rsid w:val="00620764"/>
    <w:rsid w:val="007D419D"/>
    <w:rsid w:val="008E5996"/>
    <w:rsid w:val="00B86DAD"/>
    <w:rsid w:val="00BD4640"/>
    <w:rsid w:val="00C14B91"/>
    <w:rsid w:val="00C541DA"/>
    <w:rsid w:val="00CE500D"/>
    <w:rsid w:val="00D50A04"/>
    <w:rsid w:val="00E36B5B"/>
    <w:rsid w:val="00EF5C0A"/>
    <w:rsid w:val="012F2443"/>
    <w:rsid w:val="02664544"/>
    <w:rsid w:val="029029F1"/>
    <w:rsid w:val="03566A31"/>
    <w:rsid w:val="035D3D0B"/>
    <w:rsid w:val="0448715B"/>
    <w:rsid w:val="046337FC"/>
    <w:rsid w:val="05832837"/>
    <w:rsid w:val="05A21435"/>
    <w:rsid w:val="05EA4F77"/>
    <w:rsid w:val="073562D9"/>
    <w:rsid w:val="08202AE5"/>
    <w:rsid w:val="084927FF"/>
    <w:rsid w:val="08D23161"/>
    <w:rsid w:val="09AD03A9"/>
    <w:rsid w:val="0A383E93"/>
    <w:rsid w:val="0AA96DC2"/>
    <w:rsid w:val="0B352404"/>
    <w:rsid w:val="0B507B40"/>
    <w:rsid w:val="0B951A25"/>
    <w:rsid w:val="0BA36998"/>
    <w:rsid w:val="0BD90538"/>
    <w:rsid w:val="0BF202F5"/>
    <w:rsid w:val="0C71390F"/>
    <w:rsid w:val="0C8C0749"/>
    <w:rsid w:val="0D7506A7"/>
    <w:rsid w:val="0DB51860"/>
    <w:rsid w:val="0DB528E8"/>
    <w:rsid w:val="0E965DAB"/>
    <w:rsid w:val="0EDD34DE"/>
    <w:rsid w:val="0EDD4E67"/>
    <w:rsid w:val="0F3F3E2C"/>
    <w:rsid w:val="0FE443F8"/>
    <w:rsid w:val="10293E54"/>
    <w:rsid w:val="102E203C"/>
    <w:rsid w:val="108217FC"/>
    <w:rsid w:val="11423ACC"/>
    <w:rsid w:val="11C42C96"/>
    <w:rsid w:val="127E0EA0"/>
    <w:rsid w:val="128B7593"/>
    <w:rsid w:val="13090D5A"/>
    <w:rsid w:val="130E0083"/>
    <w:rsid w:val="13A463FB"/>
    <w:rsid w:val="14214E0F"/>
    <w:rsid w:val="148F7029"/>
    <w:rsid w:val="14BA0E4B"/>
    <w:rsid w:val="14BF0032"/>
    <w:rsid w:val="15035321"/>
    <w:rsid w:val="15E46F00"/>
    <w:rsid w:val="160142ED"/>
    <w:rsid w:val="16583648"/>
    <w:rsid w:val="16F07406"/>
    <w:rsid w:val="17345B41"/>
    <w:rsid w:val="17485BB5"/>
    <w:rsid w:val="17541253"/>
    <w:rsid w:val="1776627E"/>
    <w:rsid w:val="1780076B"/>
    <w:rsid w:val="190B6E9A"/>
    <w:rsid w:val="193C7053"/>
    <w:rsid w:val="19B248B2"/>
    <w:rsid w:val="1A227F8F"/>
    <w:rsid w:val="1A74631B"/>
    <w:rsid w:val="1AC96A7A"/>
    <w:rsid w:val="1AF35C55"/>
    <w:rsid w:val="1B4474E1"/>
    <w:rsid w:val="1B830F69"/>
    <w:rsid w:val="1C5E5533"/>
    <w:rsid w:val="1C651DCF"/>
    <w:rsid w:val="1C683FA7"/>
    <w:rsid w:val="1C9E19D9"/>
    <w:rsid w:val="1DA653E3"/>
    <w:rsid w:val="1DB44028"/>
    <w:rsid w:val="1DCE71A7"/>
    <w:rsid w:val="1EC441A4"/>
    <w:rsid w:val="1ECC360E"/>
    <w:rsid w:val="1F3D6340"/>
    <w:rsid w:val="1F625134"/>
    <w:rsid w:val="200A3A07"/>
    <w:rsid w:val="216D06F2"/>
    <w:rsid w:val="222334A6"/>
    <w:rsid w:val="235A2EF8"/>
    <w:rsid w:val="235F5FD0"/>
    <w:rsid w:val="24A25583"/>
    <w:rsid w:val="256E4A38"/>
    <w:rsid w:val="25A22934"/>
    <w:rsid w:val="26091816"/>
    <w:rsid w:val="267D1A87"/>
    <w:rsid w:val="27AE4F55"/>
    <w:rsid w:val="27CB43C4"/>
    <w:rsid w:val="27D32EF7"/>
    <w:rsid w:val="289A1F6E"/>
    <w:rsid w:val="29001E4B"/>
    <w:rsid w:val="291B42C9"/>
    <w:rsid w:val="293D22C4"/>
    <w:rsid w:val="29431856"/>
    <w:rsid w:val="295C39EB"/>
    <w:rsid w:val="2960182D"/>
    <w:rsid w:val="29A40E8F"/>
    <w:rsid w:val="29B03871"/>
    <w:rsid w:val="2AB83733"/>
    <w:rsid w:val="2AC3489E"/>
    <w:rsid w:val="2AC9434F"/>
    <w:rsid w:val="2B0C2C48"/>
    <w:rsid w:val="2B4A32E9"/>
    <w:rsid w:val="2C0734F1"/>
    <w:rsid w:val="2C357E1F"/>
    <w:rsid w:val="2CD5539D"/>
    <w:rsid w:val="2D3C541C"/>
    <w:rsid w:val="2D4A7B39"/>
    <w:rsid w:val="2DF87CBF"/>
    <w:rsid w:val="2EA15273"/>
    <w:rsid w:val="2EC706F7"/>
    <w:rsid w:val="2F5B427F"/>
    <w:rsid w:val="2FCB2C94"/>
    <w:rsid w:val="307C26FF"/>
    <w:rsid w:val="30F77FD8"/>
    <w:rsid w:val="311345EC"/>
    <w:rsid w:val="31381208"/>
    <w:rsid w:val="31AA0A84"/>
    <w:rsid w:val="31F26845"/>
    <w:rsid w:val="31F767B3"/>
    <w:rsid w:val="326351F9"/>
    <w:rsid w:val="32870EE7"/>
    <w:rsid w:val="32EA3795"/>
    <w:rsid w:val="33775400"/>
    <w:rsid w:val="33AD7074"/>
    <w:rsid w:val="33D6447B"/>
    <w:rsid w:val="34665881"/>
    <w:rsid w:val="348B49DE"/>
    <w:rsid w:val="34AB35F2"/>
    <w:rsid w:val="34BF3FDB"/>
    <w:rsid w:val="35755789"/>
    <w:rsid w:val="35D3222D"/>
    <w:rsid w:val="360311CD"/>
    <w:rsid w:val="36930523"/>
    <w:rsid w:val="369B7657"/>
    <w:rsid w:val="36F328CD"/>
    <w:rsid w:val="37971BCD"/>
    <w:rsid w:val="37C55F0F"/>
    <w:rsid w:val="37D41ABC"/>
    <w:rsid w:val="37E1553E"/>
    <w:rsid w:val="38A26A7B"/>
    <w:rsid w:val="38CF7906"/>
    <w:rsid w:val="39C05C8E"/>
    <w:rsid w:val="3A0664FA"/>
    <w:rsid w:val="3A614714"/>
    <w:rsid w:val="3A6A03E3"/>
    <w:rsid w:val="3A993EAE"/>
    <w:rsid w:val="3B0E7411"/>
    <w:rsid w:val="3B451940"/>
    <w:rsid w:val="3B4B7349"/>
    <w:rsid w:val="3BD123D9"/>
    <w:rsid w:val="3C2E0626"/>
    <w:rsid w:val="3D212820"/>
    <w:rsid w:val="3E1F2A71"/>
    <w:rsid w:val="3E3D4260"/>
    <w:rsid w:val="3F6A5E19"/>
    <w:rsid w:val="3FE71217"/>
    <w:rsid w:val="40356CCC"/>
    <w:rsid w:val="409470BD"/>
    <w:rsid w:val="40D02AF3"/>
    <w:rsid w:val="411F034E"/>
    <w:rsid w:val="4132718C"/>
    <w:rsid w:val="41986C6D"/>
    <w:rsid w:val="42D77C69"/>
    <w:rsid w:val="42FC76D0"/>
    <w:rsid w:val="43076734"/>
    <w:rsid w:val="437C581A"/>
    <w:rsid w:val="437F7C84"/>
    <w:rsid w:val="43993170"/>
    <w:rsid w:val="43AF64F0"/>
    <w:rsid w:val="44C815D8"/>
    <w:rsid w:val="46010751"/>
    <w:rsid w:val="461B1C23"/>
    <w:rsid w:val="46294959"/>
    <w:rsid w:val="4632038F"/>
    <w:rsid w:val="4657693C"/>
    <w:rsid w:val="465A0995"/>
    <w:rsid w:val="467D0B27"/>
    <w:rsid w:val="469F33D0"/>
    <w:rsid w:val="47066A1D"/>
    <w:rsid w:val="47426409"/>
    <w:rsid w:val="47D5222D"/>
    <w:rsid w:val="483658F6"/>
    <w:rsid w:val="484232B9"/>
    <w:rsid w:val="485B27A2"/>
    <w:rsid w:val="48CB3DCC"/>
    <w:rsid w:val="49121BEA"/>
    <w:rsid w:val="495140F2"/>
    <w:rsid w:val="496164DE"/>
    <w:rsid w:val="49C76CAB"/>
    <w:rsid w:val="4B610403"/>
    <w:rsid w:val="4BEA0B83"/>
    <w:rsid w:val="4BF43ADF"/>
    <w:rsid w:val="4C6F0237"/>
    <w:rsid w:val="4C721578"/>
    <w:rsid w:val="4D861753"/>
    <w:rsid w:val="4D9F1383"/>
    <w:rsid w:val="4D9F759E"/>
    <w:rsid w:val="4E2C6806"/>
    <w:rsid w:val="50010D46"/>
    <w:rsid w:val="51396725"/>
    <w:rsid w:val="51D05FAF"/>
    <w:rsid w:val="5248342C"/>
    <w:rsid w:val="52632A25"/>
    <w:rsid w:val="52F757BE"/>
    <w:rsid w:val="53486019"/>
    <w:rsid w:val="536966BB"/>
    <w:rsid w:val="54431E68"/>
    <w:rsid w:val="54881B71"/>
    <w:rsid w:val="54AF45A2"/>
    <w:rsid w:val="554E7420"/>
    <w:rsid w:val="56077D18"/>
    <w:rsid w:val="567846D4"/>
    <w:rsid w:val="56DB78D0"/>
    <w:rsid w:val="57744952"/>
    <w:rsid w:val="57D554B0"/>
    <w:rsid w:val="57FF7D17"/>
    <w:rsid w:val="5806097D"/>
    <w:rsid w:val="581E3FA7"/>
    <w:rsid w:val="584D395F"/>
    <w:rsid w:val="586743E3"/>
    <w:rsid w:val="58A843CB"/>
    <w:rsid w:val="58DF760E"/>
    <w:rsid w:val="59170968"/>
    <w:rsid w:val="595B5175"/>
    <w:rsid w:val="597F5032"/>
    <w:rsid w:val="59B120AB"/>
    <w:rsid w:val="59E86007"/>
    <w:rsid w:val="5B124A58"/>
    <w:rsid w:val="5BA82321"/>
    <w:rsid w:val="5BFB631F"/>
    <w:rsid w:val="5C727311"/>
    <w:rsid w:val="5C9546B7"/>
    <w:rsid w:val="5CE56791"/>
    <w:rsid w:val="5CFA4BA6"/>
    <w:rsid w:val="5D0B4022"/>
    <w:rsid w:val="5D347D3A"/>
    <w:rsid w:val="5D496DBF"/>
    <w:rsid w:val="5D8F082D"/>
    <w:rsid w:val="5DA046A0"/>
    <w:rsid w:val="5DFA3980"/>
    <w:rsid w:val="5E1101A7"/>
    <w:rsid w:val="5E60690D"/>
    <w:rsid w:val="5E8E347A"/>
    <w:rsid w:val="5F0C439F"/>
    <w:rsid w:val="5F7F1015"/>
    <w:rsid w:val="60B707B9"/>
    <w:rsid w:val="614F7FD9"/>
    <w:rsid w:val="61706974"/>
    <w:rsid w:val="61D52C5F"/>
    <w:rsid w:val="625E7607"/>
    <w:rsid w:val="63343EC4"/>
    <w:rsid w:val="63CB1194"/>
    <w:rsid w:val="642A77A1"/>
    <w:rsid w:val="64654C7D"/>
    <w:rsid w:val="648C220A"/>
    <w:rsid w:val="648E1560"/>
    <w:rsid w:val="64923598"/>
    <w:rsid w:val="64D43BB1"/>
    <w:rsid w:val="64F8789F"/>
    <w:rsid w:val="658E3D60"/>
    <w:rsid w:val="66287D10"/>
    <w:rsid w:val="667E7228"/>
    <w:rsid w:val="66FA5A64"/>
    <w:rsid w:val="672A0689"/>
    <w:rsid w:val="675D1C3B"/>
    <w:rsid w:val="6773320D"/>
    <w:rsid w:val="678E44EB"/>
    <w:rsid w:val="67EE31DB"/>
    <w:rsid w:val="68046A6D"/>
    <w:rsid w:val="68164CDF"/>
    <w:rsid w:val="687D052C"/>
    <w:rsid w:val="68882099"/>
    <w:rsid w:val="688D02FE"/>
    <w:rsid w:val="69353554"/>
    <w:rsid w:val="697B45FB"/>
    <w:rsid w:val="6BDF75DB"/>
    <w:rsid w:val="6BF04907"/>
    <w:rsid w:val="6CB247D7"/>
    <w:rsid w:val="6D9E74AD"/>
    <w:rsid w:val="6DC5053A"/>
    <w:rsid w:val="6EBF1CCD"/>
    <w:rsid w:val="6F5B6D78"/>
    <w:rsid w:val="6FBD5AE6"/>
    <w:rsid w:val="6FD66A2F"/>
    <w:rsid w:val="7078466A"/>
    <w:rsid w:val="707E4338"/>
    <w:rsid w:val="708E10B8"/>
    <w:rsid w:val="70F73101"/>
    <w:rsid w:val="70F8420D"/>
    <w:rsid w:val="71A60683"/>
    <w:rsid w:val="71F326B3"/>
    <w:rsid w:val="727E5E54"/>
    <w:rsid w:val="72AC1CC9"/>
    <w:rsid w:val="731F4041"/>
    <w:rsid w:val="734A24D4"/>
    <w:rsid w:val="7365626F"/>
    <w:rsid w:val="73727BB8"/>
    <w:rsid w:val="73A52518"/>
    <w:rsid w:val="750A2372"/>
    <w:rsid w:val="755C79D6"/>
    <w:rsid w:val="756F3EAF"/>
    <w:rsid w:val="75714B4A"/>
    <w:rsid w:val="763E532E"/>
    <w:rsid w:val="768C502E"/>
    <w:rsid w:val="76E26681"/>
    <w:rsid w:val="78B76110"/>
    <w:rsid w:val="78BF49FB"/>
    <w:rsid w:val="78E5724B"/>
    <w:rsid w:val="794778C4"/>
    <w:rsid w:val="79A100AE"/>
    <w:rsid w:val="79C20308"/>
    <w:rsid w:val="7A4F1871"/>
    <w:rsid w:val="7A9674E6"/>
    <w:rsid w:val="7B430CF1"/>
    <w:rsid w:val="7B5B24DE"/>
    <w:rsid w:val="7B7B492E"/>
    <w:rsid w:val="7BC2255D"/>
    <w:rsid w:val="7BDD38E4"/>
    <w:rsid w:val="7C4D1E27"/>
    <w:rsid w:val="7D802572"/>
    <w:rsid w:val="7DDB3462"/>
    <w:rsid w:val="7E1437E9"/>
    <w:rsid w:val="7E5C0773"/>
    <w:rsid w:val="7E66206B"/>
    <w:rsid w:val="7EBC7738"/>
    <w:rsid w:val="7F0D7F93"/>
    <w:rsid w:val="7FAE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eastAsia="宋体" w:cs="Times New Roman"/>
      <w:kern w:val="0"/>
      <w:sz w:val="24"/>
    </w:rPr>
  </w:style>
  <w:style w:type="paragraph" w:styleId="3">
    <w:name w:val="Normal Indent"/>
    <w:basedOn w:val="1"/>
    <w:autoRedefine/>
    <w:qFormat/>
    <w:uiPriority w:val="0"/>
    <w:pPr>
      <w:adjustRightInd w:val="0"/>
      <w:spacing w:line="360" w:lineRule="atLeast"/>
      <w:ind w:firstLine="482"/>
      <w:textAlignment w:val="baseline"/>
    </w:pPr>
    <w:rPr>
      <w:kern w:val="0"/>
      <w:sz w:val="24"/>
    </w:rPr>
  </w:style>
  <w:style w:type="paragraph" w:styleId="4">
    <w:name w:val="index 5"/>
    <w:basedOn w:val="1"/>
    <w:next w:val="1"/>
    <w:autoRedefine/>
    <w:unhideWhenUsed/>
    <w:qFormat/>
    <w:uiPriority w:val="99"/>
    <w:pPr>
      <w:ind w:left="1050" w:hanging="210" w:firstLineChars="200"/>
      <w:jc w:val="left"/>
    </w:pPr>
    <w:rPr>
      <w:sz w:val="18"/>
      <w:szCs w:val="18"/>
      <w:lang w:eastAsia="zh-TW"/>
    </w:rPr>
  </w:style>
  <w:style w:type="paragraph" w:styleId="5">
    <w:name w:val="annotation text"/>
    <w:basedOn w:val="1"/>
    <w:autoRedefine/>
    <w:qFormat/>
    <w:uiPriority w:val="0"/>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autoRedefine/>
    <w:qFormat/>
    <w:uiPriority w:val="99"/>
    <w:pPr>
      <w:snapToGrid w:val="0"/>
    </w:pPr>
    <w:rPr>
      <w:rFonts w:ascii="Arial" w:hAnsi="Arial" w:cs="Arial"/>
    </w:rPr>
  </w:style>
  <w:style w:type="paragraph" w:styleId="8">
    <w:name w:val="index 4"/>
    <w:basedOn w:val="1"/>
    <w:next w:val="1"/>
    <w:autoRedefine/>
    <w:unhideWhenUsed/>
    <w:qFormat/>
    <w:uiPriority w:val="99"/>
    <w:pPr>
      <w:ind w:left="600" w:leftChars="600"/>
    </w:pPr>
    <w:rPr>
      <w:rFonts w:ascii="Times New Roman" w:hAnsi="Times New Roman" w:eastAsia="宋体" w:cs="Times New Roman"/>
    </w:rPr>
  </w:style>
  <w:style w:type="paragraph" w:styleId="9">
    <w:name w:val="footer"/>
    <w:basedOn w:val="1"/>
    <w:link w:val="19"/>
    <w:autoRedefine/>
    <w:unhideWhenUsed/>
    <w:qFormat/>
    <w:uiPriority w:val="99"/>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4"/>
    <w:autoRedefine/>
    <w:qFormat/>
    <w:uiPriority w:val="0"/>
    <w:pPr>
      <w:adjustRightInd w:val="0"/>
      <w:spacing w:line="312" w:lineRule="atLeast"/>
      <w:jc w:val="left"/>
      <w:textAlignment w:val="baseline"/>
    </w:pPr>
    <w:rPr>
      <w:kern w:val="0"/>
      <w:sz w:val="18"/>
      <w:szCs w:val="20"/>
    </w:rPr>
  </w:style>
  <w:style w:type="paragraph" w:styleId="1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3">
    <w:name w:val="Normal (Web)"/>
    <w:basedOn w:val="1"/>
    <w:autoRedefine/>
    <w:qFormat/>
    <w:uiPriority w:val="0"/>
    <w:pPr>
      <w:jc w:val="left"/>
    </w:pPr>
    <w:rPr>
      <w:rFonts w:cs="Times New Roman"/>
      <w:kern w:val="0"/>
      <w:sz w:val="24"/>
    </w:rPr>
  </w:style>
  <w:style w:type="paragraph" w:styleId="14">
    <w:name w:val="Body Text First Indent 2"/>
    <w:basedOn w:val="6"/>
    <w:autoRedefine/>
    <w:qFormat/>
    <w:uiPriority w:val="99"/>
    <w:pPr>
      <w:ind w:firstLine="420" w:firstLineChars="200"/>
    </w:p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页眉 Char"/>
    <w:basedOn w:val="17"/>
    <w:link w:val="10"/>
    <w:autoRedefine/>
    <w:qFormat/>
    <w:uiPriority w:val="99"/>
    <w:rPr>
      <w:sz w:val="18"/>
      <w:szCs w:val="18"/>
    </w:rPr>
  </w:style>
  <w:style w:type="character" w:customStyle="1" w:styleId="19">
    <w:name w:val="页脚 Char"/>
    <w:basedOn w:val="17"/>
    <w:link w:val="9"/>
    <w:autoRedefine/>
    <w:qFormat/>
    <w:uiPriority w:val="99"/>
    <w:rPr>
      <w:sz w:val="18"/>
      <w:szCs w:val="18"/>
    </w:rPr>
  </w:style>
  <w:style w:type="character" w:customStyle="1" w:styleId="20">
    <w:name w:val="font71"/>
    <w:basedOn w:val="17"/>
    <w:autoRedefine/>
    <w:qFormat/>
    <w:uiPriority w:val="0"/>
    <w:rPr>
      <w:rFonts w:hint="eastAsia" w:ascii="宋体" w:hAnsi="宋体" w:eastAsia="宋体" w:cs="宋体"/>
      <w:color w:val="000000"/>
      <w:sz w:val="18"/>
      <w:szCs w:val="18"/>
      <w:u w:val="none"/>
    </w:rPr>
  </w:style>
  <w:style w:type="character" w:customStyle="1" w:styleId="21">
    <w:name w:val="font11"/>
    <w:basedOn w:val="17"/>
    <w:autoRedefine/>
    <w:qFormat/>
    <w:uiPriority w:val="0"/>
    <w:rPr>
      <w:rFonts w:hint="eastAsia" w:ascii="宋体" w:hAnsi="宋体" w:eastAsia="宋体" w:cs="宋体"/>
      <w:color w:val="FF0000"/>
      <w:sz w:val="18"/>
      <w:szCs w:val="18"/>
      <w:u w:val="none"/>
    </w:rPr>
  </w:style>
  <w:style w:type="paragraph" w:customStyle="1" w:styleId="22">
    <w:name w:val="表格文字"/>
    <w:basedOn w:val="6"/>
    <w:next w:val="2"/>
    <w:autoRedefine/>
    <w:qFormat/>
    <w:uiPriority w:val="0"/>
    <w:pPr>
      <w:spacing w:before="60" w:after="60"/>
      <w:ind w:left="0" w:leftChars="0"/>
    </w:pPr>
    <w:rPr>
      <w:sz w:val="24"/>
    </w:rPr>
  </w:style>
  <w:style w:type="character" w:customStyle="1" w:styleId="23">
    <w:name w:val="font51"/>
    <w:basedOn w:val="17"/>
    <w:autoRedefine/>
    <w:qFormat/>
    <w:uiPriority w:val="0"/>
    <w:rPr>
      <w:rFonts w:hint="eastAsia" w:ascii="宋体" w:hAnsi="宋体" w:eastAsia="宋体" w:cs="宋体"/>
      <w:color w:val="000000"/>
      <w:sz w:val="20"/>
      <w:szCs w:val="20"/>
      <w:u w:val="none"/>
    </w:rPr>
  </w:style>
  <w:style w:type="character" w:customStyle="1" w:styleId="24">
    <w:name w:val="font31"/>
    <w:basedOn w:val="17"/>
    <w:autoRedefine/>
    <w:qFormat/>
    <w:uiPriority w:val="0"/>
    <w:rPr>
      <w:rFonts w:hint="eastAsia" w:ascii="宋体" w:hAnsi="宋体" w:eastAsia="宋体" w:cs="宋体"/>
      <w:color w:val="FF0000"/>
      <w:sz w:val="20"/>
      <w:szCs w:val="20"/>
      <w:u w:val="none"/>
    </w:rPr>
  </w:style>
  <w:style w:type="character" w:customStyle="1" w:styleId="25">
    <w:name w:val="font01"/>
    <w:basedOn w:val="17"/>
    <w:autoRedefine/>
    <w:qFormat/>
    <w:uiPriority w:val="0"/>
    <w:rPr>
      <w:rFonts w:hint="eastAsia" w:ascii="宋体" w:hAnsi="宋体" w:eastAsia="宋体" w:cs="宋体"/>
      <w:color w:val="000000"/>
      <w:sz w:val="36"/>
      <w:szCs w:val="36"/>
      <w:u w:val="none"/>
    </w:rPr>
  </w:style>
  <w:style w:type="paragraph" w:customStyle="1" w:styleId="26">
    <w:name w:val="正文首行缩进1"/>
    <w:basedOn w:val="2"/>
    <w:autoRedefine/>
    <w:qFormat/>
    <w:uiPriority w:val="0"/>
    <w:pPr>
      <w:ind w:firstLine="420" w:firstLineChars="100"/>
    </w:pPr>
  </w:style>
  <w:style w:type="character" w:customStyle="1" w:styleId="27">
    <w:name w:val="NormalCharacter"/>
    <w:autoRedefine/>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1433</Words>
  <Characters>2080</Characters>
  <Lines>11</Lines>
  <Paragraphs>3</Paragraphs>
  <TotalTime>8</TotalTime>
  <ScaleCrop>false</ScaleCrop>
  <LinksUpToDate>false</LinksUpToDate>
  <CharactersWithSpaces>2140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2022-08-23T03:20:00Z</dcterms:created>
  <dc:creator>wang</dc:creator>
  <cp:lastModifiedBy>9877</cp:lastModifiedBy>
  <cp:lastPrinted>2023-04-20T07:14:00Z</cp:lastPrinted>
  <dcterms:modified xsi:type="dcterms:W3CDTF">2024-05-16T06:40:05Z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74A6908A5B014173822DBDBE77033EA3_13</vt:lpwstr>
  </property>
</Properties>
</file>