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CB" w:rsidRDefault="006755CB">
      <w:pPr>
        <w:tabs>
          <w:tab w:val="left" w:pos="8640"/>
          <w:tab w:val="left" w:pos="9540"/>
        </w:tabs>
        <w:spacing w:line="360" w:lineRule="auto"/>
        <w:ind w:firstLine="722"/>
        <w:rPr>
          <w:rFonts w:ascii="黑体" w:eastAsia="黑体" w:hAnsi="黑体"/>
          <w:b/>
          <w:spacing w:val="40"/>
          <w:sz w:val="28"/>
          <w:szCs w:val="28"/>
        </w:rPr>
      </w:pPr>
      <w:bookmarkStart w:id="0" w:name="_Toc475517284"/>
      <w:bookmarkStart w:id="1" w:name="_Toc475511297"/>
      <w:bookmarkStart w:id="2" w:name="_Toc476051260"/>
      <w:bookmarkStart w:id="3" w:name="_Toc357410929"/>
      <w:bookmarkStart w:id="4" w:name="_Toc475508058"/>
      <w:bookmarkStart w:id="5" w:name="_Toc447001755"/>
      <w:bookmarkStart w:id="6" w:name="_Toc475508009"/>
      <w:bookmarkStart w:id="7" w:name="_Toc484938315"/>
    </w:p>
    <w:p w:rsidR="006755CB" w:rsidRDefault="006755CB">
      <w:pPr>
        <w:autoSpaceDE w:val="0"/>
        <w:autoSpaceDN w:val="0"/>
        <w:spacing w:line="360" w:lineRule="auto"/>
        <w:ind w:firstLine="562"/>
        <w:jc w:val="center"/>
        <w:rPr>
          <w:rFonts w:ascii="黑体" w:eastAsia="黑体" w:hAnsi="黑体"/>
          <w:b/>
          <w:sz w:val="28"/>
          <w:szCs w:val="28"/>
        </w:rPr>
      </w:pPr>
    </w:p>
    <w:p w:rsidR="006755CB" w:rsidRDefault="006755CB">
      <w:pPr>
        <w:autoSpaceDE w:val="0"/>
        <w:autoSpaceDN w:val="0"/>
        <w:spacing w:line="360" w:lineRule="auto"/>
        <w:ind w:firstLineChars="0" w:firstLine="0"/>
        <w:jc w:val="center"/>
        <w:rPr>
          <w:rFonts w:ascii="黑体" w:eastAsia="黑体" w:hAnsi="黑体"/>
          <w:b/>
          <w:sz w:val="28"/>
          <w:szCs w:val="28"/>
        </w:rPr>
      </w:pPr>
    </w:p>
    <w:p w:rsidR="006755CB" w:rsidRDefault="006755CB">
      <w:pPr>
        <w:spacing w:line="360" w:lineRule="auto"/>
        <w:ind w:firstLineChars="0" w:firstLine="0"/>
        <w:jc w:val="center"/>
        <w:rPr>
          <w:rFonts w:ascii="黑体" w:eastAsia="黑体" w:hAnsi="黑体"/>
          <w:b/>
          <w:sz w:val="52"/>
          <w:szCs w:val="52"/>
        </w:rPr>
      </w:pPr>
    </w:p>
    <w:p w:rsidR="006755CB" w:rsidRPr="008D09A8" w:rsidRDefault="00340766" w:rsidP="008D09A8">
      <w:pPr>
        <w:spacing w:line="700" w:lineRule="exact"/>
        <w:ind w:firstLineChars="0" w:firstLine="0"/>
        <w:jc w:val="center"/>
        <w:rPr>
          <w:rFonts w:ascii="方正小标宋简体" w:eastAsia="方正小标宋简体" w:hAnsi="黑体" w:hint="eastAsia"/>
          <w:sz w:val="52"/>
          <w:szCs w:val="52"/>
        </w:rPr>
      </w:pPr>
      <w:r w:rsidRPr="008D09A8">
        <w:rPr>
          <w:rFonts w:ascii="方正小标宋简体" w:eastAsia="方正小标宋简体" w:hAnsi="黑体" w:hint="eastAsia"/>
          <w:sz w:val="52"/>
          <w:szCs w:val="52"/>
        </w:rPr>
        <w:t>启东市医疗责任保险统保项目</w:t>
      </w:r>
    </w:p>
    <w:p w:rsidR="006755CB" w:rsidRPr="008D09A8" w:rsidRDefault="00340766" w:rsidP="008D09A8">
      <w:pPr>
        <w:spacing w:line="700" w:lineRule="exact"/>
        <w:ind w:firstLineChars="0" w:firstLine="0"/>
        <w:jc w:val="center"/>
        <w:rPr>
          <w:rFonts w:ascii="方正小标宋简体" w:eastAsia="方正小标宋简体" w:hAnsi="黑体" w:hint="eastAsia"/>
          <w:sz w:val="52"/>
          <w:szCs w:val="52"/>
        </w:rPr>
      </w:pPr>
      <w:r w:rsidRPr="008D09A8">
        <w:rPr>
          <w:rFonts w:ascii="方正小标宋简体" w:eastAsia="方正小标宋简体" w:hAnsi="黑体" w:hint="eastAsia"/>
          <w:sz w:val="52"/>
          <w:szCs w:val="52"/>
        </w:rPr>
        <w:t>遴选保险经纪机构评分表</w:t>
      </w:r>
    </w:p>
    <w:p w:rsidR="006755CB" w:rsidRDefault="006755CB">
      <w:pPr>
        <w:spacing w:line="360" w:lineRule="auto"/>
        <w:ind w:firstLineChars="0" w:firstLine="0"/>
        <w:jc w:val="center"/>
        <w:rPr>
          <w:rFonts w:ascii="黑体" w:eastAsia="黑体" w:hAnsi="黑体"/>
          <w:b/>
          <w:sz w:val="28"/>
          <w:szCs w:val="28"/>
        </w:rPr>
      </w:pPr>
    </w:p>
    <w:p w:rsidR="006755CB" w:rsidRDefault="006755CB">
      <w:pPr>
        <w:spacing w:line="360" w:lineRule="auto"/>
        <w:ind w:firstLineChars="0" w:firstLine="0"/>
        <w:jc w:val="center"/>
        <w:rPr>
          <w:rFonts w:ascii="黑体" w:eastAsia="黑体" w:hAnsi="黑体"/>
          <w:b/>
          <w:sz w:val="28"/>
          <w:szCs w:val="28"/>
        </w:rPr>
      </w:pPr>
    </w:p>
    <w:p w:rsidR="006755CB" w:rsidRDefault="006755CB">
      <w:pPr>
        <w:spacing w:line="360" w:lineRule="auto"/>
        <w:ind w:firstLineChars="0" w:firstLine="0"/>
        <w:jc w:val="center"/>
        <w:rPr>
          <w:rFonts w:ascii="黑体" w:eastAsia="黑体" w:hAnsi="黑体"/>
          <w:sz w:val="28"/>
          <w:szCs w:val="28"/>
        </w:rPr>
      </w:pPr>
    </w:p>
    <w:p w:rsidR="006755CB" w:rsidRDefault="006755CB">
      <w:pPr>
        <w:spacing w:line="360" w:lineRule="auto"/>
        <w:ind w:firstLineChars="0" w:firstLine="0"/>
        <w:rPr>
          <w:rFonts w:ascii="黑体" w:eastAsia="黑体" w:hAnsi="黑体"/>
          <w:sz w:val="28"/>
          <w:szCs w:val="28"/>
        </w:rPr>
      </w:pPr>
    </w:p>
    <w:p w:rsidR="006755CB" w:rsidRDefault="006755CB">
      <w:pPr>
        <w:spacing w:line="360" w:lineRule="auto"/>
        <w:ind w:firstLineChars="0" w:firstLine="0"/>
        <w:jc w:val="center"/>
        <w:rPr>
          <w:rFonts w:ascii="黑体" w:eastAsia="黑体" w:hAnsi="黑体"/>
          <w:bCs/>
          <w:sz w:val="28"/>
          <w:szCs w:val="28"/>
        </w:rPr>
      </w:pPr>
    </w:p>
    <w:p w:rsidR="006755CB" w:rsidRDefault="006755CB">
      <w:pPr>
        <w:spacing w:line="360" w:lineRule="auto"/>
        <w:ind w:firstLineChars="0" w:firstLine="0"/>
        <w:jc w:val="center"/>
        <w:rPr>
          <w:rFonts w:ascii="黑体" w:eastAsia="黑体" w:hAnsi="黑体"/>
          <w:bCs/>
          <w:sz w:val="28"/>
          <w:szCs w:val="28"/>
        </w:rPr>
      </w:pPr>
    </w:p>
    <w:p w:rsidR="006755CB" w:rsidRDefault="006755CB">
      <w:pPr>
        <w:spacing w:line="360" w:lineRule="auto"/>
        <w:ind w:firstLineChars="0" w:firstLine="0"/>
        <w:rPr>
          <w:rFonts w:ascii="黑体" w:eastAsia="黑体" w:hAnsi="黑体" w:hint="eastAsia"/>
          <w:bCs/>
          <w:sz w:val="28"/>
          <w:szCs w:val="28"/>
        </w:rPr>
      </w:pPr>
    </w:p>
    <w:p w:rsidR="008D09A8" w:rsidRDefault="008D09A8" w:rsidP="008D09A8">
      <w:pPr>
        <w:pStyle w:val="a0"/>
        <w:ind w:firstLine="640"/>
        <w:rPr>
          <w:rFonts w:hint="eastAsia"/>
        </w:rPr>
      </w:pPr>
    </w:p>
    <w:p w:rsidR="008D09A8" w:rsidRPr="008D09A8" w:rsidRDefault="008D09A8" w:rsidP="008D09A8">
      <w:pPr>
        <w:pStyle w:val="a0"/>
        <w:ind w:firstLine="640"/>
      </w:pPr>
    </w:p>
    <w:p w:rsidR="006755CB" w:rsidRDefault="006755CB">
      <w:pPr>
        <w:spacing w:line="360" w:lineRule="auto"/>
        <w:ind w:firstLineChars="0" w:firstLine="0"/>
        <w:jc w:val="center"/>
        <w:rPr>
          <w:rFonts w:ascii="黑体" w:eastAsia="黑体" w:hAnsi="黑体"/>
          <w:bCs/>
          <w:sz w:val="28"/>
          <w:szCs w:val="28"/>
        </w:rPr>
      </w:pPr>
    </w:p>
    <w:p w:rsidR="006755CB" w:rsidRDefault="006755CB">
      <w:pPr>
        <w:spacing w:line="360" w:lineRule="auto"/>
        <w:ind w:firstLineChars="0" w:firstLine="0"/>
        <w:jc w:val="center"/>
        <w:rPr>
          <w:rFonts w:ascii="黑体" w:eastAsia="黑体" w:hAnsi="黑体"/>
          <w:bCs/>
          <w:sz w:val="28"/>
          <w:szCs w:val="28"/>
        </w:rPr>
      </w:pPr>
    </w:p>
    <w:p w:rsidR="006755CB" w:rsidRDefault="006755CB">
      <w:pPr>
        <w:spacing w:line="360" w:lineRule="auto"/>
        <w:ind w:firstLineChars="0" w:firstLine="0"/>
        <w:jc w:val="center"/>
        <w:rPr>
          <w:rFonts w:ascii="黑体" w:eastAsia="黑体" w:hAnsi="黑体"/>
          <w:b/>
          <w:sz w:val="28"/>
          <w:szCs w:val="28"/>
        </w:rPr>
      </w:pPr>
    </w:p>
    <w:p w:rsidR="006755CB" w:rsidRDefault="006755CB">
      <w:pPr>
        <w:spacing w:line="360" w:lineRule="auto"/>
        <w:ind w:firstLineChars="0" w:firstLine="0"/>
        <w:jc w:val="center"/>
        <w:rPr>
          <w:rFonts w:ascii="黑体" w:eastAsia="黑体" w:hAnsi="黑体"/>
          <w:b/>
          <w:sz w:val="28"/>
          <w:szCs w:val="28"/>
        </w:rPr>
      </w:pPr>
    </w:p>
    <w:p w:rsidR="006755CB" w:rsidRPr="008D09A8" w:rsidRDefault="00340766">
      <w:pPr>
        <w:spacing w:line="360" w:lineRule="auto"/>
        <w:ind w:firstLineChars="0" w:firstLine="0"/>
        <w:jc w:val="center"/>
        <w:rPr>
          <w:rFonts w:ascii="方正小标宋简体" w:eastAsia="方正小标宋简体" w:hAnsi="黑体" w:hint="eastAsia"/>
          <w:sz w:val="44"/>
          <w:szCs w:val="44"/>
        </w:rPr>
      </w:pPr>
      <w:r w:rsidRPr="008D09A8">
        <w:rPr>
          <w:rFonts w:ascii="方正小标宋简体" w:eastAsia="方正小标宋简体" w:hAnsi="黑体" w:hint="eastAsia"/>
          <w:sz w:val="44"/>
          <w:szCs w:val="44"/>
        </w:rPr>
        <w:t>二</w:t>
      </w:r>
      <w:r w:rsidRPr="008D09A8">
        <w:rPr>
          <w:rFonts w:ascii="方正小标宋简体" w:eastAsia="黑体" w:hAnsi="黑体" w:hint="eastAsia"/>
          <w:sz w:val="44"/>
          <w:szCs w:val="44"/>
        </w:rPr>
        <w:t>〇</w:t>
      </w:r>
      <w:r w:rsidRPr="008D09A8">
        <w:rPr>
          <w:rFonts w:ascii="方正小标宋简体" w:eastAsia="方正小标宋简体" w:hAnsi="黑体" w:hint="eastAsia"/>
          <w:sz w:val="44"/>
          <w:szCs w:val="44"/>
        </w:rPr>
        <w:t>一九年</w:t>
      </w:r>
      <w:r w:rsidRPr="008D09A8">
        <w:rPr>
          <w:rFonts w:ascii="方正小标宋简体" w:eastAsia="方正小标宋简体" w:hAnsi="黑体" w:hint="eastAsia"/>
          <w:sz w:val="44"/>
          <w:szCs w:val="44"/>
        </w:rPr>
        <w:t>八</w:t>
      </w:r>
      <w:r w:rsidRPr="008D09A8">
        <w:rPr>
          <w:rFonts w:ascii="方正小标宋简体" w:eastAsia="方正小标宋简体" w:hAnsi="黑体" w:hint="eastAsia"/>
          <w:sz w:val="44"/>
          <w:szCs w:val="44"/>
        </w:rPr>
        <w:t>月</w:t>
      </w:r>
    </w:p>
    <w:p w:rsidR="006755CB" w:rsidRDefault="006755CB">
      <w:pPr>
        <w:spacing w:line="360" w:lineRule="auto"/>
        <w:ind w:firstLineChars="0" w:firstLine="562"/>
        <w:jc w:val="center"/>
        <w:rPr>
          <w:rFonts w:ascii="黑体" w:eastAsia="黑体" w:hAnsi="黑体"/>
          <w:b/>
          <w:sz w:val="30"/>
          <w:szCs w:val="30"/>
        </w:rPr>
        <w:sectPr w:rsidR="006755CB">
          <w:headerReference w:type="even" r:id="rId8"/>
          <w:headerReference w:type="default" r:id="rId9"/>
          <w:footerReference w:type="even" r:id="rId10"/>
          <w:footerReference w:type="default" r:id="rId11"/>
          <w:headerReference w:type="first" r:id="rId12"/>
          <w:footerReference w:type="first" r:id="rId13"/>
          <w:pgSz w:w="11906" w:h="16838"/>
          <w:pgMar w:top="1327" w:right="1406" w:bottom="1327" w:left="1701" w:header="851" w:footer="992" w:gutter="0"/>
          <w:cols w:space="720"/>
          <w:titlePg/>
          <w:docGrid w:type="linesAndChars" w:linePitch="381"/>
        </w:sectPr>
      </w:pPr>
    </w:p>
    <w:p w:rsidR="006755CB" w:rsidRDefault="00340766">
      <w:pPr>
        <w:spacing w:after="156" w:line="360" w:lineRule="auto"/>
        <w:ind w:firstLineChars="0" w:firstLine="0"/>
        <w:jc w:val="center"/>
        <w:outlineLvl w:val="2"/>
        <w:rPr>
          <w:rFonts w:ascii="黑体" w:eastAsia="黑体" w:hAnsi="黑体"/>
          <w:b/>
          <w:bCs/>
          <w:sz w:val="28"/>
          <w:szCs w:val="28"/>
        </w:rPr>
      </w:pPr>
      <w:bookmarkStart w:id="8" w:name="_Toc514400726"/>
      <w:bookmarkStart w:id="9" w:name="_Toc5615"/>
      <w:bookmarkStart w:id="10" w:name="_Toc7235"/>
      <w:r>
        <w:rPr>
          <w:rFonts w:ascii="黑体" w:eastAsia="黑体" w:hAnsi="黑体" w:hint="eastAsia"/>
          <w:b/>
          <w:bCs/>
          <w:sz w:val="28"/>
          <w:szCs w:val="28"/>
        </w:rPr>
        <w:lastRenderedPageBreak/>
        <w:t>第一部分</w:t>
      </w:r>
      <w:r>
        <w:rPr>
          <w:rFonts w:ascii="黑体" w:eastAsia="黑体" w:hAnsi="黑体" w:hint="eastAsia"/>
          <w:b/>
          <w:bCs/>
          <w:sz w:val="28"/>
          <w:szCs w:val="28"/>
        </w:rPr>
        <w:t xml:space="preserve"> </w:t>
      </w:r>
      <w:r>
        <w:rPr>
          <w:rFonts w:ascii="黑体" w:eastAsia="黑体" w:hAnsi="黑体" w:hint="eastAsia"/>
          <w:b/>
          <w:bCs/>
          <w:sz w:val="28"/>
          <w:szCs w:val="28"/>
        </w:rPr>
        <w:t>评分表</w:t>
      </w:r>
    </w:p>
    <w:p w:rsidR="006755CB" w:rsidRDefault="00340766">
      <w:pPr>
        <w:spacing w:after="156" w:line="360" w:lineRule="auto"/>
        <w:ind w:firstLine="570"/>
        <w:jc w:val="left"/>
        <w:outlineLvl w:val="2"/>
        <w:rPr>
          <w:rFonts w:ascii="黑体" w:eastAsia="黑体" w:hAnsi="黑体"/>
          <w:sz w:val="28"/>
          <w:szCs w:val="28"/>
        </w:rPr>
      </w:pPr>
      <w:r>
        <w:rPr>
          <w:rFonts w:ascii="黑体" w:eastAsia="黑体" w:hAnsi="黑体" w:hint="eastAsia"/>
          <w:sz w:val="28"/>
          <w:szCs w:val="28"/>
        </w:rPr>
        <w:t>本次遴选采用综合评分法，评审小组成员按照遴选文件的要求依照下表所列的评审细则对应选文件进行综合评分，对各个评选因素进行量化，评出每一应选人的总分，评审细则如下：</w:t>
      </w:r>
    </w:p>
    <w:p w:rsidR="006755CB" w:rsidRDefault="00340766">
      <w:pPr>
        <w:spacing w:after="156" w:line="360" w:lineRule="auto"/>
        <w:ind w:firstLineChars="0" w:firstLine="0"/>
        <w:jc w:val="left"/>
        <w:outlineLvl w:val="2"/>
        <w:rPr>
          <w:rFonts w:ascii="宋体"/>
          <w:b/>
          <w:bCs/>
        </w:rPr>
      </w:pPr>
      <w:r>
        <w:rPr>
          <w:rFonts w:ascii="黑体" w:eastAsia="黑体" w:hAnsi="黑体" w:hint="eastAsia"/>
          <w:sz w:val="28"/>
          <w:szCs w:val="28"/>
        </w:rPr>
        <w:t>附表一</w:t>
      </w:r>
      <w:r>
        <w:rPr>
          <w:rFonts w:ascii="黑体" w:eastAsia="黑体" w:hAnsi="黑体" w:hint="eastAsia"/>
          <w:sz w:val="28"/>
          <w:szCs w:val="28"/>
        </w:rPr>
        <w:t xml:space="preserve"> </w:t>
      </w:r>
      <w:r>
        <w:rPr>
          <w:rFonts w:ascii="黑体" w:eastAsia="黑体" w:hAnsi="黑体" w:hint="eastAsia"/>
          <w:sz w:val="28"/>
          <w:szCs w:val="28"/>
        </w:rPr>
        <w:t>商务部分评审表</w:t>
      </w:r>
      <w:bookmarkEnd w:id="8"/>
      <w:bookmarkEnd w:id="9"/>
      <w:bookmarkEnd w:id="10"/>
    </w:p>
    <w:tbl>
      <w:tblPr>
        <w:tblW w:w="87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9"/>
        <w:gridCol w:w="928"/>
        <w:gridCol w:w="1097"/>
        <w:gridCol w:w="5886"/>
      </w:tblGrid>
      <w:tr w:rsidR="006755CB" w:rsidTr="008D09A8">
        <w:trPr>
          <w:cantSplit/>
          <w:trHeight w:val="591"/>
          <w:tblHeader/>
          <w:jc w:val="center"/>
        </w:trPr>
        <w:tc>
          <w:tcPr>
            <w:tcW w:w="829" w:type="dxa"/>
            <w:tcBorders>
              <w:top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序号</w:t>
            </w:r>
          </w:p>
        </w:tc>
        <w:tc>
          <w:tcPr>
            <w:tcW w:w="928" w:type="dxa"/>
            <w:tcBorders>
              <w:top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项目</w:t>
            </w:r>
          </w:p>
        </w:tc>
        <w:tc>
          <w:tcPr>
            <w:tcW w:w="1097" w:type="dxa"/>
            <w:tcBorders>
              <w:top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标准分</w:t>
            </w:r>
          </w:p>
        </w:tc>
        <w:tc>
          <w:tcPr>
            <w:tcW w:w="5886" w:type="dxa"/>
            <w:tcBorders>
              <w:top w:val="single" w:sz="12" w:space="0" w:color="auto"/>
            </w:tcBorders>
            <w:vAlign w:val="center"/>
          </w:tcPr>
          <w:p w:rsidR="006755CB" w:rsidRDefault="00340766">
            <w:pPr>
              <w:spacing w:line="240" w:lineRule="auto"/>
              <w:ind w:firstLine="570"/>
              <w:jc w:val="center"/>
              <w:rPr>
                <w:rFonts w:ascii="黑体" w:eastAsia="黑体" w:hAnsi="黑体"/>
                <w:sz w:val="28"/>
                <w:szCs w:val="28"/>
              </w:rPr>
            </w:pPr>
            <w:r>
              <w:rPr>
                <w:rFonts w:ascii="黑体" w:eastAsia="黑体" w:hAnsi="黑体" w:hint="eastAsia"/>
                <w:sz w:val="28"/>
                <w:szCs w:val="28"/>
              </w:rPr>
              <w:t>评分标准</w:t>
            </w:r>
          </w:p>
        </w:tc>
      </w:tr>
      <w:tr w:rsidR="006755CB" w:rsidTr="008D09A8">
        <w:trPr>
          <w:cantSplit/>
          <w:trHeight w:val="884"/>
          <w:jc w:val="center"/>
        </w:trPr>
        <w:tc>
          <w:tcPr>
            <w:tcW w:w="829"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1</w:t>
            </w:r>
          </w:p>
        </w:tc>
        <w:tc>
          <w:tcPr>
            <w:tcW w:w="928"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保险经纪业绩</w:t>
            </w:r>
          </w:p>
        </w:tc>
        <w:tc>
          <w:tcPr>
            <w:tcW w:w="10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4</w:t>
            </w:r>
            <w:r>
              <w:rPr>
                <w:rFonts w:ascii="黑体" w:eastAsia="黑体" w:hAnsi="黑体" w:hint="eastAsia"/>
                <w:sz w:val="28"/>
                <w:szCs w:val="28"/>
              </w:rPr>
              <w:t>分</w:t>
            </w:r>
          </w:p>
        </w:tc>
        <w:tc>
          <w:tcPr>
            <w:tcW w:w="5886" w:type="dxa"/>
            <w:vAlign w:val="center"/>
          </w:tcPr>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参选人服务过的政府责任险项目经验，每有一个省</w:t>
            </w:r>
            <w:r>
              <w:rPr>
                <w:rFonts w:ascii="黑体" w:eastAsia="黑体" w:hAnsi="黑体" w:hint="eastAsia"/>
                <w:sz w:val="28"/>
                <w:szCs w:val="28"/>
              </w:rPr>
              <w:t>级</w:t>
            </w:r>
            <w:r>
              <w:rPr>
                <w:rFonts w:ascii="黑体" w:eastAsia="黑体" w:hAnsi="黑体" w:hint="eastAsia"/>
                <w:sz w:val="28"/>
                <w:szCs w:val="28"/>
              </w:rPr>
              <w:t>或直辖市统保项目得</w:t>
            </w:r>
            <w:r>
              <w:rPr>
                <w:rFonts w:ascii="黑体" w:eastAsia="黑体" w:hAnsi="黑体" w:hint="eastAsia"/>
                <w:sz w:val="28"/>
                <w:szCs w:val="28"/>
              </w:rPr>
              <w:t>2</w:t>
            </w:r>
            <w:r>
              <w:rPr>
                <w:rFonts w:ascii="黑体" w:eastAsia="黑体" w:hAnsi="黑体" w:hint="eastAsia"/>
                <w:sz w:val="28"/>
                <w:szCs w:val="28"/>
              </w:rPr>
              <w:t>分；每有</w:t>
            </w:r>
            <w:r>
              <w:rPr>
                <w:rFonts w:ascii="黑体" w:eastAsia="黑体" w:hAnsi="黑体" w:hint="eastAsia"/>
                <w:sz w:val="28"/>
                <w:szCs w:val="28"/>
              </w:rPr>
              <w:t>一个</w:t>
            </w:r>
            <w:r>
              <w:rPr>
                <w:rFonts w:ascii="黑体" w:eastAsia="黑体" w:hAnsi="黑体" w:hint="eastAsia"/>
                <w:sz w:val="28"/>
                <w:szCs w:val="28"/>
              </w:rPr>
              <w:t>地市级统保项目得</w:t>
            </w:r>
            <w:r>
              <w:rPr>
                <w:rFonts w:ascii="黑体" w:eastAsia="黑体" w:hAnsi="黑体" w:hint="eastAsia"/>
                <w:sz w:val="28"/>
                <w:szCs w:val="28"/>
              </w:rPr>
              <w:t>1</w:t>
            </w:r>
            <w:r>
              <w:rPr>
                <w:rFonts w:ascii="黑体" w:eastAsia="黑体" w:hAnsi="黑体" w:hint="eastAsia"/>
                <w:sz w:val="28"/>
                <w:szCs w:val="28"/>
              </w:rPr>
              <w:t>分；每有一个县级统保业绩的得</w:t>
            </w:r>
            <w:r>
              <w:rPr>
                <w:rFonts w:ascii="黑体" w:eastAsia="黑体" w:hAnsi="黑体" w:hint="eastAsia"/>
                <w:sz w:val="28"/>
                <w:szCs w:val="28"/>
              </w:rPr>
              <w:t>0.5</w:t>
            </w:r>
            <w:r>
              <w:rPr>
                <w:rFonts w:ascii="黑体" w:eastAsia="黑体" w:hAnsi="黑体" w:hint="eastAsia"/>
                <w:sz w:val="28"/>
                <w:szCs w:val="28"/>
              </w:rPr>
              <w:t>分。所有业绩不重复计算得分，如是一个县级或一个市级</w:t>
            </w:r>
            <w:r>
              <w:rPr>
                <w:rFonts w:ascii="黑体" w:eastAsia="黑体" w:hAnsi="黑体" w:hint="eastAsia"/>
                <w:sz w:val="28"/>
                <w:szCs w:val="28"/>
              </w:rPr>
              <w:t>及以上</w:t>
            </w:r>
            <w:r>
              <w:rPr>
                <w:rFonts w:ascii="黑体" w:eastAsia="黑体" w:hAnsi="黑体" w:hint="eastAsia"/>
                <w:sz w:val="28"/>
                <w:szCs w:val="28"/>
              </w:rPr>
              <w:t>统保，不得拆分计算分数。最高得分</w:t>
            </w:r>
            <w:r>
              <w:rPr>
                <w:rFonts w:ascii="黑体" w:eastAsia="黑体" w:hAnsi="黑体" w:hint="eastAsia"/>
                <w:sz w:val="28"/>
                <w:szCs w:val="28"/>
              </w:rPr>
              <w:t>4</w:t>
            </w:r>
            <w:r>
              <w:rPr>
                <w:rFonts w:ascii="黑体" w:eastAsia="黑体" w:hAnsi="黑体" w:hint="eastAsia"/>
                <w:sz w:val="28"/>
                <w:szCs w:val="28"/>
              </w:rPr>
              <w:t>分。</w:t>
            </w:r>
          </w:p>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注：业绩认定标准：根据委托书或委托协议认定，且协议正在履</w:t>
            </w:r>
            <w:bookmarkStart w:id="11" w:name="_GoBack"/>
            <w:bookmarkEnd w:id="11"/>
            <w:r>
              <w:rPr>
                <w:rFonts w:ascii="黑体" w:eastAsia="黑体" w:hAnsi="黑体" w:hint="eastAsia"/>
                <w:sz w:val="28"/>
                <w:szCs w:val="28"/>
              </w:rPr>
              <w:t>行，属于独家服务。原件备查。</w:t>
            </w:r>
          </w:p>
        </w:tc>
      </w:tr>
      <w:tr w:rsidR="006755CB" w:rsidTr="008D09A8">
        <w:trPr>
          <w:cantSplit/>
          <w:trHeight w:val="884"/>
          <w:jc w:val="center"/>
        </w:trPr>
        <w:tc>
          <w:tcPr>
            <w:tcW w:w="829"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2</w:t>
            </w:r>
          </w:p>
        </w:tc>
        <w:tc>
          <w:tcPr>
            <w:tcW w:w="928"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保险经纪公司荣誉</w:t>
            </w:r>
          </w:p>
        </w:tc>
        <w:tc>
          <w:tcPr>
            <w:tcW w:w="10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2</w:t>
            </w:r>
            <w:r>
              <w:rPr>
                <w:rFonts w:ascii="黑体" w:eastAsia="黑体" w:hAnsi="黑体" w:hint="eastAsia"/>
                <w:sz w:val="28"/>
                <w:szCs w:val="28"/>
              </w:rPr>
              <w:t>分</w:t>
            </w:r>
          </w:p>
        </w:tc>
        <w:tc>
          <w:tcPr>
            <w:tcW w:w="5886" w:type="dxa"/>
            <w:vAlign w:val="center"/>
          </w:tcPr>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参选人获得过全国性保险行业或政府监管部门荣誉的，每获得一项得</w:t>
            </w:r>
            <w:r>
              <w:rPr>
                <w:rFonts w:ascii="黑体" w:eastAsia="黑体" w:hAnsi="黑体" w:hint="eastAsia"/>
                <w:sz w:val="28"/>
                <w:szCs w:val="28"/>
              </w:rPr>
              <w:t>1</w:t>
            </w:r>
            <w:r>
              <w:rPr>
                <w:rFonts w:ascii="黑体" w:eastAsia="黑体" w:hAnsi="黑体" w:hint="eastAsia"/>
                <w:sz w:val="28"/>
                <w:szCs w:val="28"/>
              </w:rPr>
              <w:t>分，最高得</w:t>
            </w:r>
            <w:r>
              <w:rPr>
                <w:rFonts w:ascii="黑体" w:eastAsia="黑体" w:hAnsi="黑体" w:hint="eastAsia"/>
                <w:sz w:val="28"/>
                <w:szCs w:val="28"/>
              </w:rPr>
              <w:t>1</w:t>
            </w:r>
            <w:r>
              <w:rPr>
                <w:rFonts w:ascii="黑体" w:eastAsia="黑体" w:hAnsi="黑体" w:hint="eastAsia"/>
                <w:sz w:val="28"/>
                <w:szCs w:val="28"/>
              </w:rPr>
              <w:t>分；省级保险行业或政府监管部门荣誉，每获得一项得</w:t>
            </w:r>
            <w:r>
              <w:rPr>
                <w:rFonts w:ascii="黑体" w:eastAsia="黑体" w:hAnsi="黑体" w:hint="eastAsia"/>
                <w:sz w:val="28"/>
                <w:szCs w:val="28"/>
              </w:rPr>
              <w:t>0.5</w:t>
            </w:r>
            <w:r>
              <w:rPr>
                <w:rFonts w:ascii="黑体" w:eastAsia="黑体" w:hAnsi="黑体" w:hint="eastAsia"/>
                <w:sz w:val="28"/>
                <w:szCs w:val="28"/>
              </w:rPr>
              <w:t>分，最高得分</w:t>
            </w:r>
            <w:r>
              <w:rPr>
                <w:rFonts w:ascii="黑体" w:eastAsia="黑体" w:hAnsi="黑体" w:hint="eastAsia"/>
                <w:sz w:val="28"/>
                <w:szCs w:val="28"/>
              </w:rPr>
              <w:t>1</w:t>
            </w:r>
            <w:r>
              <w:rPr>
                <w:rFonts w:ascii="黑体" w:eastAsia="黑体" w:hAnsi="黑体" w:hint="eastAsia"/>
                <w:sz w:val="28"/>
                <w:szCs w:val="28"/>
              </w:rPr>
              <w:t>分；</w:t>
            </w:r>
          </w:p>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满分</w:t>
            </w:r>
            <w:r>
              <w:rPr>
                <w:rFonts w:ascii="黑体" w:eastAsia="黑体" w:hAnsi="黑体" w:hint="eastAsia"/>
                <w:sz w:val="28"/>
                <w:szCs w:val="28"/>
              </w:rPr>
              <w:t>2</w:t>
            </w:r>
            <w:r>
              <w:rPr>
                <w:rFonts w:ascii="黑体" w:eastAsia="黑体" w:hAnsi="黑体" w:hint="eastAsia"/>
                <w:sz w:val="28"/>
                <w:szCs w:val="28"/>
              </w:rPr>
              <w:t>分；没有得</w:t>
            </w:r>
            <w:r>
              <w:rPr>
                <w:rFonts w:ascii="黑体" w:eastAsia="黑体" w:hAnsi="黑体" w:hint="eastAsia"/>
                <w:sz w:val="28"/>
                <w:szCs w:val="28"/>
              </w:rPr>
              <w:t>0</w:t>
            </w:r>
            <w:r>
              <w:rPr>
                <w:rFonts w:ascii="黑体" w:eastAsia="黑体" w:hAnsi="黑体" w:hint="eastAsia"/>
                <w:sz w:val="28"/>
                <w:szCs w:val="28"/>
              </w:rPr>
              <w:t>分。</w:t>
            </w:r>
          </w:p>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注：以参选人提供的奖牌、荣誉证书等可以证明其或得荣誉的材料为依据。</w:t>
            </w:r>
          </w:p>
        </w:tc>
      </w:tr>
      <w:tr w:rsidR="006755CB" w:rsidTr="008D09A8">
        <w:trPr>
          <w:cantSplit/>
          <w:trHeight w:val="884"/>
          <w:jc w:val="center"/>
        </w:trPr>
        <w:tc>
          <w:tcPr>
            <w:tcW w:w="829"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3</w:t>
            </w:r>
          </w:p>
        </w:tc>
        <w:tc>
          <w:tcPr>
            <w:tcW w:w="928" w:type="dxa"/>
            <w:vAlign w:val="center"/>
          </w:tcPr>
          <w:p w:rsidR="006755CB" w:rsidRDefault="00340766">
            <w:pPr>
              <w:spacing w:line="240" w:lineRule="auto"/>
              <w:ind w:firstLineChars="0" w:firstLine="0"/>
              <w:jc w:val="left"/>
              <w:rPr>
                <w:rFonts w:ascii="黑体" w:eastAsia="黑体" w:hAnsi="黑体"/>
                <w:sz w:val="28"/>
                <w:szCs w:val="28"/>
              </w:rPr>
            </w:pPr>
            <w:r>
              <w:rPr>
                <w:rFonts w:ascii="黑体" w:eastAsia="黑体" w:hAnsi="黑体" w:hint="eastAsia"/>
                <w:sz w:val="28"/>
                <w:szCs w:val="28"/>
              </w:rPr>
              <w:t>职业责任保险</w:t>
            </w:r>
          </w:p>
        </w:tc>
        <w:tc>
          <w:tcPr>
            <w:tcW w:w="10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5</w:t>
            </w:r>
            <w:r>
              <w:rPr>
                <w:rFonts w:ascii="黑体" w:eastAsia="黑体" w:hAnsi="黑体" w:hint="eastAsia"/>
                <w:sz w:val="28"/>
                <w:szCs w:val="28"/>
              </w:rPr>
              <w:t>分</w:t>
            </w:r>
          </w:p>
        </w:tc>
        <w:tc>
          <w:tcPr>
            <w:tcW w:w="5886" w:type="dxa"/>
            <w:vAlign w:val="center"/>
          </w:tcPr>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参选人有无按银保监会的要求投保职业责任保险，符合要求得</w:t>
            </w:r>
            <w:r>
              <w:rPr>
                <w:rFonts w:ascii="黑体" w:eastAsia="黑体" w:hAnsi="黑体" w:hint="eastAsia"/>
                <w:sz w:val="28"/>
                <w:szCs w:val="28"/>
              </w:rPr>
              <w:t>5</w:t>
            </w:r>
            <w:r>
              <w:rPr>
                <w:rFonts w:ascii="黑体" w:eastAsia="黑体" w:hAnsi="黑体" w:hint="eastAsia"/>
                <w:sz w:val="28"/>
                <w:szCs w:val="28"/>
              </w:rPr>
              <w:t>分，不符合要求得</w:t>
            </w:r>
            <w:r>
              <w:rPr>
                <w:rFonts w:ascii="黑体" w:eastAsia="黑体" w:hAnsi="黑体" w:hint="eastAsia"/>
                <w:sz w:val="28"/>
                <w:szCs w:val="28"/>
              </w:rPr>
              <w:t>0</w:t>
            </w:r>
            <w:r>
              <w:rPr>
                <w:rFonts w:ascii="黑体" w:eastAsia="黑体" w:hAnsi="黑体" w:hint="eastAsia"/>
                <w:sz w:val="28"/>
                <w:szCs w:val="28"/>
              </w:rPr>
              <w:t>分。</w:t>
            </w:r>
          </w:p>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注：参选人提供职业责任保险凭证上载明，保险经纪公司投保的职业责任保险对一次事故的赔偿限额不低于人民币</w:t>
            </w:r>
            <w:r>
              <w:rPr>
                <w:rFonts w:ascii="黑体" w:eastAsia="黑体" w:hAnsi="黑体" w:hint="eastAsia"/>
                <w:sz w:val="28"/>
                <w:szCs w:val="28"/>
              </w:rPr>
              <w:t>100</w:t>
            </w:r>
            <w:r>
              <w:rPr>
                <w:rFonts w:ascii="黑体" w:eastAsia="黑体" w:hAnsi="黑体" w:hint="eastAsia"/>
                <w:sz w:val="28"/>
                <w:szCs w:val="28"/>
              </w:rPr>
              <w:t>万元；一年期保单的累计赔偿限额不低于</w:t>
            </w:r>
            <w:r>
              <w:rPr>
                <w:rFonts w:ascii="黑体" w:eastAsia="黑体" w:hAnsi="黑体" w:hint="eastAsia"/>
                <w:sz w:val="28"/>
                <w:szCs w:val="28"/>
              </w:rPr>
              <w:t>1000</w:t>
            </w:r>
            <w:r>
              <w:rPr>
                <w:rFonts w:ascii="黑体" w:eastAsia="黑体" w:hAnsi="黑体" w:hint="eastAsia"/>
                <w:sz w:val="28"/>
                <w:szCs w:val="28"/>
              </w:rPr>
              <w:t>万，且不得低于保险经纪人上年度的主营业务收入。</w:t>
            </w:r>
          </w:p>
        </w:tc>
      </w:tr>
      <w:tr w:rsidR="006755CB" w:rsidTr="008D09A8">
        <w:trPr>
          <w:cantSplit/>
          <w:trHeight w:val="90"/>
          <w:jc w:val="center"/>
        </w:trPr>
        <w:tc>
          <w:tcPr>
            <w:tcW w:w="829"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lastRenderedPageBreak/>
              <w:t>4</w:t>
            </w:r>
          </w:p>
        </w:tc>
        <w:tc>
          <w:tcPr>
            <w:tcW w:w="928"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项目服务团队</w:t>
            </w:r>
          </w:p>
        </w:tc>
        <w:tc>
          <w:tcPr>
            <w:tcW w:w="10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3</w:t>
            </w:r>
            <w:r>
              <w:rPr>
                <w:rFonts w:ascii="黑体" w:eastAsia="黑体" w:hAnsi="黑体" w:hint="eastAsia"/>
                <w:sz w:val="28"/>
                <w:szCs w:val="28"/>
              </w:rPr>
              <w:t>分</w:t>
            </w:r>
          </w:p>
        </w:tc>
        <w:tc>
          <w:tcPr>
            <w:tcW w:w="5886" w:type="dxa"/>
          </w:tcPr>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本项目负责人担任过医疗责任保险经纪服务项目负责人，得</w:t>
            </w:r>
            <w:r>
              <w:rPr>
                <w:rFonts w:ascii="黑体" w:eastAsia="黑体" w:hAnsi="黑体" w:hint="eastAsia"/>
                <w:sz w:val="28"/>
                <w:szCs w:val="28"/>
              </w:rPr>
              <w:t>2</w:t>
            </w:r>
            <w:r>
              <w:rPr>
                <w:rFonts w:ascii="黑体" w:eastAsia="黑体" w:hAnsi="黑体" w:hint="eastAsia"/>
                <w:sz w:val="28"/>
                <w:szCs w:val="28"/>
              </w:rPr>
              <w:t>分；担任过其他政府项目保险经纪服务项目负责人，得</w:t>
            </w:r>
            <w:r>
              <w:rPr>
                <w:rFonts w:ascii="黑体" w:eastAsia="黑体" w:hAnsi="黑体" w:hint="eastAsia"/>
                <w:sz w:val="28"/>
                <w:szCs w:val="28"/>
              </w:rPr>
              <w:t>1</w:t>
            </w:r>
            <w:r>
              <w:rPr>
                <w:rFonts w:ascii="黑体" w:eastAsia="黑体" w:hAnsi="黑体" w:hint="eastAsia"/>
                <w:sz w:val="28"/>
                <w:szCs w:val="28"/>
              </w:rPr>
              <w:t>分，最</w:t>
            </w:r>
            <w:r>
              <w:rPr>
                <w:rFonts w:ascii="黑体" w:eastAsia="黑体" w:hAnsi="黑体" w:hint="eastAsia"/>
                <w:sz w:val="28"/>
                <w:szCs w:val="28"/>
              </w:rPr>
              <w:t>高</w:t>
            </w:r>
            <w:r>
              <w:rPr>
                <w:rFonts w:ascii="黑体" w:eastAsia="黑体" w:hAnsi="黑体" w:hint="eastAsia"/>
                <w:sz w:val="28"/>
                <w:szCs w:val="28"/>
              </w:rPr>
              <w:t>得</w:t>
            </w:r>
            <w:r>
              <w:rPr>
                <w:rFonts w:ascii="黑体" w:eastAsia="黑体" w:hAnsi="黑体" w:hint="eastAsia"/>
                <w:sz w:val="28"/>
                <w:szCs w:val="28"/>
              </w:rPr>
              <w:t>3</w:t>
            </w:r>
            <w:r>
              <w:rPr>
                <w:rFonts w:ascii="黑体" w:eastAsia="黑体" w:hAnsi="黑体" w:hint="eastAsia"/>
                <w:sz w:val="28"/>
                <w:szCs w:val="28"/>
              </w:rPr>
              <w:t>分。</w:t>
            </w:r>
          </w:p>
          <w:p w:rsidR="006755CB" w:rsidRDefault="00340766">
            <w:pPr>
              <w:spacing w:line="240" w:lineRule="auto"/>
              <w:ind w:firstLine="570"/>
              <w:jc w:val="left"/>
              <w:rPr>
                <w:rFonts w:ascii="黑体" w:eastAsia="黑体" w:hAnsi="黑体"/>
                <w:sz w:val="28"/>
                <w:szCs w:val="28"/>
              </w:rPr>
            </w:pPr>
            <w:r>
              <w:rPr>
                <w:rFonts w:ascii="黑体" w:eastAsia="黑体" w:hAnsi="黑体" w:hint="eastAsia"/>
                <w:sz w:val="28"/>
                <w:szCs w:val="28"/>
              </w:rPr>
              <w:t>（应选文件附复印件加盖公章，开标现场提供原件，未提供者不得分）</w:t>
            </w:r>
          </w:p>
        </w:tc>
      </w:tr>
      <w:tr w:rsidR="006755CB" w:rsidTr="008D09A8">
        <w:trPr>
          <w:cantSplit/>
          <w:trHeight w:val="1580"/>
          <w:jc w:val="center"/>
        </w:trPr>
        <w:tc>
          <w:tcPr>
            <w:tcW w:w="829" w:type="dxa"/>
            <w:vMerge/>
            <w:vAlign w:val="center"/>
          </w:tcPr>
          <w:p w:rsidR="006755CB" w:rsidRDefault="006755CB">
            <w:pPr>
              <w:spacing w:line="240" w:lineRule="auto"/>
              <w:ind w:firstLine="570"/>
              <w:jc w:val="left"/>
              <w:rPr>
                <w:rFonts w:ascii="黑体" w:eastAsia="黑体" w:hAnsi="黑体"/>
                <w:sz w:val="28"/>
                <w:szCs w:val="28"/>
              </w:rPr>
            </w:pPr>
          </w:p>
        </w:tc>
        <w:tc>
          <w:tcPr>
            <w:tcW w:w="928" w:type="dxa"/>
            <w:vMerge/>
            <w:vAlign w:val="center"/>
          </w:tcPr>
          <w:p w:rsidR="006755CB" w:rsidRDefault="006755CB">
            <w:pPr>
              <w:spacing w:line="240" w:lineRule="auto"/>
              <w:ind w:firstLine="570"/>
              <w:jc w:val="left"/>
              <w:rPr>
                <w:rFonts w:ascii="黑体" w:eastAsia="黑体" w:hAnsi="黑体"/>
                <w:sz w:val="28"/>
                <w:szCs w:val="28"/>
              </w:rPr>
            </w:pPr>
          </w:p>
        </w:tc>
        <w:tc>
          <w:tcPr>
            <w:tcW w:w="10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5</w:t>
            </w:r>
            <w:r>
              <w:rPr>
                <w:rFonts w:ascii="黑体" w:eastAsia="黑体" w:hAnsi="黑体" w:hint="eastAsia"/>
                <w:sz w:val="28"/>
                <w:szCs w:val="28"/>
              </w:rPr>
              <w:t>分</w:t>
            </w:r>
          </w:p>
        </w:tc>
        <w:tc>
          <w:tcPr>
            <w:tcW w:w="5886" w:type="dxa"/>
          </w:tcPr>
          <w:p w:rsidR="006755CB" w:rsidRDefault="00340766">
            <w:pPr>
              <w:spacing w:line="240" w:lineRule="auto"/>
              <w:ind w:firstLine="570"/>
              <w:rPr>
                <w:rFonts w:ascii="黑体" w:eastAsia="黑体" w:hAnsi="黑体"/>
                <w:sz w:val="28"/>
                <w:szCs w:val="28"/>
              </w:rPr>
            </w:pPr>
            <w:r>
              <w:rPr>
                <w:rFonts w:ascii="黑体" w:eastAsia="黑体" w:hAnsi="黑体" w:hint="eastAsia"/>
                <w:sz w:val="28"/>
                <w:szCs w:val="28"/>
              </w:rPr>
              <w:t>保险经纪服务团队成员资质：有保险经纪人执业证书的，每有</w:t>
            </w:r>
            <w:r>
              <w:rPr>
                <w:rFonts w:ascii="黑体" w:eastAsia="黑体" w:hAnsi="黑体" w:hint="eastAsia"/>
                <w:sz w:val="28"/>
                <w:szCs w:val="28"/>
              </w:rPr>
              <w:t>1</w:t>
            </w:r>
            <w:r>
              <w:rPr>
                <w:rFonts w:ascii="黑体" w:eastAsia="黑体" w:hAnsi="黑体" w:hint="eastAsia"/>
                <w:sz w:val="28"/>
                <w:szCs w:val="28"/>
              </w:rPr>
              <w:t>人</w:t>
            </w:r>
            <w:r>
              <w:rPr>
                <w:rFonts w:ascii="黑体" w:eastAsia="黑体" w:hAnsi="黑体" w:hint="eastAsia"/>
                <w:sz w:val="28"/>
                <w:szCs w:val="28"/>
              </w:rPr>
              <w:t>1</w:t>
            </w:r>
            <w:r>
              <w:rPr>
                <w:rFonts w:ascii="黑体" w:eastAsia="黑体" w:hAnsi="黑体" w:hint="eastAsia"/>
                <w:sz w:val="28"/>
                <w:szCs w:val="28"/>
              </w:rPr>
              <w:t>分，最高得</w:t>
            </w:r>
            <w:r>
              <w:rPr>
                <w:rFonts w:ascii="黑体" w:eastAsia="黑体" w:hAnsi="黑体" w:hint="eastAsia"/>
                <w:sz w:val="28"/>
                <w:szCs w:val="28"/>
              </w:rPr>
              <w:t>5</w:t>
            </w:r>
            <w:r>
              <w:rPr>
                <w:rFonts w:ascii="黑体" w:eastAsia="黑体" w:hAnsi="黑体" w:hint="eastAsia"/>
                <w:sz w:val="28"/>
                <w:szCs w:val="28"/>
              </w:rPr>
              <w:t>分。</w:t>
            </w:r>
          </w:p>
          <w:p w:rsidR="006755CB" w:rsidRDefault="00340766">
            <w:pPr>
              <w:spacing w:line="240" w:lineRule="auto"/>
              <w:ind w:firstLine="570"/>
              <w:rPr>
                <w:rFonts w:ascii="黑体" w:eastAsia="黑体" w:hAnsi="黑体"/>
                <w:sz w:val="28"/>
                <w:szCs w:val="28"/>
              </w:rPr>
            </w:pPr>
            <w:r>
              <w:rPr>
                <w:rFonts w:ascii="黑体" w:eastAsia="黑体" w:hAnsi="黑体" w:hint="eastAsia"/>
                <w:sz w:val="28"/>
                <w:szCs w:val="28"/>
              </w:rPr>
              <w:t>（应选文件附执业证书复印件加盖公章，开标现场提供原件，未提供者不得分）</w:t>
            </w:r>
          </w:p>
        </w:tc>
      </w:tr>
      <w:tr w:rsidR="006755CB" w:rsidTr="008D09A8">
        <w:trPr>
          <w:cantSplit/>
          <w:trHeight w:val="1580"/>
          <w:jc w:val="center"/>
        </w:trPr>
        <w:tc>
          <w:tcPr>
            <w:tcW w:w="829" w:type="dxa"/>
            <w:vMerge/>
            <w:vAlign w:val="center"/>
          </w:tcPr>
          <w:p w:rsidR="006755CB" w:rsidRDefault="006755CB">
            <w:pPr>
              <w:spacing w:line="240" w:lineRule="auto"/>
              <w:ind w:firstLine="570"/>
              <w:jc w:val="left"/>
              <w:rPr>
                <w:rFonts w:ascii="黑体" w:eastAsia="黑体" w:hAnsi="黑体"/>
                <w:sz w:val="28"/>
                <w:szCs w:val="28"/>
              </w:rPr>
            </w:pPr>
          </w:p>
        </w:tc>
        <w:tc>
          <w:tcPr>
            <w:tcW w:w="928" w:type="dxa"/>
            <w:vMerge/>
            <w:vAlign w:val="center"/>
          </w:tcPr>
          <w:p w:rsidR="006755CB" w:rsidRDefault="006755CB">
            <w:pPr>
              <w:spacing w:line="240" w:lineRule="auto"/>
              <w:ind w:firstLine="570"/>
              <w:jc w:val="left"/>
              <w:rPr>
                <w:rFonts w:ascii="黑体" w:eastAsia="黑体" w:hAnsi="黑体"/>
                <w:sz w:val="28"/>
                <w:szCs w:val="28"/>
              </w:rPr>
            </w:pPr>
          </w:p>
        </w:tc>
        <w:tc>
          <w:tcPr>
            <w:tcW w:w="10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6</w:t>
            </w:r>
            <w:r>
              <w:rPr>
                <w:rFonts w:ascii="黑体" w:eastAsia="黑体" w:hAnsi="黑体" w:hint="eastAsia"/>
                <w:sz w:val="28"/>
                <w:szCs w:val="28"/>
              </w:rPr>
              <w:t>分</w:t>
            </w:r>
          </w:p>
        </w:tc>
        <w:tc>
          <w:tcPr>
            <w:tcW w:w="5886" w:type="dxa"/>
          </w:tcPr>
          <w:p w:rsidR="006755CB" w:rsidRDefault="00340766">
            <w:pPr>
              <w:spacing w:line="240" w:lineRule="auto"/>
              <w:ind w:firstLine="570"/>
              <w:rPr>
                <w:rFonts w:ascii="黑体" w:eastAsia="黑体" w:hAnsi="黑体"/>
                <w:sz w:val="28"/>
                <w:szCs w:val="28"/>
              </w:rPr>
            </w:pPr>
            <w:r>
              <w:rPr>
                <w:rFonts w:ascii="黑体" w:eastAsia="黑体" w:hAnsi="黑体" w:hint="eastAsia"/>
                <w:sz w:val="28"/>
                <w:szCs w:val="28"/>
              </w:rPr>
              <w:t>医疗纠纷调解服务团队成员的经验：有医学专业、法学专业背景或者长期从事法律服务工作、医疗纠纷调解工作的，每有一人</w:t>
            </w:r>
            <w:r>
              <w:rPr>
                <w:rFonts w:ascii="黑体" w:eastAsia="黑体" w:hAnsi="黑体" w:hint="eastAsia"/>
                <w:sz w:val="28"/>
                <w:szCs w:val="28"/>
              </w:rPr>
              <w:t>得</w:t>
            </w:r>
            <w:r>
              <w:rPr>
                <w:rFonts w:ascii="黑体" w:eastAsia="黑体" w:hAnsi="黑体" w:hint="eastAsia"/>
                <w:sz w:val="28"/>
                <w:szCs w:val="28"/>
              </w:rPr>
              <w:t>2</w:t>
            </w:r>
            <w:r>
              <w:rPr>
                <w:rFonts w:ascii="黑体" w:eastAsia="黑体" w:hAnsi="黑体" w:hint="eastAsia"/>
                <w:sz w:val="28"/>
                <w:szCs w:val="28"/>
              </w:rPr>
              <w:t>分，最高得</w:t>
            </w:r>
            <w:r>
              <w:rPr>
                <w:rFonts w:ascii="黑体" w:eastAsia="黑体" w:hAnsi="黑体" w:hint="eastAsia"/>
                <w:sz w:val="28"/>
                <w:szCs w:val="28"/>
              </w:rPr>
              <w:t>6</w:t>
            </w:r>
            <w:r>
              <w:rPr>
                <w:rFonts w:ascii="黑体" w:eastAsia="黑体" w:hAnsi="黑体" w:hint="eastAsia"/>
                <w:sz w:val="28"/>
                <w:szCs w:val="28"/>
              </w:rPr>
              <w:t>分</w:t>
            </w:r>
          </w:p>
          <w:p w:rsidR="006755CB" w:rsidRDefault="00340766">
            <w:pPr>
              <w:spacing w:line="240" w:lineRule="auto"/>
              <w:ind w:firstLine="570"/>
              <w:rPr>
                <w:rFonts w:ascii="黑体" w:eastAsia="黑体" w:hAnsi="黑体"/>
                <w:color w:val="FF0000"/>
                <w:sz w:val="28"/>
                <w:szCs w:val="28"/>
              </w:rPr>
            </w:pPr>
            <w:r>
              <w:rPr>
                <w:rFonts w:ascii="黑体" w:eastAsia="黑体" w:hAnsi="黑体" w:hint="eastAsia"/>
                <w:sz w:val="28"/>
                <w:szCs w:val="28"/>
              </w:rPr>
              <w:t>（应选文件附相关证明材料，开标现场提供原件，未提供者不得分）</w:t>
            </w:r>
          </w:p>
        </w:tc>
      </w:tr>
      <w:tr w:rsidR="006755CB" w:rsidTr="008D09A8">
        <w:trPr>
          <w:cantSplit/>
          <w:trHeight w:val="1452"/>
          <w:jc w:val="center"/>
        </w:trPr>
        <w:tc>
          <w:tcPr>
            <w:tcW w:w="829"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5</w:t>
            </w:r>
          </w:p>
        </w:tc>
        <w:tc>
          <w:tcPr>
            <w:tcW w:w="928" w:type="dxa"/>
            <w:vAlign w:val="center"/>
          </w:tcPr>
          <w:p w:rsidR="006755CB" w:rsidRDefault="00340766">
            <w:pPr>
              <w:spacing w:line="240" w:lineRule="auto"/>
              <w:ind w:firstLineChars="0" w:firstLine="0"/>
              <w:jc w:val="left"/>
              <w:rPr>
                <w:rFonts w:ascii="黑体" w:eastAsia="黑体" w:hAnsi="黑体"/>
                <w:sz w:val="28"/>
                <w:szCs w:val="28"/>
              </w:rPr>
            </w:pPr>
            <w:r>
              <w:rPr>
                <w:rFonts w:ascii="黑体" w:eastAsia="黑体" w:hAnsi="黑体" w:hint="eastAsia"/>
                <w:sz w:val="28"/>
                <w:szCs w:val="28"/>
              </w:rPr>
              <w:t>保险经纪</w:t>
            </w:r>
          </w:p>
          <w:p w:rsidR="006755CB" w:rsidRDefault="00340766">
            <w:pPr>
              <w:spacing w:line="240" w:lineRule="auto"/>
              <w:ind w:firstLineChars="0" w:firstLine="0"/>
              <w:jc w:val="left"/>
              <w:rPr>
                <w:rFonts w:ascii="黑体" w:eastAsia="黑体" w:hAnsi="黑体"/>
                <w:sz w:val="28"/>
                <w:szCs w:val="28"/>
              </w:rPr>
            </w:pPr>
            <w:r>
              <w:rPr>
                <w:rFonts w:ascii="黑体" w:eastAsia="黑体" w:hAnsi="黑体" w:hint="eastAsia"/>
                <w:sz w:val="28"/>
                <w:szCs w:val="28"/>
              </w:rPr>
              <w:t>费率报价</w:t>
            </w:r>
          </w:p>
        </w:tc>
        <w:tc>
          <w:tcPr>
            <w:tcW w:w="1097" w:type="dxa"/>
            <w:vAlign w:val="center"/>
          </w:tcPr>
          <w:p w:rsidR="006755CB" w:rsidRDefault="00340766">
            <w:pPr>
              <w:pStyle w:val="a0"/>
              <w:ind w:firstLineChars="0" w:firstLine="0"/>
              <w:rPr>
                <w:rFonts w:ascii="黑体" w:eastAsia="黑体" w:hAnsi="黑体"/>
                <w:sz w:val="28"/>
                <w:szCs w:val="28"/>
              </w:rPr>
            </w:pPr>
            <w:r>
              <w:rPr>
                <w:rFonts w:ascii="黑体" w:eastAsia="黑体" w:hAnsi="黑体" w:hint="eastAsia"/>
                <w:sz w:val="28"/>
                <w:szCs w:val="28"/>
              </w:rPr>
              <w:t>15</w:t>
            </w:r>
            <w:r>
              <w:rPr>
                <w:rFonts w:ascii="黑体" w:eastAsia="黑体" w:hAnsi="黑体" w:hint="eastAsia"/>
                <w:sz w:val="28"/>
                <w:szCs w:val="28"/>
              </w:rPr>
              <w:t>分</w:t>
            </w:r>
          </w:p>
        </w:tc>
        <w:tc>
          <w:tcPr>
            <w:tcW w:w="5886" w:type="dxa"/>
          </w:tcPr>
          <w:p w:rsidR="006755CB" w:rsidRDefault="00340766">
            <w:pPr>
              <w:spacing w:line="240" w:lineRule="auto"/>
              <w:ind w:firstLine="570"/>
              <w:rPr>
                <w:rFonts w:ascii="黑体" w:eastAsia="黑体" w:hAnsi="黑体"/>
                <w:sz w:val="28"/>
                <w:szCs w:val="28"/>
              </w:rPr>
            </w:pPr>
            <w:r>
              <w:rPr>
                <w:rFonts w:ascii="黑体" w:eastAsia="黑体" w:hAnsi="黑体" w:hint="eastAsia"/>
                <w:sz w:val="28"/>
                <w:szCs w:val="28"/>
              </w:rPr>
              <w:t>参选人根据本项目情况，明确本项目的佣金比例</w:t>
            </w:r>
            <w:r>
              <w:rPr>
                <w:rFonts w:ascii="黑体" w:eastAsia="黑体" w:hAnsi="黑体" w:hint="eastAsia"/>
                <w:sz w:val="28"/>
                <w:szCs w:val="28"/>
              </w:rPr>
              <w:t>A</w:t>
            </w:r>
            <w:r>
              <w:rPr>
                <w:rFonts w:ascii="黑体" w:eastAsia="黑体" w:hAnsi="黑体" w:hint="eastAsia"/>
                <w:sz w:val="28"/>
                <w:szCs w:val="28"/>
              </w:rPr>
              <w:t>，</w:t>
            </w:r>
            <w:r>
              <w:rPr>
                <w:rFonts w:ascii="黑体" w:eastAsia="黑体" w:hAnsi="黑体" w:hint="eastAsia"/>
                <w:sz w:val="28"/>
                <w:szCs w:val="28"/>
              </w:rPr>
              <w:t>A</w:t>
            </w:r>
            <w:r>
              <w:rPr>
                <w:rFonts w:ascii="黑体" w:eastAsia="黑体" w:hAnsi="黑体" w:hint="eastAsia"/>
                <w:sz w:val="28"/>
                <w:szCs w:val="28"/>
              </w:rPr>
              <w:t>≦</w:t>
            </w:r>
            <w:r>
              <w:rPr>
                <w:rFonts w:ascii="黑体" w:eastAsia="黑体" w:hAnsi="黑体" w:hint="eastAsia"/>
                <w:sz w:val="28"/>
                <w:szCs w:val="28"/>
              </w:rPr>
              <w:t>10%</w:t>
            </w:r>
            <w:r>
              <w:rPr>
                <w:rFonts w:ascii="黑体" w:eastAsia="黑体" w:hAnsi="黑体" w:hint="eastAsia"/>
                <w:sz w:val="28"/>
                <w:szCs w:val="28"/>
              </w:rPr>
              <w:t>得分</w:t>
            </w:r>
            <w:r>
              <w:rPr>
                <w:rFonts w:ascii="黑体" w:eastAsia="黑体" w:hAnsi="黑体" w:hint="eastAsia"/>
                <w:sz w:val="28"/>
                <w:szCs w:val="28"/>
              </w:rPr>
              <w:t>0</w:t>
            </w:r>
            <w:r>
              <w:rPr>
                <w:rFonts w:ascii="黑体" w:eastAsia="黑体" w:hAnsi="黑体" w:hint="eastAsia"/>
                <w:sz w:val="28"/>
                <w:szCs w:val="28"/>
              </w:rPr>
              <w:t>分，</w:t>
            </w:r>
            <w:r>
              <w:rPr>
                <w:rFonts w:ascii="黑体" w:eastAsia="黑体" w:hAnsi="黑体" w:hint="eastAsia"/>
                <w:sz w:val="28"/>
                <w:szCs w:val="28"/>
              </w:rPr>
              <w:t>10%&lt;A</w:t>
            </w:r>
            <w:r>
              <w:rPr>
                <w:rFonts w:ascii="黑体" w:eastAsia="黑体" w:hAnsi="黑体" w:hint="eastAsia"/>
                <w:sz w:val="28"/>
                <w:szCs w:val="28"/>
              </w:rPr>
              <w:t>≦</w:t>
            </w:r>
            <w:r>
              <w:rPr>
                <w:rFonts w:ascii="黑体" w:eastAsia="黑体" w:hAnsi="黑体" w:hint="eastAsia"/>
                <w:sz w:val="28"/>
                <w:szCs w:val="28"/>
              </w:rPr>
              <w:t>15%</w:t>
            </w:r>
            <w:r>
              <w:rPr>
                <w:rFonts w:ascii="黑体" w:eastAsia="黑体" w:hAnsi="黑体" w:hint="eastAsia"/>
                <w:sz w:val="28"/>
                <w:szCs w:val="28"/>
              </w:rPr>
              <w:t>得</w:t>
            </w:r>
            <w:r>
              <w:rPr>
                <w:rFonts w:ascii="黑体" w:eastAsia="黑体" w:hAnsi="黑体" w:hint="eastAsia"/>
                <w:sz w:val="28"/>
                <w:szCs w:val="28"/>
              </w:rPr>
              <w:t>10</w:t>
            </w:r>
            <w:r>
              <w:rPr>
                <w:rFonts w:ascii="黑体" w:eastAsia="黑体" w:hAnsi="黑体" w:hint="eastAsia"/>
                <w:sz w:val="28"/>
                <w:szCs w:val="28"/>
              </w:rPr>
              <w:t>分，</w:t>
            </w:r>
            <w:r>
              <w:rPr>
                <w:rFonts w:ascii="黑体" w:eastAsia="黑体" w:hAnsi="黑体" w:hint="eastAsia"/>
                <w:sz w:val="28"/>
                <w:szCs w:val="28"/>
              </w:rPr>
              <w:t>15%&lt;A</w:t>
            </w:r>
            <w:r>
              <w:rPr>
                <w:rFonts w:ascii="黑体" w:eastAsia="黑体" w:hAnsi="黑体" w:hint="eastAsia"/>
                <w:sz w:val="28"/>
                <w:szCs w:val="28"/>
              </w:rPr>
              <w:t>≦</w:t>
            </w:r>
            <w:r>
              <w:rPr>
                <w:rFonts w:ascii="黑体" w:eastAsia="黑体" w:hAnsi="黑体" w:hint="eastAsia"/>
                <w:sz w:val="28"/>
                <w:szCs w:val="28"/>
              </w:rPr>
              <w:t>20%</w:t>
            </w:r>
            <w:r>
              <w:rPr>
                <w:rFonts w:ascii="黑体" w:eastAsia="黑体" w:hAnsi="黑体" w:hint="eastAsia"/>
                <w:sz w:val="28"/>
                <w:szCs w:val="28"/>
              </w:rPr>
              <w:t>得</w:t>
            </w:r>
            <w:r>
              <w:rPr>
                <w:rFonts w:ascii="黑体" w:eastAsia="黑体" w:hAnsi="黑体" w:hint="eastAsia"/>
                <w:sz w:val="28"/>
                <w:szCs w:val="28"/>
              </w:rPr>
              <w:t>15</w:t>
            </w:r>
            <w:r>
              <w:rPr>
                <w:rFonts w:ascii="黑体" w:eastAsia="黑体" w:hAnsi="黑体" w:hint="eastAsia"/>
                <w:sz w:val="28"/>
                <w:szCs w:val="28"/>
              </w:rPr>
              <w:t>分，</w:t>
            </w:r>
            <w:r>
              <w:rPr>
                <w:rFonts w:ascii="黑体" w:eastAsia="黑体" w:hAnsi="黑体" w:hint="eastAsia"/>
                <w:sz w:val="28"/>
                <w:szCs w:val="28"/>
              </w:rPr>
              <w:t>20%&lt;A</w:t>
            </w:r>
            <w:r>
              <w:rPr>
                <w:rFonts w:ascii="黑体" w:eastAsia="黑体" w:hAnsi="黑体" w:hint="eastAsia"/>
                <w:sz w:val="28"/>
                <w:szCs w:val="28"/>
              </w:rPr>
              <w:t>≦</w:t>
            </w:r>
            <w:r>
              <w:rPr>
                <w:rFonts w:ascii="黑体" w:eastAsia="黑体" w:hAnsi="黑体" w:hint="eastAsia"/>
                <w:sz w:val="28"/>
                <w:szCs w:val="28"/>
              </w:rPr>
              <w:t>25%</w:t>
            </w:r>
            <w:r>
              <w:rPr>
                <w:rFonts w:ascii="黑体" w:eastAsia="黑体" w:hAnsi="黑体" w:hint="eastAsia"/>
                <w:sz w:val="28"/>
                <w:szCs w:val="28"/>
              </w:rPr>
              <w:t>得</w:t>
            </w:r>
            <w:r>
              <w:rPr>
                <w:rFonts w:ascii="黑体" w:eastAsia="黑体" w:hAnsi="黑体" w:hint="eastAsia"/>
                <w:sz w:val="28"/>
                <w:szCs w:val="28"/>
              </w:rPr>
              <w:t>10</w:t>
            </w:r>
            <w:r>
              <w:rPr>
                <w:rFonts w:ascii="黑体" w:eastAsia="黑体" w:hAnsi="黑体" w:hint="eastAsia"/>
                <w:sz w:val="28"/>
                <w:szCs w:val="28"/>
              </w:rPr>
              <w:t>分，</w:t>
            </w:r>
            <w:r>
              <w:rPr>
                <w:rFonts w:ascii="黑体" w:eastAsia="黑体" w:hAnsi="黑体" w:hint="eastAsia"/>
                <w:sz w:val="28"/>
                <w:szCs w:val="28"/>
              </w:rPr>
              <w:t>&gt;25%</w:t>
            </w:r>
            <w:r>
              <w:rPr>
                <w:rFonts w:ascii="黑体" w:eastAsia="黑体" w:hAnsi="黑体" w:hint="eastAsia"/>
                <w:sz w:val="28"/>
                <w:szCs w:val="28"/>
              </w:rPr>
              <w:t>得</w:t>
            </w:r>
            <w:r>
              <w:rPr>
                <w:rFonts w:ascii="黑体" w:eastAsia="黑体" w:hAnsi="黑体" w:hint="eastAsia"/>
                <w:sz w:val="28"/>
                <w:szCs w:val="28"/>
              </w:rPr>
              <w:t>0</w:t>
            </w:r>
            <w:r>
              <w:rPr>
                <w:rFonts w:ascii="黑体" w:eastAsia="黑体" w:hAnsi="黑体" w:hint="eastAsia"/>
                <w:sz w:val="28"/>
                <w:szCs w:val="28"/>
              </w:rPr>
              <w:t>分。</w:t>
            </w:r>
          </w:p>
          <w:p w:rsidR="006755CB" w:rsidRDefault="00340766">
            <w:pPr>
              <w:spacing w:line="240" w:lineRule="auto"/>
              <w:ind w:firstLine="570"/>
              <w:rPr>
                <w:rFonts w:ascii="黑体" w:eastAsia="黑体" w:hAnsi="黑体"/>
                <w:sz w:val="28"/>
                <w:szCs w:val="28"/>
              </w:rPr>
            </w:pPr>
            <w:r>
              <w:rPr>
                <w:rFonts w:ascii="黑体" w:eastAsia="黑体" w:hAnsi="黑体" w:hint="eastAsia"/>
                <w:sz w:val="28"/>
                <w:szCs w:val="28"/>
              </w:rPr>
              <w:t>注：应选人需提供正式出具佣金报价，同时需列明成本价的构成，并做详细说明。</w:t>
            </w:r>
          </w:p>
        </w:tc>
      </w:tr>
      <w:tr w:rsidR="006755CB" w:rsidTr="008D09A8">
        <w:trPr>
          <w:cantSplit/>
          <w:trHeight w:val="582"/>
          <w:jc w:val="center"/>
        </w:trPr>
        <w:tc>
          <w:tcPr>
            <w:tcW w:w="1757" w:type="dxa"/>
            <w:gridSpan w:val="2"/>
            <w:tcBorders>
              <w:bottom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商务得分</w:t>
            </w:r>
          </w:p>
        </w:tc>
        <w:tc>
          <w:tcPr>
            <w:tcW w:w="1097" w:type="dxa"/>
            <w:tcBorders>
              <w:bottom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40</w:t>
            </w:r>
            <w:r>
              <w:rPr>
                <w:rFonts w:ascii="黑体" w:eastAsia="黑体" w:hAnsi="黑体" w:hint="eastAsia"/>
                <w:sz w:val="28"/>
                <w:szCs w:val="28"/>
              </w:rPr>
              <w:t>分</w:t>
            </w:r>
          </w:p>
        </w:tc>
        <w:tc>
          <w:tcPr>
            <w:tcW w:w="5886" w:type="dxa"/>
            <w:tcBorders>
              <w:bottom w:val="single" w:sz="12" w:space="0" w:color="auto"/>
            </w:tcBorders>
            <w:vAlign w:val="center"/>
          </w:tcPr>
          <w:p w:rsidR="006755CB" w:rsidRDefault="006755CB">
            <w:pPr>
              <w:spacing w:line="240" w:lineRule="auto"/>
              <w:ind w:firstLineChars="0" w:firstLine="0"/>
              <w:jc w:val="center"/>
              <w:rPr>
                <w:rFonts w:ascii="黑体" w:eastAsia="黑体" w:hAnsi="黑体"/>
                <w:sz w:val="28"/>
                <w:szCs w:val="28"/>
              </w:rPr>
            </w:pPr>
          </w:p>
        </w:tc>
      </w:tr>
    </w:tbl>
    <w:p w:rsidR="006755CB" w:rsidRDefault="006755CB">
      <w:pPr>
        <w:spacing w:line="360" w:lineRule="auto"/>
        <w:ind w:firstLine="490"/>
        <w:jc w:val="center"/>
        <w:rPr>
          <w:rFonts w:ascii="宋体"/>
          <w:szCs w:val="21"/>
        </w:rPr>
      </w:pPr>
    </w:p>
    <w:p w:rsidR="006755CB" w:rsidRDefault="006755CB">
      <w:pPr>
        <w:ind w:firstLine="490"/>
        <w:jc w:val="center"/>
        <w:rPr>
          <w:szCs w:val="22"/>
        </w:rPr>
      </w:pPr>
    </w:p>
    <w:p w:rsidR="006755CB" w:rsidRDefault="006755CB">
      <w:pPr>
        <w:ind w:firstLine="490"/>
        <w:jc w:val="center"/>
        <w:rPr>
          <w:szCs w:val="22"/>
        </w:rPr>
      </w:pPr>
    </w:p>
    <w:p w:rsidR="006755CB" w:rsidRDefault="006755CB">
      <w:pPr>
        <w:ind w:firstLine="490"/>
        <w:jc w:val="center"/>
        <w:rPr>
          <w:szCs w:val="22"/>
        </w:rPr>
      </w:pPr>
    </w:p>
    <w:p w:rsidR="006755CB" w:rsidRDefault="006755CB">
      <w:pPr>
        <w:spacing w:line="240" w:lineRule="auto"/>
        <w:ind w:firstLine="570"/>
        <w:rPr>
          <w:rFonts w:ascii="黑体" w:eastAsia="黑体" w:hAnsi="黑体"/>
          <w:sz w:val="28"/>
          <w:szCs w:val="28"/>
        </w:rPr>
      </w:pPr>
      <w:bookmarkStart w:id="12" w:name="_Toc384805364"/>
      <w:bookmarkStart w:id="13" w:name="_Toc514400727"/>
    </w:p>
    <w:p w:rsidR="006755CB" w:rsidRDefault="00340766">
      <w:pPr>
        <w:spacing w:line="240" w:lineRule="auto"/>
        <w:ind w:firstLineChars="0" w:firstLine="0"/>
        <w:jc w:val="center"/>
        <w:outlineLvl w:val="2"/>
        <w:rPr>
          <w:rFonts w:ascii="黑体" w:eastAsia="黑体" w:hAnsi="黑体"/>
          <w:sz w:val="28"/>
          <w:szCs w:val="28"/>
        </w:rPr>
      </w:pPr>
      <w:r>
        <w:rPr>
          <w:rFonts w:ascii="黑体" w:eastAsia="黑体" w:hAnsi="黑体" w:hint="eastAsia"/>
          <w:sz w:val="28"/>
          <w:szCs w:val="28"/>
        </w:rPr>
        <w:br w:type="page"/>
      </w:r>
      <w:bookmarkStart w:id="14" w:name="_Toc14477"/>
      <w:r>
        <w:rPr>
          <w:rFonts w:ascii="黑体" w:eastAsia="黑体" w:hAnsi="黑体" w:hint="eastAsia"/>
          <w:sz w:val="28"/>
          <w:szCs w:val="28"/>
        </w:rPr>
        <w:lastRenderedPageBreak/>
        <w:t>附表二</w:t>
      </w:r>
      <w:r>
        <w:rPr>
          <w:rFonts w:ascii="黑体" w:eastAsia="黑体" w:hAnsi="黑体" w:hint="eastAsia"/>
          <w:sz w:val="28"/>
          <w:szCs w:val="28"/>
        </w:rPr>
        <w:t xml:space="preserve">  </w:t>
      </w:r>
      <w:r>
        <w:rPr>
          <w:rFonts w:ascii="黑体" w:eastAsia="黑体" w:hAnsi="黑体" w:hint="eastAsia"/>
          <w:sz w:val="28"/>
          <w:szCs w:val="28"/>
        </w:rPr>
        <w:t>技术部分评审表</w:t>
      </w:r>
      <w:bookmarkEnd w:id="12"/>
      <w:bookmarkEnd w:id="13"/>
      <w:bookmarkEnd w:id="14"/>
    </w:p>
    <w:tbl>
      <w:tblPr>
        <w:tblW w:w="91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34"/>
        <w:gridCol w:w="1419"/>
        <w:gridCol w:w="1432"/>
        <w:gridCol w:w="1197"/>
        <w:gridCol w:w="4688"/>
      </w:tblGrid>
      <w:tr w:rsidR="006755CB">
        <w:trPr>
          <w:trHeight w:val="241"/>
          <w:jc w:val="center"/>
        </w:trPr>
        <w:tc>
          <w:tcPr>
            <w:tcW w:w="434" w:type="dxa"/>
            <w:tcBorders>
              <w:top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序号</w:t>
            </w:r>
          </w:p>
        </w:tc>
        <w:tc>
          <w:tcPr>
            <w:tcW w:w="2851" w:type="dxa"/>
            <w:gridSpan w:val="2"/>
            <w:tcBorders>
              <w:top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项目</w:t>
            </w:r>
          </w:p>
        </w:tc>
        <w:tc>
          <w:tcPr>
            <w:tcW w:w="1197" w:type="dxa"/>
            <w:tcBorders>
              <w:top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标准分</w:t>
            </w:r>
          </w:p>
        </w:tc>
        <w:tc>
          <w:tcPr>
            <w:tcW w:w="4688" w:type="dxa"/>
            <w:tcBorders>
              <w:top w:val="single" w:sz="12" w:space="0" w:color="auto"/>
              <w:right w:val="single" w:sz="4"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评分标准</w:t>
            </w:r>
          </w:p>
        </w:tc>
      </w:tr>
      <w:tr w:rsidR="006755CB">
        <w:trPr>
          <w:trHeight w:val="253"/>
          <w:jc w:val="center"/>
        </w:trPr>
        <w:tc>
          <w:tcPr>
            <w:tcW w:w="434"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1</w:t>
            </w:r>
          </w:p>
        </w:tc>
        <w:tc>
          <w:tcPr>
            <w:tcW w:w="1419"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保险经纪服务方案</w:t>
            </w:r>
          </w:p>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20</w:t>
            </w:r>
            <w:r>
              <w:rPr>
                <w:rFonts w:ascii="黑体" w:eastAsia="黑体" w:hAnsi="黑体" w:hint="eastAsia"/>
                <w:sz w:val="28"/>
                <w:szCs w:val="28"/>
              </w:rPr>
              <w:t>分）</w:t>
            </w: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服务流程</w:t>
            </w:r>
          </w:p>
        </w:tc>
        <w:tc>
          <w:tcPr>
            <w:tcW w:w="1197" w:type="dxa"/>
            <w:vAlign w:val="center"/>
          </w:tcPr>
          <w:p w:rsidR="006755CB" w:rsidRDefault="00340766">
            <w:pPr>
              <w:spacing w:line="240" w:lineRule="auto"/>
              <w:ind w:firstLineChars="0" w:firstLine="0"/>
              <w:jc w:val="center"/>
              <w:rPr>
                <w:rFonts w:ascii="宋体" w:hAnsi="宋体"/>
                <w:sz w:val="21"/>
                <w:szCs w:val="21"/>
              </w:rP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服务流程清晰、合理、切实可行。</w:t>
            </w:r>
          </w:p>
        </w:tc>
      </w:tr>
      <w:tr w:rsidR="006755CB">
        <w:trPr>
          <w:trHeight w:val="392"/>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Align w:val="center"/>
          </w:tcPr>
          <w:p w:rsidR="006755CB" w:rsidRDefault="00340766">
            <w:pPr>
              <w:spacing w:line="240" w:lineRule="auto"/>
              <w:ind w:firstLineChars="0" w:firstLine="0"/>
              <w:jc w:val="center"/>
            </w:pPr>
            <w:r>
              <w:rPr>
                <w:rFonts w:ascii="黑体" w:eastAsia="黑体" w:hAnsi="黑体" w:hint="eastAsia"/>
                <w:sz w:val="28"/>
                <w:szCs w:val="28"/>
              </w:rPr>
              <w:t>投保服务</w:t>
            </w:r>
            <w:r>
              <w:rPr>
                <w:rFonts w:ascii="黑体" w:eastAsia="黑体" w:hAnsi="黑体" w:hint="eastAsia"/>
                <w:sz w:val="28"/>
                <w:szCs w:val="28"/>
              </w:rPr>
              <w:t>方案</w:t>
            </w:r>
          </w:p>
        </w:tc>
        <w:tc>
          <w:tcPr>
            <w:tcW w:w="1197" w:type="dxa"/>
            <w:vAlign w:val="center"/>
          </w:tcPr>
          <w:p w:rsidR="006755CB" w:rsidRDefault="00340766">
            <w:pPr>
              <w:spacing w:line="240" w:lineRule="auto"/>
              <w:ind w:firstLineChars="0" w:firstLine="0"/>
              <w:jc w:val="center"/>
              <w:rPr>
                <w:rFonts w:ascii="宋体" w:hAnsi="宋体"/>
                <w:sz w:val="21"/>
                <w:szCs w:val="21"/>
              </w:rP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pPr>
            <w:r>
              <w:rPr>
                <w:rFonts w:ascii="黑体" w:eastAsia="黑体" w:hAnsi="黑体" w:hint="eastAsia"/>
                <w:sz w:val="28"/>
                <w:szCs w:val="28"/>
              </w:rPr>
              <w:t>根据服务方案中对推进启东市各级各类医疗机构投保工作方案和工作计划等内容符合实施方案得</w:t>
            </w:r>
            <w:r>
              <w:rPr>
                <w:rFonts w:ascii="黑体" w:eastAsia="黑体" w:hAnsi="黑体" w:hint="eastAsia"/>
                <w:sz w:val="28"/>
                <w:szCs w:val="28"/>
              </w:rPr>
              <w:t>2</w:t>
            </w:r>
            <w:r>
              <w:rPr>
                <w:rFonts w:ascii="黑体" w:eastAsia="黑体" w:hAnsi="黑体" w:hint="eastAsia"/>
                <w:sz w:val="28"/>
                <w:szCs w:val="28"/>
              </w:rPr>
              <w:t>分。提供工作方案与工作计划等证明材料</w:t>
            </w:r>
            <w:r>
              <w:rPr>
                <w:rFonts w:ascii="黑体" w:eastAsia="黑体" w:hAnsi="黑体" w:hint="eastAsia"/>
                <w:sz w:val="28"/>
                <w:szCs w:val="28"/>
              </w:rPr>
              <w:t>。</w:t>
            </w:r>
          </w:p>
        </w:tc>
      </w:tr>
      <w:tr w:rsidR="006755CB">
        <w:trPr>
          <w:trHeight w:val="3323"/>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医疗纠纷处置及实施方案</w:t>
            </w:r>
          </w:p>
        </w:tc>
        <w:tc>
          <w:tcPr>
            <w:tcW w:w="1197" w:type="dxa"/>
            <w:vAlign w:val="center"/>
          </w:tcPr>
          <w:p w:rsidR="006755CB" w:rsidRDefault="006755CB">
            <w:pPr>
              <w:spacing w:line="240" w:lineRule="auto"/>
              <w:ind w:firstLineChars="0" w:firstLine="0"/>
              <w:jc w:val="center"/>
              <w:rPr>
                <w:rFonts w:ascii="黑体" w:eastAsia="黑体" w:hAnsi="黑体"/>
                <w:sz w:val="28"/>
                <w:szCs w:val="28"/>
              </w:rPr>
            </w:pPr>
          </w:p>
          <w:p w:rsidR="006755CB" w:rsidRDefault="006755CB">
            <w:pPr>
              <w:spacing w:line="240" w:lineRule="auto"/>
              <w:ind w:firstLineChars="0" w:firstLine="0"/>
              <w:jc w:val="center"/>
              <w:rPr>
                <w:rFonts w:ascii="黑体" w:eastAsia="黑体" w:hAnsi="黑体"/>
                <w:sz w:val="28"/>
                <w:szCs w:val="28"/>
              </w:rPr>
            </w:pPr>
          </w:p>
          <w:p w:rsidR="006755CB" w:rsidRDefault="006755CB">
            <w:pPr>
              <w:spacing w:line="240" w:lineRule="auto"/>
              <w:ind w:firstLineChars="0" w:firstLine="0"/>
              <w:jc w:val="center"/>
              <w:rPr>
                <w:rFonts w:ascii="黑体" w:eastAsia="黑体" w:hAnsi="黑体"/>
                <w:sz w:val="28"/>
                <w:szCs w:val="28"/>
              </w:rPr>
            </w:pPr>
          </w:p>
          <w:p w:rsidR="006755CB" w:rsidRDefault="006755CB">
            <w:pPr>
              <w:spacing w:line="240" w:lineRule="auto"/>
              <w:ind w:firstLineChars="0" w:firstLine="0"/>
              <w:jc w:val="center"/>
              <w:rPr>
                <w:rFonts w:ascii="黑体" w:eastAsia="黑体" w:hAnsi="黑体"/>
                <w:sz w:val="28"/>
                <w:szCs w:val="28"/>
              </w:rPr>
            </w:pPr>
          </w:p>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8</w:t>
            </w:r>
            <w:r>
              <w:rPr>
                <w:rFonts w:ascii="黑体" w:eastAsia="黑体" w:hAnsi="黑体" w:hint="eastAsia"/>
                <w:sz w:val="28"/>
                <w:szCs w:val="28"/>
              </w:rPr>
              <w:t>分</w:t>
            </w:r>
          </w:p>
          <w:p w:rsidR="006755CB" w:rsidRDefault="006755CB">
            <w:pPr>
              <w:spacing w:line="240" w:lineRule="auto"/>
              <w:ind w:firstLineChars="0" w:firstLine="0"/>
              <w:jc w:val="center"/>
              <w:rPr>
                <w:rFonts w:ascii="宋体" w:hAnsi="宋体"/>
                <w:sz w:val="21"/>
                <w:szCs w:val="21"/>
              </w:rPr>
            </w:pPr>
          </w:p>
          <w:p w:rsidR="006755CB" w:rsidRDefault="006755CB">
            <w:pPr>
              <w:pStyle w:val="a0"/>
              <w:ind w:firstLine="430"/>
              <w:rPr>
                <w:sz w:val="21"/>
                <w:szCs w:val="21"/>
              </w:rPr>
            </w:pPr>
          </w:p>
          <w:p w:rsidR="006755CB" w:rsidRDefault="006755CB">
            <w:pPr>
              <w:pStyle w:val="a0"/>
              <w:ind w:firstLine="430"/>
              <w:rPr>
                <w:sz w:val="21"/>
                <w:szCs w:val="21"/>
              </w:rPr>
            </w:pP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根据应选人制定的完善启东市医疗纠纷处理方案的优劣、可行性，以及是否与卫生行政管理部门、司法行政部门、各医疗机构、医疗纠纷人民调解中心及保险公司等无缝对接、合署办公、一站式服务，是否合理、全面、可行，全程参与医疗纠纷的调解处置工作等，由评委在</w:t>
            </w:r>
            <w:r>
              <w:rPr>
                <w:rFonts w:ascii="黑体" w:eastAsia="黑体" w:hAnsi="黑体" w:hint="eastAsia"/>
                <w:sz w:val="28"/>
                <w:szCs w:val="28"/>
              </w:rPr>
              <w:t>0-</w:t>
            </w:r>
            <w:r>
              <w:rPr>
                <w:rFonts w:ascii="黑体" w:eastAsia="黑体" w:hAnsi="黑体" w:hint="eastAsia"/>
                <w:sz w:val="28"/>
                <w:szCs w:val="28"/>
              </w:rPr>
              <w:t>8</w:t>
            </w:r>
            <w:r>
              <w:rPr>
                <w:rFonts w:ascii="黑体" w:eastAsia="黑体" w:hAnsi="黑体" w:hint="eastAsia"/>
                <w:sz w:val="28"/>
                <w:szCs w:val="28"/>
              </w:rPr>
              <w:t>之间评分</w:t>
            </w:r>
            <w:r>
              <w:rPr>
                <w:rFonts w:ascii="黑体" w:eastAsia="黑体" w:hAnsi="黑体" w:hint="eastAsia"/>
                <w:sz w:val="28"/>
                <w:szCs w:val="28"/>
              </w:rPr>
              <w:t>。</w:t>
            </w:r>
          </w:p>
        </w:tc>
      </w:tr>
      <w:tr w:rsidR="006755CB">
        <w:trPr>
          <w:trHeight w:val="765"/>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197" w:type="dxa"/>
            <w:vAlign w:val="center"/>
          </w:tcPr>
          <w:p w:rsidR="006755CB" w:rsidRDefault="00340766">
            <w:pPr>
              <w:pStyle w:val="a0"/>
              <w:ind w:left="0" w:firstLineChars="0" w:firstLine="0"/>
              <w:jc w:val="center"/>
              <w:rPr>
                <w:sz w:val="21"/>
                <w:szCs w:val="21"/>
              </w:rP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可以为本项目提供</w:t>
            </w:r>
            <w:r>
              <w:rPr>
                <w:rFonts w:ascii="黑体" w:eastAsia="黑体" w:hAnsi="黑体" w:hint="eastAsia"/>
                <w:sz w:val="28"/>
                <w:szCs w:val="28"/>
              </w:rPr>
              <w:t>7*24</w:t>
            </w:r>
            <w:r>
              <w:rPr>
                <w:rFonts w:ascii="黑体" w:eastAsia="黑体" w:hAnsi="黑体" w:hint="eastAsia"/>
                <w:sz w:val="28"/>
                <w:szCs w:val="28"/>
              </w:rPr>
              <w:t>小时电话服务的能力，具有</w:t>
            </w:r>
            <w:r>
              <w:rPr>
                <w:rFonts w:ascii="黑体" w:eastAsia="黑体" w:hAnsi="黑体" w:hint="eastAsia"/>
                <w:sz w:val="28"/>
                <w:szCs w:val="28"/>
              </w:rPr>
              <w:t>7*24</w:t>
            </w:r>
            <w:r>
              <w:rPr>
                <w:rFonts w:ascii="黑体" w:eastAsia="黑体" w:hAnsi="黑体" w:hint="eastAsia"/>
                <w:sz w:val="28"/>
                <w:szCs w:val="28"/>
              </w:rPr>
              <w:t>小时服务专线的，得</w:t>
            </w:r>
            <w:r>
              <w:rPr>
                <w:rFonts w:ascii="黑体" w:eastAsia="黑体" w:hAnsi="黑体" w:hint="eastAsia"/>
                <w:sz w:val="28"/>
                <w:szCs w:val="28"/>
              </w:rPr>
              <w:t>2</w:t>
            </w:r>
            <w:r>
              <w:rPr>
                <w:rFonts w:ascii="黑体" w:eastAsia="黑体" w:hAnsi="黑体" w:hint="eastAsia"/>
                <w:sz w:val="28"/>
                <w:szCs w:val="28"/>
              </w:rPr>
              <w:t>分，无服务专线不得分。</w:t>
            </w:r>
          </w:p>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以清单方式列明专线号码，并提供协议等证明材料。</w:t>
            </w:r>
          </w:p>
        </w:tc>
      </w:tr>
      <w:tr w:rsidR="006755CB">
        <w:trPr>
          <w:trHeight w:val="418"/>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197" w:type="dxa"/>
            <w:vAlign w:val="center"/>
          </w:tcPr>
          <w:p w:rsidR="006755CB" w:rsidRDefault="00340766">
            <w:pPr>
              <w:spacing w:line="240" w:lineRule="auto"/>
              <w:ind w:firstLineChars="0" w:firstLine="0"/>
              <w:jc w:val="center"/>
              <w:rPr>
                <w:rFonts w:ascii="宋体" w:hAnsi="宋体"/>
                <w:sz w:val="21"/>
                <w:szCs w:val="21"/>
              </w:rP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有可控调配的省</w:t>
            </w:r>
            <w:r>
              <w:rPr>
                <w:rFonts w:ascii="黑体" w:eastAsia="黑体" w:hAnsi="黑体" w:hint="eastAsia"/>
                <w:sz w:val="28"/>
                <w:szCs w:val="28"/>
              </w:rPr>
              <w:t>或</w:t>
            </w:r>
            <w:r>
              <w:rPr>
                <w:rFonts w:ascii="黑体" w:eastAsia="黑体" w:hAnsi="黑体" w:hint="eastAsia"/>
                <w:sz w:val="28"/>
                <w:szCs w:val="28"/>
              </w:rPr>
              <w:t>以上</w:t>
            </w:r>
            <w:r>
              <w:rPr>
                <w:rFonts w:ascii="黑体" w:eastAsia="黑体" w:hAnsi="黑体" w:hint="eastAsia"/>
                <w:sz w:val="28"/>
                <w:szCs w:val="28"/>
              </w:rPr>
              <w:t>医疗</w:t>
            </w:r>
            <w:r>
              <w:rPr>
                <w:rFonts w:ascii="黑体" w:eastAsia="黑体" w:hAnsi="黑体" w:hint="eastAsia"/>
                <w:sz w:val="28"/>
                <w:szCs w:val="28"/>
              </w:rPr>
              <w:t>专家和调解专家资源得</w:t>
            </w:r>
            <w:r>
              <w:rPr>
                <w:rFonts w:ascii="黑体" w:eastAsia="黑体" w:hAnsi="黑体" w:hint="eastAsia"/>
                <w:sz w:val="28"/>
                <w:szCs w:val="28"/>
              </w:rPr>
              <w:t>2</w:t>
            </w:r>
            <w:r>
              <w:rPr>
                <w:rFonts w:ascii="黑体" w:eastAsia="黑体" w:hAnsi="黑体" w:hint="eastAsia"/>
                <w:sz w:val="28"/>
                <w:szCs w:val="28"/>
              </w:rPr>
              <w:t>分</w:t>
            </w:r>
            <w:r>
              <w:rPr>
                <w:rFonts w:ascii="黑体" w:eastAsia="黑体" w:hAnsi="黑体" w:hint="eastAsia"/>
                <w:sz w:val="28"/>
                <w:szCs w:val="28"/>
              </w:rPr>
              <w:t>，</w:t>
            </w:r>
            <w:r>
              <w:rPr>
                <w:rFonts w:ascii="黑体" w:eastAsia="黑体" w:hAnsi="黑体" w:hint="eastAsia"/>
                <w:sz w:val="28"/>
                <w:szCs w:val="28"/>
              </w:rPr>
              <w:t>南通市级的医疗专家和调解专家得</w:t>
            </w:r>
            <w:r>
              <w:rPr>
                <w:rFonts w:ascii="黑体" w:eastAsia="黑体" w:hAnsi="黑体" w:hint="eastAsia"/>
                <w:sz w:val="28"/>
                <w:szCs w:val="28"/>
              </w:rPr>
              <w:t>1</w:t>
            </w:r>
            <w:r>
              <w:rPr>
                <w:rFonts w:ascii="黑体" w:eastAsia="黑体" w:hAnsi="黑体" w:hint="eastAsia"/>
                <w:sz w:val="28"/>
                <w:szCs w:val="28"/>
              </w:rPr>
              <w:t>分</w:t>
            </w:r>
            <w:r>
              <w:rPr>
                <w:rFonts w:ascii="黑体" w:eastAsia="黑体" w:hAnsi="黑体" w:hint="eastAsia"/>
                <w:sz w:val="28"/>
                <w:szCs w:val="28"/>
              </w:rPr>
              <w:t>，</w:t>
            </w:r>
            <w:r>
              <w:rPr>
                <w:rFonts w:ascii="黑体" w:eastAsia="黑体" w:hAnsi="黑体" w:hint="eastAsia"/>
                <w:sz w:val="28"/>
                <w:szCs w:val="28"/>
              </w:rPr>
              <w:t>总分不超过</w:t>
            </w:r>
            <w:r>
              <w:rPr>
                <w:rFonts w:ascii="黑体" w:eastAsia="黑体" w:hAnsi="黑体" w:hint="eastAsia"/>
                <w:sz w:val="28"/>
                <w:szCs w:val="28"/>
              </w:rPr>
              <w:t>2</w:t>
            </w:r>
            <w:r>
              <w:rPr>
                <w:rFonts w:ascii="黑体" w:eastAsia="黑体" w:hAnsi="黑体" w:hint="eastAsia"/>
                <w:sz w:val="28"/>
                <w:szCs w:val="28"/>
              </w:rPr>
              <w:t>分。提供相关证明材料。</w:t>
            </w:r>
          </w:p>
        </w:tc>
      </w:tr>
      <w:tr w:rsidR="006755CB">
        <w:trPr>
          <w:trHeight w:val="1655"/>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医疗责任、纠纷理赔服务方案</w:t>
            </w:r>
          </w:p>
        </w:tc>
        <w:tc>
          <w:tcPr>
            <w:tcW w:w="1197" w:type="dxa"/>
            <w:vAlign w:val="center"/>
          </w:tcPr>
          <w:p w:rsidR="006755CB" w:rsidRDefault="00340766">
            <w:pPr>
              <w:pStyle w:val="a0"/>
              <w:ind w:left="0" w:firstLineChars="0" w:firstLine="0"/>
              <w:jc w:val="center"/>
              <w:rPr>
                <w:sz w:val="21"/>
                <w:szCs w:val="21"/>
              </w:rP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配合医疗纠纷人民调解委员会</w:t>
            </w:r>
            <w:r>
              <w:rPr>
                <w:rFonts w:ascii="黑体" w:eastAsia="黑体" w:hAnsi="黑体" w:hint="eastAsia"/>
                <w:sz w:val="28"/>
                <w:szCs w:val="28"/>
              </w:rPr>
              <w:t>全程</w:t>
            </w:r>
            <w:r>
              <w:rPr>
                <w:rFonts w:ascii="黑体" w:eastAsia="黑体" w:hAnsi="黑体" w:hint="eastAsia"/>
                <w:sz w:val="28"/>
                <w:szCs w:val="28"/>
              </w:rPr>
              <w:t>做好医疗机构与保险公司之间协调工作，制定的保险理赔方案合理可行，得</w:t>
            </w:r>
            <w:r>
              <w:rPr>
                <w:rFonts w:ascii="黑体" w:eastAsia="黑体" w:hAnsi="黑体" w:hint="eastAsia"/>
                <w:sz w:val="28"/>
                <w:szCs w:val="28"/>
              </w:rPr>
              <w:t>2</w:t>
            </w:r>
            <w:r>
              <w:rPr>
                <w:rFonts w:ascii="黑体" w:eastAsia="黑体" w:hAnsi="黑体" w:hint="eastAsia"/>
                <w:sz w:val="28"/>
                <w:szCs w:val="28"/>
              </w:rPr>
              <w:t>分</w:t>
            </w:r>
            <w:r>
              <w:rPr>
                <w:rFonts w:ascii="黑体" w:eastAsia="黑体" w:hAnsi="黑体" w:hint="eastAsia"/>
                <w:sz w:val="28"/>
                <w:szCs w:val="28"/>
              </w:rPr>
              <w:t>。</w:t>
            </w:r>
            <w:r>
              <w:rPr>
                <w:rFonts w:ascii="黑体" w:eastAsia="黑体" w:hAnsi="黑体" w:hint="eastAsia"/>
                <w:sz w:val="28"/>
                <w:szCs w:val="28"/>
              </w:rPr>
              <w:t>提供专项方案。</w:t>
            </w:r>
          </w:p>
        </w:tc>
      </w:tr>
      <w:tr w:rsidR="006755CB">
        <w:trPr>
          <w:trHeight w:val="61"/>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保险保单维护及履约</w:t>
            </w:r>
          </w:p>
        </w:tc>
        <w:tc>
          <w:tcPr>
            <w:tcW w:w="1197" w:type="dxa"/>
            <w:vAlign w:val="center"/>
          </w:tcPr>
          <w:p w:rsidR="006755CB" w:rsidRDefault="00340766">
            <w:pPr>
              <w:spacing w:line="240" w:lineRule="auto"/>
              <w:ind w:firstLineChars="0" w:firstLine="0"/>
              <w:jc w:val="center"/>
              <w:rPr>
                <w:rFonts w:ascii="宋体" w:hAnsi="宋体"/>
                <w:sz w:val="21"/>
                <w:szCs w:val="21"/>
              </w:rP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有专门针对本项目保单维护及履约服务计划，保单维护及履约服务计划周详、具体、切实可行，且根据不同性质级别的医疗机构的针对性强。提供</w:t>
            </w:r>
            <w:r>
              <w:rPr>
                <w:rFonts w:ascii="黑体" w:eastAsia="黑体" w:hAnsi="黑体" w:hint="eastAsia"/>
                <w:sz w:val="28"/>
                <w:szCs w:val="28"/>
              </w:rPr>
              <w:t>2018</w:t>
            </w:r>
            <w:r>
              <w:rPr>
                <w:rFonts w:ascii="黑体" w:eastAsia="黑体" w:hAnsi="黑体" w:hint="eastAsia"/>
                <w:sz w:val="28"/>
                <w:szCs w:val="28"/>
              </w:rPr>
              <w:t>年各类不同性质级别医疗机</w:t>
            </w:r>
            <w:r>
              <w:rPr>
                <w:rFonts w:ascii="黑体" w:eastAsia="黑体" w:hAnsi="黑体" w:hint="eastAsia"/>
                <w:sz w:val="28"/>
                <w:szCs w:val="28"/>
              </w:rPr>
              <w:lastRenderedPageBreak/>
              <w:t>构的保单至少各一份。由评委在</w:t>
            </w:r>
            <w:r>
              <w:rPr>
                <w:rFonts w:ascii="黑体" w:eastAsia="黑体" w:hAnsi="黑体" w:hint="eastAsia"/>
                <w:sz w:val="28"/>
                <w:szCs w:val="28"/>
              </w:rPr>
              <w:t>0-</w:t>
            </w:r>
            <w:r>
              <w:rPr>
                <w:rFonts w:ascii="黑体" w:eastAsia="黑体" w:hAnsi="黑体" w:hint="eastAsia"/>
                <w:sz w:val="28"/>
                <w:szCs w:val="28"/>
              </w:rPr>
              <w:t>2</w:t>
            </w:r>
            <w:r>
              <w:rPr>
                <w:rFonts w:ascii="黑体" w:eastAsia="黑体" w:hAnsi="黑体" w:hint="eastAsia"/>
                <w:sz w:val="28"/>
                <w:szCs w:val="28"/>
              </w:rPr>
              <w:t>分之间评分。</w:t>
            </w:r>
          </w:p>
        </w:tc>
      </w:tr>
      <w:tr w:rsidR="006755CB">
        <w:trPr>
          <w:trHeight w:val="760"/>
          <w:jc w:val="center"/>
        </w:trPr>
        <w:tc>
          <w:tcPr>
            <w:tcW w:w="434"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lastRenderedPageBreak/>
              <w:t>2</w:t>
            </w:r>
          </w:p>
        </w:tc>
        <w:tc>
          <w:tcPr>
            <w:tcW w:w="1419"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风险管理方案（</w:t>
            </w:r>
            <w:r>
              <w:rPr>
                <w:rFonts w:ascii="黑体" w:eastAsia="黑体" w:hAnsi="黑体" w:hint="eastAsia"/>
                <w:sz w:val="28"/>
                <w:szCs w:val="28"/>
              </w:rPr>
              <w:t>7</w:t>
            </w:r>
            <w:r>
              <w:rPr>
                <w:rFonts w:ascii="黑体" w:eastAsia="黑体" w:hAnsi="黑体" w:hint="eastAsia"/>
                <w:sz w:val="28"/>
                <w:szCs w:val="28"/>
              </w:rPr>
              <w:t>分）</w:t>
            </w: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项目风险认识与分析</w:t>
            </w:r>
          </w:p>
        </w:tc>
        <w:tc>
          <w:tcPr>
            <w:tcW w:w="11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3</w:t>
            </w:r>
            <w:r>
              <w:rPr>
                <w:rFonts w:ascii="黑体" w:eastAsia="黑体" w:hAnsi="黑体" w:hint="eastAsia"/>
                <w:sz w:val="28"/>
                <w:szCs w:val="28"/>
              </w:rPr>
              <w:t>分</w:t>
            </w:r>
          </w:p>
          <w:p w:rsidR="006755CB" w:rsidRDefault="006755CB">
            <w:pPr>
              <w:spacing w:line="240" w:lineRule="auto"/>
              <w:ind w:firstLineChars="0" w:firstLine="0"/>
              <w:jc w:val="center"/>
              <w:rPr>
                <w:rFonts w:ascii="宋体" w:hAnsi="宋体"/>
                <w:sz w:val="21"/>
                <w:szCs w:val="21"/>
              </w:rPr>
            </w:pP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应选人根据自身启东市医疗纠纷及医疗责任保险的了解情况，对启东市医疗责任保险风险认识与分析，提出有效的风险防控措施与风险管理相关预案。按</w:t>
            </w:r>
            <w:r>
              <w:rPr>
                <w:rFonts w:ascii="黑体" w:eastAsia="黑体" w:hAnsi="黑体" w:hint="eastAsia"/>
                <w:sz w:val="28"/>
                <w:szCs w:val="28"/>
              </w:rPr>
              <w:t>0-</w:t>
            </w:r>
            <w:r>
              <w:rPr>
                <w:rFonts w:ascii="黑体" w:eastAsia="黑体" w:hAnsi="黑体" w:hint="eastAsia"/>
                <w:sz w:val="28"/>
                <w:szCs w:val="28"/>
              </w:rPr>
              <w:t>3</w:t>
            </w:r>
            <w:r>
              <w:rPr>
                <w:rFonts w:ascii="黑体" w:eastAsia="黑体" w:hAnsi="黑体" w:hint="eastAsia"/>
                <w:sz w:val="28"/>
                <w:szCs w:val="28"/>
              </w:rPr>
              <w:t>分评价。</w:t>
            </w:r>
          </w:p>
        </w:tc>
      </w:tr>
      <w:tr w:rsidR="006755CB">
        <w:trPr>
          <w:trHeight w:val="10"/>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风险控制措施与风险管理相关建议</w:t>
            </w:r>
          </w:p>
        </w:tc>
        <w:tc>
          <w:tcPr>
            <w:tcW w:w="1197" w:type="dxa"/>
            <w:vAlign w:val="center"/>
          </w:tcPr>
          <w:p w:rsidR="006755CB" w:rsidRDefault="006755CB">
            <w:pPr>
              <w:spacing w:line="240" w:lineRule="auto"/>
              <w:ind w:firstLineChars="0" w:firstLine="0"/>
              <w:jc w:val="center"/>
              <w:rPr>
                <w:rFonts w:ascii="宋体" w:hAnsi="宋体"/>
                <w:szCs w:val="24"/>
              </w:rPr>
            </w:pPr>
          </w:p>
          <w:p w:rsidR="006755CB" w:rsidRDefault="00340766">
            <w:pPr>
              <w:pStyle w:val="a0"/>
              <w:ind w:left="0" w:firstLineChars="0" w:firstLine="0"/>
              <w:jc w:val="cente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为确保本项目所承担的公共服务长期保持公益性质，针对应选人提出的本地区市场运营风险控制计划的系统性、可行性，针对本项目所做的风险控制计划系统、切实、可行，能够提出包括保险统保风险、运营亏损风险等管理建议或管控实施办法，由评委进行综合评议</w:t>
            </w:r>
            <w:r>
              <w:rPr>
                <w:rFonts w:ascii="黑体" w:eastAsia="黑体" w:hAnsi="黑体" w:hint="eastAsia"/>
                <w:sz w:val="28"/>
                <w:szCs w:val="28"/>
              </w:rPr>
              <w:t>，</w:t>
            </w:r>
            <w:r>
              <w:rPr>
                <w:rFonts w:ascii="黑体" w:eastAsia="黑体" w:hAnsi="黑体" w:hint="eastAsia"/>
                <w:sz w:val="28"/>
                <w:szCs w:val="28"/>
              </w:rPr>
              <w:t>在</w:t>
            </w:r>
            <w:r>
              <w:rPr>
                <w:rFonts w:ascii="黑体" w:eastAsia="黑体" w:hAnsi="黑体" w:hint="eastAsia"/>
                <w:sz w:val="28"/>
                <w:szCs w:val="28"/>
              </w:rPr>
              <w:t>0-2</w:t>
            </w:r>
            <w:r>
              <w:rPr>
                <w:rFonts w:ascii="黑体" w:eastAsia="黑体" w:hAnsi="黑体" w:hint="eastAsia"/>
                <w:sz w:val="28"/>
                <w:szCs w:val="28"/>
              </w:rPr>
              <w:t>分之间评分。</w:t>
            </w:r>
          </w:p>
        </w:tc>
      </w:tr>
      <w:tr w:rsidR="006755CB">
        <w:trPr>
          <w:trHeight w:val="157"/>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医疗纠纷风险防控管理</w:t>
            </w:r>
          </w:p>
        </w:tc>
        <w:tc>
          <w:tcPr>
            <w:tcW w:w="11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2</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能够提供有效的可执行的医疗纠纷风险防控实施方案，根据方案可操作性和结合启东实际，由评委在</w:t>
            </w:r>
            <w:r>
              <w:rPr>
                <w:rFonts w:ascii="黑体" w:eastAsia="黑体" w:hAnsi="黑体" w:hint="eastAsia"/>
                <w:sz w:val="28"/>
                <w:szCs w:val="28"/>
              </w:rPr>
              <w:t>0-</w:t>
            </w:r>
            <w:r>
              <w:rPr>
                <w:rFonts w:ascii="黑体" w:eastAsia="黑体" w:hAnsi="黑体" w:hint="eastAsia"/>
                <w:sz w:val="28"/>
                <w:szCs w:val="28"/>
              </w:rPr>
              <w:t>2</w:t>
            </w:r>
            <w:r>
              <w:rPr>
                <w:rFonts w:ascii="黑体" w:eastAsia="黑体" w:hAnsi="黑体" w:hint="eastAsia"/>
                <w:sz w:val="28"/>
                <w:szCs w:val="28"/>
              </w:rPr>
              <w:t>分之间评分；</w:t>
            </w:r>
          </w:p>
        </w:tc>
      </w:tr>
      <w:tr w:rsidR="006755CB">
        <w:trPr>
          <w:trHeight w:val="896"/>
          <w:jc w:val="center"/>
        </w:trPr>
        <w:tc>
          <w:tcPr>
            <w:tcW w:w="434"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3</w:t>
            </w:r>
          </w:p>
        </w:tc>
        <w:tc>
          <w:tcPr>
            <w:tcW w:w="1419" w:type="dxa"/>
            <w:vMerge w:val="restart"/>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项目保险方案设计及保险安排方案</w:t>
            </w:r>
          </w:p>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6</w:t>
            </w:r>
            <w:r>
              <w:rPr>
                <w:rFonts w:ascii="黑体" w:eastAsia="黑体" w:hAnsi="黑体" w:hint="eastAsia"/>
                <w:sz w:val="28"/>
                <w:szCs w:val="28"/>
              </w:rPr>
              <w:t>分）</w:t>
            </w: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保险方案设计</w:t>
            </w:r>
          </w:p>
        </w:tc>
        <w:tc>
          <w:tcPr>
            <w:tcW w:w="1197" w:type="dxa"/>
            <w:vAlign w:val="center"/>
          </w:tcPr>
          <w:p w:rsidR="006755CB" w:rsidRDefault="006755CB">
            <w:pPr>
              <w:spacing w:line="240" w:lineRule="auto"/>
              <w:ind w:firstLineChars="0" w:firstLine="0"/>
              <w:jc w:val="center"/>
              <w:rPr>
                <w:rFonts w:ascii="黑体" w:eastAsia="黑体" w:hAnsi="黑体"/>
                <w:sz w:val="28"/>
                <w:szCs w:val="28"/>
              </w:rPr>
            </w:pPr>
          </w:p>
          <w:p w:rsidR="006755CB" w:rsidRDefault="00340766">
            <w:pPr>
              <w:spacing w:line="240" w:lineRule="auto"/>
              <w:ind w:firstLineChars="0" w:firstLine="0"/>
              <w:jc w:val="center"/>
              <w:rPr>
                <w:rFonts w:ascii="宋体" w:hAnsi="宋体"/>
                <w:sz w:val="21"/>
                <w:szCs w:val="21"/>
              </w:rPr>
            </w:pPr>
            <w:r>
              <w:rPr>
                <w:rFonts w:ascii="黑体" w:eastAsia="黑体" w:hAnsi="黑体" w:hint="eastAsia"/>
                <w:sz w:val="28"/>
                <w:szCs w:val="28"/>
              </w:rPr>
              <w:t>3</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保险项目方案科学合理、服务流程清晰、合理、具有可操作性，得</w:t>
            </w:r>
            <w:r>
              <w:rPr>
                <w:rFonts w:ascii="黑体" w:eastAsia="黑体" w:hAnsi="黑体" w:hint="eastAsia"/>
                <w:sz w:val="28"/>
                <w:szCs w:val="28"/>
              </w:rPr>
              <w:t>1</w:t>
            </w:r>
            <w:r>
              <w:rPr>
                <w:rFonts w:ascii="黑体" w:eastAsia="黑体" w:hAnsi="黑体" w:hint="eastAsia"/>
                <w:sz w:val="28"/>
                <w:szCs w:val="28"/>
              </w:rPr>
              <w:t>.5</w:t>
            </w:r>
            <w:r>
              <w:rPr>
                <w:rFonts w:ascii="黑体" w:eastAsia="黑体" w:hAnsi="黑体" w:hint="eastAsia"/>
                <w:sz w:val="28"/>
                <w:szCs w:val="28"/>
              </w:rPr>
              <w:t>分。</w:t>
            </w:r>
          </w:p>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能够满足医疗责任险项目风险管理需求，得</w:t>
            </w:r>
            <w:r>
              <w:rPr>
                <w:rFonts w:ascii="黑体" w:eastAsia="黑体" w:hAnsi="黑体" w:hint="eastAsia"/>
                <w:sz w:val="28"/>
                <w:szCs w:val="28"/>
              </w:rPr>
              <w:t>1</w:t>
            </w:r>
            <w:r>
              <w:rPr>
                <w:rFonts w:ascii="黑体" w:eastAsia="黑体" w:hAnsi="黑体" w:hint="eastAsia"/>
                <w:sz w:val="28"/>
                <w:szCs w:val="28"/>
              </w:rPr>
              <w:t>.5</w:t>
            </w:r>
            <w:r>
              <w:rPr>
                <w:rFonts w:ascii="黑体" w:eastAsia="黑体" w:hAnsi="黑体" w:hint="eastAsia"/>
                <w:sz w:val="28"/>
                <w:szCs w:val="28"/>
              </w:rPr>
              <w:t>分；</w:t>
            </w:r>
          </w:p>
        </w:tc>
      </w:tr>
      <w:tr w:rsidR="006755CB">
        <w:trPr>
          <w:trHeight w:val="355"/>
          <w:jc w:val="center"/>
        </w:trPr>
        <w:tc>
          <w:tcPr>
            <w:tcW w:w="434"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19" w:type="dxa"/>
            <w:vMerge/>
            <w:vAlign w:val="center"/>
          </w:tcPr>
          <w:p w:rsidR="006755CB" w:rsidRDefault="006755CB">
            <w:pPr>
              <w:spacing w:line="240" w:lineRule="auto"/>
              <w:ind w:firstLineChars="0" w:firstLine="0"/>
              <w:jc w:val="center"/>
              <w:rPr>
                <w:rFonts w:ascii="黑体" w:eastAsia="黑体" w:hAnsi="黑体"/>
                <w:sz w:val="28"/>
                <w:szCs w:val="28"/>
              </w:rPr>
            </w:pPr>
          </w:p>
        </w:tc>
        <w:tc>
          <w:tcPr>
            <w:tcW w:w="1432"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保险安排方案</w:t>
            </w:r>
          </w:p>
        </w:tc>
        <w:tc>
          <w:tcPr>
            <w:tcW w:w="1197" w:type="dxa"/>
            <w:vAlign w:val="center"/>
          </w:tcPr>
          <w:p w:rsidR="006755CB" w:rsidRDefault="00340766">
            <w:pPr>
              <w:spacing w:line="240" w:lineRule="auto"/>
              <w:ind w:firstLineChars="0" w:firstLine="0"/>
              <w:jc w:val="center"/>
              <w:rPr>
                <w:rFonts w:ascii="宋体" w:hAnsi="宋体"/>
                <w:sz w:val="21"/>
                <w:szCs w:val="21"/>
              </w:rPr>
            </w:pPr>
            <w:r>
              <w:rPr>
                <w:rFonts w:ascii="黑体" w:eastAsia="黑体" w:hAnsi="黑体" w:hint="eastAsia"/>
                <w:sz w:val="28"/>
                <w:szCs w:val="28"/>
              </w:rPr>
              <w:t>3</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根据应选人制定的保险安排方案即保险采购方案，包括招标方案策划、招标评标过程方案、中标公示、签订合同等是否合理、清晰、可行进行评分，优的得</w:t>
            </w:r>
            <w:r>
              <w:rPr>
                <w:rFonts w:ascii="黑体" w:eastAsia="黑体" w:hAnsi="黑体" w:hint="eastAsia"/>
                <w:sz w:val="28"/>
                <w:szCs w:val="28"/>
              </w:rPr>
              <w:t>3</w:t>
            </w:r>
            <w:r>
              <w:rPr>
                <w:rFonts w:ascii="黑体" w:eastAsia="黑体" w:hAnsi="黑体" w:hint="eastAsia"/>
                <w:sz w:val="28"/>
                <w:szCs w:val="28"/>
              </w:rPr>
              <w:t>分，一般的得</w:t>
            </w:r>
            <w:r>
              <w:rPr>
                <w:rFonts w:ascii="黑体" w:eastAsia="黑体" w:hAnsi="黑体" w:hint="eastAsia"/>
                <w:sz w:val="28"/>
                <w:szCs w:val="28"/>
              </w:rPr>
              <w:t>2</w:t>
            </w:r>
            <w:r>
              <w:rPr>
                <w:rFonts w:ascii="黑体" w:eastAsia="黑体" w:hAnsi="黑体" w:hint="eastAsia"/>
                <w:sz w:val="28"/>
                <w:szCs w:val="28"/>
              </w:rPr>
              <w:t>分，差的得</w:t>
            </w:r>
            <w:r>
              <w:rPr>
                <w:rFonts w:ascii="黑体" w:eastAsia="黑体" w:hAnsi="黑体" w:hint="eastAsia"/>
                <w:sz w:val="28"/>
                <w:szCs w:val="28"/>
              </w:rPr>
              <w:t>0-0.5</w:t>
            </w:r>
            <w:r>
              <w:rPr>
                <w:rFonts w:ascii="黑体" w:eastAsia="黑体" w:hAnsi="黑体" w:hint="eastAsia"/>
                <w:sz w:val="28"/>
                <w:szCs w:val="28"/>
              </w:rPr>
              <w:t>分。</w:t>
            </w:r>
          </w:p>
        </w:tc>
      </w:tr>
      <w:tr w:rsidR="006755CB">
        <w:trPr>
          <w:trHeight w:val="355"/>
          <w:jc w:val="center"/>
        </w:trPr>
        <w:tc>
          <w:tcPr>
            <w:tcW w:w="434"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4</w:t>
            </w:r>
          </w:p>
        </w:tc>
        <w:tc>
          <w:tcPr>
            <w:tcW w:w="2851" w:type="dxa"/>
            <w:gridSpan w:val="2"/>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数据信息平台支撑</w:t>
            </w:r>
          </w:p>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8</w:t>
            </w:r>
            <w:r>
              <w:rPr>
                <w:rFonts w:ascii="黑体" w:eastAsia="黑体" w:hAnsi="黑体" w:hint="eastAsia"/>
                <w:sz w:val="28"/>
                <w:szCs w:val="28"/>
              </w:rPr>
              <w:t>分）</w:t>
            </w:r>
          </w:p>
        </w:tc>
        <w:tc>
          <w:tcPr>
            <w:tcW w:w="1197" w:type="dxa"/>
            <w:vAlign w:val="center"/>
          </w:tcPr>
          <w:p w:rsidR="006755CB" w:rsidRDefault="00340766">
            <w:pPr>
              <w:pStyle w:val="a0"/>
              <w:ind w:left="0" w:firstLineChars="0" w:firstLine="0"/>
              <w:jc w:val="center"/>
            </w:pPr>
            <w:r>
              <w:rPr>
                <w:rFonts w:ascii="黑体" w:eastAsia="黑体" w:hAnsi="黑体" w:hint="eastAsia"/>
                <w:sz w:val="28"/>
                <w:szCs w:val="28"/>
              </w:rPr>
              <w:t>8</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基本功能，项目管理、保险方案查询、数据统计、案件管理、风险管理、政府查询、医疗机构查询等功能；在线动态管理功能，可提供项目承保、案件状态、理赔查询等在线动态管理功能；大数据功能，具备大数据分析功</w:t>
            </w:r>
            <w:r>
              <w:rPr>
                <w:rFonts w:ascii="黑体" w:eastAsia="黑体" w:hAnsi="黑体" w:hint="eastAsia"/>
                <w:sz w:val="28"/>
                <w:szCs w:val="28"/>
              </w:rPr>
              <w:lastRenderedPageBreak/>
              <w:t>能，可以反哺医疗机构进行风险管理和风险控制功能。由评委在</w:t>
            </w:r>
            <w:r>
              <w:rPr>
                <w:rFonts w:ascii="黑体" w:eastAsia="黑体" w:hAnsi="黑体" w:hint="eastAsia"/>
                <w:sz w:val="28"/>
                <w:szCs w:val="28"/>
              </w:rPr>
              <w:t>0-</w:t>
            </w:r>
            <w:r>
              <w:rPr>
                <w:rFonts w:ascii="黑体" w:eastAsia="黑体" w:hAnsi="黑体" w:hint="eastAsia"/>
                <w:sz w:val="28"/>
                <w:szCs w:val="28"/>
              </w:rPr>
              <w:t>8</w:t>
            </w:r>
            <w:r>
              <w:rPr>
                <w:rFonts w:ascii="黑体" w:eastAsia="黑体" w:hAnsi="黑体" w:hint="eastAsia"/>
                <w:sz w:val="28"/>
                <w:szCs w:val="28"/>
              </w:rPr>
              <w:t>分之间评分。</w:t>
            </w:r>
          </w:p>
        </w:tc>
      </w:tr>
      <w:tr w:rsidR="006755CB">
        <w:trPr>
          <w:trHeight w:val="355"/>
          <w:jc w:val="center"/>
        </w:trPr>
        <w:tc>
          <w:tcPr>
            <w:tcW w:w="434"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lastRenderedPageBreak/>
              <w:t>5</w:t>
            </w:r>
          </w:p>
        </w:tc>
        <w:tc>
          <w:tcPr>
            <w:tcW w:w="2851" w:type="dxa"/>
            <w:gridSpan w:val="2"/>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监督评估方案（</w:t>
            </w:r>
            <w:r>
              <w:rPr>
                <w:rFonts w:ascii="黑体" w:eastAsia="黑体" w:hAnsi="黑体" w:hint="eastAsia"/>
                <w:sz w:val="28"/>
                <w:szCs w:val="28"/>
              </w:rPr>
              <w:t>5</w:t>
            </w:r>
            <w:r>
              <w:rPr>
                <w:rFonts w:ascii="黑体" w:eastAsia="黑体" w:hAnsi="黑体" w:hint="eastAsia"/>
                <w:sz w:val="28"/>
                <w:szCs w:val="28"/>
              </w:rPr>
              <w:t>分）</w:t>
            </w:r>
          </w:p>
        </w:tc>
        <w:tc>
          <w:tcPr>
            <w:tcW w:w="1197" w:type="dxa"/>
            <w:vAlign w:val="center"/>
          </w:tcPr>
          <w:p w:rsidR="006755CB" w:rsidRDefault="00340766">
            <w:pPr>
              <w:pStyle w:val="a0"/>
              <w:ind w:left="0" w:firstLineChars="0" w:firstLine="0"/>
              <w:jc w:val="center"/>
              <w:rPr>
                <w:rFonts w:ascii="黑体" w:eastAsia="黑体" w:hAnsi="黑体"/>
                <w:sz w:val="28"/>
                <w:szCs w:val="28"/>
              </w:rPr>
            </w:pPr>
            <w:r>
              <w:rPr>
                <w:rFonts w:ascii="黑体" w:eastAsia="黑体" w:hAnsi="黑体" w:hint="eastAsia"/>
                <w:sz w:val="28"/>
                <w:szCs w:val="28"/>
              </w:rPr>
              <w:t>5</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为确保本项目取得预期成效，在项目实施过程中定期接受监督检查，应选人制定科学完整、操作性强、可细化量化的监督评估方案，由评委在</w:t>
            </w:r>
            <w:r>
              <w:rPr>
                <w:rFonts w:ascii="黑体" w:eastAsia="黑体" w:hAnsi="黑体" w:hint="eastAsia"/>
                <w:sz w:val="28"/>
                <w:szCs w:val="28"/>
              </w:rPr>
              <w:t>0-5</w:t>
            </w:r>
            <w:r>
              <w:rPr>
                <w:rFonts w:ascii="黑体" w:eastAsia="黑体" w:hAnsi="黑体" w:hint="eastAsia"/>
                <w:sz w:val="28"/>
                <w:szCs w:val="28"/>
              </w:rPr>
              <w:t>分之间评分。提供相关方案。</w:t>
            </w:r>
          </w:p>
        </w:tc>
      </w:tr>
      <w:tr w:rsidR="006755CB">
        <w:trPr>
          <w:trHeight w:val="355"/>
          <w:jc w:val="center"/>
        </w:trPr>
        <w:tc>
          <w:tcPr>
            <w:tcW w:w="434"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6</w:t>
            </w:r>
          </w:p>
        </w:tc>
        <w:tc>
          <w:tcPr>
            <w:tcW w:w="2851" w:type="dxa"/>
            <w:gridSpan w:val="2"/>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现场述标及答疑</w:t>
            </w:r>
          </w:p>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10</w:t>
            </w:r>
            <w:r>
              <w:rPr>
                <w:rFonts w:ascii="黑体" w:eastAsia="黑体" w:hAnsi="黑体" w:hint="eastAsia"/>
                <w:sz w:val="28"/>
                <w:szCs w:val="28"/>
              </w:rPr>
              <w:t>分）</w:t>
            </w:r>
          </w:p>
        </w:tc>
        <w:tc>
          <w:tcPr>
            <w:tcW w:w="1197" w:type="dxa"/>
            <w:vAlign w:val="center"/>
          </w:tcPr>
          <w:p w:rsidR="006755CB" w:rsidRDefault="006755CB">
            <w:pPr>
              <w:spacing w:line="240" w:lineRule="auto"/>
              <w:ind w:firstLineChars="0" w:firstLine="0"/>
              <w:jc w:val="center"/>
              <w:rPr>
                <w:rFonts w:ascii="黑体" w:eastAsia="黑体" w:hAnsi="黑体"/>
                <w:sz w:val="28"/>
                <w:szCs w:val="28"/>
              </w:rPr>
            </w:pPr>
          </w:p>
          <w:p w:rsidR="006755CB" w:rsidRDefault="00340766">
            <w:pPr>
              <w:pStyle w:val="a0"/>
              <w:ind w:left="0" w:firstLineChars="0" w:firstLine="0"/>
              <w:jc w:val="center"/>
            </w:pPr>
            <w:r>
              <w:rPr>
                <w:rFonts w:ascii="黑体" w:eastAsia="黑体" w:hAnsi="黑体" w:hint="eastAsia"/>
                <w:sz w:val="28"/>
                <w:szCs w:val="28"/>
              </w:rPr>
              <w:t>10</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一、由各评委根据应选人项目负责人现场述标。述标内容：</w:t>
            </w:r>
            <w:r>
              <w:rPr>
                <w:rFonts w:ascii="黑体" w:eastAsia="黑体" w:hAnsi="黑体" w:hint="eastAsia"/>
                <w:sz w:val="28"/>
                <w:szCs w:val="28"/>
              </w:rPr>
              <w:t>1.</w:t>
            </w:r>
            <w:r>
              <w:rPr>
                <w:rFonts w:ascii="黑体" w:eastAsia="黑体" w:hAnsi="黑体" w:hint="eastAsia"/>
                <w:sz w:val="28"/>
                <w:szCs w:val="28"/>
              </w:rPr>
              <w:t>近两年内医疗纠纷疑难案例调处业绩及整体实施方案进行介绍，但不限于主要业绩、方案介绍、数据平台在线演示、典型案例、下一步工作工作计划等；（按</w:t>
            </w:r>
            <w:r>
              <w:rPr>
                <w:rFonts w:ascii="黑体" w:eastAsia="黑体" w:hAnsi="黑体" w:hint="eastAsia"/>
                <w:sz w:val="28"/>
                <w:szCs w:val="28"/>
              </w:rPr>
              <w:t>0-3</w:t>
            </w:r>
            <w:r>
              <w:rPr>
                <w:rFonts w:ascii="黑体" w:eastAsia="黑体" w:hAnsi="黑体" w:hint="eastAsia"/>
                <w:sz w:val="28"/>
                <w:szCs w:val="28"/>
              </w:rPr>
              <w:t>分评价）</w:t>
            </w:r>
            <w:r>
              <w:rPr>
                <w:rFonts w:ascii="黑体" w:eastAsia="黑体" w:hAnsi="黑体" w:hint="eastAsia"/>
                <w:sz w:val="28"/>
                <w:szCs w:val="28"/>
              </w:rPr>
              <w:t>2.</w:t>
            </w:r>
            <w:r>
              <w:rPr>
                <w:rFonts w:ascii="黑体" w:eastAsia="黑体" w:hAnsi="黑体" w:hint="eastAsia"/>
                <w:sz w:val="28"/>
                <w:szCs w:val="28"/>
              </w:rPr>
              <w:t>经办场所、科学管理、网络建设、优质服务、协调配合、成本预算、人员配备等方面。（按</w:t>
            </w:r>
            <w:r>
              <w:rPr>
                <w:rFonts w:ascii="黑体" w:eastAsia="黑体" w:hAnsi="黑体" w:hint="eastAsia"/>
                <w:sz w:val="28"/>
                <w:szCs w:val="28"/>
              </w:rPr>
              <w:t>0-2</w:t>
            </w:r>
            <w:r>
              <w:rPr>
                <w:rFonts w:ascii="黑体" w:eastAsia="黑体" w:hAnsi="黑体" w:hint="eastAsia"/>
                <w:sz w:val="28"/>
                <w:szCs w:val="28"/>
              </w:rPr>
              <w:t>分评价）</w:t>
            </w:r>
          </w:p>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评委根据述标情况，予以打分，精确到</w:t>
            </w:r>
            <w:r>
              <w:rPr>
                <w:rFonts w:ascii="黑体" w:eastAsia="黑体" w:hAnsi="黑体" w:hint="eastAsia"/>
                <w:sz w:val="28"/>
                <w:szCs w:val="28"/>
              </w:rPr>
              <w:t>0.1</w:t>
            </w:r>
            <w:r>
              <w:rPr>
                <w:rFonts w:ascii="黑体" w:eastAsia="黑体" w:hAnsi="黑体" w:hint="eastAsia"/>
                <w:sz w:val="28"/>
                <w:szCs w:val="28"/>
              </w:rPr>
              <w:t>分，根据各评委打分，以平均分为最终得分。现场述标时间控制在</w:t>
            </w:r>
            <w:r>
              <w:rPr>
                <w:rFonts w:ascii="黑体" w:eastAsia="黑体" w:hAnsi="黑体" w:hint="eastAsia"/>
                <w:sz w:val="28"/>
                <w:szCs w:val="28"/>
              </w:rPr>
              <w:t>15</w:t>
            </w:r>
            <w:r>
              <w:rPr>
                <w:rFonts w:ascii="黑体" w:eastAsia="黑体" w:hAnsi="黑体" w:hint="eastAsia"/>
                <w:sz w:val="28"/>
                <w:szCs w:val="28"/>
              </w:rPr>
              <w:t>分钟以内。</w:t>
            </w:r>
          </w:p>
          <w:p w:rsidR="006755CB" w:rsidRDefault="00340766">
            <w:pPr>
              <w:spacing w:line="240" w:lineRule="auto"/>
              <w:ind w:firstLineChars="0" w:firstLine="0"/>
              <w:rPr>
                <w:rFonts w:eastAsia="黑体"/>
              </w:rPr>
            </w:pPr>
            <w:r>
              <w:rPr>
                <w:rFonts w:ascii="黑体" w:eastAsia="黑体" w:hAnsi="黑体" w:hint="eastAsia"/>
                <w:sz w:val="28"/>
                <w:szCs w:val="28"/>
              </w:rPr>
              <w:t>二、根据评委会准备</w:t>
            </w:r>
            <w:r>
              <w:rPr>
                <w:rFonts w:ascii="黑体" w:eastAsia="黑体" w:hAnsi="黑体" w:hint="eastAsia"/>
                <w:sz w:val="28"/>
                <w:szCs w:val="28"/>
              </w:rPr>
              <w:t>5</w:t>
            </w:r>
            <w:r>
              <w:rPr>
                <w:rFonts w:ascii="黑体" w:eastAsia="黑体" w:hAnsi="黑体" w:hint="eastAsia"/>
                <w:sz w:val="28"/>
                <w:szCs w:val="28"/>
              </w:rPr>
              <w:t>个问题，由本项目负责人进行答辩，每个问题</w:t>
            </w:r>
            <w:r>
              <w:rPr>
                <w:rFonts w:ascii="黑体" w:eastAsia="黑体" w:hAnsi="黑体" w:hint="eastAsia"/>
                <w:sz w:val="28"/>
                <w:szCs w:val="28"/>
              </w:rPr>
              <w:t>1</w:t>
            </w:r>
            <w:r>
              <w:rPr>
                <w:rFonts w:ascii="黑体" w:eastAsia="黑体" w:hAnsi="黑体" w:hint="eastAsia"/>
                <w:sz w:val="28"/>
                <w:szCs w:val="28"/>
              </w:rPr>
              <w:t>分，精确至</w:t>
            </w:r>
            <w:r>
              <w:rPr>
                <w:rFonts w:ascii="黑体" w:eastAsia="黑体" w:hAnsi="黑体" w:hint="eastAsia"/>
                <w:sz w:val="28"/>
                <w:szCs w:val="28"/>
              </w:rPr>
              <w:t>0.1</w:t>
            </w:r>
            <w:r>
              <w:rPr>
                <w:rFonts w:ascii="黑体" w:eastAsia="黑体" w:hAnsi="黑体" w:hint="eastAsia"/>
                <w:sz w:val="28"/>
                <w:szCs w:val="28"/>
              </w:rPr>
              <w:t>分，根据答辩情况由每位评委进行打分，以各评委的平均分为得分。</w:t>
            </w:r>
          </w:p>
        </w:tc>
      </w:tr>
      <w:tr w:rsidR="006755CB">
        <w:trPr>
          <w:trHeight w:val="355"/>
          <w:jc w:val="center"/>
        </w:trPr>
        <w:tc>
          <w:tcPr>
            <w:tcW w:w="434"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7</w:t>
            </w:r>
          </w:p>
        </w:tc>
        <w:tc>
          <w:tcPr>
            <w:tcW w:w="2851" w:type="dxa"/>
            <w:gridSpan w:val="2"/>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其他增值服务（</w:t>
            </w:r>
            <w:r>
              <w:rPr>
                <w:rFonts w:ascii="黑体" w:eastAsia="黑体" w:hAnsi="黑体" w:hint="eastAsia"/>
                <w:sz w:val="28"/>
                <w:szCs w:val="28"/>
              </w:rPr>
              <w:t>4</w:t>
            </w:r>
            <w:r>
              <w:rPr>
                <w:rFonts w:ascii="黑体" w:eastAsia="黑体" w:hAnsi="黑体" w:hint="eastAsia"/>
                <w:sz w:val="28"/>
                <w:szCs w:val="28"/>
              </w:rPr>
              <w:t>分）</w:t>
            </w:r>
          </w:p>
        </w:tc>
        <w:tc>
          <w:tcPr>
            <w:tcW w:w="1197" w:type="dxa"/>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4</w:t>
            </w:r>
            <w:r>
              <w:rPr>
                <w:rFonts w:ascii="黑体" w:eastAsia="黑体" w:hAnsi="黑体" w:hint="eastAsia"/>
                <w:sz w:val="28"/>
                <w:szCs w:val="28"/>
              </w:rPr>
              <w:t>分</w:t>
            </w:r>
          </w:p>
        </w:tc>
        <w:tc>
          <w:tcPr>
            <w:tcW w:w="4688" w:type="dxa"/>
            <w:tcBorders>
              <w:right w:val="single" w:sz="4" w:space="0" w:color="auto"/>
            </w:tcBorders>
            <w:vAlign w:val="center"/>
          </w:tcPr>
          <w:p w:rsidR="006755CB" w:rsidRDefault="00340766">
            <w:pPr>
              <w:spacing w:line="240" w:lineRule="auto"/>
              <w:ind w:firstLineChars="0" w:firstLine="0"/>
              <w:rPr>
                <w:rFonts w:ascii="黑体" w:eastAsia="黑体" w:hAnsi="黑体"/>
                <w:sz w:val="28"/>
                <w:szCs w:val="28"/>
              </w:rPr>
            </w:pPr>
            <w:r>
              <w:rPr>
                <w:rFonts w:ascii="黑体" w:eastAsia="黑体" w:hAnsi="黑体" w:hint="eastAsia"/>
                <w:sz w:val="28"/>
                <w:szCs w:val="28"/>
              </w:rPr>
              <w:t>有特别注明的增值服务，且切实、合理、可行，可以进一步保障投保人的利益。如提供合理、切实可行的专业服务，数据分析统计、风险管理服务、日常服务等。由评委在</w:t>
            </w:r>
            <w:r>
              <w:rPr>
                <w:rFonts w:ascii="黑体" w:eastAsia="黑体" w:hAnsi="黑体" w:hint="eastAsia"/>
                <w:sz w:val="28"/>
                <w:szCs w:val="28"/>
              </w:rPr>
              <w:t>0-4</w:t>
            </w:r>
            <w:r>
              <w:rPr>
                <w:rFonts w:ascii="黑体" w:eastAsia="黑体" w:hAnsi="黑体" w:hint="eastAsia"/>
                <w:sz w:val="28"/>
                <w:szCs w:val="28"/>
              </w:rPr>
              <w:t>分之间评分。</w:t>
            </w:r>
          </w:p>
        </w:tc>
      </w:tr>
      <w:tr w:rsidR="006755CB">
        <w:trPr>
          <w:trHeight w:val="306"/>
          <w:jc w:val="center"/>
        </w:trPr>
        <w:tc>
          <w:tcPr>
            <w:tcW w:w="3285" w:type="dxa"/>
            <w:gridSpan w:val="3"/>
            <w:tcBorders>
              <w:bottom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技术得分</w:t>
            </w:r>
          </w:p>
        </w:tc>
        <w:tc>
          <w:tcPr>
            <w:tcW w:w="1197" w:type="dxa"/>
            <w:tcBorders>
              <w:bottom w:val="single" w:sz="12" w:space="0" w:color="auto"/>
            </w:tcBorders>
            <w:vAlign w:val="center"/>
          </w:tcPr>
          <w:p w:rsidR="006755CB" w:rsidRDefault="00340766">
            <w:pPr>
              <w:spacing w:line="240" w:lineRule="auto"/>
              <w:ind w:firstLineChars="0" w:firstLine="0"/>
              <w:jc w:val="center"/>
              <w:rPr>
                <w:rFonts w:ascii="黑体" w:eastAsia="黑体" w:hAnsi="黑体"/>
                <w:sz w:val="28"/>
                <w:szCs w:val="28"/>
              </w:rPr>
            </w:pPr>
            <w:r>
              <w:rPr>
                <w:rFonts w:ascii="黑体" w:eastAsia="黑体" w:hAnsi="黑体" w:hint="eastAsia"/>
                <w:sz w:val="28"/>
                <w:szCs w:val="28"/>
              </w:rPr>
              <w:t>60</w:t>
            </w:r>
          </w:p>
        </w:tc>
        <w:tc>
          <w:tcPr>
            <w:tcW w:w="4688" w:type="dxa"/>
            <w:tcBorders>
              <w:bottom w:val="single" w:sz="12" w:space="0" w:color="auto"/>
              <w:right w:val="single" w:sz="4" w:space="0" w:color="auto"/>
            </w:tcBorders>
            <w:vAlign w:val="center"/>
          </w:tcPr>
          <w:p w:rsidR="006755CB" w:rsidRDefault="006755CB">
            <w:pPr>
              <w:spacing w:line="240" w:lineRule="auto"/>
              <w:ind w:firstLineChars="0" w:firstLine="0"/>
              <w:rPr>
                <w:rFonts w:ascii="黑体" w:eastAsia="黑体" w:hAnsi="黑体"/>
                <w:sz w:val="28"/>
                <w:szCs w:val="28"/>
              </w:rPr>
            </w:pPr>
          </w:p>
        </w:tc>
      </w:tr>
      <w:bookmarkEnd w:id="0"/>
      <w:bookmarkEnd w:id="1"/>
      <w:bookmarkEnd w:id="2"/>
      <w:bookmarkEnd w:id="3"/>
      <w:bookmarkEnd w:id="4"/>
      <w:bookmarkEnd w:id="5"/>
      <w:bookmarkEnd w:id="6"/>
      <w:bookmarkEnd w:id="7"/>
    </w:tbl>
    <w:p w:rsidR="006755CB" w:rsidRDefault="006755CB">
      <w:pPr>
        <w:ind w:firstLineChars="0" w:firstLine="0"/>
      </w:pPr>
    </w:p>
    <w:sectPr w:rsidR="006755CB" w:rsidSect="006755CB">
      <w:headerReference w:type="default" r:id="rId14"/>
      <w:footerReference w:type="default" r:id="rId15"/>
      <w:pgSz w:w="11906" w:h="16838"/>
      <w:pgMar w:top="1531" w:right="1417" w:bottom="1247" w:left="1417" w:header="1134" w:footer="850" w:gutter="0"/>
      <w:cols w:space="720"/>
      <w:docGrid w:type="linesAndChars" w:linePitch="381" w:charSpace="10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766" w:rsidRDefault="00340766" w:rsidP="008D09A8">
      <w:pPr>
        <w:spacing w:line="240" w:lineRule="auto"/>
        <w:ind w:firstLine="480"/>
      </w:pPr>
      <w:r>
        <w:separator/>
      </w:r>
    </w:p>
  </w:endnote>
  <w:endnote w:type="continuationSeparator" w:id="1">
    <w:p w:rsidR="00340766" w:rsidRDefault="00340766" w:rsidP="008D09A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Default="006755C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Default="006755C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Default="006755CB">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Default="006755CB">
    <w:pPr>
      <w:pStyle w:val="a4"/>
      <w:ind w:firstLine="360"/>
    </w:pPr>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6755CB" w:rsidRDefault="006755CB">
                <w:pPr>
                  <w:pStyle w:val="a4"/>
                  <w:ind w:firstLine="360"/>
                </w:pPr>
                <w:r>
                  <w:rPr>
                    <w:rFonts w:hint="eastAsia"/>
                  </w:rPr>
                  <w:fldChar w:fldCharType="begin"/>
                </w:r>
                <w:r w:rsidR="00340766">
                  <w:rPr>
                    <w:rFonts w:hint="eastAsia"/>
                  </w:rPr>
                  <w:instrText xml:space="preserve"> PAGE  \* MERGEFORMAT </w:instrText>
                </w:r>
                <w:r>
                  <w:rPr>
                    <w:rFonts w:hint="eastAsia"/>
                  </w:rPr>
                  <w:fldChar w:fldCharType="separate"/>
                </w:r>
                <w:r w:rsidR="008D09A8">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766" w:rsidRDefault="00340766" w:rsidP="008D09A8">
      <w:pPr>
        <w:spacing w:line="240" w:lineRule="auto"/>
        <w:ind w:firstLine="480"/>
      </w:pPr>
      <w:r>
        <w:separator/>
      </w:r>
    </w:p>
  </w:footnote>
  <w:footnote w:type="continuationSeparator" w:id="1">
    <w:p w:rsidR="00340766" w:rsidRDefault="00340766" w:rsidP="008D09A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Default="006755CB">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Default="00340766">
    <w:pPr>
      <w:pStyle w:val="a5"/>
      <w:ind w:firstLine="360"/>
    </w:pPr>
    <w:r>
      <w:rPr>
        <w:rFonts w:ascii="仿宋_GB2312" w:eastAsia="仿宋_GB2312" w:hint="eastAsia"/>
      </w:rPr>
      <w:t>华中科技大学同济医学院安防改造工程项目</w:t>
    </w:r>
    <w:r>
      <w:rPr>
        <w:rFonts w:ascii="仿宋_GB2312" w:eastAsia="仿宋_GB2312" w:hint="eastAsia"/>
      </w:rPr>
      <w:t xml:space="preserve">                                                       </w:t>
    </w:r>
    <w:r>
      <w:rPr>
        <w:rFonts w:ascii="仿宋_GB2312" w:eastAsia="仿宋_GB2312"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Default="006755CB">
    <w:pPr>
      <w:ind w:firstLine="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CB" w:rsidRPr="008D09A8" w:rsidRDefault="006755CB" w:rsidP="008D09A8">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5CD"/>
    <w:rsid w:val="00297AB5"/>
    <w:rsid w:val="00340766"/>
    <w:rsid w:val="003E66DC"/>
    <w:rsid w:val="006755CB"/>
    <w:rsid w:val="00680EE8"/>
    <w:rsid w:val="007178BC"/>
    <w:rsid w:val="0076526E"/>
    <w:rsid w:val="008D09A8"/>
    <w:rsid w:val="009A677F"/>
    <w:rsid w:val="009F1755"/>
    <w:rsid w:val="00A405CD"/>
    <w:rsid w:val="00AC7180"/>
    <w:rsid w:val="00B23FE2"/>
    <w:rsid w:val="00D655A6"/>
    <w:rsid w:val="00DA40DD"/>
    <w:rsid w:val="00EE149A"/>
    <w:rsid w:val="0606143D"/>
    <w:rsid w:val="0B1735B8"/>
    <w:rsid w:val="3E621361"/>
    <w:rsid w:val="4E9A06FC"/>
    <w:rsid w:val="563E384F"/>
    <w:rsid w:val="5D883F83"/>
    <w:rsid w:val="6F2D20F2"/>
    <w:rsid w:val="70E46711"/>
    <w:rsid w:val="7BCE64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55CB"/>
    <w:pPr>
      <w:widowControl w:val="0"/>
      <w:spacing w:line="312" w:lineRule="auto"/>
      <w:ind w:firstLineChars="200" w:firstLine="880"/>
      <w:jc w:val="both"/>
    </w:pPr>
    <w:rPr>
      <w:rFonts w:ascii="Calibri" w:hAnsi="Calibri" w:cs="黑体"/>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6755CB"/>
    <w:pPr>
      <w:spacing w:before="142"/>
      <w:ind w:left="116"/>
    </w:pPr>
    <w:rPr>
      <w:rFonts w:ascii="宋体" w:hAnsi="宋体"/>
      <w:sz w:val="32"/>
      <w:szCs w:val="32"/>
    </w:rPr>
  </w:style>
  <w:style w:type="paragraph" w:styleId="a4">
    <w:name w:val="footer"/>
    <w:basedOn w:val="a"/>
    <w:link w:val="Char0"/>
    <w:rsid w:val="006755CB"/>
    <w:pPr>
      <w:tabs>
        <w:tab w:val="center" w:pos="4153"/>
        <w:tab w:val="right" w:pos="8306"/>
      </w:tabs>
      <w:snapToGrid w:val="0"/>
      <w:jc w:val="left"/>
    </w:pPr>
    <w:rPr>
      <w:sz w:val="18"/>
    </w:rPr>
  </w:style>
  <w:style w:type="paragraph" w:styleId="a5">
    <w:name w:val="header"/>
    <w:basedOn w:val="a"/>
    <w:link w:val="Char1"/>
    <w:uiPriority w:val="99"/>
    <w:rsid w:val="006755CB"/>
    <w:pPr>
      <w:pBdr>
        <w:bottom w:val="single" w:sz="6" w:space="1" w:color="auto"/>
      </w:pBdr>
      <w:tabs>
        <w:tab w:val="center" w:pos="4153"/>
        <w:tab w:val="right" w:pos="8306"/>
      </w:tabs>
      <w:snapToGrid w:val="0"/>
      <w:jc w:val="center"/>
    </w:pPr>
    <w:rPr>
      <w:sz w:val="18"/>
    </w:rPr>
  </w:style>
  <w:style w:type="character" w:customStyle="1" w:styleId="Char">
    <w:name w:val="正文文本 Char"/>
    <w:basedOn w:val="a1"/>
    <w:link w:val="a0"/>
    <w:uiPriority w:val="99"/>
    <w:rsid w:val="006755CB"/>
    <w:rPr>
      <w:rFonts w:ascii="宋体" w:eastAsia="宋体" w:hAnsi="宋体" w:cs="黑体"/>
      <w:sz w:val="32"/>
      <w:szCs w:val="32"/>
    </w:rPr>
  </w:style>
  <w:style w:type="character" w:customStyle="1" w:styleId="Char0">
    <w:name w:val="页脚 Char"/>
    <w:basedOn w:val="a1"/>
    <w:link w:val="a4"/>
    <w:rsid w:val="006755CB"/>
    <w:rPr>
      <w:rFonts w:ascii="Calibri" w:eastAsia="宋体" w:hAnsi="Calibri" w:cs="黑体"/>
      <w:sz w:val="18"/>
      <w:szCs w:val="20"/>
    </w:rPr>
  </w:style>
  <w:style w:type="character" w:customStyle="1" w:styleId="Char1">
    <w:name w:val="页眉 Char"/>
    <w:basedOn w:val="a1"/>
    <w:link w:val="a5"/>
    <w:uiPriority w:val="99"/>
    <w:rsid w:val="006755CB"/>
    <w:rPr>
      <w:rFonts w:ascii="Calibri" w:eastAsia="宋体" w:hAnsi="Calibri" w:cs="黑体"/>
      <w:sz w:val="18"/>
      <w:szCs w:val="20"/>
    </w:rPr>
  </w:style>
  <w:style w:type="paragraph" w:styleId="a6">
    <w:name w:val="Balloon Text"/>
    <w:basedOn w:val="a"/>
    <w:link w:val="Char2"/>
    <w:semiHidden/>
    <w:unhideWhenUsed/>
    <w:rsid w:val="008D09A8"/>
    <w:pPr>
      <w:spacing w:line="240" w:lineRule="auto"/>
    </w:pPr>
    <w:rPr>
      <w:sz w:val="18"/>
      <w:szCs w:val="18"/>
    </w:rPr>
  </w:style>
  <w:style w:type="character" w:customStyle="1" w:styleId="Char2">
    <w:name w:val="批注框文本 Char"/>
    <w:basedOn w:val="a1"/>
    <w:link w:val="a6"/>
    <w:semiHidden/>
    <w:rsid w:val="008D09A8"/>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19D40-1E22-47F4-B287-5ACB9C0A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434</Words>
  <Characters>2475</Characters>
  <Application>Microsoft Office Word</Application>
  <DocSecurity>0</DocSecurity>
  <Lines>20</Lines>
  <Paragraphs>5</Paragraphs>
  <ScaleCrop>false</ScaleCrop>
  <Company>Microsoft</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启东市医疗责任保险统保项目</dc:title>
  <dc:creator>Windows 用户</dc:creator>
  <cp:lastModifiedBy>AutoBVT</cp:lastModifiedBy>
  <cp:revision>1</cp:revision>
  <cp:lastPrinted>2019-08-01T02:59:00Z</cp:lastPrinted>
  <dcterms:created xsi:type="dcterms:W3CDTF">2019-07-26T02:55:00Z</dcterms:created>
  <dcterms:modified xsi:type="dcterms:W3CDTF">2019-08-29T02:18:00Z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