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DAAB6">
      <w:pPr>
        <w:spacing w:line="500" w:lineRule="exact"/>
        <w:jc w:val="center"/>
        <w:rPr>
          <w:rFonts w:ascii="宋体" w:hAnsi="宋体" w:cs="宋体"/>
          <w:bCs/>
          <w:color w:val="auto"/>
          <w:spacing w:val="20"/>
          <w:sz w:val="44"/>
          <w:highlight w:val="none"/>
        </w:rPr>
      </w:pPr>
    </w:p>
    <w:p w14:paraId="6FEAE40D">
      <w:pPr>
        <w:spacing w:line="500" w:lineRule="exact"/>
        <w:jc w:val="center"/>
        <w:rPr>
          <w:rFonts w:ascii="宋体" w:hAnsi="宋体" w:cs="宋体"/>
          <w:bCs/>
          <w:color w:val="auto"/>
          <w:sz w:val="44"/>
          <w:highlight w:val="none"/>
        </w:rPr>
      </w:pPr>
    </w:p>
    <w:p w14:paraId="213BC20F">
      <w:pPr>
        <w:spacing w:line="500" w:lineRule="exact"/>
        <w:jc w:val="center"/>
        <w:rPr>
          <w:rFonts w:ascii="宋体" w:hAnsi="宋体" w:cs="宋体"/>
          <w:bCs/>
          <w:color w:val="auto"/>
          <w:sz w:val="44"/>
          <w:highlight w:val="none"/>
        </w:rPr>
      </w:pPr>
    </w:p>
    <w:p w14:paraId="0C906C54">
      <w:pPr>
        <w:spacing w:line="500" w:lineRule="exact"/>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lang w:eastAsia="zh-CN"/>
        </w:rPr>
        <w:t>启东市二、三级河道“水域状况”评价服务项目</w:t>
      </w:r>
    </w:p>
    <w:p w14:paraId="1B9892CF">
      <w:pPr>
        <w:spacing w:line="500" w:lineRule="exact"/>
        <w:jc w:val="center"/>
        <w:rPr>
          <w:rFonts w:ascii="宋体" w:hAnsi="宋体" w:cs="宋体"/>
          <w:bCs/>
          <w:color w:val="auto"/>
          <w:spacing w:val="20"/>
          <w:sz w:val="44"/>
          <w:highlight w:val="none"/>
        </w:rPr>
      </w:pPr>
    </w:p>
    <w:p w14:paraId="4744BCD5">
      <w:pPr>
        <w:spacing w:line="500" w:lineRule="exact"/>
        <w:jc w:val="center"/>
        <w:rPr>
          <w:rFonts w:ascii="宋体" w:hAnsi="宋体" w:cs="宋体"/>
          <w:bCs/>
          <w:color w:val="auto"/>
          <w:spacing w:val="20"/>
          <w:sz w:val="44"/>
          <w:highlight w:val="none"/>
        </w:rPr>
      </w:pPr>
    </w:p>
    <w:p w14:paraId="330D029C">
      <w:pPr>
        <w:spacing w:line="500" w:lineRule="exact"/>
        <w:jc w:val="center"/>
        <w:rPr>
          <w:rFonts w:ascii="宋体" w:hAnsi="宋体" w:cs="宋体"/>
          <w:bCs/>
          <w:color w:val="auto"/>
          <w:spacing w:val="20"/>
          <w:sz w:val="44"/>
          <w:highlight w:val="none"/>
        </w:rPr>
      </w:pPr>
    </w:p>
    <w:p w14:paraId="1529DC3D">
      <w:pPr>
        <w:jc w:val="center"/>
        <w:rPr>
          <w:rFonts w:ascii="宋体" w:hAnsi="宋体" w:cs="宋体"/>
          <w:bCs/>
          <w:color w:val="auto"/>
          <w:sz w:val="100"/>
          <w:szCs w:val="100"/>
          <w:highlight w:val="none"/>
        </w:rPr>
      </w:pPr>
      <w:r>
        <w:rPr>
          <w:rFonts w:hint="eastAsia" w:ascii="宋体" w:hAnsi="宋体" w:cs="宋体"/>
          <w:bCs/>
          <w:color w:val="auto"/>
          <w:sz w:val="100"/>
          <w:szCs w:val="100"/>
          <w:highlight w:val="none"/>
        </w:rPr>
        <w:t>采购招标文件</w:t>
      </w:r>
    </w:p>
    <w:p w14:paraId="01F2C12B">
      <w:pPr>
        <w:pStyle w:val="7"/>
        <w:spacing w:line="500" w:lineRule="exact"/>
        <w:rPr>
          <w:rFonts w:ascii="宋体" w:hAnsi="宋体" w:cs="宋体"/>
          <w:b w:val="0"/>
          <w:bCs/>
          <w:color w:val="auto"/>
          <w:highlight w:val="none"/>
        </w:rPr>
      </w:pPr>
    </w:p>
    <w:p w14:paraId="58E93A27">
      <w:pPr>
        <w:spacing w:line="500" w:lineRule="exact"/>
        <w:jc w:val="center"/>
        <w:rPr>
          <w:rFonts w:ascii="宋体" w:hAnsi="宋体" w:cs="宋体"/>
          <w:b/>
          <w:color w:val="auto"/>
          <w:sz w:val="36"/>
          <w:highlight w:val="none"/>
        </w:rPr>
      </w:pPr>
    </w:p>
    <w:p w14:paraId="0668D878">
      <w:pPr>
        <w:spacing w:line="500" w:lineRule="exact"/>
        <w:jc w:val="center"/>
        <w:rPr>
          <w:rFonts w:ascii="宋体" w:hAnsi="宋体" w:cs="宋体"/>
          <w:b/>
          <w:color w:val="auto"/>
          <w:sz w:val="36"/>
          <w:highlight w:val="none"/>
        </w:rPr>
      </w:pPr>
    </w:p>
    <w:p w14:paraId="7F452618">
      <w:pPr>
        <w:spacing w:line="500" w:lineRule="exact"/>
        <w:jc w:val="center"/>
        <w:rPr>
          <w:rFonts w:ascii="宋体" w:hAnsi="宋体" w:cs="宋体"/>
          <w:b/>
          <w:color w:val="auto"/>
          <w:sz w:val="36"/>
          <w:highlight w:val="none"/>
        </w:rPr>
      </w:pPr>
    </w:p>
    <w:p w14:paraId="1AD350E5">
      <w:pPr>
        <w:spacing w:line="500" w:lineRule="exact"/>
        <w:rPr>
          <w:rFonts w:ascii="宋体" w:hAnsi="宋体" w:cs="宋体"/>
          <w:color w:val="auto"/>
          <w:highlight w:val="none"/>
        </w:rPr>
      </w:pPr>
    </w:p>
    <w:p w14:paraId="37D32381">
      <w:pPr>
        <w:spacing w:line="500" w:lineRule="exact"/>
        <w:jc w:val="center"/>
        <w:rPr>
          <w:rFonts w:ascii="宋体" w:hAnsi="宋体" w:cs="宋体"/>
          <w:color w:val="auto"/>
          <w:sz w:val="32"/>
          <w:highlight w:val="none"/>
        </w:rPr>
      </w:pPr>
    </w:p>
    <w:p w14:paraId="3A05DC30">
      <w:pPr>
        <w:spacing w:line="500" w:lineRule="exact"/>
        <w:jc w:val="center"/>
        <w:rPr>
          <w:rFonts w:ascii="宋体" w:hAnsi="宋体" w:cs="宋体"/>
          <w:color w:val="auto"/>
          <w:sz w:val="32"/>
          <w:highlight w:val="none"/>
        </w:rPr>
      </w:pPr>
    </w:p>
    <w:p w14:paraId="0DDCEC7E">
      <w:pPr>
        <w:spacing w:line="500" w:lineRule="exact"/>
        <w:jc w:val="center"/>
        <w:rPr>
          <w:rFonts w:ascii="宋体" w:hAnsi="宋体" w:cs="宋体"/>
          <w:color w:val="auto"/>
          <w:sz w:val="32"/>
          <w:highlight w:val="none"/>
        </w:rPr>
      </w:pPr>
    </w:p>
    <w:p w14:paraId="6F694316">
      <w:pPr>
        <w:spacing w:line="500" w:lineRule="exact"/>
        <w:jc w:val="center"/>
        <w:rPr>
          <w:rFonts w:ascii="宋体" w:hAnsi="宋体" w:cs="宋体"/>
          <w:color w:val="auto"/>
          <w:sz w:val="32"/>
          <w:highlight w:val="none"/>
        </w:rPr>
      </w:pPr>
    </w:p>
    <w:p w14:paraId="343F8E5E">
      <w:pPr>
        <w:spacing w:line="500" w:lineRule="exact"/>
        <w:jc w:val="center"/>
        <w:rPr>
          <w:rFonts w:ascii="宋体" w:hAnsi="宋体" w:cs="宋体"/>
          <w:color w:val="auto"/>
          <w:sz w:val="32"/>
          <w:highlight w:val="none"/>
        </w:rPr>
      </w:pPr>
    </w:p>
    <w:p w14:paraId="05456ADE">
      <w:pPr>
        <w:spacing w:line="500" w:lineRule="exact"/>
        <w:jc w:val="center"/>
        <w:rPr>
          <w:rFonts w:ascii="宋体" w:hAnsi="宋体" w:cs="宋体"/>
          <w:color w:val="auto"/>
          <w:sz w:val="32"/>
          <w:highlight w:val="none"/>
        </w:rPr>
      </w:pPr>
    </w:p>
    <w:p w14:paraId="53217B66">
      <w:pPr>
        <w:spacing w:line="500" w:lineRule="exact"/>
        <w:jc w:val="center"/>
        <w:rPr>
          <w:rFonts w:hint="eastAsia" w:ascii="宋体" w:hAnsi="宋体" w:eastAsia="宋体" w:cs="宋体"/>
          <w:b/>
          <w:bCs/>
          <w:color w:val="auto"/>
          <w:spacing w:val="20"/>
          <w:sz w:val="36"/>
          <w:szCs w:val="36"/>
          <w:highlight w:val="none"/>
          <w:lang w:eastAsia="zh-CN"/>
        </w:rPr>
      </w:pPr>
      <w:r>
        <w:rPr>
          <w:rFonts w:hint="eastAsia" w:ascii="宋体" w:hAnsi="宋体" w:cs="宋体"/>
          <w:b/>
          <w:bCs/>
          <w:color w:val="auto"/>
          <w:sz w:val="36"/>
          <w:szCs w:val="36"/>
          <w:highlight w:val="none"/>
          <w:lang w:eastAsia="zh-CN"/>
        </w:rPr>
        <w:t>启东市水务局</w:t>
      </w:r>
    </w:p>
    <w:p w14:paraId="4687CD19">
      <w:pPr>
        <w:pStyle w:val="67"/>
        <w:ind w:firstLine="0"/>
        <w:rPr>
          <w:rFonts w:ascii="宋体" w:hAnsi="宋体" w:cs="宋体"/>
          <w:b/>
          <w:bCs/>
          <w:color w:val="auto"/>
          <w:sz w:val="32"/>
          <w:highlight w:val="none"/>
        </w:rPr>
      </w:pPr>
      <w:r>
        <w:rPr>
          <w:rFonts w:hint="eastAsia" w:ascii="宋体" w:hAnsi="宋体" w:cs="宋体"/>
          <w:b/>
          <w:bCs/>
          <w:color w:val="auto"/>
          <w:sz w:val="32"/>
          <w:highlight w:val="none"/>
          <w:u w:val="single"/>
        </w:rPr>
        <w:t xml:space="preserve"> 202</w:t>
      </w:r>
      <w:r>
        <w:rPr>
          <w:rFonts w:hint="eastAsia" w:ascii="宋体" w:hAnsi="宋体" w:cs="宋体"/>
          <w:b/>
          <w:bCs/>
          <w:color w:val="auto"/>
          <w:sz w:val="32"/>
          <w:highlight w:val="none"/>
          <w:u w:val="single"/>
          <w:lang w:val="en-US" w:eastAsia="zh-CN"/>
        </w:rPr>
        <w:t>5</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rPr>
        <w:t>年</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u w:val="single"/>
          <w:lang w:val="en-US" w:eastAsia="zh-CN"/>
        </w:rPr>
        <w:t>7</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u w:val="single"/>
          <w:lang w:val="en-US" w:eastAsia="zh-CN"/>
        </w:rPr>
        <w:t>22</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rPr>
        <w:t>日</w:t>
      </w:r>
    </w:p>
    <w:p w14:paraId="62D41823">
      <w:pPr>
        <w:adjustRightInd w:val="0"/>
        <w:snapToGrid w:val="0"/>
        <w:ind w:left="-158" w:leftChars="-75"/>
        <w:rPr>
          <w:rFonts w:ascii="宋体" w:hAnsi="宋体" w:cs="宋体"/>
          <w:b/>
          <w:snapToGrid w:val="0"/>
          <w:color w:val="auto"/>
          <w:sz w:val="26"/>
          <w:szCs w:val="28"/>
          <w:highlight w:val="none"/>
          <w:u w:val="single"/>
        </w:rPr>
      </w:pPr>
      <w:r>
        <w:rPr>
          <w:rFonts w:hint="eastAsia" w:ascii="宋体" w:hAnsi="宋体" w:cs="宋体"/>
          <w:color w:val="auto"/>
          <w:sz w:val="26"/>
          <w:highlight w:val="none"/>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175895</wp:posOffset>
                </wp:positionV>
                <wp:extent cx="5572125" cy="635"/>
                <wp:effectExtent l="9525" t="13335" r="9525" b="5080"/>
                <wp:wrapNone/>
                <wp:docPr id="2" name="直线 4"/>
                <wp:cNvGraphicFramePr/>
                <a:graphic xmlns:a="http://schemas.openxmlformats.org/drawingml/2006/main">
                  <a:graphicData uri="http://schemas.microsoft.com/office/word/2010/wordprocessingShape">
                    <wps:wsp>
                      <wps:cNvCnPr>
                        <a:cxnSpLocks noChangeShapeType="1"/>
                      </wps:cNvCnPr>
                      <wps:spPr bwMode="auto">
                        <a:xfrm>
                          <a:off x="0" y="0"/>
                          <a:ext cx="5572125" cy="635"/>
                        </a:xfrm>
                        <a:prstGeom prst="line">
                          <a:avLst/>
                        </a:prstGeom>
                        <a:noFill/>
                        <a:ln w="9525" cmpd="sng">
                          <a:solidFill>
                            <a:srgbClr val="000000"/>
                          </a:solidFill>
                          <a:round/>
                        </a:ln>
                      </wps:spPr>
                      <wps:bodyPr/>
                    </wps:wsp>
                  </a:graphicData>
                </a:graphic>
              </wp:anchor>
            </w:drawing>
          </mc:Choice>
          <mc:Fallback>
            <w:pict>
              <v:line id="直线 4" o:spid="_x0000_s1026" o:spt="20" style="position:absolute;left:0pt;margin-left:-20.85pt;margin-top:13.85pt;height:0.05pt;width:438.75pt;z-index:251659264;mso-width-relative:page;mso-height-relative:page;" filled="f" stroked="t" coordsize="21600,21600" o:gfxdata="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QaILNcAAAAJAQAADwAA&#10;AAAAAAABACAAAAAiAAAAZHJzL2Rvd25yZXYueG1sUEsBAhQAFAAAAAgAh07iQAhYGhLeAQAArgMA&#10;AA4AAAAAAAAAAQAgAAAAJgEAAGRycy9lMm9Eb2MueG1sUEsFBgAAAAAGAAYAWQEAAHYFAAAAAA==&#10;">
                <v:fill on="f" focussize="0,0"/>
                <v:stroke color="#000000" joinstyle="round"/>
                <v:imagedata o:title=""/>
                <o:lock v:ext="edit" aspectratio="f"/>
              </v:line>
            </w:pict>
          </mc:Fallback>
        </mc:AlternateContent>
      </w:r>
      <w:r>
        <w:rPr>
          <w:rFonts w:hint="eastAsia" w:ascii="宋体" w:hAnsi="宋体" w:cs="宋体"/>
          <w:b/>
          <w:snapToGrid w:val="0"/>
          <w:color w:val="auto"/>
          <w:sz w:val="26"/>
          <w:szCs w:val="28"/>
          <w:highlight w:val="none"/>
          <w:u w:val="single"/>
        </w:rPr>
        <w:t xml:space="preserve">                                                                    </w:t>
      </w:r>
    </w:p>
    <w:p w14:paraId="7DAEF1AB">
      <w:pPr>
        <w:adjustRightInd w:val="0"/>
        <w:snapToGrid w:val="0"/>
        <w:ind w:left="-158" w:leftChars="-75"/>
        <w:rPr>
          <w:rFonts w:ascii="宋体" w:hAnsi="宋体" w:cs="宋体"/>
          <w:bCs/>
          <w:snapToGrid w:val="0"/>
          <w:color w:val="auto"/>
          <w:sz w:val="32"/>
          <w:szCs w:val="32"/>
          <w:highlight w:val="none"/>
        </w:rPr>
      </w:pPr>
      <w:r>
        <w:rPr>
          <w:rFonts w:hint="eastAsia" w:ascii="宋体" w:hAnsi="宋体" w:cs="宋体"/>
          <w:b/>
          <w:snapToGrid w:val="0"/>
          <w:color w:val="auto"/>
          <w:sz w:val="28"/>
          <w:szCs w:val="28"/>
          <w:highlight w:val="none"/>
        </w:rPr>
        <w:t>地址:</w:t>
      </w:r>
      <w:r>
        <w:rPr>
          <w:rFonts w:hint="eastAsia" w:ascii="宋体" w:hAnsi="宋体" w:cs="宋体"/>
          <w:color w:val="auto"/>
          <w:sz w:val="28"/>
          <w:szCs w:val="28"/>
          <w:highlight w:val="none"/>
          <w:lang w:eastAsia="zh-CN"/>
        </w:rPr>
        <w:t>启东市民乐中路692号</w:t>
      </w:r>
      <w:r>
        <w:rPr>
          <w:rFonts w:hint="eastAsia" w:ascii="宋体" w:hAnsi="宋体" w:cs="宋体"/>
          <w:bCs/>
          <w:snapToGrid w:val="0"/>
          <w:color w:val="auto"/>
          <w:sz w:val="28"/>
          <w:szCs w:val="28"/>
          <w:highlight w:val="none"/>
        </w:rPr>
        <w:t xml:space="preserve"> </w:t>
      </w:r>
      <w:r>
        <w:rPr>
          <w:rFonts w:hint="eastAsia" w:ascii="宋体" w:hAnsi="宋体" w:cs="宋体"/>
          <w:bCs/>
          <w:snapToGrid w:val="0"/>
          <w:color w:val="auto"/>
          <w:sz w:val="28"/>
          <w:szCs w:val="28"/>
          <w:highlight w:val="none"/>
          <w:lang w:val="en-US" w:eastAsia="zh-CN"/>
        </w:rPr>
        <w:t xml:space="preserve">      </w:t>
      </w:r>
      <w:r>
        <w:rPr>
          <w:rFonts w:hint="eastAsia" w:ascii="宋体" w:hAnsi="宋体" w:cs="宋体"/>
          <w:b/>
          <w:snapToGrid w:val="0"/>
          <w:color w:val="auto"/>
          <w:sz w:val="28"/>
          <w:szCs w:val="28"/>
          <w:highlight w:val="none"/>
        </w:rPr>
        <w:t>邮政编码：</w:t>
      </w:r>
      <w:r>
        <w:rPr>
          <w:rFonts w:hint="eastAsia" w:ascii="宋体" w:hAnsi="宋体" w:cs="宋体"/>
          <w:bCs/>
          <w:snapToGrid w:val="0"/>
          <w:color w:val="auto"/>
          <w:sz w:val="28"/>
          <w:szCs w:val="28"/>
          <w:highlight w:val="none"/>
        </w:rPr>
        <w:t xml:space="preserve">226200 </w:t>
      </w:r>
      <w:r>
        <w:rPr>
          <w:rFonts w:hint="eastAsia" w:ascii="宋体" w:hAnsi="宋体" w:cs="宋体"/>
          <w:bCs/>
          <w:snapToGrid w:val="0"/>
          <w:color w:val="auto"/>
          <w:sz w:val="32"/>
          <w:szCs w:val="32"/>
          <w:highlight w:val="none"/>
        </w:rPr>
        <w:t xml:space="preserve">  </w:t>
      </w:r>
    </w:p>
    <w:p w14:paraId="5993F60A">
      <w:pPr>
        <w:adjustRightInd w:val="0"/>
        <w:snapToGrid w:val="0"/>
        <w:ind w:left="-158" w:leftChars="-75" w:right="-601" w:rightChars="-286"/>
        <w:rPr>
          <w:rFonts w:ascii="宋体" w:hAnsi="宋体" w:cs="宋体"/>
          <w:color w:val="auto"/>
          <w:sz w:val="44"/>
          <w:szCs w:val="44"/>
          <w:highlight w:val="none"/>
        </w:rPr>
      </w:pPr>
      <w:r>
        <w:rPr>
          <w:rFonts w:hint="eastAsia" w:ascii="宋体" w:hAnsi="宋体" w:cs="宋体"/>
          <w:b/>
          <w:snapToGrid w:val="0"/>
          <w:color w:val="auto"/>
          <w:sz w:val="28"/>
          <w:szCs w:val="28"/>
          <w:highlight w:val="none"/>
        </w:rPr>
        <w:t>网站:</w:t>
      </w:r>
      <w:r>
        <w:rPr>
          <w:rFonts w:hint="eastAsia" w:ascii="宋体" w:hAnsi="宋体" w:cs="宋体"/>
          <w:b w:val="0"/>
          <w:bCs/>
          <w:snapToGrid w:val="0"/>
          <w:color w:val="auto"/>
          <w:sz w:val="28"/>
          <w:szCs w:val="28"/>
          <w:highlight w:val="none"/>
          <w:lang w:eastAsia="zh-CN"/>
        </w:rPr>
        <w:t>启东市人民政府网</w:t>
      </w:r>
    </w:p>
    <w:p w14:paraId="1C52B800">
      <w:pPr>
        <w:pStyle w:val="15"/>
        <w:rPr>
          <w:color w:val="auto"/>
          <w:highlight w:val="none"/>
        </w:rPr>
      </w:pPr>
    </w:p>
    <w:p w14:paraId="3940B672">
      <w:pPr>
        <w:adjustRightInd w:val="0"/>
        <w:snapToGrid w:val="0"/>
        <w:spacing w:line="360" w:lineRule="auto"/>
        <w:jc w:val="center"/>
        <w:rPr>
          <w:rFonts w:hint="eastAsia" w:ascii="宋体" w:hAnsi="宋体" w:cs="宋体"/>
          <w:color w:val="auto"/>
          <w:sz w:val="44"/>
          <w:szCs w:val="44"/>
          <w:highlight w:val="none"/>
        </w:rPr>
      </w:pPr>
    </w:p>
    <w:p w14:paraId="2C698DBA">
      <w:pPr>
        <w:adjustRightInd w:val="0"/>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686ED51C">
      <w:pPr>
        <w:adjustRightInd w:val="0"/>
        <w:snapToGrid w:val="0"/>
        <w:spacing w:line="360" w:lineRule="auto"/>
        <w:jc w:val="center"/>
        <w:rPr>
          <w:rFonts w:ascii="宋体" w:hAnsi="宋体" w:cs="宋体"/>
          <w:color w:val="auto"/>
          <w:sz w:val="32"/>
          <w:szCs w:val="32"/>
          <w:highlight w:val="none"/>
        </w:rPr>
      </w:pPr>
    </w:p>
    <w:p w14:paraId="7EF28A61">
      <w:pPr>
        <w:adjustRightInd w:val="0"/>
        <w:snapToGrid w:val="0"/>
        <w:spacing w:line="360" w:lineRule="auto"/>
        <w:jc w:val="center"/>
        <w:rPr>
          <w:rFonts w:ascii="宋体" w:hAnsi="宋体" w:cs="宋体"/>
          <w:color w:val="auto"/>
          <w:sz w:val="32"/>
          <w:szCs w:val="32"/>
          <w:highlight w:val="none"/>
        </w:rPr>
      </w:pPr>
    </w:p>
    <w:p w14:paraId="39B3AB11">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第一部分  投标邀请</w:t>
      </w:r>
    </w:p>
    <w:p w14:paraId="3CB68085">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14:paraId="406D43E3">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14:paraId="3AD21F93">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14:paraId="2A122884">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14:paraId="15A908D4">
      <w:pPr>
        <w:spacing w:line="500" w:lineRule="exact"/>
        <w:rPr>
          <w:rFonts w:ascii="宋体" w:hAnsi="宋体" w:cs="宋体"/>
          <w:b/>
          <w:color w:val="auto"/>
          <w:sz w:val="32"/>
          <w:szCs w:val="32"/>
          <w:highlight w:val="none"/>
        </w:rPr>
      </w:pPr>
    </w:p>
    <w:p w14:paraId="10C45B53">
      <w:pPr>
        <w:tabs>
          <w:tab w:val="left" w:pos="7740"/>
        </w:tabs>
        <w:spacing w:line="500" w:lineRule="exact"/>
        <w:rPr>
          <w:rFonts w:ascii="宋体" w:hAnsi="宋体" w:cs="宋体"/>
          <w:b/>
          <w:color w:val="auto"/>
          <w:spacing w:val="2"/>
          <w:sz w:val="32"/>
          <w:szCs w:val="32"/>
          <w:highlight w:val="none"/>
        </w:rPr>
      </w:pPr>
    </w:p>
    <w:p w14:paraId="57F03C5E">
      <w:pPr>
        <w:tabs>
          <w:tab w:val="left" w:pos="7740"/>
        </w:tabs>
        <w:spacing w:line="500" w:lineRule="exact"/>
        <w:rPr>
          <w:rFonts w:ascii="宋体" w:hAnsi="宋体" w:cs="宋体"/>
          <w:b/>
          <w:color w:val="auto"/>
          <w:spacing w:val="2"/>
          <w:sz w:val="32"/>
          <w:szCs w:val="32"/>
          <w:highlight w:val="none"/>
        </w:rPr>
      </w:pPr>
    </w:p>
    <w:p w14:paraId="3648CB59">
      <w:pPr>
        <w:tabs>
          <w:tab w:val="left" w:pos="7740"/>
        </w:tabs>
        <w:spacing w:line="500" w:lineRule="exact"/>
        <w:rPr>
          <w:rFonts w:ascii="宋体" w:hAnsi="宋体" w:cs="宋体"/>
          <w:b/>
          <w:bCs/>
          <w:color w:val="auto"/>
          <w:sz w:val="32"/>
          <w:szCs w:val="32"/>
          <w:highlight w:val="none"/>
        </w:rPr>
      </w:pPr>
    </w:p>
    <w:p w14:paraId="21ADF013">
      <w:pPr>
        <w:spacing w:line="500" w:lineRule="exact"/>
        <w:outlineLvl w:val="0"/>
        <w:rPr>
          <w:rFonts w:ascii="宋体" w:hAnsi="宋体" w:cs="宋体"/>
          <w:b/>
          <w:color w:val="auto"/>
          <w:sz w:val="44"/>
          <w:szCs w:val="44"/>
          <w:highlight w:val="none"/>
        </w:rPr>
      </w:pPr>
    </w:p>
    <w:p w14:paraId="28DFBB1B">
      <w:pPr>
        <w:spacing w:line="500" w:lineRule="exact"/>
        <w:outlineLvl w:val="0"/>
        <w:rPr>
          <w:rFonts w:ascii="宋体" w:hAnsi="宋体" w:cs="宋体"/>
          <w:color w:val="auto"/>
          <w:sz w:val="44"/>
          <w:szCs w:val="44"/>
          <w:highlight w:val="none"/>
        </w:rPr>
      </w:pPr>
    </w:p>
    <w:p w14:paraId="2A19C91C">
      <w:pPr>
        <w:spacing w:line="500" w:lineRule="exact"/>
        <w:outlineLvl w:val="0"/>
        <w:rPr>
          <w:rFonts w:ascii="宋体" w:hAnsi="宋体" w:cs="宋体"/>
          <w:color w:val="auto"/>
          <w:sz w:val="44"/>
          <w:szCs w:val="44"/>
          <w:highlight w:val="none"/>
        </w:rPr>
      </w:pPr>
    </w:p>
    <w:p w14:paraId="3A4509E5">
      <w:pPr>
        <w:spacing w:line="500" w:lineRule="exact"/>
        <w:outlineLvl w:val="0"/>
        <w:rPr>
          <w:rFonts w:ascii="宋体" w:hAnsi="宋体" w:cs="宋体"/>
          <w:color w:val="auto"/>
          <w:sz w:val="44"/>
          <w:szCs w:val="44"/>
          <w:highlight w:val="none"/>
        </w:rPr>
      </w:pPr>
    </w:p>
    <w:p w14:paraId="05995E0D">
      <w:pPr>
        <w:spacing w:line="500" w:lineRule="exact"/>
        <w:outlineLvl w:val="0"/>
        <w:rPr>
          <w:rFonts w:ascii="宋体" w:hAnsi="宋体" w:cs="宋体"/>
          <w:color w:val="auto"/>
          <w:sz w:val="44"/>
          <w:szCs w:val="44"/>
          <w:highlight w:val="none"/>
        </w:rPr>
      </w:pPr>
    </w:p>
    <w:p w14:paraId="67B9D39D">
      <w:pPr>
        <w:spacing w:line="500" w:lineRule="exact"/>
        <w:outlineLvl w:val="0"/>
        <w:rPr>
          <w:rFonts w:ascii="宋体" w:hAnsi="宋体" w:cs="宋体"/>
          <w:color w:val="auto"/>
          <w:sz w:val="44"/>
          <w:szCs w:val="44"/>
          <w:highlight w:val="none"/>
        </w:rPr>
      </w:pPr>
    </w:p>
    <w:p w14:paraId="4D321530">
      <w:pPr>
        <w:spacing w:line="500" w:lineRule="exact"/>
        <w:outlineLvl w:val="0"/>
        <w:rPr>
          <w:rFonts w:ascii="宋体" w:hAnsi="宋体" w:cs="宋体"/>
          <w:color w:val="auto"/>
          <w:sz w:val="44"/>
          <w:szCs w:val="44"/>
          <w:highlight w:val="none"/>
        </w:rPr>
      </w:pPr>
    </w:p>
    <w:p w14:paraId="4FE2065C">
      <w:pPr>
        <w:spacing w:line="500" w:lineRule="exact"/>
        <w:outlineLvl w:val="0"/>
        <w:rPr>
          <w:rFonts w:ascii="宋体" w:hAnsi="宋体" w:cs="宋体"/>
          <w:color w:val="auto"/>
          <w:sz w:val="44"/>
          <w:szCs w:val="44"/>
          <w:highlight w:val="none"/>
        </w:rPr>
      </w:pPr>
    </w:p>
    <w:p w14:paraId="5EF82565">
      <w:pPr>
        <w:spacing w:line="500" w:lineRule="exact"/>
        <w:outlineLvl w:val="0"/>
        <w:rPr>
          <w:rFonts w:ascii="宋体" w:hAnsi="宋体" w:cs="宋体"/>
          <w:color w:val="auto"/>
          <w:sz w:val="44"/>
          <w:szCs w:val="44"/>
          <w:highlight w:val="none"/>
        </w:rPr>
      </w:pPr>
    </w:p>
    <w:p w14:paraId="70BF7B17">
      <w:pPr>
        <w:spacing w:line="500" w:lineRule="exact"/>
        <w:outlineLvl w:val="0"/>
        <w:rPr>
          <w:rFonts w:ascii="宋体" w:hAnsi="宋体" w:cs="宋体"/>
          <w:color w:val="auto"/>
          <w:sz w:val="44"/>
          <w:szCs w:val="44"/>
          <w:highlight w:val="none"/>
        </w:rPr>
      </w:pPr>
    </w:p>
    <w:p w14:paraId="7CE214AB">
      <w:pPr>
        <w:spacing w:line="500" w:lineRule="exact"/>
        <w:outlineLvl w:val="0"/>
        <w:rPr>
          <w:rFonts w:ascii="宋体" w:hAnsi="宋体" w:cs="宋体"/>
          <w:color w:val="auto"/>
          <w:sz w:val="44"/>
          <w:szCs w:val="44"/>
          <w:highlight w:val="none"/>
        </w:rPr>
      </w:pPr>
    </w:p>
    <w:p w14:paraId="083FD2F2">
      <w:pPr>
        <w:pStyle w:val="15"/>
        <w:rPr>
          <w:rFonts w:ascii="宋体" w:hAnsi="宋体" w:eastAsia="宋体" w:cs="宋体"/>
          <w:color w:val="auto"/>
          <w:sz w:val="44"/>
          <w:szCs w:val="44"/>
          <w:highlight w:val="none"/>
        </w:rPr>
      </w:pPr>
    </w:p>
    <w:p w14:paraId="04B00248">
      <w:pPr>
        <w:pStyle w:val="15"/>
        <w:rPr>
          <w:color w:val="auto"/>
          <w:highlight w:val="none"/>
        </w:rPr>
      </w:pPr>
    </w:p>
    <w:p w14:paraId="6F544411">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 xml:space="preserve">第一部分  </w:t>
      </w:r>
      <w:bookmarkStart w:id="0" w:name="OLE_LINK5"/>
      <w:bookmarkStart w:id="1" w:name="OLE_LINK7"/>
      <w:r>
        <w:rPr>
          <w:rFonts w:hint="eastAsia" w:ascii="宋体" w:hAnsi="宋体" w:cs="宋体"/>
          <w:bCs/>
          <w:color w:val="auto"/>
          <w:sz w:val="36"/>
          <w:szCs w:val="36"/>
          <w:highlight w:val="none"/>
        </w:rPr>
        <w:t>投标邀请</w:t>
      </w:r>
    </w:p>
    <w:p w14:paraId="0EC43E0F">
      <w:pPr>
        <w:adjustRightInd w:val="0"/>
        <w:snapToGrid w:val="0"/>
        <w:spacing w:line="500" w:lineRule="exact"/>
        <w:ind w:firstLine="560" w:firstLineChars="200"/>
        <w:rPr>
          <w:rFonts w:ascii="宋体" w:hAnsi="宋体" w:cs="宋体"/>
          <w:color w:val="auto"/>
          <w:sz w:val="28"/>
          <w:szCs w:val="28"/>
          <w:highlight w:val="none"/>
        </w:rPr>
      </w:pPr>
      <w:bookmarkStart w:id="2" w:name="OLE_LINK6"/>
      <w:r>
        <w:rPr>
          <w:rFonts w:hint="eastAsia" w:ascii="宋体" w:hAnsi="宋体" w:cs="宋体"/>
          <w:color w:val="auto"/>
          <w:sz w:val="28"/>
          <w:szCs w:val="28"/>
          <w:highlight w:val="none"/>
        </w:rPr>
        <w:t>受[</w:t>
      </w:r>
      <w:r>
        <w:rPr>
          <w:rFonts w:hint="eastAsia" w:ascii="宋体" w:hAnsi="宋体" w:cs="宋体"/>
          <w:color w:val="auto"/>
          <w:sz w:val="28"/>
          <w:szCs w:val="28"/>
          <w:highlight w:val="none"/>
          <w:lang w:eastAsia="zh-CN"/>
        </w:rPr>
        <w:t>启东市水务局</w:t>
      </w:r>
      <w:r>
        <w:rPr>
          <w:rFonts w:hint="eastAsia" w:ascii="宋体" w:hAnsi="宋体" w:cs="宋体"/>
          <w:color w:val="auto"/>
          <w:sz w:val="28"/>
          <w:szCs w:val="28"/>
          <w:highlight w:val="none"/>
        </w:rPr>
        <w:t>]的委托，就[</w:t>
      </w:r>
      <w:r>
        <w:rPr>
          <w:rFonts w:hint="eastAsia" w:ascii="宋体" w:hAnsi="宋体" w:cs="宋体"/>
          <w:color w:val="auto"/>
          <w:sz w:val="28"/>
          <w:szCs w:val="28"/>
          <w:highlight w:val="none"/>
          <w:lang w:eastAsia="zh-CN"/>
        </w:rPr>
        <w:t>启东市二、三级河道“水域状况”评价服务项目</w:t>
      </w:r>
      <w:r>
        <w:rPr>
          <w:rFonts w:hint="eastAsia" w:ascii="宋体" w:hAnsi="宋体" w:cs="宋体"/>
          <w:color w:val="auto"/>
          <w:sz w:val="28"/>
          <w:szCs w:val="28"/>
          <w:highlight w:val="none"/>
        </w:rPr>
        <w:t>]进行公开招标采购，欢迎符合条件的供应商投标。</w:t>
      </w:r>
    </w:p>
    <w:p w14:paraId="198D7EE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项目概况</w:t>
      </w:r>
    </w:p>
    <w:p w14:paraId="644AE36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CN"/>
        </w:rPr>
        <w:t>启东市二、三级河道“水域状况”评价服务项目</w:t>
      </w:r>
      <w:r>
        <w:rPr>
          <w:rFonts w:hint="eastAsia" w:ascii="宋体" w:hAnsi="宋体" w:cs="宋体"/>
          <w:color w:val="auto"/>
          <w:sz w:val="28"/>
          <w:szCs w:val="28"/>
          <w:highlight w:val="none"/>
        </w:rPr>
        <w:t>)的潜在投标人应在</w:t>
      </w:r>
      <w:r>
        <w:rPr>
          <w:rFonts w:hint="eastAsia" w:ascii="宋体" w:hAnsi="宋体" w:cs="宋体"/>
          <w:color w:val="auto"/>
          <w:sz w:val="28"/>
          <w:szCs w:val="28"/>
          <w:highlight w:val="none"/>
          <w:lang w:eastAsia="zh-CN"/>
        </w:rPr>
        <w:t>启东市人民政府网</w:t>
      </w:r>
      <w:r>
        <w:rPr>
          <w:rFonts w:hint="eastAsia" w:ascii="宋体" w:hAnsi="宋体" w:cs="宋体"/>
          <w:color w:val="auto"/>
          <w:sz w:val="28"/>
          <w:szCs w:val="28"/>
          <w:highlight w:val="none"/>
        </w:rPr>
        <w:t>获取招标文件，并于202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11日</w:t>
      </w:r>
      <w:r>
        <w:rPr>
          <w:rFonts w:hint="eastAsia" w:ascii="宋体" w:hAnsi="宋体" w:cs="宋体"/>
          <w:color w:val="auto"/>
          <w:sz w:val="28"/>
          <w:szCs w:val="28"/>
          <w:highlight w:val="none"/>
        </w:rPr>
        <w:t>09点00分（北京时间）前递交投标文件。</w:t>
      </w:r>
    </w:p>
    <w:p w14:paraId="28038F36">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 xml:space="preserve"> 一、项目基本情况</w:t>
      </w:r>
    </w:p>
    <w:p w14:paraId="2B99D074">
      <w:pPr>
        <w:adjustRightInd w:val="0"/>
        <w:snapToGrid w:val="0"/>
        <w:spacing w:line="500" w:lineRule="exact"/>
        <w:ind w:firstLine="560" w:firstLineChars="200"/>
        <w:rPr>
          <w:rFonts w:hint="eastAsia" w:ascii="宋体" w:hAnsi="宋体" w:eastAsia="宋体" w:cs="宋体"/>
          <w:color w:val="auto"/>
          <w:spacing w:val="-6"/>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pacing w:val="0"/>
          <w:sz w:val="28"/>
          <w:szCs w:val="28"/>
          <w:highlight w:val="none"/>
          <w:lang w:eastAsia="zh-CN"/>
        </w:rPr>
        <w:t>启东市二、三级河道“水域状况”评价服务项目</w:t>
      </w:r>
    </w:p>
    <w:p w14:paraId="689EA559">
      <w:pPr>
        <w:adjustRightInd w:val="0"/>
        <w:snapToGrid w:val="0"/>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项目类型：服务</w:t>
      </w:r>
    </w:p>
    <w:p w14:paraId="70B32E38">
      <w:pPr>
        <w:adjustRightInd w:val="0"/>
        <w:snapToGrid w:val="0"/>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其他未列明行业</w:t>
      </w:r>
    </w:p>
    <w:p w14:paraId="7A820835">
      <w:pPr>
        <w:adjustRightInd w:val="0"/>
        <w:snapToGrid w:val="0"/>
        <w:spacing w:line="480" w:lineRule="exact"/>
        <w:ind w:firstLine="560" w:firstLineChars="20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预算金额：20万元</w:t>
      </w:r>
    </w:p>
    <w:p w14:paraId="7B4245B1">
      <w:pPr>
        <w:adjustRightInd w:val="0"/>
        <w:snapToGrid w:val="0"/>
        <w:spacing w:line="48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最高限价：</w:t>
      </w:r>
      <w:r>
        <w:rPr>
          <w:rFonts w:hint="eastAsia" w:ascii="宋体" w:hAnsi="宋体"/>
          <w:color w:val="auto"/>
          <w:sz w:val="28"/>
          <w:szCs w:val="28"/>
          <w:highlight w:val="none"/>
          <w:lang w:val="en-US" w:eastAsia="zh-CN"/>
        </w:rPr>
        <w:t>20万</w:t>
      </w:r>
      <w:r>
        <w:rPr>
          <w:rFonts w:hint="eastAsia" w:ascii="宋体" w:hAnsi="宋体"/>
          <w:color w:val="auto"/>
          <w:sz w:val="28"/>
          <w:szCs w:val="28"/>
          <w:highlight w:val="none"/>
        </w:rPr>
        <w:t>元</w:t>
      </w:r>
    </w:p>
    <w:p w14:paraId="3878994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采购需求：详见</w:t>
      </w:r>
      <w:r>
        <w:rPr>
          <w:rFonts w:hint="eastAsia" w:ascii="宋体" w:hAnsi="宋体" w:cs="宋体"/>
          <w:color w:val="auto"/>
          <w:sz w:val="28"/>
          <w:szCs w:val="28"/>
          <w:highlight w:val="none"/>
          <w:lang w:val="en-US" w:eastAsia="zh-CN"/>
        </w:rPr>
        <w:t>招标</w:t>
      </w:r>
      <w:r>
        <w:rPr>
          <w:rFonts w:hint="eastAsia" w:ascii="宋体" w:hAnsi="宋体" w:cs="宋体"/>
          <w:color w:val="auto"/>
          <w:sz w:val="28"/>
          <w:szCs w:val="28"/>
          <w:highlight w:val="none"/>
        </w:rPr>
        <w:t>文件，请仔细研究。</w:t>
      </w:r>
    </w:p>
    <w:p w14:paraId="059DFE8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合同履行期限：详见招标文件第三部分项目需求。</w:t>
      </w:r>
    </w:p>
    <w:p w14:paraId="19398B6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本项目不接受联合体投标。</w:t>
      </w:r>
    </w:p>
    <w:p w14:paraId="4FA5E7E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本项目</w:t>
      </w:r>
      <w:r>
        <w:rPr>
          <w:rFonts w:hint="eastAsia" w:ascii="宋体" w:hAnsi="宋体" w:eastAsia="宋体" w:cs="宋体"/>
          <w:color w:val="auto"/>
          <w:sz w:val="28"/>
          <w:szCs w:val="28"/>
          <w:highlight w:val="none"/>
        </w:rPr>
        <w:t>不接受分包。</w:t>
      </w:r>
    </w:p>
    <w:p w14:paraId="2ABD6713">
      <w:pPr>
        <w:adjustRightInd w:val="0"/>
        <w:snapToGrid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二、申请人的资格要求：</w:t>
      </w:r>
    </w:p>
    <w:p w14:paraId="766715B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7E6D726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rPr>
        <w:t>2．落实政府采购政策需满足的资格要求：</w:t>
      </w:r>
      <w:r>
        <w:rPr>
          <w:rFonts w:hint="eastAsia" w:ascii="宋体" w:hAnsi="宋体" w:eastAsia="宋体" w:cs="宋体"/>
          <w:sz w:val="28"/>
          <w:szCs w:val="28"/>
          <w:u w:val="none"/>
        </w:rPr>
        <w:t>（本项目属于专门面向中小企业采购的项目,服务类项目的服务提供商应为中小微企业、监狱和戒毒企业、残疾人福利性单位。并按照采购文件要求提供《中小企业声明函》、《残疾人福利性单位声明函》或监狱和戒毒企业证明材料。）</w:t>
      </w:r>
    </w:p>
    <w:p w14:paraId="12A41A76">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3．本项目的特定资格要求：未被“信用中国”网站（www.creditchina.gov.cn）列入失信被执行人、重大税收违法案件当事人名单、政府采购严重失信行为记录名单。</w:t>
      </w:r>
    </w:p>
    <w:p w14:paraId="10551CB4">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三、获取招标文件</w:t>
      </w:r>
    </w:p>
    <w:p w14:paraId="2C3AD7BE">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时间：自本公告发布之日起。</w:t>
      </w:r>
    </w:p>
    <w:p w14:paraId="2FA684D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地点：在</w:t>
      </w:r>
      <w:r>
        <w:rPr>
          <w:rFonts w:hint="eastAsia" w:ascii="宋体" w:hAnsi="宋体" w:cs="宋体"/>
          <w:b/>
          <w:bCs/>
          <w:color w:val="auto"/>
          <w:sz w:val="28"/>
          <w:szCs w:val="28"/>
          <w:highlight w:val="none"/>
          <w:u w:val="single"/>
          <w:lang w:eastAsia="zh-CN"/>
        </w:rPr>
        <w:t>启东市人民政府网</w:t>
      </w:r>
      <w:r>
        <w:rPr>
          <w:rFonts w:hint="eastAsia" w:ascii="宋体" w:hAnsi="宋体" w:cs="宋体"/>
          <w:color w:val="auto"/>
          <w:sz w:val="28"/>
          <w:szCs w:val="28"/>
          <w:highlight w:val="none"/>
        </w:rPr>
        <w:t>自行下载标书。</w:t>
      </w:r>
    </w:p>
    <w:p w14:paraId="19BF08A2">
      <w:pPr>
        <w:adjustRightInd w:val="0"/>
        <w:snapToGrid w:val="0"/>
        <w:spacing w:line="480" w:lineRule="exact"/>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四、提交响应文件截止时间、开标时间和地点</w:t>
      </w:r>
    </w:p>
    <w:p w14:paraId="24709094">
      <w:pPr>
        <w:adjustRightInd w:val="0"/>
        <w:snapToGrid w:val="0"/>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投标截止时间：202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08:00</w:t>
      </w:r>
      <w:r>
        <w:rPr>
          <w:rFonts w:hint="eastAsia" w:ascii="宋体" w:hAnsi="宋体" w:cs="宋体"/>
          <w:color w:val="auto"/>
          <w:sz w:val="28"/>
          <w:szCs w:val="28"/>
          <w:highlight w:val="none"/>
        </w:rPr>
        <w:t>（北京时间）</w:t>
      </w:r>
    </w:p>
    <w:p w14:paraId="1EB54313">
      <w:pPr>
        <w:adjustRightInd w:val="0"/>
        <w:snapToGrid w:val="0"/>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开标时间：202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日09:00（北京时间）</w:t>
      </w:r>
    </w:p>
    <w:p w14:paraId="2B41DA0D">
      <w:pPr>
        <w:adjustRightInd w:val="0"/>
        <w:snapToGrid w:val="0"/>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开标地点：</w:t>
      </w:r>
      <w:r>
        <w:rPr>
          <w:rFonts w:hint="eastAsia" w:ascii="宋体" w:hAnsi="宋体" w:eastAsia="宋体" w:cs="宋体"/>
          <w:color w:val="auto"/>
          <w:sz w:val="28"/>
          <w:szCs w:val="28"/>
          <w:highlight w:val="none"/>
          <w:lang w:eastAsia="zh-CN"/>
        </w:rPr>
        <w:t>启东市水务局</w:t>
      </w:r>
      <w:r>
        <w:rPr>
          <w:rFonts w:hint="eastAsia" w:ascii="宋体" w:hAnsi="宋体" w:eastAsia="宋体" w:cs="宋体"/>
          <w:color w:val="auto"/>
          <w:sz w:val="28"/>
          <w:szCs w:val="28"/>
          <w:highlight w:val="none"/>
          <w:lang w:val="en-US" w:eastAsia="zh-CN"/>
        </w:rPr>
        <w:t>4楼开标室</w:t>
      </w:r>
    </w:p>
    <w:p w14:paraId="16FC39D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响应文件接收截止时间及接收地点：</w:t>
      </w:r>
    </w:p>
    <w:p w14:paraId="0DFFD6E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本项目为不见面开标，各供应商须在规定时间内将投标文件邮寄（只接收顺丰）至指定地点。请供应商充分考虑天气、快递速度、路程等因素，不接受到付。未在规定时间内送达的投标文件将不予接收，后果由各潜在供应商自行承担。</w:t>
      </w:r>
    </w:p>
    <w:p w14:paraId="2AE5539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投标文件接收截止时间及接收地点：202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11日</w:t>
      </w:r>
      <w:r>
        <w:rPr>
          <w:rFonts w:hint="eastAsia" w:ascii="宋体" w:hAnsi="宋体" w:cs="宋体"/>
          <w:color w:val="auto"/>
          <w:sz w:val="28"/>
          <w:szCs w:val="28"/>
          <w:highlight w:val="none"/>
        </w:rPr>
        <w:t>0</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：00分前寄达（以送达签收时间为准），接收地点：</w:t>
      </w:r>
      <w:r>
        <w:rPr>
          <w:rFonts w:hint="eastAsia" w:ascii="宋体" w:hAnsi="宋体" w:cs="宋体"/>
          <w:color w:val="auto"/>
          <w:sz w:val="28"/>
          <w:szCs w:val="28"/>
          <w:highlight w:val="none"/>
          <w:lang w:eastAsia="zh-CN"/>
        </w:rPr>
        <w:t>南通兴邦工程项目管理有限公司（启东市牡丹江西路</w:t>
      </w:r>
      <w:r>
        <w:rPr>
          <w:rFonts w:hint="eastAsia" w:ascii="宋体" w:hAnsi="宋体" w:cs="宋体"/>
          <w:color w:val="auto"/>
          <w:sz w:val="28"/>
          <w:szCs w:val="28"/>
          <w:highlight w:val="none"/>
          <w:lang w:val="en-US" w:eastAsia="zh-CN"/>
        </w:rPr>
        <w:t>2088号5楼</w:t>
      </w:r>
      <w:r>
        <w:rPr>
          <w:rFonts w:hint="eastAsia" w:ascii="宋体" w:hAnsi="宋体" w:cs="宋体"/>
          <w:color w:val="auto"/>
          <w:sz w:val="28"/>
          <w:szCs w:val="28"/>
          <w:highlight w:val="none"/>
        </w:rPr>
        <w:t>），接收联系人：</w:t>
      </w:r>
      <w:r>
        <w:rPr>
          <w:rFonts w:hint="eastAsia" w:ascii="宋体" w:hAnsi="宋体" w:cs="仿宋_GB2312"/>
          <w:color w:val="auto"/>
          <w:sz w:val="28"/>
          <w:szCs w:val="28"/>
          <w:highlight w:val="none"/>
          <w:lang w:val="en-US" w:eastAsia="zh-CN"/>
        </w:rPr>
        <w:t>黄丽丽</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lang w:val="en-US" w:eastAsia="zh-CN"/>
        </w:rPr>
        <w:t>13901466683</w:t>
      </w:r>
      <w:r>
        <w:rPr>
          <w:rFonts w:hint="eastAsia" w:ascii="宋体" w:hAnsi="宋体" w:cs="宋体"/>
          <w:color w:val="auto"/>
          <w:sz w:val="28"/>
          <w:szCs w:val="28"/>
          <w:highlight w:val="none"/>
        </w:rPr>
        <w:t>。</w:t>
      </w:r>
    </w:p>
    <w:p w14:paraId="3FC50113">
      <w:pPr>
        <w:adjustRightInd w:val="0"/>
        <w:snapToGrid w:val="0"/>
        <w:spacing w:line="500" w:lineRule="exact"/>
        <w:ind w:firstLine="560" w:firstLineChars="200"/>
        <w:rPr>
          <w:rFonts w:ascii="宋体" w:hAnsi="宋体" w:cs="宋体"/>
          <w:i/>
          <w:color w:val="auto"/>
          <w:sz w:val="28"/>
          <w:szCs w:val="28"/>
          <w:highlight w:val="none"/>
        </w:rPr>
      </w:pPr>
      <w:r>
        <w:rPr>
          <w:rFonts w:hint="eastAsia" w:ascii="宋体" w:hAnsi="宋体" w:cs="宋体"/>
          <w:color w:val="auto"/>
          <w:sz w:val="28"/>
          <w:szCs w:val="28"/>
          <w:highlight w:val="none"/>
        </w:rPr>
        <w:t>友情提醒：拒绝接收未按照招标文件要求密封的投标文件，拒绝接收在投标文件接收截止时间后寄达（以送达签收时间为准）的投标文件，上述情况各潜在供应商充分考虑相关因素，不得就此提出任何异议。</w:t>
      </w:r>
    </w:p>
    <w:p w14:paraId="7FCF7571">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、公告期限</w:t>
      </w:r>
    </w:p>
    <w:p w14:paraId="54D969F5">
      <w:pPr>
        <w:adjustRightInd w:val="0"/>
        <w:snapToGrid w:val="0"/>
        <w:spacing w:line="50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自本公告发布之日起5个工作日。</w:t>
      </w:r>
    </w:p>
    <w:p w14:paraId="33C2CA39">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、其他补充事宜</w:t>
      </w:r>
    </w:p>
    <w:p w14:paraId="52D4CDF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投标保证金：免收</w:t>
      </w:r>
    </w:p>
    <w:p w14:paraId="48EE4DB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项目开标活动模式：本项目不见面开标。</w:t>
      </w:r>
    </w:p>
    <w:p w14:paraId="7928BFF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项目演示、样品、答辩等：无</w:t>
      </w:r>
    </w:p>
    <w:p w14:paraId="2B59806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对项目需求部分（供应商资格要求、项目需求）的询问、质疑请向采购人提出，由采购人负责答复；对项目招标文件其它部分的询问请向代理机构提出。</w:t>
      </w:r>
    </w:p>
    <w:p w14:paraId="23A0049A">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七</w:t>
      </w:r>
      <w:r>
        <w:rPr>
          <w:rFonts w:hint="eastAsia" w:ascii="宋体" w:hAnsi="宋体" w:cs="宋体"/>
          <w:b/>
          <w:color w:val="auto"/>
          <w:sz w:val="28"/>
          <w:szCs w:val="28"/>
          <w:highlight w:val="none"/>
        </w:rPr>
        <w:t>、对本次招标提出询问，请按以下方式联系。</w:t>
      </w:r>
    </w:p>
    <w:p w14:paraId="4CDD543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1.采购人信息</w:t>
      </w:r>
    </w:p>
    <w:p w14:paraId="61F4E519">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名称：</w:t>
      </w:r>
      <w:r>
        <w:rPr>
          <w:rFonts w:hint="eastAsia" w:ascii="宋体" w:hAnsi="宋体" w:cs="宋体"/>
          <w:color w:val="auto"/>
          <w:sz w:val="28"/>
          <w:szCs w:val="28"/>
          <w:highlight w:val="none"/>
          <w:lang w:eastAsia="zh-CN"/>
        </w:rPr>
        <w:t>启东市水务局</w:t>
      </w:r>
      <w:r>
        <w:rPr>
          <w:rFonts w:hint="eastAsia" w:ascii="宋体" w:hAnsi="宋体" w:cs="宋体"/>
          <w:color w:val="auto"/>
          <w:sz w:val="28"/>
          <w:szCs w:val="28"/>
          <w:highlight w:val="none"/>
        </w:rPr>
        <w:t>　　　　　　　　　　　　</w:t>
      </w:r>
    </w:p>
    <w:p w14:paraId="0B05DA7C">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lang w:val="zh-CN"/>
        </w:rPr>
        <w:t>启东市民乐中路692号</w:t>
      </w:r>
    </w:p>
    <w:p w14:paraId="523879E6">
      <w:pPr>
        <w:keepNext w:val="0"/>
        <w:keepLines w:val="0"/>
        <w:pageBreakBefore w:val="0"/>
        <w:kinsoku/>
        <w:wordWrap/>
        <w:overflowPunct/>
        <w:topLinePunct w:val="0"/>
        <w:autoSpaceDE/>
        <w:autoSpaceDN/>
        <w:bidi w:val="0"/>
        <w:adjustRightInd w:val="0"/>
        <w:snapToGrid w:val="0"/>
        <w:spacing w:line="50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联系人：朱建</w:t>
      </w:r>
      <w:r>
        <w:rPr>
          <w:rFonts w:hint="eastAsia" w:ascii="宋体" w:hAnsi="宋体" w:eastAsia="宋体" w:cs="宋体"/>
          <w:color w:val="auto"/>
          <w:sz w:val="28"/>
          <w:szCs w:val="28"/>
          <w:highlight w:val="none"/>
        </w:rPr>
        <w:t>　　　　　　　　　　　</w:t>
      </w:r>
    </w:p>
    <w:p w14:paraId="3950BD02">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eastAsia="宋体" w:cs="宋体"/>
          <w:color w:val="auto"/>
          <w:sz w:val="28"/>
          <w:szCs w:val="28"/>
          <w:highlight w:val="none"/>
          <w:lang w:eastAsia="zh-CN"/>
        </w:rPr>
        <w:t>联系方式：</w:t>
      </w:r>
      <w:r>
        <w:rPr>
          <w:rFonts w:hint="eastAsia" w:ascii="宋体" w:hAnsi="宋体" w:eastAsia="宋体" w:cs="宋体"/>
          <w:color w:val="auto"/>
          <w:sz w:val="28"/>
          <w:szCs w:val="28"/>
          <w:highlight w:val="none"/>
          <w:lang w:val="en-US" w:eastAsia="zh-CN"/>
        </w:rPr>
        <w:t>0513-68263632</w:t>
      </w:r>
      <w:r>
        <w:rPr>
          <w:rFonts w:hint="eastAsia" w:ascii="宋体" w:hAnsi="宋体" w:eastAsia="宋体" w:cs="宋体"/>
          <w:color w:val="auto"/>
          <w:sz w:val="28"/>
          <w:szCs w:val="28"/>
          <w:highlight w:val="none"/>
          <w:lang w:eastAsia="zh-CN"/>
        </w:rPr>
        <w:t>　</w:t>
      </w:r>
      <w:r>
        <w:rPr>
          <w:rFonts w:hint="eastAsia" w:ascii="宋体" w:hAnsi="宋体" w:cs="宋体"/>
          <w:color w:val="auto"/>
          <w:sz w:val="28"/>
          <w:szCs w:val="28"/>
          <w:highlight w:val="none"/>
        </w:rPr>
        <w:t>　　　　　　　　　　</w:t>
      </w:r>
    </w:p>
    <w:p w14:paraId="696FCA2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2.采购代理机构</w:t>
      </w:r>
    </w:p>
    <w:p w14:paraId="00ABC8AA">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名称：</w:t>
      </w:r>
      <w:r>
        <w:rPr>
          <w:rFonts w:hint="eastAsia" w:ascii="宋体" w:hAnsi="宋体" w:cs="宋体"/>
          <w:color w:val="auto"/>
          <w:sz w:val="28"/>
          <w:szCs w:val="28"/>
          <w:highlight w:val="none"/>
          <w:lang w:eastAsia="zh-CN"/>
        </w:rPr>
        <w:t>南通兴邦工程项目管理</w:t>
      </w:r>
      <w:r>
        <w:rPr>
          <w:rFonts w:hint="eastAsia" w:ascii="宋体" w:hAnsi="宋体" w:cs="宋体"/>
          <w:color w:val="auto"/>
          <w:sz w:val="28"/>
          <w:szCs w:val="28"/>
          <w:highlight w:val="none"/>
        </w:rPr>
        <w:t>有限公司</w:t>
      </w:r>
    </w:p>
    <w:p w14:paraId="593DCA98">
      <w:pPr>
        <w:adjustRightInd w:val="0"/>
        <w:snapToGrid w:val="0"/>
        <w:spacing w:line="500" w:lineRule="exact"/>
        <w:ind w:firstLine="840" w:firstLineChars="3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地址：启东市</w:t>
      </w:r>
      <w:r>
        <w:rPr>
          <w:rFonts w:hint="eastAsia" w:ascii="宋体" w:hAnsi="宋体" w:cs="宋体"/>
          <w:color w:val="auto"/>
          <w:sz w:val="28"/>
          <w:szCs w:val="28"/>
          <w:highlight w:val="none"/>
          <w:lang w:eastAsia="zh-CN"/>
        </w:rPr>
        <w:t>牡丹江西路</w:t>
      </w:r>
      <w:r>
        <w:rPr>
          <w:rFonts w:hint="eastAsia" w:ascii="宋体" w:hAnsi="宋体" w:cs="宋体"/>
          <w:color w:val="auto"/>
          <w:sz w:val="28"/>
          <w:szCs w:val="28"/>
          <w:highlight w:val="none"/>
          <w:lang w:val="en-US" w:eastAsia="zh-CN"/>
        </w:rPr>
        <w:t>2088号5楼</w:t>
      </w:r>
    </w:p>
    <w:p w14:paraId="329202D6">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val="en-US" w:eastAsia="zh-CN"/>
        </w:rPr>
        <w:t>黄丽丽</w:t>
      </w:r>
    </w:p>
    <w:p w14:paraId="268393FA">
      <w:pPr>
        <w:adjustRightInd w:val="0"/>
        <w:snapToGrid w:val="0"/>
        <w:spacing w:line="500" w:lineRule="exact"/>
        <w:ind w:firstLine="840" w:firstLineChars="3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联系方式：0513-83</w:t>
      </w:r>
      <w:r>
        <w:rPr>
          <w:rFonts w:hint="eastAsia" w:ascii="宋体" w:hAnsi="宋体" w:cs="宋体"/>
          <w:color w:val="auto"/>
          <w:sz w:val="28"/>
          <w:szCs w:val="28"/>
          <w:highlight w:val="none"/>
          <w:lang w:val="en-US" w:eastAsia="zh-CN"/>
        </w:rPr>
        <w:t>901130</w:t>
      </w:r>
    </w:p>
    <w:p w14:paraId="20D09532">
      <w:pPr>
        <w:adjustRightInd w:val="0"/>
        <w:snapToGrid w:val="0"/>
        <w:spacing w:line="500" w:lineRule="exact"/>
        <w:ind w:firstLine="1120" w:firstLineChars="400"/>
        <w:rPr>
          <w:rFonts w:ascii="宋体" w:hAnsi="宋体" w:cs="宋体"/>
          <w:color w:val="auto"/>
          <w:sz w:val="28"/>
          <w:szCs w:val="28"/>
          <w:highlight w:val="none"/>
        </w:rPr>
      </w:pPr>
    </w:p>
    <w:p w14:paraId="7CF85B8E">
      <w:pPr>
        <w:adjustRightInd w:val="0"/>
        <w:snapToGrid w:val="0"/>
        <w:spacing w:line="500" w:lineRule="exact"/>
        <w:rPr>
          <w:rFonts w:ascii="宋体" w:hAnsi="宋体" w:cs="宋体"/>
          <w:b/>
          <w:color w:val="auto"/>
          <w:sz w:val="28"/>
          <w:szCs w:val="28"/>
          <w:highlight w:val="none"/>
        </w:rPr>
      </w:pPr>
    </w:p>
    <w:p w14:paraId="5EDD3FDC">
      <w:pPr>
        <w:adjustRightInd w:val="0"/>
        <w:snapToGrid w:val="0"/>
        <w:spacing w:line="500" w:lineRule="exact"/>
        <w:rPr>
          <w:rFonts w:ascii="宋体" w:hAnsi="宋体" w:cs="宋体"/>
          <w:b/>
          <w:color w:val="auto"/>
          <w:sz w:val="28"/>
          <w:szCs w:val="28"/>
          <w:highlight w:val="none"/>
        </w:rPr>
      </w:pPr>
    </w:p>
    <w:p w14:paraId="44E17953">
      <w:pPr>
        <w:adjustRightInd w:val="0"/>
        <w:snapToGrid w:val="0"/>
        <w:spacing w:line="48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采购招标</w:t>
      </w:r>
      <w:r>
        <w:rPr>
          <w:rFonts w:hint="eastAsia" w:ascii="宋体" w:hAnsi="宋体" w:cs="宋体"/>
          <w:b/>
          <w:color w:val="auto"/>
          <w:sz w:val="28"/>
          <w:szCs w:val="28"/>
          <w:highlight w:val="none"/>
        </w:rPr>
        <w:t>文件</w:t>
      </w:r>
    </w:p>
    <w:p w14:paraId="0FF364A0">
      <w:pPr>
        <w:pStyle w:val="15"/>
        <w:rPr>
          <w:rFonts w:ascii="宋体" w:hAnsi="宋体" w:eastAsia="宋体" w:cs="宋体"/>
          <w:b/>
          <w:color w:val="auto"/>
          <w:sz w:val="28"/>
          <w:szCs w:val="28"/>
          <w:highlight w:val="none"/>
        </w:rPr>
      </w:pPr>
    </w:p>
    <w:p w14:paraId="1D3F20CE">
      <w:pPr>
        <w:rPr>
          <w:color w:val="auto"/>
          <w:highlight w:val="none"/>
        </w:rPr>
      </w:pPr>
    </w:p>
    <w:p w14:paraId="34B67F30">
      <w:pPr>
        <w:rPr>
          <w:color w:val="auto"/>
          <w:highlight w:val="none"/>
        </w:rPr>
      </w:pPr>
    </w:p>
    <w:p w14:paraId="02DE970B">
      <w:pPr>
        <w:rPr>
          <w:color w:val="auto"/>
          <w:highlight w:val="none"/>
        </w:rPr>
      </w:pPr>
    </w:p>
    <w:p w14:paraId="5F9B4220">
      <w:pPr>
        <w:rPr>
          <w:color w:val="auto"/>
          <w:highlight w:val="none"/>
        </w:rPr>
      </w:pPr>
    </w:p>
    <w:p w14:paraId="19DA4964">
      <w:pPr>
        <w:rPr>
          <w:rFonts w:ascii="宋体" w:hAnsi="宋体" w:cs="宋体"/>
          <w:b/>
          <w:color w:val="auto"/>
          <w:sz w:val="28"/>
          <w:szCs w:val="28"/>
          <w:highlight w:val="none"/>
        </w:rPr>
      </w:pPr>
    </w:p>
    <w:p w14:paraId="15D5BEBF">
      <w:pPr>
        <w:pStyle w:val="15"/>
        <w:rPr>
          <w:color w:val="auto"/>
          <w:highlight w:val="none"/>
        </w:rPr>
      </w:pPr>
    </w:p>
    <w:p w14:paraId="663E50E6">
      <w:pPr>
        <w:pStyle w:val="38"/>
        <w:rPr>
          <w:rFonts w:ascii="宋体" w:hAnsi="宋体" w:cs="宋体"/>
          <w:b/>
          <w:color w:val="auto"/>
          <w:sz w:val="28"/>
          <w:szCs w:val="28"/>
          <w:highlight w:val="none"/>
        </w:rPr>
      </w:pPr>
    </w:p>
    <w:p w14:paraId="52BA3356">
      <w:pPr>
        <w:rPr>
          <w:rFonts w:ascii="宋体" w:hAnsi="宋体" w:cs="宋体"/>
          <w:b/>
          <w:color w:val="auto"/>
          <w:sz w:val="28"/>
          <w:szCs w:val="28"/>
          <w:highlight w:val="none"/>
        </w:rPr>
      </w:pPr>
    </w:p>
    <w:p w14:paraId="6D0A74CB">
      <w:pPr>
        <w:pStyle w:val="120"/>
        <w:rPr>
          <w:rFonts w:ascii="宋体" w:hAnsi="宋体" w:cs="宋体"/>
          <w:b/>
          <w:color w:val="auto"/>
          <w:sz w:val="28"/>
          <w:szCs w:val="28"/>
          <w:highlight w:val="none"/>
        </w:rPr>
      </w:pPr>
    </w:p>
    <w:p w14:paraId="7A469AB3">
      <w:pPr>
        <w:rPr>
          <w:rFonts w:ascii="宋体" w:hAnsi="宋体" w:cs="宋体"/>
          <w:b/>
          <w:color w:val="auto"/>
          <w:sz w:val="28"/>
          <w:szCs w:val="28"/>
          <w:highlight w:val="none"/>
        </w:rPr>
      </w:pPr>
    </w:p>
    <w:p w14:paraId="30B75701">
      <w:pPr>
        <w:pStyle w:val="120"/>
        <w:rPr>
          <w:rFonts w:ascii="宋体" w:hAnsi="宋体" w:cs="宋体"/>
          <w:b/>
          <w:color w:val="auto"/>
          <w:sz w:val="28"/>
          <w:szCs w:val="28"/>
          <w:highlight w:val="none"/>
        </w:rPr>
      </w:pPr>
    </w:p>
    <w:p w14:paraId="7FB28402">
      <w:pPr>
        <w:rPr>
          <w:rFonts w:ascii="宋体" w:hAnsi="宋体" w:cs="宋体"/>
          <w:b/>
          <w:color w:val="auto"/>
          <w:sz w:val="28"/>
          <w:szCs w:val="28"/>
          <w:highlight w:val="none"/>
        </w:rPr>
      </w:pPr>
    </w:p>
    <w:p w14:paraId="0382540D">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第二部分  投标须知</w:t>
      </w:r>
    </w:p>
    <w:p w14:paraId="39DF1CB6">
      <w:pPr>
        <w:pStyle w:val="4"/>
        <w:adjustRightInd w:val="0"/>
        <w:snapToGrid w:val="0"/>
        <w:spacing w:before="0" w:after="0" w:line="500" w:lineRule="exact"/>
        <w:rPr>
          <w:rFonts w:ascii="宋体" w:hAnsi="宋体" w:cs="宋体"/>
          <w:color w:val="auto"/>
          <w:sz w:val="28"/>
          <w:szCs w:val="28"/>
          <w:highlight w:val="none"/>
        </w:rPr>
      </w:pPr>
      <w:bookmarkStart w:id="3" w:name="_Toc16938519"/>
      <w:bookmarkStart w:id="4" w:name="_Toc20823275"/>
      <w:bookmarkStart w:id="5" w:name="_Toc513029203"/>
      <w:bookmarkStart w:id="6" w:name="_Toc120614214"/>
      <w:r>
        <w:rPr>
          <w:rFonts w:hint="eastAsia" w:ascii="宋体" w:hAnsi="宋体" w:cs="宋体"/>
          <w:color w:val="auto"/>
          <w:sz w:val="28"/>
          <w:szCs w:val="28"/>
          <w:highlight w:val="none"/>
        </w:rPr>
        <w:t>（一）总则</w:t>
      </w:r>
      <w:bookmarkEnd w:id="3"/>
      <w:bookmarkEnd w:id="4"/>
      <w:bookmarkEnd w:id="5"/>
      <w:bookmarkEnd w:id="6"/>
    </w:p>
    <w:p w14:paraId="3F5D4F7A">
      <w:pPr>
        <w:pStyle w:val="5"/>
        <w:adjustRightInd w:val="0"/>
        <w:snapToGrid w:val="0"/>
        <w:spacing w:line="500" w:lineRule="exact"/>
        <w:jc w:val="both"/>
        <w:rPr>
          <w:rFonts w:ascii="宋体" w:hAnsi="宋体" w:eastAsia="宋体" w:cs="宋体"/>
          <w:b/>
          <w:bCs/>
          <w:color w:val="auto"/>
          <w:sz w:val="28"/>
          <w:szCs w:val="28"/>
          <w:highlight w:val="none"/>
        </w:rPr>
      </w:pPr>
      <w:bookmarkStart w:id="7" w:name="_Hlt16619475"/>
      <w:bookmarkEnd w:id="7"/>
      <w:bookmarkStart w:id="8" w:name="_Toc458694821"/>
      <w:bookmarkStart w:id="9" w:name="_Toc513029204"/>
      <w:bookmarkStart w:id="10" w:name="_Toc16938520"/>
      <w:bookmarkStart w:id="11" w:name="_Toc20823276"/>
      <w:r>
        <w:rPr>
          <w:rFonts w:hint="eastAsia" w:ascii="宋体" w:hAnsi="宋体" w:eastAsia="宋体" w:cs="宋体"/>
          <w:color w:val="auto"/>
          <w:sz w:val="28"/>
          <w:szCs w:val="28"/>
          <w:highlight w:val="none"/>
        </w:rPr>
        <w:t>1</w:t>
      </w:r>
      <w:bookmarkEnd w:id="8"/>
      <w:r>
        <w:rPr>
          <w:rFonts w:hint="eastAsia" w:ascii="宋体" w:hAnsi="宋体" w:eastAsia="宋体" w:cs="宋体"/>
          <w:color w:val="auto"/>
          <w:sz w:val="28"/>
          <w:szCs w:val="28"/>
          <w:highlight w:val="none"/>
        </w:rPr>
        <w:t>.招标方式</w:t>
      </w:r>
      <w:bookmarkEnd w:id="9"/>
      <w:bookmarkEnd w:id="10"/>
      <w:bookmarkEnd w:id="11"/>
    </w:p>
    <w:p w14:paraId="79BEE19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 本次招标采取公开招标方式，本招标文件仅适用于招标公告中所述项目。</w:t>
      </w:r>
    </w:p>
    <w:p w14:paraId="2AE1821A">
      <w:pPr>
        <w:pStyle w:val="5"/>
        <w:adjustRightInd w:val="0"/>
        <w:snapToGrid w:val="0"/>
        <w:spacing w:line="500" w:lineRule="exact"/>
        <w:jc w:val="both"/>
        <w:rPr>
          <w:rFonts w:ascii="宋体" w:hAnsi="宋体" w:eastAsia="宋体" w:cs="宋体"/>
          <w:b/>
          <w:bCs/>
          <w:color w:val="auto"/>
          <w:sz w:val="28"/>
          <w:szCs w:val="28"/>
          <w:highlight w:val="none"/>
        </w:rPr>
      </w:pPr>
      <w:bookmarkStart w:id="12" w:name="_Toc20823277"/>
      <w:bookmarkStart w:id="13" w:name="_Toc513029205"/>
      <w:bookmarkStart w:id="14" w:name="_Toc16938521"/>
      <w:r>
        <w:rPr>
          <w:rFonts w:hint="eastAsia" w:ascii="宋体" w:hAnsi="宋体" w:eastAsia="宋体" w:cs="宋体"/>
          <w:color w:val="auto"/>
          <w:sz w:val="28"/>
          <w:szCs w:val="28"/>
          <w:highlight w:val="none"/>
        </w:rPr>
        <w:t>2.合格的投标人</w:t>
      </w:r>
      <w:bookmarkEnd w:id="12"/>
      <w:bookmarkEnd w:id="13"/>
      <w:bookmarkEnd w:id="14"/>
    </w:p>
    <w:p w14:paraId="2848D8E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2.1满足招标公告中供应商的资格要求的规定。</w:t>
      </w:r>
    </w:p>
    <w:p w14:paraId="0DB66F1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满足本文件实质性条款的规定。</w:t>
      </w:r>
    </w:p>
    <w:p w14:paraId="2ACF7B6D">
      <w:pPr>
        <w:pStyle w:val="5"/>
        <w:adjustRightInd w:val="0"/>
        <w:snapToGrid w:val="0"/>
        <w:spacing w:line="500" w:lineRule="exact"/>
        <w:jc w:val="both"/>
        <w:rPr>
          <w:rFonts w:ascii="宋体" w:hAnsi="宋体" w:eastAsia="宋体" w:cs="宋体"/>
          <w:b/>
          <w:bCs/>
          <w:color w:val="auto"/>
          <w:sz w:val="28"/>
          <w:szCs w:val="28"/>
          <w:highlight w:val="none"/>
        </w:rPr>
      </w:pPr>
      <w:bookmarkStart w:id="15" w:name="_Toc513029206"/>
      <w:bookmarkStart w:id="16" w:name="_Toc20823278"/>
      <w:bookmarkStart w:id="17" w:name="_Toc16938522"/>
      <w:r>
        <w:rPr>
          <w:rFonts w:hint="eastAsia" w:ascii="宋体" w:hAnsi="宋体" w:eastAsia="宋体" w:cs="宋体"/>
          <w:color w:val="auto"/>
          <w:sz w:val="28"/>
          <w:szCs w:val="28"/>
          <w:highlight w:val="none"/>
        </w:rPr>
        <w:t>3.适用法律</w:t>
      </w:r>
      <w:bookmarkEnd w:id="15"/>
      <w:bookmarkEnd w:id="16"/>
      <w:bookmarkEnd w:id="17"/>
    </w:p>
    <w:p w14:paraId="74BECA6E">
      <w:pPr>
        <w:adjustRightInd w:val="0"/>
        <w:snapToGrid w:val="0"/>
        <w:spacing w:line="500" w:lineRule="exact"/>
        <w:ind w:firstLine="490" w:firstLineChars="175"/>
        <w:rPr>
          <w:rFonts w:ascii="宋体" w:hAnsi="宋体" w:cs="宋体"/>
          <w:color w:val="auto"/>
          <w:sz w:val="28"/>
          <w:szCs w:val="28"/>
          <w:highlight w:val="none"/>
        </w:rPr>
      </w:pPr>
      <w:r>
        <w:rPr>
          <w:rFonts w:hint="eastAsia" w:ascii="宋体" w:hAnsi="宋体" w:cs="宋体"/>
          <w:color w:val="auto"/>
          <w:sz w:val="28"/>
          <w:szCs w:val="28"/>
          <w:highlight w:val="none"/>
        </w:rPr>
        <w:t>3.1 本次招标及由此产生的合同受中华人民共和国有关的法律法规制约和保护。</w:t>
      </w:r>
    </w:p>
    <w:p w14:paraId="5668C2E3">
      <w:pPr>
        <w:pStyle w:val="5"/>
        <w:adjustRightInd w:val="0"/>
        <w:snapToGrid w:val="0"/>
        <w:spacing w:line="500" w:lineRule="exact"/>
        <w:jc w:val="both"/>
        <w:rPr>
          <w:rFonts w:ascii="宋体" w:hAnsi="宋体" w:eastAsia="宋体" w:cs="宋体"/>
          <w:b/>
          <w:bCs/>
          <w:color w:val="auto"/>
          <w:sz w:val="28"/>
          <w:szCs w:val="28"/>
          <w:highlight w:val="none"/>
        </w:rPr>
      </w:pPr>
      <w:bookmarkStart w:id="18" w:name="_Toc462564067"/>
      <w:bookmarkStart w:id="19" w:name="_Toc16938523"/>
      <w:bookmarkStart w:id="20" w:name="_Toc20823279"/>
      <w:bookmarkStart w:id="21" w:name="_Toc513029207"/>
      <w:r>
        <w:rPr>
          <w:rFonts w:hint="eastAsia" w:ascii="宋体" w:hAnsi="宋体" w:eastAsia="宋体" w:cs="宋体"/>
          <w:color w:val="auto"/>
          <w:sz w:val="28"/>
          <w:szCs w:val="28"/>
          <w:highlight w:val="none"/>
        </w:rPr>
        <w:t>4.投标费用</w:t>
      </w:r>
      <w:bookmarkEnd w:id="18"/>
      <w:bookmarkEnd w:id="19"/>
      <w:bookmarkEnd w:id="20"/>
      <w:bookmarkEnd w:id="21"/>
    </w:p>
    <w:p w14:paraId="0C09721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4.1</w:t>
      </w:r>
      <w:r>
        <w:rPr>
          <w:rFonts w:hint="eastAsia" w:ascii="宋体" w:hAnsi="宋体" w:cs="宋体"/>
          <w:color w:val="auto"/>
          <w:sz w:val="28"/>
          <w:szCs w:val="28"/>
          <w:highlight w:val="none"/>
        </w:rPr>
        <w:t xml:space="preserve"> 投标人应自行承担所有与参加投标有关的费用，无论投标过程中的做法和结果如何，采购人在任何情况下均无义务和责任承担这些费用。</w:t>
      </w:r>
    </w:p>
    <w:p w14:paraId="616A4D85">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5.招标文件的约束力</w:t>
      </w:r>
    </w:p>
    <w:p w14:paraId="462CC28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5.1</w:t>
      </w:r>
      <w:r>
        <w:rPr>
          <w:rFonts w:hint="eastAsia" w:ascii="宋体" w:hAnsi="宋体" w:cs="宋体"/>
          <w:color w:val="auto"/>
          <w:sz w:val="28"/>
          <w:szCs w:val="28"/>
          <w:highlight w:val="none"/>
        </w:rPr>
        <w:t xml:space="preserve"> 投标人一旦参加本项目采购活动，即被认为接受了本招标文件的规定和约束。</w:t>
      </w:r>
    </w:p>
    <w:p w14:paraId="3E2EAAE0">
      <w:pPr>
        <w:pStyle w:val="5"/>
        <w:adjustRightInd w:val="0"/>
        <w:snapToGrid w:val="0"/>
        <w:spacing w:line="500" w:lineRule="exact"/>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6.招标文件的解释</w:t>
      </w:r>
    </w:p>
    <w:p w14:paraId="1F5E2F5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6.1</w:t>
      </w:r>
      <w:r>
        <w:rPr>
          <w:rFonts w:hint="eastAsia" w:ascii="宋体" w:hAnsi="宋体" w:cs="宋体"/>
          <w:color w:val="auto"/>
          <w:sz w:val="28"/>
          <w:szCs w:val="28"/>
          <w:highlight w:val="none"/>
        </w:rPr>
        <w:t>招标文件需求部分（供应商资格要求、项目需求、商务技术评分标准）由采购人解释。</w:t>
      </w:r>
    </w:p>
    <w:p w14:paraId="7B49E507">
      <w:pPr>
        <w:pStyle w:val="4"/>
        <w:adjustRightInd w:val="0"/>
        <w:snapToGrid w:val="0"/>
        <w:spacing w:before="0" w:after="0" w:line="500" w:lineRule="exact"/>
        <w:rPr>
          <w:rFonts w:ascii="宋体" w:hAnsi="宋体" w:cs="宋体"/>
          <w:color w:val="auto"/>
          <w:sz w:val="28"/>
          <w:szCs w:val="28"/>
          <w:highlight w:val="none"/>
        </w:rPr>
      </w:pPr>
      <w:bookmarkStart w:id="22" w:name="_Toc16938525"/>
      <w:bookmarkStart w:id="23" w:name="_Toc20823281"/>
      <w:bookmarkStart w:id="24" w:name="_Toc513029209"/>
      <w:bookmarkStart w:id="25" w:name="_Toc120614215"/>
      <w:r>
        <w:rPr>
          <w:rFonts w:hint="eastAsia" w:ascii="宋体" w:hAnsi="宋体" w:cs="宋体"/>
          <w:color w:val="auto"/>
          <w:sz w:val="28"/>
          <w:szCs w:val="28"/>
          <w:highlight w:val="none"/>
        </w:rPr>
        <w:t>（二）招标文件</w:t>
      </w:r>
      <w:bookmarkEnd w:id="22"/>
      <w:bookmarkEnd w:id="23"/>
      <w:bookmarkEnd w:id="24"/>
      <w:bookmarkEnd w:id="25"/>
    </w:p>
    <w:p w14:paraId="5CE43CFF">
      <w:pPr>
        <w:pStyle w:val="5"/>
        <w:adjustRightInd w:val="0"/>
        <w:snapToGrid w:val="0"/>
        <w:spacing w:line="500" w:lineRule="exact"/>
        <w:jc w:val="both"/>
        <w:rPr>
          <w:rFonts w:ascii="宋体" w:hAnsi="宋体" w:eastAsia="宋体" w:cs="宋体"/>
          <w:b/>
          <w:bCs/>
          <w:color w:val="auto"/>
          <w:sz w:val="28"/>
          <w:szCs w:val="28"/>
          <w:highlight w:val="none"/>
        </w:rPr>
      </w:pPr>
      <w:bookmarkStart w:id="26" w:name="_Toc513029210"/>
      <w:bookmarkStart w:id="27" w:name="_Toc16938526"/>
      <w:bookmarkStart w:id="28" w:name="_Toc20823282"/>
      <w:r>
        <w:rPr>
          <w:rFonts w:hint="eastAsia" w:ascii="宋体" w:hAnsi="宋体" w:eastAsia="宋体" w:cs="宋体"/>
          <w:color w:val="auto"/>
          <w:sz w:val="28"/>
          <w:szCs w:val="28"/>
          <w:highlight w:val="none"/>
        </w:rPr>
        <w:t>1.招标文件构成</w:t>
      </w:r>
      <w:bookmarkEnd w:id="26"/>
      <w:bookmarkEnd w:id="27"/>
      <w:bookmarkEnd w:id="28"/>
    </w:p>
    <w:p w14:paraId="3B04DB6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招标文件由以下部分组成：</w:t>
      </w:r>
    </w:p>
    <w:p w14:paraId="4462C7CE">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（1）投标邀请</w:t>
      </w:r>
    </w:p>
    <w:p w14:paraId="1C97F032">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（2）投标须知</w:t>
      </w:r>
    </w:p>
    <w:p w14:paraId="0BE67726">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（3）项目需求</w:t>
      </w:r>
    </w:p>
    <w:p w14:paraId="23759D23">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（4）开标和评标</w:t>
      </w:r>
    </w:p>
    <w:p w14:paraId="721A0142">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（5）投标文件组成</w:t>
      </w:r>
    </w:p>
    <w:p w14:paraId="6AAF2DFF">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（6）附件（如有）</w:t>
      </w:r>
    </w:p>
    <w:p w14:paraId="5D84749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请仔细检查招标文件是否齐全，如有缺漏请立即与采购人解决。</w:t>
      </w:r>
    </w:p>
    <w:p w14:paraId="3D78ABD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965A77B">
      <w:pPr>
        <w:pStyle w:val="5"/>
        <w:adjustRightInd w:val="0"/>
        <w:snapToGrid w:val="0"/>
        <w:spacing w:line="500" w:lineRule="exact"/>
        <w:jc w:val="both"/>
        <w:rPr>
          <w:rFonts w:ascii="宋体" w:hAnsi="宋体" w:eastAsia="宋体" w:cs="宋体"/>
          <w:b/>
          <w:bCs/>
          <w:color w:val="auto"/>
          <w:sz w:val="28"/>
          <w:szCs w:val="28"/>
          <w:highlight w:val="none"/>
        </w:rPr>
      </w:pPr>
      <w:bookmarkStart w:id="29" w:name="_Toc513029211"/>
      <w:bookmarkStart w:id="30" w:name="_Toc16938527"/>
      <w:bookmarkStart w:id="31" w:name="_Toc462564070"/>
      <w:bookmarkStart w:id="32" w:name="_Toc20823283"/>
      <w:r>
        <w:rPr>
          <w:rFonts w:hint="eastAsia" w:ascii="宋体" w:hAnsi="宋体" w:eastAsia="宋体" w:cs="宋体"/>
          <w:color w:val="auto"/>
          <w:sz w:val="28"/>
          <w:szCs w:val="28"/>
          <w:highlight w:val="none"/>
        </w:rPr>
        <w:t>2.招标文件的澄清</w:t>
      </w:r>
      <w:bookmarkEnd w:id="29"/>
      <w:bookmarkEnd w:id="30"/>
      <w:bookmarkEnd w:id="31"/>
      <w:bookmarkEnd w:id="32"/>
    </w:p>
    <w:p w14:paraId="2BD6F8F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任何要求对招标文件进行澄清的投标人，应在投标截止期十日前按招标公告中的通讯地址，以书面形式通知采购人。采购人有权对发出的招标文件进行必要的澄清或修改。</w:t>
      </w:r>
    </w:p>
    <w:p w14:paraId="711B03E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2.2采购人视情组织答疑会</w:t>
      </w:r>
    </w:p>
    <w:p w14:paraId="3471E11B">
      <w:pPr>
        <w:pStyle w:val="5"/>
        <w:adjustRightInd w:val="0"/>
        <w:snapToGrid w:val="0"/>
        <w:spacing w:line="500" w:lineRule="exact"/>
        <w:jc w:val="both"/>
        <w:rPr>
          <w:rFonts w:ascii="宋体" w:hAnsi="宋体" w:eastAsia="宋体" w:cs="宋体"/>
          <w:b/>
          <w:bCs/>
          <w:color w:val="auto"/>
          <w:sz w:val="28"/>
          <w:szCs w:val="28"/>
          <w:highlight w:val="none"/>
        </w:rPr>
      </w:pPr>
      <w:bookmarkStart w:id="33" w:name="_Toc513029212"/>
      <w:bookmarkStart w:id="34" w:name="_Toc16938528"/>
      <w:bookmarkStart w:id="35" w:name="_Toc462564071"/>
      <w:bookmarkStart w:id="36" w:name="_Toc20823284"/>
      <w:r>
        <w:rPr>
          <w:rFonts w:hint="eastAsia" w:ascii="宋体" w:hAnsi="宋体" w:eastAsia="宋体" w:cs="宋体"/>
          <w:color w:val="auto"/>
          <w:sz w:val="28"/>
          <w:szCs w:val="28"/>
          <w:highlight w:val="none"/>
        </w:rPr>
        <w:t>3.招标文件的修改</w:t>
      </w:r>
      <w:bookmarkEnd w:id="33"/>
      <w:bookmarkEnd w:id="34"/>
      <w:bookmarkEnd w:id="35"/>
      <w:bookmarkEnd w:id="36"/>
    </w:p>
    <w:p w14:paraId="0FD58C2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sz w:val="28"/>
          <w:szCs w:val="28"/>
          <w:highlight w:val="none"/>
        </w:rPr>
        <w:t xml:space="preserve"> 在投标截止时间前，采购人可以对招标文件进行修改。</w:t>
      </w:r>
    </w:p>
    <w:p w14:paraId="0E6F32C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3.2 </w:t>
      </w:r>
      <w:r>
        <w:rPr>
          <w:rFonts w:hint="eastAsia" w:ascii="宋体" w:hAnsi="宋体" w:cs="宋体"/>
          <w:color w:val="auto"/>
          <w:sz w:val="28"/>
          <w:szCs w:val="28"/>
          <w:highlight w:val="none"/>
        </w:rPr>
        <w:t>采购人有权按照法定的要求推迟投标截止日期和开标日期。</w:t>
      </w:r>
    </w:p>
    <w:p w14:paraId="5AFBB80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3.3 </w:t>
      </w:r>
      <w:r>
        <w:rPr>
          <w:rFonts w:hint="eastAsia" w:ascii="宋体" w:hAnsi="宋体" w:cs="宋体"/>
          <w:color w:val="auto"/>
          <w:sz w:val="28"/>
          <w:szCs w:val="28"/>
          <w:highlight w:val="none"/>
        </w:rPr>
        <w:t>招标文件的修改将在</w:t>
      </w:r>
      <w:r>
        <w:rPr>
          <w:rFonts w:hint="eastAsia" w:ascii="宋体" w:hAnsi="宋体" w:cs="宋体"/>
          <w:color w:val="auto"/>
          <w:sz w:val="28"/>
          <w:szCs w:val="28"/>
          <w:highlight w:val="none"/>
          <w:lang w:eastAsia="zh-CN"/>
        </w:rPr>
        <w:t>启东市人民政府网</w:t>
      </w:r>
      <w:r>
        <w:rPr>
          <w:rFonts w:hint="eastAsia" w:ascii="宋体" w:hAnsi="宋体" w:cs="宋体"/>
          <w:color w:val="auto"/>
          <w:sz w:val="28"/>
          <w:szCs w:val="28"/>
          <w:highlight w:val="none"/>
        </w:rPr>
        <w:t>公布，补充文件将作为招标文件的组成部分，并对投标人具有约束力。</w:t>
      </w:r>
    </w:p>
    <w:p w14:paraId="05CF1C04">
      <w:pPr>
        <w:pStyle w:val="4"/>
        <w:adjustRightInd w:val="0"/>
        <w:snapToGrid w:val="0"/>
        <w:spacing w:before="0" w:after="0" w:line="500" w:lineRule="exact"/>
        <w:rPr>
          <w:rFonts w:ascii="宋体" w:hAnsi="宋体" w:cs="宋体"/>
          <w:color w:val="auto"/>
          <w:sz w:val="28"/>
          <w:szCs w:val="28"/>
          <w:highlight w:val="none"/>
        </w:rPr>
      </w:pPr>
      <w:bookmarkStart w:id="37" w:name="_Toc462564072"/>
      <w:bookmarkStart w:id="38" w:name="_Toc120614216"/>
      <w:bookmarkStart w:id="39" w:name="_Toc513029213"/>
      <w:bookmarkStart w:id="40" w:name="_Toc20823285"/>
      <w:bookmarkStart w:id="41" w:name="_Toc16938529"/>
      <w:r>
        <w:rPr>
          <w:rFonts w:hint="eastAsia" w:ascii="宋体" w:hAnsi="宋体" w:cs="宋体"/>
          <w:color w:val="auto"/>
          <w:sz w:val="28"/>
          <w:szCs w:val="28"/>
          <w:highlight w:val="none"/>
        </w:rPr>
        <w:t>（三）投标文件的编制</w:t>
      </w:r>
      <w:bookmarkEnd w:id="37"/>
      <w:bookmarkEnd w:id="38"/>
      <w:bookmarkEnd w:id="39"/>
      <w:bookmarkEnd w:id="40"/>
      <w:bookmarkEnd w:id="41"/>
    </w:p>
    <w:p w14:paraId="75727F85">
      <w:pPr>
        <w:pStyle w:val="5"/>
        <w:adjustRightInd w:val="0"/>
        <w:snapToGrid w:val="0"/>
        <w:spacing w:line="500" w:lineRule="exact"/>
        <w:jc w:val="both"/>
        <w:rPr>
          <w:rFonts w:ascii="宋体" w:hAnsi="宋体" w:eastAsia="宋体" w:cs="宋体"/>
          <w:bCs/>
          <w:color w:val="auto"/>
          <w:sz w:val="28"/>
          <w:szCs w:val="28"/>
          <w:highlight w:val="none"/>
        </w:rPr>
      </w:pPr>
      <w:bookmarkStart w:id="42" w:name="_Toc16938530"/>
      <w:bookmarkStart w:id="43" w:name="_Toc20823286"/>
      <w:bookmarkStart w:id="44" w:name="_Toc513029214"/>
      <w:bookmarkStart w:id="45" w:name="_Toc462564073"/>
      <w:r>
        <w:rPr>
          <w:rFonts w:hint="eastAsia" w:ascii="宋体" w:hAnsi="宋体" w:eastAsia="宋体" w:cs="宋体"/>
          <w:color w:val="auto"/>
          <w:sz w:val="28"/>
          <w:szCs w:val="28"/>
          <w:highlight w:val="none"/>
        </w:rPr>
        <w:t>1.投标文件的语言及度量衡单位</w:t>
      </w:r>
      <w:bookmarkEnd w:id="42"/>
      <w:bookmarkEnd w:id="43"/>
      <w:bookmarkEnd w:id="44"/>
      <w:bookmarkEnd w:id="45"/>
    </w:p>
    <w:p w14:paraId="449308C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投标人提交的投标文件以及投标人与采购人就有关投标的所有来往通知、函件和文件均应使用</w:t>
      </w:r>
      <w:r>
        <w:rPr>
          <w:rFonts w:hint="eastAsia" w:ascii="宋体" w:hAnsi="宋体" w:cs="宋体"/>
          <w:bCs/>
          <w:color w:val="auto"/>
          <w:sz w:val="28"/>
          <w:szCs w:val="28"/>
          <w:highlight w:val="none"/>
        </w:rPr>
        <w:t>简体中文</w:t>
      </w:r>
      <w:r>
        <w:rPr>
          <w:rFonts w:hint="eastAsia" w:ascii="宋体" w:hAnsi="宋体" w:cs="宋体"/>
          <w:color w:val="auto"/>
          <w:sz w:val="28"/>
          <w:szCs w:val="28"/>
          <w:highlight w:val="none"/>
        </w:rPr>
        <w:t>。</w:t>
      </w:r>
    </w:p>
    <w:p w14:paraId="57C39C4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除技术性能另有规定外，投标文件所使用的度量衡单位，均须采用国家法定计量单位。</w:t>
      </w:r>
    </w:p>
    <w:p w14:paraId="064ED9D6">
      <w:pPr>
        <w:pStyle w:val="5"/>
        <w:adjustRightInd w:val="0"/>
        <w:snapToGrid w:val="0"/>
        <w:spacing w:line="500" w:lineRule="exact"/>
        <w:jc w:val="both"/>
        <w:rPr>
          <w:rFonts w:ascii="宋体" w:hAnsi="宋体" w:eastAsia="宋体" w:cs="宋体"/>
          <w:b/>
          <w:bCs/>
          <w:color w:val="auto"/>
          <w:sz w:val="28"/>
          <w:szCs w:val="28"/>
          <w:highlight w:val="none"/>
        </w:rPr>
      </w:pPr>
      <w:bookmarkStart w:id="46" w:name="_Toc16938531"/>
      <w:bookmarkStart w:id="47" w:name="_Toc513029215"/>
      <w:bookmarkStart w:id="48" w:name="_Toc462564074"/>
      <w:bookmarkStart w:id="49" w:name="_Toc20823287"/>
      <w:r>
        <w:rPr>
          <w:rFonts w:hint="eastAsia" w:ascii="宋体" w:hAnsi="宋体" w:eastAsia="宋体" w:cs="宋体"/>
          <w:color w:val="auto"/>
          <w:sz w:val="28"/>
          <w:szCs w:val="28"/>
          <w:highlight w:val="none"/>
        </w:rPr>
        <w:t>2.投标文件构成</w:t>
      </w:r>
      <w:bookmarkEnd w:id="46"/>
      <w:bookmarkEnd w:id="47"/>
      <w:bookmarkEnd w:id="48"/>
      <w:bookmarkEnd w:id="49"/>
    </w:p>
    <w:p w14:paraId="1A07A74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投标人编写的投标文件应包括资格审查证明材料文件、商务技术标文件、价格标文件。供应商按“第五部分 投标文件组成”要求编写投标文件。</w:t>
      </w:r>
    </w:p>
    <w:p w14:paraId="32A85184">
      <w:pPr>
        <w:adjustRightInd w:val="0"/>
        <w:snapToGrid w:val="0"/>
        <w:spacing w:line="500" w:lineRule="exact"/>
        <w:rPr>
          <w:rFonts w:ascii="宋体" w:hAnsi="宋体" w:cs="宋体"/>
          <w:color w:val="auto"/>
          <w:kern w:val="0"/>
          <w:sz w:val="28"/>
          <w:szCs w:val="28"/>
          <w:highlight w:val="none"/>
        </w:rPr>
      </w:pPr>
      <w:bookmarkStart w:id="50" w:name="_Hlt26670360"/>
      <w:bookmarkEnd w:id="50"/>
      <w:bookmarkStart w:id="51" w:name="_Hlt26954838"/>
      <w:bookmarkEnd w:id="51"/>
      <w:bookmarkStart w:id="52" w:name="_Hlt26668975"/>
      <w:bookmarkEnd w:id="52"/>
      <w:bookmarkStart w:id="53" w:name="_Toc49090511"/>
      <w:bookmarkStart w:id="54" w:name="_Toc14577360"/>
      <w:r>
        <w:rPr>
          <w:rFonts w:hint="eastAsia" w:ascii="宋体" w:hAnsi="宋体" w:cs="宋体"/>
          <w:color w:val="auto"/>
          <w:kern w:val="0"/>
          <w:sz w:val="28"/>
          <w:szCs w:val="28"/>
          <w:highlight w:val="none"/>
        </w:rPr>
        <w:t>3. 投标文件的密封、签署、提交</w:t>
      </w:r>
    </w:p>
    <w:p w14:paraId="7E4BF3D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必须提供1份正本</w:t>
      </w:r>
      <w:r>
        <w:rPr>
          <w:rFonts w:hint="eastAsia" w:ascii="宋体" w:hAnsi="宋体" w:cs="宋体"/>
          <w:bCs/>
          <w:color w:val="auto"/>
          <w:sz w:val="28"/>
          <w:szCs w:val="28"/>
          <w:highlight w:val="none"/>
          <w:lang w:val="en-US" w:eastAsia="zh-CN"/>
        </w:rPr>
        <w:t>4</w:t>
      </w:r>
      <w:r>
        <w:rPr>
          <w:rFonts w:hint="eastAsia" w:ascii="宋体" w:hAnsi="宋体" w:cs="宋体"/>
          <w:bCs/>
          <w:color w:val="auto"/>
          <w:sz w:val="28"/>
          <w:szCs w:val="28"/>
          <w:highlight w:val="none"/>
        </w:rPr>
        <w:t>份副本。</w:t>
      </w:r>
    </w:p>
    <w:p w14:paraId="42D581FA">
      <w:pPr>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3.2</w:t>
      </w:r>
      <w:r>
        <w:rPr>
          <w:rFonts w:hint="eastAsia" w:ascii="宋体" w:hAnsi="宋体" w:cs="宋体"/>
          <w:color w:val="auto"/>
          <w:kern w:val="0"/>
          <w:sz w:val="28"/>
          <w:szCs w:val="28"/>
          <w:highlight w:val="none"/>
        </w:rPr>
        <w:t>投标文件</w:t>
      </w:r>
      <w:r>
        <w:rPr>
          <w:rFonts w:hint="eastAsia" w:ascii="宋体" w:hAnsi="宋体" w:cs="宋体"/>
          <w:color w:val="auto"/>
          <w:sz w:val="28"/>
          <w:szCs w:val="28"/>
          <w:highlight w:val="none"/>
        </w:rPr>
        <w:t>统一采用顺丰快递方式提交（不得采用到付方式）。</w:t>
      </w:r>
    </w:p>
    <w:p w14:paraId="13E820C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3.3</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均需采用A4纸（图纸等除外）打印并装订成册，不允许使用活页夹、拉杆夹、文件夹、塑料方便式书脊（插入式或穿孔式）装订，并应在</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封面的右上角清楚地注明“正本”或“副本”。正本和副本如有不一致之处，以正本为准。</w:t>
      </w:r>
    </w:p>
    <w:p w14:paraId="4B3E144F">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3.4投标人的</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分三包密封，一包资格、资信证明文件、一包商务技术标、一包价格标（每包内含相应文件正副本）；投标人必须将资格、资信证明文件，商务技术标，价格标分开封装。</w:t>
      </w:r>
    </w:p>
    <w:p w14:paraId="279E065F">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3.5投标人应在</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密封袋上标明：采购人名称、项目名称、供应商名称、</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名称（如：“资格、资信证明文件”、“商务技术标”、“价格标”）。</w:t>
      </w:r>
    </w:p>
    <w:p w14:paraId="7467450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3.6所有</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密封袋的封口处均应加盖供应商印章。</w:t>
      </w:r>
    </w:p>
    <w:p w14:paraId="38CFE134">
      <w:pPr>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3.7如果供应商未按上述要求装订密封及加写标记，将作无效</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处理。</w:t>
      </w:r>
    </w:p>
    <w:p w14:paraId="19FF62A2">
      <w:pPr>
        <w:keepNext/>
        <w:adjustRightInd w:val="0"/>
        <w:snapToGrid w:val="0"/>
        <w:spacing w:line="500" w:lineRule="exact"/>
        <w:outlineLvl w:val="3"/>
        <w:rPr>
          <w:rFonts w:ascii="宋体" w:hAnsi="宋体" w:cs="宋体"/>
          <w:color w:val="auto"/>
          <w:kern w:val="0"/>
          <w:sz w:val="28"/>
          <w:szCs w:val="28"/>
          <w:highlight w:val="none"/>
        </w:rPr>
      </w:pPr>
      <w:r>
        <w:rPr>
          <w:rFonts w:hint="eastAsia" w:ascii="宋体" w:hAnsi="宋体" w:cs="宋体"/>
          <w:color w:val="auto"/>
          <w:kern w:val="0"/>
          <w:sz w:val="28"/>
          <w:szCs w:val="28"/>
          <w:highlight w:val="none"/>
        </w:rPr>
        <w:t>4.投标文件的盖章要求</w:t>
      </w:r>
    </w:p>
    <w:p w14:paraId="7577930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4.1</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必须加盖骑缝章或每页盖章。</w:t>
      </w:r>
    </w:p>
    <w:p w14:paraId="07514E6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4.2</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如有修改、行间内插字和增删，修改处应由供应商加盖供应商的印章。</w:t>
      </w:r>
    </w:p>
    <w:p w14:paraId="5538FEC2">
      <w:pPr>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4.3投标文件均需打印并装订成册，签字使用不褪色的蓝、黑墨水笔书写，字迹应清晰易于辨认，如因投标文件字迹潦草或表达不清所引起的后果由供应商负责。供应商应在投标文件封面的右上角清楚地注明“正本”或“副本”，正本和副本如有不一致之处，以正本为准。</w:t>
      </w:r>
    </w:p>
    <w:p w14:paraId="06924DAB">
      <w:pPr>
        <w:snapToGrid w:val="0"/>
        <w:spacing w:line="500" w:lineRule="exact"/>
        <w:rPr>
          <w:rFonts w:ascii="宋体" w:hAnsi="宋体" w:cs="宋体"/>
          <w:b/>
          <w:bCs/>
          <w:color w:val="auto"/>
          <w:sz w:val="28"/>
          <w:szCs w:val="28"/>
          <w:highlight w:val="none"/>
        </w:rPr>
      </w:pPr>
      <w:r>
        <w:rPr>
          <w:rFonts w:hint="eastAsia" w:ascii="宋体" w:hAnsi="宋体" w:cs="宋体"/>
          <w:color w:val="auto"/>
          <w:sz w:val="28"/>
          <w:szCs w:val="28"/>
          <w:highlight w:val="none"/>
        </w:rPr>
        <w:t>5.投标有效期</w:t>
      </w:r>
      <w:bookmarkEnd w:id="53"/>
      <w:bookmarkEnd w:id="54"/>
    </w:p>
    <w:p w14:paraId="35BA4FE5">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5.1投标有效期为采购人规定的开标之日后</w:t>
      </w:r>
      <w:r>
        <w:rPr>
          <w:rFonts w:hint="eastAsia" w:ascii="宋体" w:hAnsi="宋体" w:cs="宋体"/>
          <w:b/>
          <w:color w:val="auto"/>
          <w:sz w:val="28"/>
          <w:szCs w:val="28"/>
          <w:highlight w:val="none"/>
          <w:u w:val="single"/>
        </w:rPr>
        <w:t>六十（60）天</w:t>
      </w:r>
      <w:r>
        <w:rPr>
          <w:rFonts w:hint="eastAsia" w:ascii="宋体" w:hAnsi="宋体" w:cs="宋体"/>
          <w:bCs/>
          <w:color w:val="auto"/>
          <w:sz w:val="28"/>
          <w:szCs w:val="28"/>
          <w:highlight w:val="none"/>
        </w:rPr>
        <w:t>。投标有效期比规定短的将被视为非响应性投标而予以拒绝。</w:t>
      </w:r>
    </w:p>
    <w:p w14:paraId="4797D590">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6.投标有效期的延长</w:t>
      </w:r>
    </w:p>
    <w:p w14:paraId="26E8D93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在特殊情况下，采购人于原投标有效期满之前，可向投标人提出延长投标有效期的要求。这种要求与答复均应采用书面形式。投标人可以采购人的这一要求而放弃投标，同意延长投标有效期的投标人既不能要求也不允许修改其投标文件。</w:t>
      </w:r>
      <w:r>
        <w:rPr>
          <w:rFonts w:hint="eastAsia" w:ascii="宋体" w:hAnsi="宋体" w:cs="宋体"/>
          <w:color w:val="auto"/>
          <w:sz w:val="28"/>
          <w:szCs w:val="28"/>
          <w:highlight w:val="none"/>
        </w:rPr>
        <w:t>受投标有效期约束的所有权利与义务均延长至新的有效期</w:t>
      </w:r>
      <w:r>
        <w:rPr>
          <w:rFonts w:hint="eastAsia" w:ascii="宋体" w:hAnsi="宋体" w:cs="宋体"/>
          <w:bCs/>
          <w:color w:val="auto"/>
          <w:sz w:val="28"/>
          <w:szCs w:val="28"/>
          <w:highlight w:val="none"/>
        </w:rPr>
        <w:t>。</w:t>
      </w:r>
    </w:p>
    <w:p w14:paraId="4DE10B82">
      <w:pPr>
        <w:pStyle w:val="4"/>
        <w:adjustRightInd w:val="0"/>
        <w:snapToGrid w:val="0"/>
        <w:spacing w:before="0" w:after="0" w:line="500" w:lineRule="exact"/>
        <w:rPr>
          <w:rFonts w:ascii="宋体" w:hAnsi="宋体" w:cs="宋体"/>
          <w:color w:val="auto"/>
          <w:sz w:val="28"/>
          <w:szCs w:val="28"/>
          <w:highlight w:val="none"/>
        </w:rPr>
      </w:pPr>
      <w:bookmarkStart w:id="55" w:name="_Hlt26954739"/>
      <w:bookmarkEnd w:id="55"/>
      <w:bookmarkStart w:id="56" w:name="_Hlt26954852"/>
      <w:bookmarkEnd w:id="56"/>
      <w:bookmarkStart w:id="57" w:name="_Toc513029224"/>
      <w:bookmarkStart w:id="58" w:name="_Toc120614217"/>
      <w:bookmarkStart w:id="59" w:name="_Toc16938540"/>
      <w:bookmarkStart w:id="60" w:name="_Toc20823296"/>
      <w:r>
        <w:rPr>
          <w:rFonts w:hint="eastAsia" w:ascii="宋体" w:hAnsi="宋体" w:cs="宋体"/>
          <w:color w:val="auto"/>
          <w:sz w:val="28"/>
          <w:szCs w:val="28"/>
          <w:highlight w:val="none"/>
        </w:rPr>
        <w:t>（四）投标文件的递交</w:t>
      </w:r>
      <w:bookmarkEnd w:id="57"/>
      <w:bookmarkEnd w:id="58"/>
      <w:bookmarkEnd w:id="59"/>
      <w:bookmarkEnd w:id="60"/>
    </w:p>
    <w:p w14:paraId="4D836AD8">
      <w:pPr>
        <w:pStyle w:val="5"/>
        <w:adjustRightInd w:val="0"/>
        <w:snapToGrid w:val="0"/>
        <w:spacing w:line="500" w:lineRule="exact"/>
        <w:jc w:val="both"/>
        <w:rPr>
          <w:rFonts w:ascii="宋体" w:hAnsi="宋体" w:eastAsia="宋体" w:cs="宋体"/>
          <w:b/>
          <w:bCs/>
          <w:color w:val="auto"/>
          <w:sz w:val="28"/>
          <w:szCs w:val="28"/>
          <w:highlight w:val="none"/>
        </w:rPr>
      </w:pPr>
      <w:bookmarkStart w:id="61" w:name="_Toc513029225"/>
      <w:bookmarkStart w:id="62" w:name="_Toc20823297"/>
      <w:bookmarkStart w:id="63" w:name="_Toc462564084"/>
      <w:bookmarkStart w:id="64" w:name="_Toc16938541"/>
      <w:r>
        <w:rPr>
          <w:rFonts w:hint="eastAsia" w:ascii="宋体" w:hAnsi="宋体" w:eastAsia="宋体" w:cs="宋体"/>
          <w:color w:val="auto"/>
          <w:sz w:val="28"/>
          <w:szCs w:val="28"/>
          <w:highlight w:val="none"/>
        </w:rPr>
        <w:t>1.投标文件</w:t>
      </w:r>
      <w:bookmarkEnd w:id="61"/>
      <w:bookmarkEnd w:id="62"/>
      <w:bookmarkEnd w:id="63"/>
      <w:bookmarkEnd w:id="64"/>
      <w:r>
        <w:rPr>
          <w:rFonts w:hint="eastAsia" w:ascii="宋体" w:hAnsi="宋体" w:eastAsia="宋体" w:cs="宋体"/>
          <w:color w:val="auto"/>
          <w:sz w:val="28"/>
          <w:szCs w:val="28"/>
          <w:highlight w:val="none"/>
        </w:rPr>
        <w:t>的递交</w:t>
      </w:r>
    </w:p>
    <w:p w14:paraId="45A6BA88">
      <w:pPr>
        <w:adjustRightInd w:val="0"/>
        <w:snapToGrid w:val="0"/>
        <w:spacing w:line="500" w:lineRule="exact"/>
        <w:ind w:firstLine="556"/>
        <w:rPr>
          <w:rFonts w:ascii="宋体" w:hAnsi="宋体" w:cs="宋体"/>
          <w:bCs/>
          <w:color w:val="auto"/>
          <w:sz w:val="28"/>
          <w:szCs w:val="28"/>
          <w:highlight w:val="none"/>
        </w:rPr>
      </w:pPr>
      <w:r>
        <w:rPr>
          <w:rFonts w:hint="eastAsia" w:ascii="宋体" w:hAnsi="宋体" w:cs="宋体"/>
          <w:bCs/>
          <w:color w:val="auto"/>
          <w:sz w:val="28"/>
          <w:szCs w:val="28"/>
          <w:highlight w:val="none"/>
        </w:rPr>
        <w:t>1.1投标人应当在</w:t>
      </w:r>
      <w:r>
        <w:rPr>
          <w:rFonts w:hint="eastAsia" w:ascii="宋体" w:hAnsi="宋体" w:cs="宋体"/>
          <w:color w:val="auto"/>
          <w:sz w:val="28"/>
          <w:szCs w:val="28"/>
          <w:highlight w:val="none"/>
        </w:rPr>
        <w:t>投标文件提交</w:t>
      </w:r>
      <w:r>
        <w:rPr>
          <w:rFonts w:hint="eastAsia" w:ascii="宋体" w:hAnsi="宋体" w:cs="宋体"/>
          <w:bCs/>
          <w:color w:val="auto"/>
          <w:sz w:val="28"/>
          <w:szCs w:val="28"/>
          <w:highlight w:val="none"/>
        </w:rPr>
        <w:t>截止时间前提交招标文件要求密封的响应文件。</w:t>
      </w:r>
      <w:bookmarkStart w:id="65" w:name="_Toc16938542"/>
      <w:bookmarkStart w:id="66" w:name="_Toc513029226"/>
      <w:bookmarkStart w:id="67" w:name="_Toc20823298"/>
    </w:p>
    <w:p w14:paraId="284ED9FC">
      <w:pPr>
        <w:adjustRightInd w:val="0"/>
        <w:snapToGrid w:val="0"/>
        <w:spacing w:line="500" w:lineRule="exact"/>
        <w:rPr>
          <w:rFonts w:ascii="宋体" w:hAnsi="宋体" w:cs="宋体"/>
          <w:b/>
          <w:color w:val="auto"/>
          <w:sz w:val="28"/>
          <w:szCs w:val="28"/>
          <w:highlight w:val="none"/>
        </w:rPr>
      </w:pPr>
      <w:r>
        <w:rPr>
          <w:rFonts w:hint="eastAsia" w:ascii="宋体" w:hAnsi="宋体" w:cs="宋体"/>
          <w:color w:val="auto"/>
          <w:sz w:val="28"/>
          <w:szCs w:val="28"/>
          <w:highlight w:val="none"/>
        </w:rPr>
        <w:t>2.投标截止日期</w:t>
      </w:r>
      <w:bookmarkEnd w:id="65"/>
      <w:bookmarkEnd w:id="66"/>
      <w:bookmarkEnd w:id="67"/>
    </w:p>
    <w:p w14:paraId="740D659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2.1 投标人提交投标文件的时间不得迟于招标公告中规定的投标截止时间。</w:t>
      </w:r>
    </w:p>
    <w:p w14:paraId="40FE87C0">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投标人应充分考虑天气、快递速度、路程等风险因素，如因投标人自身原因造成的后果由投标人自行承担全部责任。</w:t>
      </w:r>
    </w:p>
    <w:p w14:paraId="7FAAB85F">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2.2</w:t>
      </w:r>
      <w:r>
        <w:rPr>
          <w:rFonts w:hint="eastAsia" w:ascii="宋体" w:hAnsi="宋体" w:cs="宋体"/>
          <w:bCs/>
          <w:color w:val="auto"/>
          <w:sz w:val="28"/>
          <w:szCs w:val="28"/>
          <w:highlight w:val="none"/>
        </w:rPr>
        <w:t xml:space="preserve"> 采购人可以按照规定，通过修改招标文件酌情延长投标截止日期，在此情况下，投标人的所有权利和义务以及投标人受制的截止日期均应以延长后新的截止日期为准。</w:t>
      </w:r>
    </w:p>
    <w:p w14:paraId="53701CBB">
      <w:pPr>
        <w:pStyle w:val="5"/>
        <w:adjustRightInd w:val="0"/>
        <w:snapToGrid w:val="0"/>
        <w:spacing w:line="500" w:lineRule="exact"/>
        <w:jc w:val="both"/>
        <w:rPr>
          <w:rFonts w:ascii="宋体" w:hAnsi="宋体" w:eastAsia="宋体" w:cs="宋体"/>
          <w:b/>
          <w:bCs/>
          <w:color w:val="auto"/>
          <w:sz w:val="28"/>
          <w:szCs w:val="28"/>
          <w:highlight w:val="none"/>
        </w:rPr>
      </w:pPr>
      <w:bookmarkStart w:id="68" w:name="_Toc513029227"/>
      <w:bookmarkStart w:id="69" w:name="_Toc16938543"/>
      <w:bookmarkStart w:id="70" w:name="_Toc20823299"/>
      <w:r>
        <w:rPr>
          <w:rFonts w:hint="eastAsia" w:ascii="宋体" w:hAnsi="宋体" w:eastAsia="宋体" w:cs="宋体"/>
          <w:color w:val="auto"/>
          <w:sz w:val="28"/>
          <w:szCs w:val="28"/>
          <w:highlight w:val="none"/>
        </w:rPr>
        <w:t>3.投标文件</w:t>
      </w:r>
      <w:bookmarkEnd w:id="68"/>
      <w:bookmarkEnd w:id="69"/>
      <w:bookmarkEnd w:id="70"/>
      <w:r>
        <w:rPr>
          <w:rFonts w:hint="eastAsia" w:ascii="宋体" w:hAnsi="宋体" w:eastAsia="宋体" w:cs="宋体"/>
          <w:color w:val="auto"/>
          <w:sz w:val="28"/>
          <w:szCs w:val="28"/>
          <w:highlight w:val="none"/>
        </w:rPr>
        <w:t>的拒收</w:t>
      </w:r>
    </w:p>
    <w:p w14:paraId="0F0B1478">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 采购人拒绝接收未按照招标文件要求密封的投标文件，拒绝接收在投标文件接收截止时间后寄达（以送达签收时间为准）的投标文件。</w:t>
      </w:r>
    </w:p>
    <w:p w14:paraId="371CED9A">
      <w:pPr>
        <w:pStyle w:val="5"/>
        <w:adjustRightInd w:val="0"/>
        <w:snapToGrid w:val="0"/>
        <w:spacing w:line="500" w:lineRule="exact"/>
        <w:jc w:val="both"/>
        <w:rPr>
          <w:rFonts w:ascii="宋体" w:hAnsi="宋体" w:eastAsia="宋体" w:cs="宋体"/>
          <w:b/>
          <w:bCs/>
          <w:color w:val="auto"/>
          <w:sz w:val="28"/>
          <w:szCs w:val="28"/>
          <w:highlight w:val="none"/>
        </w:rPr>
      </w:pPr>
      <w:bookmarkStart w:id="71" w:name="_Toc513029228"/>
      <w:bookmarkStart w:id="72" w:name="_Toc20823300"/>
      <w:bookmarkStart w:id="73" w:name="_Toc16938544"/>
      <w:r>
        <w:rPr>
          <w:rFonts w:hint="eastAsia" w:ascii="宋体" w:hAnsi="宋体" w:eastAsia="宋体" w:cs="宋体"/>
          <w:color w:val="auto"/>
          <w:sz w:val="28"/>
          <w:szCs w:val="28"/>
          <w:highlight w:val="none"/>
        </w:rPr>
        <w:t>4.投标文件的撤回和修改</w:t>
      </w:r>
      <w:bookmarkEnd w:id="71"/>
      <w:bookmarkEnd w:id="72"/>
      <w:bookmarkEnd w:id="73"/>
    </w:p>
    <w:p w14:paraId="6BD3F4A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 投标文件的撤回</w:t>
      </w:r>
    </w:p>
    <w:p w14:paraId="3D5D7DF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4.1.1 投标文件的撤回</w:t>
      </w:r>
    </w:p>
    <w:p w14:paraId="46B72C2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供应商可在投标文件提交截止时间前，撤回其投标文件。</w:t>
      </w:r>
    </w:p>
    <w:p w14:paraId="7C25947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4.1.2 投标人撤回投标文件，则认为其不再参与本项目投标活动。</w:t>
      </w:r>
    </w:p>
    <w:p w14:paraId="48BD208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 投标文件的修改</w:t>
      </w:r>
    </w:p>
    <w:p w14:paraId="1A9499CE">
      <w:pPr>
        <w:adjustRightInd w:val="0"/>
        <w:snapToGrid w:val="0"/>
        <w:spacing w:line="500" w:lineRule="exact"/>
        <w:ind w:firstLine="555"/>
        <w:rPr>
          <w:rFonts w:ascii="宋体" w:hAnsi="宋体" w:cs="宋体"/>
          <w:bCs/>
          <w:color w:val="auto"/>
          <w:sz w:val="28"/>
          <w:szCs w:val="28"/>
          <w:highlight w:val="none"/>
        </w:rPr>
      </w:pPr>
      <w:r>
        <w:rPr>
          <w:rFonts w:hint="eastAsia" w:ascii="宋体" w:hAnsi="宋体" w:cs="宋体"/>
          <w:bCs/>
          <w:color w:val="auto"/>
          <w:sz w:val="28"/>
          <w:szCs w:val="28"/>
          <w:highlight w:val="none"/>
        </w:rPr>
        <w:t>供应商可在投标文件提交截止时间前，对其投标文件进行修改，</w:t>
      </w:r>
      <w:r>
        <w:rPr>
          <w:rFonts w:hint="eastAsia" w:ascii="宋体" w:hAnsi="宋体" w:cs="宋体"/>
          <w:color w:val="auto"/>
          <w:sz w:val="28"/>
          <w:szCs w:val="28"/>
          <w:highlight w:val="none"/>
        </w:rPr>
        <w:t>供应商必须将修改</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文件的书面材料密封后提交给采购代理机构，同时在封套上标明“修改</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文件”和“开标时启封”字样。采购人或采购代理机构可以予以接收，但不退换</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文件。补充、修改的内容应当按照</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文件要求签署、盖章、密封后，作为</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文件的组成部分。</w:t>
      </w:r>
    </w:p>
    <w:p w14:paraId="51DD3C5E">
      <w:pPr>
        <w:adjustRightInd w:val="0"/>
        <w:snapToGrid w:val="0"/>
        <w:spacing w:line="500" w:lineRule="exact"/>
        <w:ind w:firstLine="555"/>
        <w:rPr>
          <w:rFonts w:ascii="宋体" w:hAnsi="宋体" w:cs="宋体"/>
          <w:bCs/>
          <w:color w:val="auto"/>
          <w:sz w:val="28"/>
          <w:szCs w:val="28"/>
          <w:highlight w:val="none"/>
        </w:rPr>
      </w:pPr>
      <w:r>
        <w:rPr>
          <w:rFonts w:hint="eastAsia" w:ascii="宋体" w:hAnsi="宋体" w:cs="宋体"/>
          <w:color w:val="auto"/>
          <w:sz w:val="28"/>
          <w:szCs w:val="28"/>
          <w:highlight w:val="none"/>
        </w:rPr>
        <w:t>4.3</w:t>
      </w:r>
      <w:r>
        <w:rPr>
          <w:rFonts w:hint="eastAsia" w:ascii="宋体" w:hAnsi="宋体" w:cs="宋体"/>
          <w:bCs/>
          <w:color w:val="auto"/>
          <w:sz w:val="28"/>
          <w:szCs w:val="28"/>
          <w:highlight w:val="none"/>
        </w:rPr>
        <w:t xml:space="preserve"> 在投标截止时间之后，投标人不得对其投标文件作任何修改。</w:t>
      </w:r>
    </w:p>
    <w:p w14:paraId="2F61B565">
      <w:pPr>
        <w:adjustRightInd w:val="0"/>
        <w:snapToGrid w:val="0"/>
        <w:spacing w:line="500" w:lineRule="exact"/>
        <w:ind w:firstLine="555"/>
        <w:rPr>
          <w:rFonts w:ascii="宋体" w:hAnsi="宋体" w:cs="宋体"/>
          <w:bCs/>
          <w:color w:val="auto"/>
          <w:sz w:val="28"/>
          <w:szCs w:val="28"/>
          <w:highlight w:val="none"/>
        </w:rPr>
      </w:pPr>
      <w:r>
        <w:rPr>
          <w:rFonts w:hint="eastAsia" w:ascii="宋体" w:hAnsi="宋体" w:cs="宋体"/>
          <w:color w:val="auto"/>
          <w:sz w:val="28"/>
          <w:szCs w:val="28"/>
          <w:highlight w:val="none"/>
        </w:rPr>
        <w:t>4.4</w:t>
      </w:r>
      <w:r>
        <w:rPr>
          <w:rFonts w:hint="eastAsia" w:ascii="宋体" w:hAnsi="宋体" w:cs="宋体"/>
          <w:bCs/>
          <w:color w:val="auto"/>
          <w:sz w:val="28"/>
          <w:szCs w:val="28"/>
          <w:highlight w:val="none"/>
        </w:rPr>
        <w:t xml:space="preserve"> 在投标截止时间至招标文件中规定的投标有效期满之间的这段时间内，投标人不得撤回其投标。</w:t>
      </w:r>
    </w:p>
    <w:p w14:paraId="5278B5F6">
      <w:pPr>
        <w:pStyle w:val="4"/>
        <w:adjustRightInd w:val="0"/>
        <w:snapToGrid w:val="0"/>
        <w:spacing w:before="0" w:after="0" w:line="500" w:lineRule="exact"/>
        <w:rPr>
          <w:rFonts w:ascii="宋体" w:hAnsi="宋体" w:cs="宋体"/>
          <w:color w:val="auto"/>
          <w:sz w:val="28"/>
          <w:szCs w:val="28"/>
          <w:highlight w:val="none"/>
        </w:rPr>
      </w:pPr>
      <w:bookmarkStart w:id="74" w:name="_Toc513029229"/>
      <w:bookmarkStart w:id="75" w:name="_Toc16938545"/>
      <w:bookmarkStart w:id="76" w:name="_Toc120614218"/>
      <w:bookmarkStart w:id="77" w:name="_Toc20823301"/>
      <w:r>
        <w:rPr>
          <w:rFonts w:hint="eastAsia" w:ascii="宋体" w:hAnsi="宋体" w:cs="宋体"/>
          <w:color w:val="auto"/>
          <w:sz w:val="28"/>
          <w:szCs w:val="28"/>
          <w:highlight w:val="none"/>
        </w:rPr>
        <w:t>（五）开标与评标</w:t>
      </w:r>
      <w:bookmarkEnd w:id="74"/>
      <w:bookmarkEnd w:id="75"/>
      <w:bookmarkEnd w:id="76"/>
      <w:bookmarkEnd w:id="77"/>
    </w:p>
    <w:p w14:paraId="7BE98923">
      <w:pPr>
        <w:pStyle w:val="5"/>
        <w:adjustRightInd w:val="0"/>
        <w:snapToGrid w:val="0"/>
        <w:spacing w:line="500" w:lineRule="exact"/>
        <w:jc w:val="both"/>
        <w:rPr>
          <w:rFonts w:ascii="宋体" w:hAnsi="宋体" w:eastAsia="宋体" w:cs="宋体"/>
          <w:b/>
          <w:bCs/>
          <w:color w:val="auto"/>
          <w:sz w:val="28"/>
          <w:szCs w:val="28"/>
          <w:highlight w:val="none"/>
        </w:rPr>
      </w:pPr>
      <w:bookmarkStart w:id="78" w:name="_Toc16938546"/>
      <w:bookmarkStart w:id="79" w:name="_Toc513029230"/>
      <w:bookmarkStart w:id="80" w:name="_Toc20823302"/>
      <w:r>
        <w:rPr>
          <w:rFonts w:hint="eastAsia" w:ascii="宋体" w:hAnsi="宋体" w:eastAsia="宋体" w:cs="宋体"/>
          <w:color w:val="auto"/>
          <w:sz w:val="28"/>
          <w:szCs w:val="28"/>
          <w:highlight w:val="none"/>
        </w:rPr>
        <w:t>1开标</w:t>
      </w:r>
      <w:bookmarkEnd w:id="78"/>
      <w:bookmarkEnd w:id="79"/>
      <w:bookmarkEnd w:id="80"/>
    </w:p>
    <w:p w14:paraId="493EFDB3">
      <w:pPr>
        <w:adjustRightInd w:val="0"/>
        <w:snapToGrid w:val="0"/>
        <w:spacing w:line="500" w:lineRule="exact"/>
        <w:ind w:firstLine="556"/>
        <w:rPr>
          <w:rFonts w:ascii="宋体" w:hAnsi="宋体" w:cs="宋体"/>
          <w:bCs/>
          <w:color w:val="auto"/>
          <w:spacing w:val="-6"/>
          <w:sz w:val="28"/>
          <w:szCs w:val="28"/>
          <w:highlight w:val="none"/>
        </w:rPr>
      </w:pPr>
      <w:r>
        <w:rPr>
          <w:rFonts w:hint="eastAsia" w:ascii="宋体" w:hAnsi="宋体" w:cs="宋体"/>
          <w:bCs/>
          <w:color w:val="auto"/>
          <w:sz w:val="28"/>
          <w:szCs w:val="28"/>
          <w:highlight w:val="none"/>
        </w:rPr>
        <w:t xml:space="preserve">1.1 </w:t>
      </w:r>
      <w:r>
        <w:rPr>
          <w:rFonts w:hint="eastAsia" w:ascii="宋体" w:hAnsi="宋体" w:cs="宋体"/>
          <w:bCs/>
          <w:color w:val="auto"/>
          <w:spacing w:val="-6"/>
          <w:sz w:val="28"/>
          <w:szCs w:val="28"/>
          <w:highlight w:val="none"/>
        </w:rPr>
        <w:t>采购人将在投标邀请公告中规定的时间和地点组织开标仪式。</w:t>
      </w:r>
    </w:p>
    <w:p w14:paraId="10978AC8">
      <w:pPr>
        <w:adjustRightInd w:val="0"/>
        <w:snapToGrid w:val="0"/>
        <w:spacing w:line="500" w:lineRule="exact"/>
        <w:ind w:firstLine="556"/>
        <w:rPr>
          <w:rFonts w:hint="eastAsia" w:ascii="宋体" w:hAnsi="宋体" w:cs="宋体"/>
          <w:color w:val="auto"/>
          <w:sz w:val="28"/>
          <w:szCs w:val="28"/>
          <w:highlight w:val="none"/>
        </w:rPr>
      </w:pPr>
      <w:r>
        <w:rPr>
          <w:rFonts w:hint="eastAsia" w:ascii="宋体" w:hAnsi="宋体" w:cs="宋体"/>
          <w:bCs/>
          <w:color w:val="auto"/>
          <w:sz w:val="28"/>
          <w:szCs w:val="28"/>
          <w:highlight w:val="none"/>
        </w:rPr>
        <w:t>1.2开标仪式</w:t>
      </w:r>
      <w:r>
        <w:rPr>
          <w:rFonts w:hint="eastAsia" w:ascii="宋体" w:hAnsi="宋体" w:cs="宋体"/>
          <w:color w:val="auto"/>
          <w:sz w:val="28"/>
          <w:szCs w:val="28"/>
          <w:highlight w:val="none"/>
        </w:rPr>
        <w:t>由采购人组织，在</w:t>
      </w:r>
      <w:r>
        <w:rPr>
          <w:rFonts w:hint="eastAsia" w:ascii="宋体" w:hAnsi="宋体" w:cs="宋体"/>
          <w:bCs/>
          <w:color w:val="auto"/>
          <w:sz w:val="28"/>
          <w:szCs w:val="28"/>
          <w:highlight w:val="none"/>
        </w:rPr>
        <w:t>投标邀请公告</w:t>
      </w:r>
      <w:r>
        <w:rPr>
          <w:rFonts w:hint="eastAsia" w:ascii="宋体" w:hAnsi="宋体" w:cs="宋体"/>
          <w:color w:val="auto"/>
          <w:sz w:val="28"/>
          <w:szCs w:val="28"/>
          <w:highlight w:val="none"/>
        </w:rPr>
        <w:t>中规定的时间和地点进行开标，分两阶段进行，价格标开标时公布各投标人的报价。</w:t>
      </w:r>
    </w:p>
    <w:p w14:paraId="20B3CA76">
      <w:pPr>
        <w:pStyle w:val="5"/>
        <w:adjustRightInd w:val="0"/>
        <w:snapToGrid w:val="0"/>
        <w:spacing w:line="500" w:lineRule="exact"/>
        <w:jc w:val="both"/>
        <w:rPr>
          <w:rFonts w:ascii="宋体" w:hAnsi="宋体" w:eastAsia="宋体" w:cs="宋体"/>
          <w:b/>
          <w:bCs/>
          <w:color w:val="auto"/>
          <w:sz w:val="28"/>
          <w:szCs w:val="28"/>
          <w:highlight w:val="none"/>
        </w:rPr>
      </w:pPr>
      <w:bookmarkStart w:id="81" w:name="_Toc513029231"/>
      <w:bookmarkStart w:id="82" w:name="_Toc20823303"/>
      <w:bookmarkStart w:id="83" w:name="_Toc16938547"/>
      <w:r>
        <w:rPr>
          <w:rFonts w:hint="eastAsia" w:ascii="宋体" w:hAnsi="宋体" w:eastAsia="宋体" w:cs="宋体"/>
          <w:color w:val="auto"/>
          <w:sz w:val="28"/>
          <w:szCs w:val="28"/>
          <w:highlight w:val="none"/>
        </w:rPr>
        <w:t>2评标委员会</w:t>
      </w:r>
    </w:p>
    <w:p w14:paraId="2C6AE65D">
      <w:pPr>
        <w:adjustRightInd w:val="0"/>
        <w:snapToGrid w:val="0"/>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2.1</w:t>
      </w: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开标后，采购人将组织评标委员会（以下简称评委会）进行评标。</w:t>
      </w:r>
    </w:p>
    <w:p w14:paraId="1C143AEE">
      <w:pPr>
        <w:adjustRightInd w:val="0"/>
        <w:snapToGrid w:val="0"/>
        <w:spacing w:line="500" w:lineRule="exact"/>
        <w:rPr>
          <w:rFonts w:ascii="宋体" w:hAnsi="宋体" w:cs="宋体"/>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2.2 评委会由采购人代表和有关技术、经济等方面的专家组成，且人员构成符合政府采购有关规定。</w:t>
      </w:r>
    </w:p>
    <w:p w14:paraId="4F257854">
      <w:pPr>
        <w:adjustRightInd w:val="0"/>
        <w:snapToGrid w:val="0"/>
        <w:spacing w:line="500" w:lineRule="exact"/>
        <w:rPr>
          <w:rFonts w:ascii="宋体" w:hAnsi="宋体" w:cs="宋体"/>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2.3评委会独立工作，负责评审所有投标文件并确定中标侯选人。</w:t>
      </w:r>
    </w:p>
    <w:p w14:paraId="6B860D5F">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3.评标过程的保密与公正</w:t>
      </w:r>
    </w:p>
    <w:bookmarkEnd w:id="81"/>
    <w:bookmarkEnd w:id="82"/>
    <w:bookmarkEnd w:id="83"/>
    <w:p w14:paraId="10BBF41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3.1</w:t>
      </w:r>
      <w:r>
        <w:rPr>
          <w:rFonts w:hint="eastAsia" w:ascii="宋体" w:hAnsi="宋体" w:cs="宋体"/>
          <w:bCs/>
          <w:color w:val="auto"/>
          <w:sz w:val="28"/>
          <w:szCs w:val="28"/>
          <w:highlight w:val="none"/>
        </w:rPr>
        <w:t>公开开标后，直至向中标的投标人授予合同时止，凡是与审查、澄清、评价和比较投标的有关资料以及授标建议等，采购人、评委、代理机构均不得向投标人或与评标无关的其他人员透露。</w:t>
      </w:r>
    </w:p>
    <w:p w14:paraId="158F021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3.2在评标过程中，投标人不得以任何行为影响评标过程，否则其投标文件将被作为无效投标文件。</w:t>
      </w:r>
    </w:p>
    <w:p w14:paraId="2A4F5AD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3.3在评标期间，采购人将设专门人员与投标人联系。</w:t>
      </w:r>
    </w:p>
    <w:p w14:paraId="415C859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3.4 采购人和评标委员会不向未中标的投标人解释未中标原因，也不公布评标过程中的相关细节。</w:t>
      </w:r>
    </w:p>
    <w:p w14:paraId="157E583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 采用综合评分法的项目，公布评标结果时一并公布所有投标人的评审得分及排序情况。</w:t>
      </w:r>
    </w:p>
    <w:p w14:paraId="2B09EADA">
      <w:pPr>
        <w:pStyle w:val="5"/>
        <w:adjustRightInd w:val="0"/>
        <w:snapToGrid w:val="0"/>
        <w:spacing w:line="500" w:lineRule="exact"/>
        <w:jc w:val="both"/>
        <w:rPr>
          <w:rFonts w:ascii="宋体" w:hAnsi="宋体" w:eastAsia="宋体" w:cs="宋体"/>
          <w:b/>
          <w:bCs/>
          <w:color w:val="auto"/>
          <w:sz w:val="28"/>
          <w:szCs w:val="28"/>
          <w:highlight w:val="none"/>
        </w:rPr>
      </w:pPr>
      <w:bookmarkStart w:id="84" w:name="_Toc16938548"/>
      <w:bookmarkStart w:id="85" w:name="_Toc20823304"/>
      <w:bookmarkStart w:id="86" w:name="_Toc513029232"/>
      <w:r>
        <w:rPr>
          <w:rFonts w:hint="eastAsia" w:ascii="宋体" w:hAnsi="宋体" w:eastAsia="宋体" w:cs="宋体"/>
          <w:color w:val="auto"/>
          <w:sz w:val="28"/>
          <w:szCs w:val="28"/>
          <w:highlight w:val="none"/>
        </w:rPr>
        <w:t>4.投标的澄清</w:t>
      </w:r>
      <w:bookmarkEnd w:id="84"/>
      <w:bookmarkEnd w:id="85"/>
      <w:bookmarkEnd w:id="86"/>
    </w:p>
    <w:p w14:paraId="368376A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4.1评标期间，为有助于对投标文件的审查、评价和比较，评委会有权以电子函件形式要求投标人对其投标文件进行澄清，但并非对每个投标人都作澄清要求。</w:t>
      </w:r>
    </w:p>
    <w:p w14:paraId="6C6AB243">
      <w:pPr>
        <w:adjustRightInd w:val="0"/>
        <w:snapToGrid w:val="0"/>
        <w:spacing w:line="50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4.2接到评委会澄清要求的投标人应派人按评委会规定的时间和格式做出澄清，澄清的内容作为投标文件的补充部分，但投标的价格和实质性的内容不得做任何更改。</w:t>
      </w:r>
    </w:p>
    <w:p w14:paraId="5445A1E2">
      <w:pPr>
        <w:adjustRightInd w:val="0"/>
        <w:snapToGrid w:val="0"/>
        <w:spacing w:line="50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4.3 接到评委会澄清要求的投标人如未按规定做出澄清，其风险由投标人自行承担。</w:t>
      </w:r>
    </w:p>
    <w:p w14:paraId="0E604A86">
      <w:pPr>
        <w:pStyle w:val="5"/>
        <w:adjustRightInd w:val="0"/>
        <w:snapToGrid w:val="0"/>
        <w:spacing w:line="500" w:lineRule="exact"/>
        <w:jc w:val="both"/>
        <w:rPr>
          <w:rFonts w:ascii="宋体" w:hAnsi="宋体" w:eastAsia="宋体" w:cs="宋体"/>
          <w:b/>
          <w:bCs/>
          <w:color w:val="auto"/>
          <w:sz w:val="28"/>
          <w:szCs w:val="28"/>
          <w:highlight w:val="none"/>
        </w:rPr>
      </w:pPr>
      <w:bookmarkStart w:id="87" w:name="_Toc20823305"/>
      <w:bookmarkStart w:id="88" w:name="_Toc513029233"/>
      <w:bookmarkStart w:id="89" w:name="_Toc16938549"/>
      <w:r>
        <w:rPr>
          <w:rFonts w:hint="eastAsia" w:ascii="宋体" w:hAnsi="宋体" w:eastAsia="宋体" w:cs="宋体"/>
          <w:color w:val="auto"/>
          <w:sz w:val="28"/>
          <w:szCs w:val="28"/>
          <w:highlight w:val="none"/>
        </w:rPr>
        <w:t>5对投标文件的初审</w:t>
      </w:r>
      <w:bookmarkEnd w:id="87"/>
      <w:bookmarkEnd w:id="88"/>
      <w:bookmarkEnd w:id="89"/>
    </w:p>
    <w:p w14:paraId="1F17ADF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5.1</w:t>
      </w:r>
      <w:r>
        <w:rPr>
          <w:rFonts w:hint="eastAsia" w:ascii="宋体" w:hAnsi="宋体" w:cs="宋体"/>
          <w:bCs/>
          <w:color w:val="auto"/>
          <w:sz w:val="28"/>
          <w:szCs w:val="28"/>
          <w:highlight w:val="none"/>
        </w:rPr>
        <w:t>投标文件初审分为资格审查和符合性审查。</w:t>
      </w:r>
    </w:p>
    <w:p w14:paraId="6A7A2B9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5.1.1 资格审查：依据法律法规和招标文件的规定，由采购人对投标文件中的资格证明文件进行审查。进入评标程序后，由评委</w:t>
      </w:r>
      <w:r>
        <w:rPr>
          <w:rFonts w:hint="eastAsia" w:ascii="宋体" w:hAnsi="宋体" w:cs="宋体"/>
          <w:bCs/>
          <w:color w:val="auto"/>
          <w:sz w:val="28"/>
          <w:szCs w:val="28"/>
          <w:highlight w:val="none"/>
          <w:lang w:val="en-US" w:eastAsia="zh-CN"/>
        </w:rPr>
        <w:t>会</w:t>
      </w:r>
      <w:r>
        <w:rPr>
          <w:rFonts w:hint="eastAsia" w:ascii="宋体" w:hAnsi="宋体" w:cs="宋体"/>
          <w:bCs/>
          <w:color w:val="auto"/>
          <w:sz w:val="28"/>
          <w:szCs w:val="28"/>
          <w:highlight w:val="none"/>
        </w:rPr>
        <w:t>从投标文件的有效性、完整性和对招标文件的响应程度进行审查，以确定是否对招标文件的实质性要求作出响应。</w:t>
      </w:r>
    </w:p>
    <w:p w14:paraId="6BE7C6B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35BEC8B9">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5.1.2 未通过资格审查的投标人，采购人或招标代理将以电话的形式告知未通过资格审查的原因，评审结束后，采购人或招标代理将不再告知未通过资格审查的原因。</w:t>
      </w:r>
    </w:p>
    <w:p w14:paraId="7327393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42CC1023">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auto"/>
          <w:sz w:val="28"/>
          <w:szCs w:val="28"/>
          <w:highlight w:val="none"/>
        </w:rPr>
        <w:t>评委决定投标文件的响应性只根据投标文件本身的内容，而不寻求外部的证据。</w:t>
      </w:r>
    </w:p>
    <w:p w14:paraId="2993D81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5.3</w:t>
      </w:r>
      <w:r>
        <w:rPr>
          <w:rFonts w:hint="eastAsia" w:ascii="宋体" w:hAnsi="宋体" w:cs="宋体"/>
          <w:bCs/>
          <w:color w:val="auto"/>
          <w:sz w:val="28"/>
          <w:szCs w:val="28"/>
          <w:highlight w:val="none"/>
        </w:rPr>
        <w:t>如果投标文件实质上没有响应招标文件的要求，评委会将予以拒绝，投标人不得通过修改或撤销不合要求的偏离或保留而使其投标成为实质性响应的投标。</w:t>
      </w:r>
    </w:p>
    <w:p w14:paraId="27D4FDB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5.4</w:t>
      </w:r>
      <w:r>
        <w:rPr>
          <w:rFonts w:hint="eastAsia" w:ascii="宋体" w:hAnsi="宋体" w:cs="宋体"/>
          <w:bCs/>
          <w:color w:val="auto"/>
          <w:sz w:val="28"/>
          <w:szCs w:val="28"/>
          <w:highlight w:val="none"/>
        </w:rPr>
        <w:t>评委会将对确定为实质性响应的投标进行进一步审核，看其是否有计算上或累加上的算术错误，修正错误的原则如下：</w:t>
      </w:r>
    </w:p>
    <w:p w14:paraId="3115FA6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（1）投标文件中开标一览表内容与投标文件中相应内容不一致的，以开标一览表为准。</w:t>
      </w:r>
    </w:p>
    <w:p w14:paraId="3334C9C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（2）大写金额和小写金额不一致的，以大写金额为准。</w:t>
      </w:r>
    </w:p>
    <w:p w14:paraId="0B2D377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（3）单价金额小数点或者百分比有明显错位的，以开标一览表的总价为准，并修改单价。</w:t>
      </w:r>
    </w:p>
    <w:p w14:paraId="60B5090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（4）总价金额与按单价汇总金额不一致的，以单价金额计算结果为准。</w:t>
      </w:r>
    </w:p>
    <w:p w14:paraId="1C28FC2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同时出现两种以上错误的，按照前款规定的顺序修正。</w:t>
      </w:r>
    </w:p>
    <w:p w14:paraId="6B5D77F8">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5.5</w:t>
      </w:r>
      <w:r>
        <w:rPr>
          <w:rFonts w:hint="eastAsia" w:ascii="宋体" w:hAnsi="宋体" w:cs="宋体"/>
          <w:bCs/>
          <w:color w:val="auto"/>
          <w:sz w:val="28"/>
          <w:szCs w:val="28"/>
          <w:highlight w:val="none"/>
        </w:rPr>
        <w:t>评委会将按上述修正错误的方法调整投标文件中的投标报价，并通过电话形式告知供应商，调整后的价格应对供应商具有约束力。如果投标人不接受修正后的价格，则其投标将被拒绝。</w:t>
      </w:r>
    </w:p>
    <w:p w14:paraId="7BD05A3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5.6</w:t>
      </w:r>
      <w:r>
        <w:rPr>
          <w:rFonts w:hint="eastAsia" w:ascii="宋体" w:hAnsi="宋体" w:cs="宋体"/>
          <w:bCs/>
          <w:color w:val="auto"/>
          <w:sz w:val="28"/>
          <w:szCs w:val="28"/>
          <w:highlight w:val="none"/>
        </w:rPr>
        <w:t>评委会将允许修正投标文件中不构成重大偏离的、微小的、非正规的、不一致的或不规则的地方，但这些修改不能影响任何投标人相应的名次排列。</w:t>
      </w:r>
    </w:p>
    <w:p w14:paraId="03217980">
      <w:pPr>
        <w:adjustRightInd w:val="0"/>
        <w:snapToGrid w:val="0"/>
        <w:spacing w:line="500" w:lineRule="exact"/>
        <w:ind w:firstLine="560" w:firstLineChars="200"/>
        <w:rPr>
          <w:rFonts w:ascii="宋体" w:hAnsi="宋体" w:cs="宋体"/>
          <w:color w:val="auto"/>
          <w:sz w:val="28"/>
          <w:szCs w:val="28"/>
          <w:highlight w:val="none"/>
        </w:rPr>
      </w:pPr>
      <w:bookmarkStart w:id="90" w:name="_Toc513029234"/>
      <w:bookmarkStart w:id="91" w:name="_Toc20823306"/>
      <w:bookmarkStart w:id="92" w:name="_Toc16938550"/>
      <w:r>
        <w:rPr>
          <w:rFonts w:hint="eastAsia" w:ascii="宋体" w:hAnsi="宋体" w:cs="宋体"/>
          <w:color w:val="auto"/>
          <w:sz w:val="28"/>
          <w:szCs w:val="28"/>
          <w:highlight w:val="none"/>
        </w:rPr>
        <w:t>5.7采用最低评标价法的采购项目，提供相同品牌产品的不同投标人参加同一合同项下投标的，以其中通过资格审查且报价最低的参加评标；报价相同的，由评标委员会按照招标文件规定的方式（招标文件未规定的通过随机抽取的方式）确定一个参加评标的投标人，其他投标无效。</w:t>
      </w:r>
    </w:p>
    <w:p w14:paraId="363ED9A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使用综合评分法的采购项目，提供相同品牌产品且通过资格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243181D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非单一产品采购项目，招标文件中将载明其中的核心产品。多家投标人提供的核心产品品牌相同的，按前两款规定处理。</w:t>
      </w:r>
    </w:p>
    <w:p w14:paraId="1A4EE43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5.8 投标人在开、评标全过程中应保持通讯畅通，并安排专人与采购人及评标委员会联系。</w:t>
      </w:r>
    </w:p>
    <w:bookmarkEnd w:id="90"/>
    <w:bookmarkEnd w:id="91"/>
    <w:bookmarkEnd w:id="92"/>
    <w:p w14:paraId="5F967E14">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6.无效投标条款和废标条款</w:t>
      </w:r>
    </w:p>
    <w:p w14:paraId="2B6FAC85">
      <w:pPr>
        <w:adjustRightInd w:val="0"/>
        <w:snapToGrid w:val="0"/>
        <w:spacing w:line="500" w:lineRule="exact"/>
        <w:ind w:firstLine="560" w:firstLineChars="200"/>
        <w:rPr>
          <w:rFonts w:ascii="宋体" w:hAnsi="宋体" w:cs="宋体"/>
          <w:bCs/>
          <w:color w:val="auto"/>
          <w:sz w:val="28"/>
          <w:szCs w:val="28"/>
          <w:highlight w:val="none"/>
        </w:rPr>
      </w:pPr>
      <w:bookmarkStart w:id="93" w:name="_Toc20823307"/>
      <w:bookmarkStart w:id="94" w:name="_Toc513029235"/>
      <w:bookmarkStart w:id="95" w:name="_Toc16938551"/>
      <w:r>
        <w:rPr>
          <w:rFonts w:hint="eastAsia" w:ascii="宋体" w:hAnsi="宋体" w:cs="宋体"/>
          <w:bCs/>
          <w:color w:val="auto"/>
          <w:sz w:val="28"/>
          <w:szCs w:val="28"/>
          <w:highlight w:val="none"/>
        </w:rPr>
        <w:t>6.1无效投标条款</w:t>
      </w:r>
    </w:p>
    <w:p w14:paraId="763A295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6.1.1投标文件未按照招标文件的要求进行制作或密封的。</w:t>
      </w:r>
    </w:p>
    <w:p w14:paraId="3050728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6.1.2投标文件未按招标文件的要求签字或签章的。</w:t>
      </w:r>
    </w:p>
    <w:p w14:paraId="1945836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6.1.3投标文件未按规定加盖供应商印章，投标报价部分未盖章的。</w:t>
      </w:r>
    </w:p>
    <w:p w14:paraId="1ACFA7C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6.1.4投标文件的关键内容字迹模糊，无法辨认的。</w:t>
      </w:r>
    </w:p>
    <w:p w14:paraId="2B64DD4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6.1.5投标人不具备招标文件中规定资格要求的。</w:t>
      </w:r>
    </w:p>
    <w:p w14:paraId="5788DD8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6.1.6供应商属于投标禁止情形的。</w:t>
      </w:r>
    </w:p>
    <w:p w14:paraId="38A778D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6.1.7投标文件除价格标外出现报价的。</w:t>
      </w:r>
    </w:p>
    <w:p w14:paraId="0BD44A38">
      <w:pPr>
        <w:adjustRightInd w:val="0"/>
        <w:snapToGrid w:val="0"/>
        <w:spacing w:line="500" w:lineRule="exact"/>
        <w:ind w:firstLine="57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6.1.8投标人的报价超过了采购预算或最高限价的。 </w:t>
      </w:r>
    </w:p>
    <w:p w14:paraId="6A3005F5">
      <w:pPr>
        <w:adjustRightInd w:val="0"/>
        <w:snapToGrid w:val="0"/>
        <w:spacing w:line="500" w:lineRule="exact"/>
        <w:ind w:firstLine="570"/>
        <w:rPr>
          <w:rFonts w:ascii="宋体" w:hAnsi="宋体" w:cs="宋体"/>
          <w:bCs/>
          <w:color w:val="auto"/>
          <w:sz w:val="28"/>
          <w:szCs w:val="28"/>
          <w:highlight w:val="none"/>
        </w:rPr>
      </w:pPr>
      <w:r>
        <w:rPr>
          <w:rFonts w:hint="eastAsia" w:ascii="宋体" w:hAnsi="宋体" w:cs="宋体"/>
          <w:bCs/>
          <w:color w:val="auto"/>
          <w:sz w:val="28"/>
          <w:szCs w:val="28"/>
          <w:highlight w:val="none"/>
        </w:rPr>
        <w:t>6.1.9同一投标人提交两个（含两个）以上不同的投标报价的。</w:t>
      </w:r>
    </w:p>
    <w:p w14:paraId="4F616A02">
      <w:pPr>
        <w:adjustRightInd w:val="0"/>
        <w:snapToGrid w:val="0"/>
        <w:spacing w:line="500" w:lineRule="exact"/>
        <w:ind w:firstLine="570"/>
        <w:rPr>
          <w:rFonts w:ascii="宋体" w:hAnsi="宋体" w:cs="宋体"/>
          <w:bCs/>
          <w:color w:val="auto"/>
          <w:sz w:val="28"/>
          <w:szCs w:val="28"/>
          <w:highlight w:val="none"/>
        </w:rPr>
      </w:pPr>
      <w:r>
        <w:rPr>
          <w:rFonts w:hint="eastAsia" w:ascii="宋体" w:hAnsi="宋体" w:cs="宋体"/>
          <w:bCs/>
          <w:color w:val="auto"/>
          <w:sz w:val="28"/>
          <w:szCs w:val="28"/>
          <w:highlight w:val="none"/>
        </w:rPr>
        <w:t>6.1.10不符合招标文件中规定的其他实质性要求和条件的。</w:t>
      </w:r>
    </w:p>
    <w:p w14:paraId="672CBF0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6.1.11投标人被 “信用中国”网站列入失信被执行人或重大税收违法案件当事人名单或政府采购严重失信行为记录名单。或查询“信用中国”网站后发现投标人存在其他不符合《中华人民共和国政府采购法》第二十二条规定条件的信用记录。</w:t>
      </w:r>
    </w:p>
    <w:p w14:paraId="3AA9ED8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6.1.12 投标文件含有采购人不能接受的附加条件的。</w:t>
      </w:r>
    </w:p>
    <w:p w14:paraId="240B0AE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6.1.13评标委员会认为投标人的报价明显低于其他通过资格审查供应商的报价，有可能影响产品质量或者不能诚信履约的，将通过电话形式要求其在合理的时间内提供说明，必要时提交相关证明材料；供应商不能证明其报价合理性的，评委会应当将其作为无效响应处理。</w:t>
      </w:r>
    </w:p>
    <w:p w14:paraId="56AECB43">
      <w:pPr>
        <w:adjustRightInd w:val="0"/>
        <w:snapToGrid w:val="0"/>
        <w:spacing w:line="500" w:lineRule="exact"/>
        <w:ind w:firstLine="560" w:firstLineChars="200"/>
        <w:rPr>
          <w:rFonts w:ascii="宋体" w:hAnsi="宋体" w:cs="宋体"/>
          <w:color w:val="auto"/>
          <w:highlight w:val="none"/>
        </w:rPr>
      </w:pPr>
      <w:r>
        <w:rPr>
          <w:rFonts w:hint="eastAsia" w:ascii="宋体" w:hAnsi="宋体" w:cs="宋体"/>
          <w:bCs/>
          <w:color w:val="auto"/>
          <w:sz w:val="28"/>
          <w:szCs w:val="28"/>
          <w:highlight w:val="none"/>
        </w:rPr>
        <w:t>6.1.14本项目采购产品被财政部、国家发展和改革委员会、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复印件）</w:t>
      </w:r>
    </w:p>
    <w:p w14:paraId="0AB8A6C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6.1.15投标人的商务技术部分得分相差悬殊，评标委员会认为得分畸低者没有实质性响应的。</w:t>
      </w:r>
    </w:p>
    <w:p w14:paraId="68E2E72C">
      <w:pPr>
        <w:pStyle w:val="15"/>
        <w:spacing w:line="500" w:lineRule="exact"/>
        <w:ind w:firstLine="560" w:firstLineChars="200"/>
        <w:rPr>
          <w:rFonts w:ascii="宋体" w:hAnsi="宋体" w:eastAsia="宋体" w:cs="宋体"/>
          <w:color w:val="auto"/>
          <w:highlight w:val="none"/>
        </w:rPr>
      </w:pPr>
      <w:r>
        <w:rPr>
          <w:rFonts w:hint="eastAsia" w:ascii="宋体" w:hAnsi="宋体" w:eastAsia="宋体" w:cs="宋体"/>
          <w:bCs/>
          <w:color w:val="auto"/>
          <w:sz w:val="28"/>
          <w:szCs w:val="28"/>
          <w:highlight w:val="none"/>
        </w:rPr>
        <w:t>6.1.16商务技术分不满</w:t>
      </w:r>
      <w:r>
        <w:rPr>
          <w:rFonts w:hint="eastAsia" w:ascii="宋体" w:hAnsi="宋体" w:eastAsia="宋体" w:cs="宋体"/>
          <w:bCs/>
          <w:color w:val="auto"/>
          <w:sz w:val="28"/>
          <w:szCs w:val="28"/>
          <w:highlight w:val="none"/>
          <w:lang w:val="en-US" w:eastAsia="zh-CN"/>
        </w:rPr>
        <w:t>35</w:t>
      </w:r>
      <w:r>
        <w:rPr>
          <w:rFonts w:hint="eastAsia" w:ascii="宋体" w:hAnsi="宋体" w:eastAsia="宋体" w:cs="宋体"/>
          <w:bCs/>
          <w:color w:val="auto"/>
          <w:sz w:val="28"/>
          <w:szCs w:val="28"/>
          <w:highlight w:val="none"/>
        </w:rPr>
        <w:t>分的。</w:t>
      </w:r>
    </w:p>
    <w:p w14:paraId="63CB7CBE">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6.1.17其他法律、法规及本招标文件规定的属无效响应的情形。</w:t>
      </w:r>
    </w:p>
    <w:p w14:paraId="107D653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6.2废标条款：</w:t>
      </w:r>
    </w:p>
    <w:p w14:paraId="35A16AF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6.2.1符合专业条件的供应商或者对招标文件作实质响应的供应商不足三家的。</w:t>
      </w:r>
    </w:p>
    <w:p w14:paraId="0C915A1A">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6.2.2出现影响采购公正的违法、违规行为的。</w:t>
      </w:r>
    </w:p>
    <w:p w14:paraId="3F3A5F2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6.2.3因重大变故，采购任务取消的。</w:t>
      </w:r>
    </w:p>
    <w:p w14:paraId="3D612E7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6.2.4评标委员会认定招标文件存在歧义、重大缺陷导致评审工作无法进行。</w:t>
      </w:r>
    </w:p>
    <w:p w14:paraId="54414AA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 投标截止时间结束后参加投标的供应商不足三家的处理：</w:t>
      </w:r>
    </w:p>
    <w:p w14:paraId="67D9A8F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6.3.1如出现投标截止时间结束后参加投标的供应商或者在评标期间对招标文件做出实质响应的供应商不足三家情况，按政府采购相关规定执行。</w:t>
      </w:r>
    </w:p>
    <w:bookmarkEnd w:id="93"/>
    <w:bookmarkEnd w:id="94"/>
    <w:bookmarkEnd w:id="95"/>
    <w:p w14:paraId="24339300">
      <w:pPr>
        <w:pStyle w:val="4"/>
        <w:adjustRightInd w:val="0"/>
        <w:snapToGrid w:val="0"/>
        <w:spacing w:before="0" w:after="0" w:line="500" w:lineRule="exact"/>
        <w:rPr>
          <w:rFonts w:ascii="宋体" w:hAnsi="宋体" w:cs="宋体"/>
          <w:color w:val="auto"/>
          <w:sz w:val="28"/>
          <w:szCs w:val="28"/>
          <w:highlight w:val="none"/>
        </w:rPr>
      </w:pPr>
      <w:bookmarkStart w:id="96" w:name="_Toc120614219"/>
      <w:r>
        <w:rPr>
          <w:rFonts w:hint="eastAsia" w:ascii="宋体" w:hAnsi="宋体" w:cs="宋体"/>
          <w:color w:val="auto"/>
          <w:sz w:val="28"/>
          <w:szCs w:val="28"/>
          <w:highlight w:val="none"/>
        </w:rPr>
        <w:t>（六）定标</w:t>
      </w:r>
      <w:bookmarkEnd w:id="96"/>
    </w:p>
    <w:p w14:paraId="699B323A">
      <w:pPr>
        <w:pStyle w:val="5"/>
        <w:adjustRightInd w:val="0"/>
        <w:snapToGrid w:val="0"/>
        <w:spacing w:line="500" w:lineRule="exact"/>
        <w:jc w:val="both"/>
        <w:rPr>
          <w:rFonts w:ascii="宋体" w:hAnsi="宋体" w:eastAsia="宋体" w:cs="宋体"/>
          <w:b/>
          <w:color w:val="auto"/>
          <w:sz w:val="28"/>
          <w:szCs w:val="28"/>
          <w:highlight w:val="none"/>
        </w:rPr>
      </w:pPr>
      <w:bookmarkStart w:id="97" w:name="_Toc16938554"/>
      <w:bookmarkStart w:id="98" w:name="_Toc20823310"/>
      <w:r>
        <w:rPr>
          <w:rFonts w:hint="eastAsia" w:ascii="宋体" w:hAnsi="宋体" w:eastAsia="宋体" w:cs="宋体"/>
          <w:color w:val="auto"/>
          <w:sz w:val="28"/>
          <w:szCs w:val="28"/>
          <w:highlight w:val="none"/>
        </w:rPr>
        <w:t>1.确定</w:t>
      </w:r>
      <w:bookmarkEnd w:id="97"/>
      <w:bookmarkEnd w:id="98"/>
      <w:r>
        <w:rPr>
          <w:rFonts w:hint="eastAsia" w:ascii="宋体" w:hAnsi="宋体" w:eastAsia="宋体" w:cs="宋体"/>
          <w:color w:val="auto"/>
          <w:sz w:val="28"/>
          <w:szCs w:val="28"/>
          <w:highlight w:val="none"/>
        </w:rPr>
        <w:t>中标单位</w:t>
      </w:r>
    </w:p>
    <w:p w14:paraId="01E2C300">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1.1中标候选人的选取原则和数量见招标文件第四部分规定。 </w:t>
      </w:r>
    </w:p>
    <w:p w14:paraId="735F8800">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1.2采购人授权评委会在中标候选人中直接确定中标人。</w:t>
      </w:r>
    </w:p>
    <w:p w14:paraId="32F1604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1.3</w:t>
      </w:r>
      <w:r>
        <w:rPr>
          <w:rFonts w:hint="eastAsia" w:ascii="宋体" w:hAnsi="宋体" w:cs="宋体"/>
          <w:color w:val="auto"/>
          <w:sz w:val="28"/>
          <w:szCs w:val="28"/>
          <w:highlight w:val="none"/>
        </w:rPr>
        <w:t>采购人将在“</w:t>
      </w:r>
      <w:r>
        <w:rPr>
          <w:rFonts w:hint="eastAsia" w:ascii="宋体" w:hAnsi="宋体" w:cs="宋体"/>
          <w:color w:val="auto"/>
          <w:sz w:val="28"/>
          <w:szCs w:val="28"/>
          <w:highlight w:val="none"/>
          <w:lang w:eastAsia="zh-CN"/>
        </w:rPr>
        <w:t>启东市人民政府网</w:t>
      </w:r>
      <w:r>
        <w:rPr>
          <w:rFonts w:hint="eastAsia" w:ascii="宋体" w:hAnsi="宋体" w:cs="宋体"/>
          <w:color w:val="auto"/>
          <w:sz w:val="28"/>
          <w:szCs w:val="28"/>
          <w:highlight w:val="none"/>
        </w:rPr>
        <w:t>”发布中标公告，公告期限为1个工作日。</w:t>
      </w:r>
    </w:p>
    <w:p w14:paraId="7106C94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1.4若有充分证据证明，中标人出现下列情况之一的，一经查实，将被取消中标资格：</w:t>
      </w:r>
    </w:p>
    <w:p w14:paraId="2C64619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1.4.1提供虚假材料谋取中标的。</w:t>
      </w:r>
    </w:p>
    <w:p w14:paraId="2200ABB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1.4.2向采购人行贿或者提供其他不正当利益的。</w:t>
      </w:r>
    </w:p>
    <w:p w14:paraId="0EC80E0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1.4.3恶意竞争，投标总报价明显低于其自身合理成本且又无法提供证明的。</w:t>
      </w:r>
    </w:p>
    <w:p w14:paraId="2BCF032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1.4.4属于本文件规定的无效条件，但在评标过程中又未被评委会发现的。</w:t>
      </w:r>
    </w:p>
    <w:p w14:paraId="3FB7C1A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1.4.5与采购人或者其他供应商恶意串通的。</w:t>
      </w:r>
    </w:p>
    <w:p w14:paraId="078C49F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1.4.6采取不正当手段诋毁、排挤其他供应商的。</w:t>
      </w:r>
    </w:p>
    <w:p w14:paraId="2BFEEBC4">
      <w:pPr>
        <w:adjustRightInd w:val="0"/>
        <w:snapToGrid w:val="0"/>
        <w:spacing w:line="500" w:lineRule="exact"/>
        <w:ind w:firstLine="560" w:firstLineChars="200"/>
        <w:rPr>
          <w:rFonts w:ascii="宋体" w:hAnsi="宋体" w:cs="宋体"/>
          <w:color w:val="auto"/>
          <w:sz w:val="28"/>
          <w:szCs w:val="28"/>
          <w:highlight w:val="none"/>
        </w:rPr>
      </w:pPr>
      <w:bookmarkStart w:id="99" w:name="_Toc200451960"/>
      <w:r>
        <w:rPr>
          <w:rFonts w:hint="eastAsia" w:ascii="宋体" w:hAnsi="宋体" w:cs="宋体"/>
          <w:color w:val="auto"/>
          <w:sz w:val="28"/>
          <w:szCs w:val="28"/>
          <w:highlight w:val="none"/>
        </w:rPr>
        <w:t>1.5.</w:t>
      </w:r>
      <w:r>
        <w:rPr>
          <w:rFonts w:hint="eastAsia" w:ascii="宋体" w:hAnsi="宋体" w:cs="宋体"/>
          <w:color w:val="auto"/>
          <w:kern w:val="0"/>
          <w:sz w:val="28"/>
          <w:szCs w:val="28"/>
          <w:highlight w:val="none"/>
        </w:rPr>
        <w:t>有下列情形之一的，视为投标人串通投标，投标无效：</w:t>
      </w:r>
    </w:p>
    <w:p w14:paraId="6DA77FE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1.5.1不同投标人的投标文件由同一单位或者个人编制；</w:t>
      </w:r>
    </w:p>
    <w:p w14:paraId="4DE3194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1.5.2不同投标人委托同一单位或者个人办理投标事宜；</w:t>
      </w:r>
    </w:p>
    <w:p w14:paraId="1C4EDBB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1.5.3不同投标人的投标文件载明的项目管理成员或者联系人员为同一人；</w:t>
      </w:r>
    </w:p>
    <w:p w14:paraId="184FEA8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1.5.4不同投标人的投标文件异常一致或者投标报价呈规律性差异；</w:t>
      </w:r>
    </w:p>
    <w:p w14:paraId="4CE4F7D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1.5.5不同投标人的投标文件相互混装；</w:t>
      </w:r>
    </w:p>
    <w:p w14:paraId="0705A351">
      <w:pPr>
        <w:pStyle w:val="5"/>
        <w:adjustRightInd w:val="0"/>
        <w:snapToGrid w:val="0"/>
        <w:spacing w:line="500" w:lineRule="exact"/>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2.质疑处理</w:t>
      </w:r>
      <w:bookmarkEnd w:id="99"/>
    </w:p>
    <w:p w14:paraId="7E571F9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 提出质疑的供应商应当是参与所质疑项目采购活动的供应商。潜在供应商依法获取其可质疑的采购文件的，可以对采购文件提出质疑。</w:t>
      </w:r>
    </w:p>
    <w:p w14:paraId="6F638A1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58B4A097">
      <w:pPr>
        <w:adjustRightInd w:val="0"/>
        <w:snapToGrid w:val="0"/>
        <w:spacing w:line="50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2.2.1</w:t>
      </w:r>
      <w:r>
        <w:rPr>
          <w:rFonts w:hint="eastAsia" w:ascii="宋体" w:hAnsi="宋体" w:cs="宋体"/>
          <w:color w:val="auto"/>
          <w:kern w:val="0"/>
          <w:sz w:val="28"/>
          <w:szCs w:val="28"/>
          <w:highlight w:val="none"/>
        </w:rPr>
        <w:t>对可以质疑的采购文件提出质疑的，为收到采购文件之日或者采购文件公告期限届满之日；</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　　</w:t>
      </w:r>
      <w:r>
        <w:rPr>
          <w:rFonts w:hint="eastAsia" w:ascii="宋体" w:hAnsi="宋体" w:cs="宋体"/>
          <w:color w:val="auto"/>
          <w:sz w:val="28"/>
          <w:szCs w:val="28"/>
          <w:highlight w:val="none"/>
        </w:rPr>
        <w:t>2.2.2</w:t>
      </w:r>
      <w:r>
        <w:rPr>
          <w:rFonts w:hint="eastAsia" w:ascii="宋体" w:hAnsi="宋体" w:cs="宋体"/>
          <w:color w:val="auto"/>
          <w:kern w:val="0"/>
          <w:sz w:val="28"/>
          <w:szCs w:val="28"/>
          <w:highlight w:val="none"/>
        </w:rPr>
        <w:t>对采购过程提出质疑的，为各采购程序环节结束之日；</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　　</w:t>
      </w:r>
      <w:r>
        <w:rPr>
          <w:rFonts w:hint="eastAsia" w:ascii="宋体" w:hAnsi="宋体" w:cs="宋体"/>
          <w:color w:val="auto"/>
          <w:sz w:val="28"/>
          <w:szCs w:val="28"/>
          <w:highlight w:val="none"/>
        </w:rPr>
        <w:t>2.2.3</w:t>
      </w:r>
      <w:r>
        <w:rPr>
          <w:rFonts w:hint="eastAsia" w:ascii="宋体" w:hAnsi="宋体" w:cs="宋体"/>
          <w:color w:val="auto"/>
          <w:kern w:val="0"/>
          <w:sz w:val="28"/>
          <w:szCs w:val="28"/>
          <w:highlight w:val="none"/>
        </w:rPr>
        <w:t>对中标或者成交结果提出质疑的，为中标或者成交结果公告期限届满之日。</w:t>
      </w:r>
    </w:p>
    <w:p w14:paraId="2481A8C8">
      <w:pPr>
        <w:adjustRightInd w:val="0"/>
        <w:snapToGrid w:val="0"/>
        <w:spacing w:line="5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供应商应当在法定质疑期内一次性提出针对同一采购程序环节的质疑。</w:t>
      </w:r>
    </w:p>
    <w:p w14:paraId="1D34D80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2.3质疑函必须按照本招标文件中《质疑函范本》要求的格式和内容进行填写。供应商如组成联合体参加投标，则《质疑函范本》中要求签字、盖章、加盖公章之处，联合体各方均须按要求签字、盖章、加盖公章。</w:t>
      </w:r>
    </w:p>
    <w:p w14:paraId="0F503014">
      <w:pPr>
        <w:adjustRightInd w:val="0"/>
        <w:snapToGrid w:val="0"/>
        <w:spacing w:line="50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2.4对采购方式、招标文件中项目需求、供应商资格条件、评标方法和评标标准、资格审查结果等应当由采购人答复的质疑，请向采购人提出，由采购人负责答复。</w:t>
      </w:r>
    </w:p>
    <w:p w14:paraId="1251373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采购人质疑接收人及联系方式，见招标文件第一章。</w:t>
      </w:r>
    </w:p>
    <w:p w14:paraId="50BF616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 以下情形的质疑不予受理</w:t>
      </w:r>
    </w:p>
    <w:p w14:paraId="5908063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2.5.1 内容不符合《政府采购质疑和投诉办法》第十二条规定的质疑。</w:t>
      </w:r>
    </w:p>
    <w:p w14:paraId="23E2E0A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2.5.2 超出政府采购法定期限的质疑。</w:t>
      </w:r>
    </w:p>
    <w:p w14:paraId="51D1C98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2.5.3 未参加投标活动的供应商或在投标活动中自身权益未受到损害的供应商所提出的质疑。</w:t>
      </w:r>
    </w:p>
    <w:p w14:paraId="782E005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2.5.4供应商组成联合体参加投标，联合体中任何一方或多方未按要求签字、盖章、加盖公章的质疑。</w:t>
      </w:r>
    </w:p>
    <w:p w14:paraId="17D0B6F8">
      <w:pPr>
        <w:adjustRightInd w:val="0"/>
        <w:snapToGrid w:val="0"/>
        <w:spacing w:line="500" w:lineRule="exact"/>
        <w:ind w:firstLine="546" w:firstLineChars="195"/>
        <w:rPr>
          <w:rFonts w:ascii="宋体" w:hAnsi="宋体" w:cs="宋体"/>
          <w:color w:val="auto"/>
          <w:sz w:val="28"/>
          <w:szCs w:val="28"/>
          <w:highlight w:val="none"/>
        </w:rPr>
      </w:pPr>
      <w:r>
        <w:rPr>
          <w:rFonts w:hint="eastAsia" w:ascii="宋体" w:hAnsi="宋体" w:cs="宋体"/>
          <w:color w:val="auto"/>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3D081126">
      <w:pPr>
        <w:pStyle w:val="5"/>
        <w:adjustRightInd w:val="0"/>
        <w:snapToGrid w:val="0"/>
        <w:spacing w:line="500" w:lineRule="exact"/>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3中标通知书</w:t>
      </w:r>
    </w:p>
    <w:p w14:paraId="7986BC76">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3.l</w:t>
      </w: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中标结果确定后，</w:t>
      </w:r>
      <w:r>
        <w:rPr>
          <w:rFonts w:hint="eastAsia" w:ascii="宋体" w:hAnsi="宋体" w:cs="宋体"/>
          <w:bCs/>
          <w:color w:val="auto"/>
          <w:sz w:val="28"/>
          <w:szCs w:val="28"/>
          <w:highlight w:val="none"/>
        </w:rPr>
        <w:t>采购人</w:t>
      </w:r>
      <w:r>
        <w:rPr>
          <w:rFonts w:hint="eastAsia" w:ascii="宋体" w:hAnsi="宋体" w:cs="宋体"/>
          <w:color w:val="auto"/>
          <w:sz w:val="28"/>
          <w:szCs w:val="28"/>
          <w:highlight w:val="none"/>
        </w:rPr>
        <w:t>将向成交供应商发出成交通知书</w:t>
      </w:r>
      <w:r>
        <w:rPr>
          <w:rFonts w:hint="eastAsia" w:ascii="宋体" w:hAnsi="宋体" w:cs="宋体"/>
          <w:bCs/>
          <w:color w:val="auto"/>
          <w:sz w:val="28"/>
          <w:szCs w:val="28"/>
          <w:highlight w:val="none"/>
        </w:rPr>
        <w:t>（详见招标文件第四部分）</w:t>
      </w:r>
      <w:r>
        <w:rPr>
          <w:rFonts w:hint="eastAsia" w:ascii="宋体" w:hAnsi="宋体" w:cs="宋体"/>
          <w:color w:val="auto"/>
          <w:sz w:val="28"/>
          <w:szCs w:val="28"/>
          <w:highlight w:val="none"/>
        </w:rPr>
        <w:t>。</w:t>
      </w:r>
    </w:p>
    <w:p w14:paraId="40F8FD05">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3.2中标通知书将是合同的一个组成部分。对采购人和中标供应商均具有法律效力。中标通知书发出后，采购人改变中标结果的，或者中标供应商放弃中标项目的，应当依法承担法律责任。</w:t>
      </w:r>
    </w:p>
    <w:p w14:paraId="2B0F6FED">
      <w:pPr>
        <w:pStyle w:val="4"/>
        <w:adjustRightInd w:val="0"/>
        <w:snapToGrid w:val="0"/>
        <w:spacing w:before="0" w:after="0" w:line="500" w:lineRule="exact"/>
        <w:rPr>
          <w:rFonts w:ascii="宋体" w:hAnsi="宋体" w:cs="宋体"/>
          <w:color w:val="auto"/>
          <w:sz w:val="28"/>
          <w:szCs w:val="28"/>
          <w:highlight w:val="none"/>
        </w:rPr>
      </w:pPr>
      <w:bookmarkStart w:id="100" w:name="_Toc120614220"/>
      <w:bookmarkStart w:id="101" w:name="_Toc20823308"/>
      <w:bookmarkStart w:id="102" w:name="_Toc513029236"/>
      <w:bookmarkStart w:id="103" w:name="_Toc16938552"/>
      <w:r>
        <w:rPr>
          <w:rFonts w:hint="eastAsia" w:ascii="宋体" w:hAnsi="宋体" w:cs="宋体"/>
          <w:color w:val="auto"/>
          <w:sz w:val="28"/>
          <w:szCs w:val="28"/>
          <w:highlight w:val="none"/>
        </w:rPr>
        <w:t>（七）授予合同</w:t>
      </w:r>
      <w:bookmarkEnd w:id="100"/>
    </w:p>
    <w:bookmarkEnd w:id="101"/>
    <w:bookmarkEnd w:id="102"/>
    <w:bookmarkEnd w:id="103"/>
    <w:p w14:paraId="0A45990A">
      <w:pPr>
        <w:pStyle w:val="5"/>
        <w:adjustRightInd w:val="0"/>
        <w:snapToGrid w:val="0"/>
        <w:spacing w:line="500" w:lineRule="exact"/>
        <w:jc w:val="both"/>
        <w:rPr>
          <w:rFonts w:ascii="宋体" w:hAnsi="宋体" w:eastAsia="宋体" w:cs="宋体"/>
          <w:b/>
          <w:color w:val="auto"/>
          <w:sz w:val="28"/>
          <w:szCs w:val="28"/>
          <w:highlight w:val="none"/>
        </w:rPr>
      </w:pPr>
      <w:bookmarkStart w:id="104" w:name="_Toc16938553"/>
      <w:bookmarkStart w:id="105" w:name="_Toc20823309"/>
      <w:bookmarkStart w:id="106" w:name="_Toc513029237"/>
      <w:r>
        <w:rPr>
          <w:rFonts w:hint="eastAsia" w:ascii="宋体" w:hAnsi="宋体" w:eastAsia="宋体" w:cs="宋体"/>
          <w:color w:val="auto"/>
          <w:sz w:val="28"/>
          <w:szCs w:val="28"/>
          <w:highlight w:val="none"/>
        </w:rPr>
        <w:t>1.签订合同</w:t>
      </w:r>
    </w:p>
    <w:p w14:paraId="2B0CC21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.l中标人应当在中标通知书发出之日起三十日内，按照招标文件确定的事项与采购人签订政府采购合同。</w:t>
      </w:r>
    </w:p>
    <w:p w14:paraId="237FB63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1.2招标文件、中标人的投标文件及招标过程中有关澄清、承诺文件均应作为合同附件。</w:t>
      </w:r>
    </w:p>
    <w:p w14:paraId="757D3F9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签订合同后，中标人不得将货物及其他相关服务进行转包。未经采购人同意，中标人也不得采用分包的形式履行合同，否则采购人有权终止合同，中标人的履约保证金将不予退还。政府采购合同分包履行的，中标、成交供应商就采购项目和分包项目向采购人负责，分包供应商就分包项目承担责任。转包或分包造成采购人损失的，中标人应承担相应赔偿责任。</w:t>
      </w:r>
    </w:p>
    <w:p w14:paraId="60FDF3ED">
      <w:pPr>
        <w:pStyle w:val="5"/>
        <w:adjustRightInd w:val="0"/>
        <w:snapToGrid w:val="0"/>
        <w:spacing w:line="500" w:lineRule="exact"/>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0983A40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2.1政府采购合同履行中，采购人需追加与合同标的相同的货物和服务的，在不改变合同其他条款的前提下，可以与中标人协商签订补充合同，但所有补充合同的采购金额不超过原合同金额10%。</w:t>
      </w:r>
    </w:p>
    <w:p w14:paraId="1A38DE6A">
      <w:pPr>
        <w:adjustRightInd w:val="0"/>
        <w:snapToGrid w:val="0"/>
        <w:spacing w:line="50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p>
    <w:bookmarkEnd w:id="104"/>
    <w:bookmarkEnd w:id="105"/>
    <w:bookmarkEnd w:id="106"/>
    <w:p w14:paraId="2479F718">
      <w:pPr>
        <w:widowControl/>
        <w:jc w:val="left"/>
        <w:rPr>
          <w:rFonts w:ascii="宋体" w:hAnsi="宋体" w:cs="宋体"/>
          <w:bCs/>
          <w:color w:val="auto"/>
          <w:sz w:val="36"/>
          <w:szCs w:val="36"/>
          <w:highlight w:val="none"/>
        </w:rPr>
      </w:pPr>
      <w:r>
        <w:rPr>
          <w:rFonts w:ascii="宋体" w:hAnsi="宋体" w:cs="宋体"/>
          <w:bCs/>
          <w:color w:val="auto"/>
          <w:sz w:val="36"/>
          <w:szCs w:val="36"/>
          <w:highlight w:val="none"/>
        </w:rPr>
        <w:br w:type="page"/>
      </w:r>
    </w:p>
    <w:p w14:paraId="57B4A1C2">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第三部分  项目需求</w:t>
      </w:r>
    </w:p>
    <w:p w14:paraId="6F2B2277">
      <w:pPr>
        <w:pStyle w:val="15"/>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kern w:val="2"/>
          <w:sz w:val="28"/>
          <w:szCs w:val="28"/>
          <w:highlight w:val="none"/>
          <w:u w:val="none"/>
          <w:lang w:val="en-US" w:eastAsia="zh-CN" w:bidi="ar-SA"/>
        </w:rPr>
      </w:pPr>
      <w:bookmarkStart w:id="107" w:name="_Toc24221"/>
      <w:bookmarkStart w:id="108" w:name="_Toc30710"/>
      <w:r>
        <w:rPr>
          <w:rFonts w:hint="eastAsia" w:ascii="宋体" w:hAnsi="宋体" w:eastAsia="宋体" w:cs="宋体"/>
          <w:b/>
          <w:bCs/>
          <w:color w:val="auto"/>
          <w:kern w:val="2"/>
          <w:sz w:val="28"/>
          <w:szCs w:val="28"/>
          <w:highlight w:val="none"/>
          <w:u w:val="none"/>
          <w:lang w:val="en-US" w:eastAsia="zh-CN" w:bidi="ar-SA"/>
        </w:rPr>
        <w:t>（一）采购内容</w:t>
      </w:r>
    </w:p>
    <w:p w14:paraId="2663BD25">
      <w:pPr>
        <w:pStyle w:val="1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C0C0C"/>
          <w:sz w:val="28"/>
          <w:szCs w:val="28"/>
          <w:lang w:val="en-US" w:eastAsia="zh-CN" w:bidi="ar-SA"/>
        </w:rPr>
      </w:pPr>
      <w:r>
        <w:rPr>
          <w:rFonts w:hint="eastAsia" w:ascii="宋体" w:hAnsi="宋体" w:eastAsia="宋体" w:cs="宋体"/>
          <w:b w:val="0"/>
          <w:bCs w:val="0"/>
          <w:color w:val="auto"/>
          <w:kern w:val="2"/>
          <w:sz w:val="28"/>
          <w:szCs w:val="28"/>
          <w:highlight w:val="none"/>
          <w:u w:val="none"/>
          <w:lang w:val="en-US" w:eastAsia="zh-CN" w:bidi="ar-SA"/>
        </w:rPr>
        <w:t>1.采购需求</w:t>
      </w:r>
      <w:r>
        <w:rPr>
          <w:rFonts w:hint="eastAsia" w:ascii="宋体" w:hAnsi="宋体" w:eastAsia="宋体" w:cs="宋体"/>
          <w:color w:val="auto"/>
          <w:kern w:val="2"/>
          <w:sz w:val="28"/>
          <w:szCs w:val="28"/>
          <w:highlight w:val="none"/>
          <w:u w:val="none"/>
          <w:lang w:val="en-US" w:eastAsia="zh-CN" w:bidi="ar-SA"/>
        </w:rPr>
        <w:t>：</w:t>
      </w:r>
      <w:r>
        <w:rPr>
          <w:rFonts w:hint="eastAsia" w:ascii="宋体" w:hAnsi="宋体" w:eastAsia="宋体" w:cs="宋体"/>
          <w:color w:val="0C0C0C"/>
          <w:sz w:val="28"/>
          <w:szCs w:val="28"/>
        </w:rPr>
        <w:t>为切实加强水域管理、保护与治理，充分发挥水域综合功能，强化水域科学监测，保障经济社会高质量发展和满足人民群众生产生活需要，根据</w:t>
      </w:r>
      <w:r>
        <w:rPr>
          <w:rFonts w:hint="eastAsia" w:ascii="宋体" w:hAnsi="宋体" w:eastAsia="宋体" w:cs="宋体"/>
          <w:color w:val="0C0C0C"/>
          <w:sz w:val="28"/>
          <w:szCs w:val="28"/>
          <w:lang w:eastAsia="zh-CN"/>
        </w:rPr>
        <w:t>《</w:t>
      </w:r>
      <w:r>
        <w:rPr>
          <w:rFonts w:hint="eastAsia" w:ascii="宋体" w:hAnsi="宋体" w:eastAsia="宋体" w:cs="宋体"/>
          <w:color w:val="0C0C0C"/>
          <w:sz w:val="28"/>
          <w:szCs w:val="28"/>
          <w:lang w:val="en-US" w:eastAsia="zh-CN"/>
        </w:rPr>
        <w:t>水利部河湖管理司关于进一步明确河湖健康评价有关事项的通知</w:t>
      </w:r>
      <w:r>
        <w:rPr>
          <w:rFonts w:hint="eastAsia" w:ascii="宋体" w:hAnsi="宋体" w:eastAsia="宋体" w:cs="宋体"/>
          <w:color w:val="0C0C0C"/>
          <w:sz w:val="28"/>
          <w:szCs w:val="28"/>
          <w:lang w:eastAsia="zh-CN"/>
        </w:rPr>
        <w:t>》（</w:t>
      </w:r>
      <w:r>
        <w:rPr>
          <w:rFonts w:hint="eastAsia" w:ascii="宋体" w:hAnsi="宋体" w:eastAsia="宋体" w:cs="宋体"/>
          <w:color w:val="0C0C0C"/>
          <w:sz w:val="28"/>
          <w:szCs w:val="28"/>
          <w:lang w:val="en-US" w:eastAsia="zh-CN"/>
        </w:rPr>
        <w:t>河湖【2023】1号</w:t>
      </w:r>
      <w:r>
        <w:rPr>
          <w:rFonts w:hint="eastAsia" w:ascii="宋体" w:hAnsi="宋体" w:eastAsia="宋体" w:cs="宋体"/>
          <w:color w:val="0C0C0C"/>
          <w:sz w:val="28"/>
          <w:szCs w:val="28"/>
          <w:lang w:eastAsia="zh-CN"/>
        </w:rPr>
        <w:t>）</w:t>
      </w:r>
      <w:r>
        <w:rPr>
          <w:rFonts w:hint="eastAsia" w:ascii="宋体" w:hAnsi="宋体" w:eastAsia="宋体" w:cs="宋体"/>
          <w:color w:val="0C0C0C"/>
          <w:sz w:val="28"/>
          <w:szCs w:val="28"/>
        </w:rPr>
        <w:t>、</w:t>
      </w:r>
      <w:r>
        <w:rPr>
          <w:rFonts w:hint="eastAsia" w:ascii="宋体" w:hAnsi="宋体" w:eastAsia="宋体" w:cs="宋体"/>
          <w:color w:val="000000"/>
          <w:sz w:val="28"/>
          <w:szCs w:val="28"/>
          <w:lang w:eastAsia="zh-CN"/>
        </w:rPr>
        <w:t>《省水利厅关于进一步强化水域监测评估建立健康档案工作的通知》（苏水河湖【2023】1号）、《</w:t>
      </w:r>
      <w:r>
        <w:rPr>
          <w:rFonts w:hint="eastAsia" w:ascii="宋体" w:hAnsi="宋体" w:eastAsia="宋体" w:cs="宋体"/>
          <w:color w:val="000000"/>
          <w:sz w:val="28"/>
          <w:szCs w:val="28"/>
          <w:lang w:val="en-US" w:eastAsia="zh-CN"/>
        </w:rPr>
        <w:t>省水利厅办公室关于加快河湖水域状况评价工作的通知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苏水办河湖</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2024】4号</w:t>
      </w:r>
      <w:r>
        <w:rPr>
          <w:rFonts w:hint="eastAsia" w:ascii="宋体" w:hAnsi="宋体" w:eastAsia="宋体" w:cs="宋体"/>
          <w:color w:val="000000"/>
          <w:sz w:val="28"/>
          <w:szCs w:val="28"/>
          <w:lang w:eastAsia="zh-CN"/>
        </w:rPr>
        <w:t>）要求，</w:t>
      </w:r>
      <w:r>
        <w:rPr>
          <w:rFonts w:hint="eastAsia" w:ascii="宋体" w:hAnsi="宋体" w:eastAsia="宋体" w:cs="宋体"/>
          <w:color w:val="0C0C0C"/>
          <w:sz w:val="28"/>
          <w:szCs w:val="28"/>
          <w:lang w:val="en-US" w:eastAsia="zh-CN" w:bidi="ar-SA"/>
        </w:rPr>
        <w:t>开展河道水域监测评价工作。</w:t>
      </w:r>
    </w:p>
    <w:p w14:paraId="77A80CA8">
      <w:pPr>
        <w:pStyle w:val="119"/>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cs="宋体"/>
          <w:color w:val="0C0C0C"/>
          <w:sz w:val="28"/>
          <w:szCs w:val="28"/>
          <w:lang w:val="en-US" w:eastAsia="zh-CN" w:bidi="ar-SA"/>
        </w:rPr>
      </w:pPr>
      <w:r>
        <w:rPr>
          <w:rFonts w:hint="eastAsia" w:ascii="宋体" w:hAnsi="宋体" w:eastAsia="宋体" w:cs="宋体"/>
          <w:color w:val="0C0C0C"/>
          <w:sz w:val="28"/>
          <w:szCs w:val="28"/>
          <w:lang w:val="en-US" w:eastAsia="zh-CN" w:bidi="ar-SA"/>
        </w:rPr>
        <w:t>2.服务要求：按照江苏省地方标准《水域状况评价规范》，对启东市10条河湖（见表1）进行水域保护状况监测评价工作，重点围绕水空间、水安全、水资源、水生境、水生物、水感观、水文化等方面，对照17项评价指标，逐项形成评价结果；落实《水利部河湖管理司关于进一步明确河湖健康评价有关事项的通知》（河湖【2023】1号）要求，提交水域保护状况监测评价成果。</w:t>
      </w:r>
    </w:p>
    <w:p w14:paraId="42A6CDEA">
      <w:pPr>
        <w:keepNext w:val="0"/>
        <w:keepLines w:val="0"/>
        <w:pageBreakBefore w:val="0"/>
        <w:kinsoku/>
        <w:wordWrap/>
        <w:overflowPunct/>
        <w:topLinePunct w:val="0"/>
        <w:bidi w:val="0"/>
        <w:snapToGrid w:val="0"/>
        <w:spacing w:line="500" w:lineRule="exact"/>
        <w:ind w:firstLine="2880" w:firstLineChars="1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表1 </w:t>
      </w:r>
      <w:r>
        <w:rPr>
          <w:rFonts w:hint="eastAsia" w:ascii="仿宋" w:hAnsi="仿宋" w:eastAsia="仿宋" w:cs="仿宋"/>
          <w:sz w:val="24"/>
          <w:szCs w:val="24"/>
          <w:lang w:val="en-US" w:eastAsia="zh-CN"/>
        </w:rPr>
        <w:t>河道水域监测评估</w:t>
      </w:r>
      <w:r>
        <w:rPr>
          <w:rFonts w:hint="eastAsia" w:ascii="仿宋" w:hAnsi="仿宋" w:eastAsia="仿宋" w:cs="仿宋"/>
          <w:sz w:val="24"/>
          <w:szCs w:val="24"/>
        </w:rPr>
        <w:t>任务清单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5420"/>
      </w:tblGrid>
      <w:tr w14:paraId="4BF8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2A725420">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5420" w:type="dxa"/>
            <w:noWrap w:val="0"/>
            <w:vAlign w:val="center"/>
          </w:tcPr>
          <w:p w14:paraId="293BE786">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河湖名称</w:t>
            </w:r>
          </w:p>
        </w:tc>
      </w:tr>
      <w:tr w14:paraId="688D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38661BDA">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420" w:type="dxa"/>
            <w:noWrap w:val="0"/>
            <w:vAlign w:val="center"/>
          </w:tcPr>
          <w:p w14:paraId="45569B7A">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聚阳河</w:t>
            </w:r>
          </w:p>
        </w:tc>
      </w:tr>
      <w:tr w14:paraId="6A11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7D0807BD">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420" w:type="dxa"/>
            <w:noWrap w:val="0"/>
            <w:vAlign w:val="center"/>
          </w:tcPr>
          <w:p w14:paraId="35BAD45C">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倒岸河</w:t>
            </w:r>
          </w:p>
        </w:tc>
      </w:tr>
      <w:tr w14:paraId="5180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5BD8EA39">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420" w:type="dxa"/>
            <w:noWrap w:val="0"/>
            <w:vAlign w:val="center"/>
          </w:tcPr>
          <w:p w14:paraId="1D6CFFC8">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新港河</w:t>
            </w:r>
          </w:p>
        </w:tc>
      </w:tr>
      <w:tr w14:paraId="5DD4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089026EB">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420" w:type="dxa"/>
            <w:noWrap w:val="0"/>
            <w:vAlign w:val="center"/>
          </w:tcPr>
          <w:p w14:paraId="5591902B">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南引河</w:t>
            </w:r>
          </w:p>
        </w:tc>
      </w:tr>
      <w:tr w14:paraId="2DC3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61619E24">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420" w:type="dxa"/>
            <w:noWrap w:val="0"/>
            <w:vAlign w:val="center"/>
          </w:tcPr>
          <w:p w14:paraId="609AB74C">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红阳河</w:t>
            </w:r>
          </w:p>
        </w:tc>
      </w:tr>
      <w:tr w14:paraId="3B4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1FC2247A">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420" w:type="dxa"/>
            <w:noWrap w:val="0"/>
            <w:vAlign w:val="center"/>
          </w:tcPr>
          <w:p w14:paraId="06F0171D">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五滧河</w:t>
            </w:r>
          </w:p>
        </w:tc>
      </w:tr>
      <w:tr w14:paraId="1810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1DDC5698">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5420" w:type="dxa"/>
            <w:noWrap w:val="0"/>
            <w:vAlign w:val="center"/>
          </w:tcPr>
          <w:p w14:paraId="00D12D3F">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戤滧河</w:t>
            </w:r>
          </w:p>
        </w:tc>
      </w:tr>
      <w:tr w14:paraId="5D24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47CC830B">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5420" w:type="dxa"/>
            <w:noWrap w:val="0"/>
            <w:vAlign w:val="center"/>
          </w:tcPr>
          <w:p w14:paraId="2148ED49">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塘芦港</w:t>
            </w:r>
          </w:p>
        </w:tc>
      </w:tr>
      <w:tr w14:paraId="685E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50B06BBF">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5420" w:type="dxa"/>
            <w:noWrap w:val="0"/>
            <w:vAlign w:val="center"/>
          </w:tcPr>
          <w:p w14:paraId="390FC411">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兴垦匡河</w:t>
            </w:r>
          </w:p>
        </w:tc>
      </w:tr>
      <w:tr w14:paraId="17FB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14:paraId="2B130318">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5420" w:type="dxa"/>
            <w:noWrap w:val="0"/>
            <w:vAlign w:val="center"/>
          </w:tcPr>
          <w:p w14:paraId="54731609">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海防匡河</w:t>
            </w:r>
          </w:p>
        </w:tc>
      </w:tr>
    </w:tbl>
    <w:p w14:paraId="54DC617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auto"/>
          <w:sz w:val="28"/>
          <w:szCs w:val="28"/>
          <w:highlight w:val="none"/>
          <w:u w:val="none"/>
          <w:lang w:val="en-US" w:eastAsia="zh-CN"/>
        </w:rPr>
      </w:pPr>
      <w:r>
        <w:rPr>
          <w:rFonts w:hint="eastAsia" w:ascii="宋体" w:hAnsi="宋体" w:eastAsia="宋体" w:cs="宋体"/>
          <w:b/>
          <w:color w:val="auto"/>
          <w:kern w:val="2"/>
          <w:sz w:val="28"/>
          <w:szCs w:val="28"/>
          <w:highlight w:val="none"/>
          <w:u w:val="none"/>
          <w:lang w:val="en-US" w:eastAsia="zh-CN" w:bidi="ar-SA"/>
        </w:rPr>
        <w:t>（二）</w:t>
      </w:r>
      <w:r>
        <w:rPr>
          <w:rFonts w:hint="eastAsia" w:ascii="宋体" w:hAnsi="宋体" w:eastAsia="宋体" w:cs="宋体"/>
          <w:b/>
          <w:color w:val="auto"/>
          <w:sz w:val="28"/>
          <w:szCs w:val="28"/>
          <w:highlight w:val="none"/>
          <w:u w:val="none"/>
          <w:lang w:val="en-US" w:eastAsia="zh-CN"/>
        </w:rPr>
        <w:t>项目实施时间和地点</w:t>
      </w:r>
    </w:p>
    <w:p w14:paraId="735781F8">
      <w:pPr>
        <w:pStyle w:val="15"/>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w:t>
      </w:r>
      <w:r>
        <w:rPr>
          <w:rFonts w:hint="eastAsia" w:ascii="宋体" w:hAnsi="宋体" w:eastAsia="宋体" w:cs="宋体"/>
          <w:b w:val="0"/>
          <w:bCs/>
          <w:sz w:val="28"/>
          <w:szCs w:val="28"/>
          <w:lang w:eastAsia="zh-CN"/>
        </w:rPr>
        <w:t>完成</w:t>
      </w:r>
      <w:r>
        <w:rPr>
          <w:rFonts w:hint="eastAsia" w:ascii="宋体" w:hAnsi="宋体" w:eastAsia="宋体" w:cs="宋体"/>
          <w:b w:val="0"/>
          <w:bCs/>
          <w:sz w:val="28"/>
          <w:szCs w:val="28"/>
          <w:lang w:val="en-US" w:eastAsia="zh-CN"/>
        </w:rPr>
        <w:t>时间：</w:t>
      </w:r>
      <w:r>
        <w:rPr>
          <w:rFonts w:hint="eastAsia" w:ascii="宋体" w:hAnsi="宋体" w:eastAsia="宋体" w:cs="宋体"/>
          <w:b w:val="0"/>
          <w:bCs/>
          <w:sz w:val="28"/>
          <w:szCs w:val="28"/>
          <w:lang w:eastAsia="zh-CN"/>
        </w:rPr>
        <w:t>202</w:t>
      </w: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lang w:eastAsia="zh-CN"/>
        </w:rPr>
        <w:t>年</w:t>
      </w:r>
      <w:r>
        <w:rPr>
          <w:rFonts w:hint="eastAsia" w:ascii="宋体" w:hAnsi="宋体" w:eastAsia="宋体" w:cs="宋体"/>
          <w:b w:val="0"/>
          <w:bCs/>
          <w:sz w:val="28"/>
          <w:szCs w:val="28"/>
          <w:lang w:val="en-US" w:eastAsia="zh-CN"/>
        </w:rPr>
        <w:t>8</w:t>
      </w:r>
      <w:r>
        <w:rPr>
          <w:rFonts w:hint="eastAsia" w:ascii="宋体" w:hAnsi="宋体" w:eastAsia="宋体" w:cs="宋体"/>
          <w:b w:val="0"/>
          <w:bCs/>
          <w:sz w:val="28"/>
          <w:szCs w:val="28"/>
          <w:lang w:eastAsia="zh-CN"/>
        </w:rPr>
        <w:t>月</w:t>
      </w:r>
      <w:r>
        <w:rPr>
          <w:rFonts w:hint="eastAsia" w:ascii="宋体" w:hAnsi="宋体" w:eastAsia="宋体" w:cs="宋体"/>
          <w:b w:val="0"/>
          <w:bCs/>
          <w:sz w:val="28"/>
          <w:szCs w:val="28"/>
          <w:lang w:val="en-US" w:eastAsia="zh-CN"/>
        </w:rPr>
        <w:t>至2026年2月28日前，</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val="en-US" w:eastAsia="zh-CN"/>
        </w:rPr>
        <w:t>启东市10条</w:t>
      </w:r>
      <w:r>
        <w:rPr>
          <w:rFonts w:hint="eastAsia" w:ascii="宋体" w:hAnsi="宋体" w:eastAsia="宋体" w:cs="宋体"/>
          <w:color w:val="auto"/>
          <w:kern w:val="2"/>
          <w:sz w:val="28"/>
          <w:szCs w:val="28"/>
          <w:lang w:val="en-US" w:eastAsia="zh-CN" w:bidi="ar-SA"/>
        </w:rPr>
        <w:t>河湖水域保护状况监测评价成果及编制河湖健康</w:t>
      </w:r>
      <w:r>
        <w:rPr>
          <w:rFonts w:hint="eastAsia" w:ascii="宋体" w:hAnsi="宋体" w:eastAsia="宋体" w:cs="宋体"/>
          <w:color w:val="000000"/>
          <w:sz w:val="28"/>
          <w:szCs w:val="28"/>
          <w:lang w:eastAsia="zh-CN"/>
        </w:rPr>
        <w:t>档案</w:t>
      </w:r>
      <w:r>
        <w:rPr>
          <w:rFonts w:hint="eastAsia" w:ascii="宋体" w:hAnsi="宋体" w:eastAsia="宋体" w:cs="宋体"/>
          <w:color w:val="000000"/>
          <w:sz w:val="28"/>
          <w:szCs w:val="28"/>
        </w:rPr>
        <w:t>，审核并修改完善，向</w:t>
      </w:r>
      <w:r>
        <w:rPr>
          <w:rFonts w:hint="eastAsia" w:ascii="宋体" w:hAnsi="宋体" w:eastAsia="宋体" w:cs="宋体"/>
          <w:color w:val="000000"/>
          <w:sz w:val="28"/>
          <w:szCs w:val="28"/>
          <w:lang w:val="en-US" w:eastAsia="zh-CN"/>
        </w:rPr>
        <w:t>采购人</w:t>
      </w:r>
      <w:r>
        <w:rPr>
          <w:rFonts w:hint="eastAsia" w:ascii="宋体" w:hAnsi="宋体" w:eastAsia="宋体" w:cs="宋体"/>
          <w:color w:val="000000"/>
          <w:sz w:val="28"/>
          <w:szCs w:val="28"/>
        </w:rPr>
        <w:t>提供最终成果。</w:t>
      </w:r>
    </w:p>
    <w:p w14:paraId="64700FF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宋体" w:hAnsi="宋体" w:eastAsia="宋体" w:cs="宋体"/>
          <w:b w:val="0"/>
          <w:bCs w:val="0"/>
          <w:color w:val="auto"/>
          <w:sz w:val="28"/>
          <w:szCs w:val="28"/>
          <w:u w:val="none"/>
          <w:lang w:eastAsia="zh-CN"/>
        </w:rPr>
      </w:pPr>
      <w:r>
        <w:rPr>
          <w:rFonts w:hint="eastAsia" w:ascii="宋体" w:hAnsi="宋体" w:eastAsia="宋体" w:cs="宋体"/>
          <w:b/>
          <w:color w:val="auto"/>
          <w:kern w:val="2"/>
          <w:sz w:val="28"/>
          <w:szCs w:val="28"/>
          <w:highlight w:val="none"/>
          <w:u w:val="none"/>
          <w:lang w:val="en-US" w:eastAsia="zh-CN" w:bidi="ar-SA"/>
        </w:rPr>
        <w:t>（三）</w:t>
      </w:r>
      <w:r>
        <w:rPr>
          <w:rFonts w:hint="eastAsia" w:ascii="宋体" w:hAnsi="宋体" w:eastAsia="宋体" w:cs="宋体"/>
          <w:b/>
          <w:bCs/>
          <w:color w:val="auto"/>
          <w:sz w:val="28"/>
          <w:szCs w:val="28"/>
          <w:u w:val="none"/>
          <w:lang w:eastAsia="zh-CN"/>
        </w:rPr>
        <w:t>成果要求</w:t>
      </w:r>
    </w:p>
    <w:p w14:paraId="0EF22F3B">
      <w:pPr>
        <w:keepNext w:val="0"/>
        <w:keepLines w:val="0"/>
        <w:pageBreakBefore w:val="0"/>
        <w:widowControl/>
        <w:kinsoku/>
        <w:wordWrap/>
        <w:overflowPunct/>
        <w:topLinePunct w:val="0"/>
        <w:autoSpaceDE/>
        <w:autoSpaceDN/>
        <w:bidi w:val="0"/>
        <w:adjustRightInd/>
        <w:spacing w:before="0" w:after="0" w:line="500" w:lineRule="exact"/>
        <w:ind w:firstLine="442"/>
        <w:jc w:val="left"/>
        <w:textAlignment w:val="auto"/>
        <w:rPr>
          <w:color w:val="auto"/>
        </w:rPr>
      </w:pPr>
      <w:r>
        <w:rPr>
          <w:rStyle w:val="133"/>
          <w:rFonts w:ascii="宋体" w:hAnsi="宋体" w:eastAsia="宋体" w:cs="宋体"/>
          <w:color w:val="auto"/>
          <w:sz w:val="28"/>
          <w:szCs w:val="28"/>
        </w:rPr>
        <w:t>1.水域保护状况监测评价成果完成后，并通过专家的审查，提交评价报告电子版一份、纸质版报告二份（包含相关附件）。</w:t>
      </w:r>
      <w:r>
        <w:rPr>
          <w:rStyle w:val="134"/>
          <w:rFonts w:ascii="宋体" w:hAnsi="宋体" w:eastAsia="宋体" w:cs="宋体"/>
          <w:color w:val="auto"/>
          <w:sz w:val="28"/>
          <w:szCs w:val="28"/>
        </w:rPr>
        <w:t>乙方提交的评价报告须经启东市水</w:t>
      </w:r>
      <w:r>
        <w:rPr>
          <w:rStyle w:val="134"/>
          <w:rFonts w:hint="eastAsia" w:ascii="宋体" w:hAnsi="宋体" w:eastAsia="宋体" w:cs="宋体"/>
          <w:color w:val="auto"/>
          <w:sz w:val="28"/>
          <w:szCs w:val="28"/>
          <w:lang w:val="en-US" w:eastAsia="zh-CN"/>
        </w:rPr>
        <w:t>务</w:t>
      </w:r>
      <w:r>
        <w:rPr>
          <w:rStyle w:val="134"/>
          <w:rFonts w:ascii="宋体" w:hAnsi="宋体" w:eastAsia="宋体" w:cs="宋体"/>
          <w:color w:val="auto"/>
          <w:sz w:val="28"/>
          <w:szCs w:val="28"/>
        </w:rPr>
        <w:t>局书面确认达到《水域状况评价规范》标准，并严格按照甲方及上级主管部门的最新标准、格式、内容和深度要求编制，确保成果可直接满足甲方及上级主管部门的验收要求。如乙方提交的成果未通过甲方或上级主管部门验收，乙方应无条件免费整改直至合格，且整改不影响合同约定的最终交付时间。</w:t>
      </w:r>
      <w:r>
        <w:rPr>
          <w:rStyle w:val="135"/>
          <w:rFonts w:ascii="宋体" w:hAnsi="宋体" w:eastAsia="宋体" w:cs="宋体"/>
          <w:color w:val="auto"/>
          <w:sz w:val="28"/>
          <w:szCs w:val="28"/>
        </w:rPr>
        <w:t>乙方须通过加密光盘及甲方指定政务云平台双渠道提交成果电子文件，纸质文件应加盖骑缝章并附文件清单。</w:t>
      </w:r>
    </w:p>
    <w:p w14:paraId="1C775F62">
      <w:pPr>
        <w:keepNext w:val="0"/>
        <w:keepLines w:val="0"/>
        <w:pageBreakBefore w:val="0"/>
        <w:widowControl/>
        <w:kinsoku/>
        <w:wordWrap/>
        <w:overflowPunct/>
        <w:topLinePunct w:val="0"/>
        <w:autoSpaceDE/>
        <w:autoSpaceDN/>
        <w:bidi w:val="0"/>
        <w:adjustRightInd/>
        <w:spacing w:before="0" w:after="0" w:line="500" w:lineRule="exact"/>
        <w:ind w:firstLine="442"/>
        <w:jc w:val="left"/>
        <w:textAlignment w:val="auto"/>
      </w:pPr>
      <w:r>
        <w:rPr>
          <w:rFonts w:ascii="宋体" w:hAnsi="宋体" w:eastAsia="宋体" w:cs="宋体"/>
          <w:sz w:val="28"/>
          <w:szCs w:val="28"/>
        </w:rPr>
        <w:t>2.按照相关文件要求，根据水域监测评估成果总结编制河湖健康档案，并上传至水利部相关系统。</w:t>
      </w:r>
    </w:p>
    <w:bookmarkEnd w:id="107"/>
    <w:bookmarkEnd w:id="108"/>
    <w:p w14:paraId="403FC7B5">
      <w:pPr>
        <w:keepNext w:val="0"/>
        <w:keepLines w:val="0"/>
        <w:pageBreakBefore w:val="0"/>
        <w:widowControl w:val="0"/>
        <w:numPr>
          <w:ilvl w:val="0"/>
          <w:numId w:val="0"/>
        </w:numPr>
        <w:kinsoku/>
        <w:wordWrap/>
        <w:overflowPunct/>
        <w:topLinePunct w:val="0"/>
        <w:autoSpaceDE/>
        <w:autoSpaceDN/>
        <w:bidi w:val="0"/>
        <w:spacing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val="en-US" w:eastAsia="zh-CN"/>
        </w:rPr>
        <w:t>四</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报价</w:t>
      </w:r>
      <w:r>
        <w:rPr>
          <w:rFonts w:hint="eastAsia" w:ascii="宋体" w:hAnsi="宋体" w:eastAsia="宋体" w:cs="宋体"/>
          <w:b/>
          <w:color w:val="auto"/>
          <w:sz w:val="28"/>
          <w:szCs w:val="28"/>
          <w:highlight w:val="none"/>
        </w:rPr>
        <w:t>要求：</w:t>
      </w:r>
    </w:p>
    <w:p w14:paraId="6A43D9E1">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本项目投标报价应包括</w:t>
      </w:r>
      <w:r>
        <w:rPr>
          <w:rFonts w:hint="eastAsia" w:ascii="宋体" w:hAnsi="宋体" w:eastAsia="宋体" w:cs="宋体"/>
          <w:bCs/>
          <w:color w:val="auto"/>
          <w:sz w:val="28"/>
          <w:szCs w:val="28"/>
          <w:highlight w:val="none"/>
          <w:lang w:val="en-US" w:eastAsia="zh-CN"/>
        </w:rPr>
        <w:t>招标</w:t>
      </w:r>
      <w:r>
        <w:rPr>
          <w:rFonts w:hint="eastAsia" w:ascii="宋体" w:hAnsi="宋体" w:eastAsia="宋体" w:cs="宋体"/>
          <w:bCs/>
          <w:color w:val="auto"/>
          <w:sz w:val="28"/>
          <w:szCs w:val="28"/>
          <w:highlight w:val="none"/>
        </w:rPr>
        <w:t>文件所确定的</w:t>
      </w:r>
      <w:r>
        <w:rPr>
          <w:rFonts w:hint="eastAsia" w:ascii="宋体" w:hAnsi="宋体" w:cs="宋体"/>
          <w:bCs/>
          <w:color w:val="auto"/>
          <w:sz w:val="28"/>
          <w:szCs w:val="28"/>
          <w:highlight w:val="none"/>
          <w:lang w:eastAsia="zh-CN"/>
        </w:rPr>
        <w:t>采购需求</w:t>
      </w:r>
      <w:r>
        <w:rPr>
          <w:rFonts w:hint="eastAsia" w:ascii="宋体" w:hAnsi="宋体" w:eastAsia="宋体" w:cs="宋体"/>
          <w:bCs/>
          <w:color w:val="auto"/>
          <w:sz w:val="28"/>
          <w:szCs w:val="28"/>
          <w:highlight w:val="none"/>
        </w:rPr>
        <w:t>的全部工作内容，包括</w:t>
      </w:r>
      <w:r>
        <w:rPr>
          <w:rFonts w:hint="eastAsia" w:ascii="宋体" w:hAnsi="宋体" w:eastAsia="宋体" w:cs="宋体"/>
          <w:b w:val="0"/>
          <w:bCs/>
          <w:color w:val="auto"/>
          <w:sz w:val="28"/>
          <w:szCs w:val="28"/>
          <w:highlight w:val="none"/>
        </w:rPr>
        <w:t>招标代理费（</w:t>
      </w:r>
      <w:r>
        <w:rPr>
          <w:rFonts w:hint="eastAsia" w:ascii="宋体" w:hAnsi="宋体" w:eastAsia="宋体" w:cs="宋体"/>
          <w:sz w:val="28"/>
          <w:szCs w:val="28"/>
          <w:lang w:eastAsia="zh-CN"/>
        </w:rPr>
        <w:t>按苏招协</w:t>
      </w:r>
      <w:r>
        <w:rPr>
          <w:rFonts w:hint="eastAsia" w:ascii="宋体" w:hAnsi="宋体" w:eastAsia="宋体" w:cs="宋体"/>
          <w:sz w:val="28"/>
          <w:szCs w:val="28"/>
          <w:lang w:val="en-US" w:eastAsia="zh-CN"/>
        </w:rPr>
        <w:t>{2022}002号文规定收费标准的65%计取</w:t>
      </w:r>
      <w:r>
        <w:rPr>
          <w:rFonts w:hint="eastAsia" w:ascii="宋体" w:hAnsi="宋体" w:eastAsia="宋体" w:cs="宋体"/>
          <w:b w:val="0"/>
          <w:bCs/>
          <w:color w:val="auto"/>
          <w:sz w:val="28"/>
          <w:szCs w:val="28"/>
          <w:highlight w:val="none"/>
        </w:rPr>
        <w:t>）</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相关评审费</w:t>
      </w:r>
      <w:r>
        <w:rPr>
          <w:rFonts w:hint="eastAsia" w:ascii="宋体" w:hAnsi="宋体" w:eastAsia="宋体" w:cs="宋体"/>
          <w:bCs/>
          <w:color w:val="auto"/>
          <w:sz w:val="28"/>
          <w:szCs w:val="28"/>
          <w:highlight w:val="none"/>
        </w:rPr>
        <w:t>等一切费用。投标人自行考虑包含在投标报价内，并考虑了应由供应商承担的义务、责任和风险所存在的费用。</w:t>
      </w:r>
    </w:p>
    <w:p w14:paraId="262BBBB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2" w:firstLineChars="200"/>
        <w:textAlignment w:val="auto"/>
        <w:rPr>
          <w:color w:val="auto"/>
        </w:rPr>
      </w:pPr>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rPr>
        <w:t>付款方式：</w:t>
      </w:r>
      <w:r>
        <w:rPr>
          <w:rFonts w:ascii="宋体" w:hAnsi="宋体" w:eastAsia="宋体" w:cs="宋体"/>
          <w:color w:val="auto"/>
          <w:sz w:val="28"/>
          <w:szCs w:val="28"/>
        </w:rPr>
        <w:t>合同签订并生效后的十五天内，成交供应商出具发票，采购人支付合同价的20%，</w:t>
      </w:r>
      <w:r>
        <w:rPr>
          <w:rStyle w:val="131"/>
          <w:rFonts w:ascii="宋体" w:hAnsi="宋体" w:eastAsia="宋体" w:cs="宋体"/>
          <w:color w:val="auto"/>
          <w:sz w:val="28"/>
          <w:szCs w:val="28"/>
        </w:rPr>
        <w:t>剩余合同款的80%待项目</w:t>
      </w:r>
      <w:r>
        <w:rPr>
          <w:rStyle w:val="132"/>
          <w:rFonts w:ascii="宋体" w:hAnsi="宋体" w:eastAsia="宋体" w:cs="宋体"/>
          <w:color w:val="auto"/>
          <w:sz w:val="28"/>
          <w:szCs w:val="28"/>
        </w:rPr>
        <w:t>最终成果</w:t>
      </w:r>
      <w:r>
        <w:rPr>
          <w:rStyle w:val="134"/>
          <w:rFonts w:ascii="宋体" w:hAnsi="宋体" w:eastAsia="宋体" w:cs="宋体"/>
          <w:color w:val="auto"/>
          <w:sz w:val="28"/>
          <w:szCs w:val="28"/>
        </w:rPr>
        <w:t>满足甲方及上级部门的</w:t>
      </w:r>
      <w:r>
        <w:rPr>
          <w:rStyle w:val="134"/>
          <w:rFonts w:hint="eastAsia" w:ascii="宋体" w:hAnsi="宋体" w:cs="宋体"/>
          <w:color w:val="auto"/>
          <w:sz w:val="28"/>
          <w:szCs w:val="28"/>
          <w:lang w:val="en-US" w:eastAsia="zh-CN"/>
        </w:rPr>
        <w:t>需求</w:t>
      </w:r>
      <w:r>
        <w:rPr>
          <w:rStyle w:val="132"/>
          <w:rFonts w:ascii="宋体" w:hAnsi="宋体" w:eastAsia="宋体" w:cs="宋体"/>
          <w:color w:val="auto"/>
          <w:sz w:val="28"/>
          <w:szCs w:val="28"/>
        </w:rPr>
        <w:t>、完成河湖健康档案备案且乙方完整履行资料移交义务</w:t>
      </w:r>
      <w:r>
        <w:rPr>
          <w:rStyle w:val="131"/>
          <w:rFonts w:ascii="宋体" w:hAnsi="宋体" w:eastAsia="宋体" w:cs="宋体"/>
          <w:color w:val="auto"/>
          <w:sz w:val="28"/>
          <w:szCs w:val="28"/>
        </w:rPr>
        <w:t>后</w:t>
      </w:r>
      <w:r>
        <w:rPr>
          <w:rStyle w:val="132"/>
          <w:rFonts w:ascii="宋体" w:hAnsi="宋体" w:eastAsia="宋体" w:cs="宋体"/>
          <w:color w:val="auto"/>
          <w:sz w:val="28"/>
          <w:szCs w:val="28"/>
        </w:rPr>
        <w:t>15个工作日内支</w:t>
      </w:r>
      <w:r>
        <w:rPr>
          <w:rStyle w:val="131"/>
          <w:rFonts w:ascii="宋体" w:hAnsi="宋体" w:eastAsia="宋体" w:cs="宋体"/>
          <w:color w:val="auto"/>
          <w:sz w:val="28"/>
          <w:szCs w:val="28"/>
        </w:rPr>
        <w:t>付。</w:t>
      </w:r>
      <w:r>
        <w:rPr>
          <w:rFonts w:ascii="宋体" w:hAnsi="宋体" w:eastAsia="宋体" w:cs="宋体"/>
          <w:color w:val="auto"/>
          <w:sz w:val="28"/>
          <w:szCs w:val="28"/>
        </w:rPr>
        <w:t>履约保证金在服务期满无问题后予以退还。</w:t>
      </w:r>
    </w:p>
    <w:p w14:paraId="5690883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宋体" w:hAnsi="宋体" w:eastAsia="宋体" w:cs="宋体"/>
          <w:sz w:val="28"/>
          <w:szCs w:val="28"/>
        </w:rPr>
      </w:pPr>
    </w:p>
    <w:p w14:paraId="54B2A7A8">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履约保证金：</w:t>
      </w:r>
    </w:p>
    <w:p w14:paraId="6AD25F1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本项目成交后的履约保证金为项目成交价的10%，中标供应商的履约保证金须在成交通知书发出之日起至合同签订前汇入采购单位账户（应当以数字人民币、支票、汇票或者金融机构、担保机构出具的保函等非现金形式提交），中标供应商凭成交通知书与采购单位签订合同。超期或未有协商，则视为自动放弃成交资格。</w:t>
      </w:r>
    </w:p>
    <w:p w14:paraId="1724EB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2.中标供应商全部履约合同义务，经采购单位验收合格无质量、进度等问题的，采购人在验收合格后一次性退还履约保证金，采购人若逾期退还履约保证金的，按照逾期部分的每日0.05%支付违约金。</w:t>
      </w:r>
    </w:p>
    <w:p w14:paraId="4FB031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3.发生以下情况的，履约保证金不予退还或部分退还：</w:t>
      </w:r>
    </w:p>
    <w:p w14:paraId="4523A1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a.签订合同后，中标供应商不履行合同义务的，采购单位有权全额扣除履约保证金，全额不予退还，同时采购单位亦有权终止合同，中标供应商还须承担相应的法律赔偿责任。</w:t>
      </w:r>
    </w:p>
    <w:p w14:paraId="1E0D6BA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r>
        <w:rPr>
          <w:rFonts w:hint="eastAsia" w:ascii="宋体" w:hAnsi="宋体" w:eastAsia="宋体" w:cs="宋体"/>
          <w:color w:val="auto"/>
          <w:sz w:val="28"/>
          <w:szCs w:val="28"/>
          <w:highlight w:val="none"/>
        </w:rPr>
        <w:t>。</w:t>
      </w:r>
    </w:p>
    <w:bookmarkEnd w:id="0"/>
    <w:bookmarkEnd w:id="1"/>
    <w:bookmarkEnd w:id="2"/>
    <w:p w14:paraId="154A9C00">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lang w:eastAsia="zh-CN"/>
        </w:rPr>
        <w:t>七</w:t>
      </w:r>
      <w:r>
        <w:rPr>
          <w:rFonts w:hint="eastAsia" w:ascii="宋体" w:hAnsi="宋体" w:eastAsia="宋体" w:cs="宋体"/>
          <w:b/>
          <w:color w:val="auto"/>
          <w:sz w:val="28"/>
          <w:szCs w:val="28"/>
          <w:highlight w:val="none"/>
        </w:rPr>
        <w:t>）本项目不接受进口产品投标</w:t>
      </w:r>
    </w:p>
    <w:p w14:paraId="6D3238F3">
      <w:pPr>
        <w:pStyle w:val="15"/>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default"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（八）合同条款</w:t>
      </w:r>
    </w:p>
    <w:p w14:paraId="3D485602">
      <w:pPr>
        <w:keepNext w:val="0"/>
        <w:keepLines w:val="0"/>
        <w:pageBreakBefore w:val="0"/>
        <w:widowControl w:val="0"/>
        <w:kinsoku/>
        <w:wordWrap/>
        <w:overflowPunct/>
        <w:topLinePunct w:val="0"/>
        <w:autoSpaceDE/>
        <w:autoSpaceDN/>
        <w:bidi w:val="0"/>
        <w:adjustRightInd/>
        <w:snapToGrid/>
        <w:spacing w:before="0" w:after="0" w:line="500" w:lineRule="exact"/>
        <w:ind w:firstLine="561"/>
        <w:textAlignment w:val="auto"/>
      </w:pPr>
      <w:r>
        <w:rPr>
          <w:rFonts w:ascii="宋体" w:hAnsi="宋体" w:eastAsia="宋体" w:cs="宋体"/>
          <w:sz w:val="28"/>
          <w:szCs w:val="28"/>
        </w:rPr>
        <w:t>采购单位（全称）： </w:t>
      </w:r>
      <w:r>
        <w:rPr>
          <w:rFonts w:ascii="宋体" w:hAnsi="宋体" w:eastAsia="宋体" w:cs="宋体"/>
          <w:sz w:val="28"/>
          <w:szCs w:val="28"/>
          <w:u w:val="single"/>
        </w:rPr>
        <w:t>            </w:t>
      </w:r>
      <w:r>
        <w:rPr>
          <w:rFonts w:ascii="宋体" w:hAnsi="宋体" w:eastAsia="宋体" w:cs="宋体"/>
          <w:sz w:val="28"/>
          <w:szCs w:val="28"/>
        </w:rPr>
        <w:t>（简称甲方）</w:t>
      </w:r>
    </w:p>
    <w:p w14:paraId="530DDD90">
      <w:pPr>
        <w:keepNext w:val="0"/>
        <w:keepLines w:val="0"/>
        <w:pageBreakBefore w:val="0"/>
        <w:widowControl w:val="0"/>
        <w:kinsoku/>
        <w:wordWrap/>
        <w:overflowPunct/>
        <w:topLinePunct w:val="0"/>
        <w:autoSpaceDE/>
        <w:autoSpaceDN/>
        <w:bidi w:val="0"/>
        <w:adjustRightInd/>
        <w:snapToGrid/>
        <w:spacing w:before="0" w:after="0" w:line="500" w:lineRule="exact"/>
        <w:ind w:firstLine="561"/>
        <w:textAlignment w:val="auto"/>
      </w:pPr>
      <w:r>
        <w:rPr>
          <w:rFonts w:ascii="宋体" w:hAnsi="宋体" w:eastAsia="宋体" w:cs="宋体"/>
          <w:sz w:val="28"/>
          <w:szCs w:val="28"/>
        </w:rPr>
        <w:t>成交供应商（全称）：</w:t>
      </w:r>
      <w:r>
        <w:rPr>
          <w:rFonts w:ascii="宋体" w:hAnsi="宋体" w:eastAsia="宋体" w:cs="宋体"/>
          <w:sz w:val="28"/>
          <w:szCs w:val="28"/>
          <w:u w:val="single"/>
        </w:rPr>
        <w:t>            </w:t>
      </w:r>
      <w:r>
        <w:rPr>
          <w:rFonts w:ascii="宋体" w:hAnsi="宋体" w:eastAsia="宋体" w:cs="宋体"/>
          <w:sz w:val="28"/>
          <w:szCs w:val="28"/>
        </w:rPr>
        <w:t>（简称乙方）</w:t>
      </w:r>
    </w:p>
    <w:p w14:paraId="3315C7AD">
      <w:pPr>
        <w:keepNext w:val="0"/>
        <w:keepLines w:val="0"/>
        <w:pageBreakBefore w:val="0"/>
        <w:widowControl w:val="0"/>
        <w:kinsoku/>
        <w:wordWrap/>
        <w:overflowPunct/>
        <w:topLinePunct w:val="0"/>
        <w:autoSpaceDE/>
        <w:autoSpaceDN/>
        <w:bidi w:val="0"/>
        <w:adjustRightInd/>
        <w:snapToGrid/>
        <w:spacing w:before="0" w:after="0" w:line="500" w:lineRule="exact"/>
        <w:ind w:firstLine="561"/>
        <w:textAlignment w:val="auto"/>
      </w:pPr>
      <w:r>
        <w:rPr>
          <w:rFonts w:ascii="宋体" w:hAnsi="宋体" w:eastAsia="宋体" w:cs="宋体"/>
          <w:sz w:val="28"/>
          <w:szCs w:val="28"/>
        </w:rPr>
        <w:t>依照《中华人民共和国政府采购法》、《中华人民共和国民法典》及其他有关法律、行政法规，遵循平等、自愿、公平和诚实信用的原则，双方就 </w:t>
      </w:r>
      <w:r>
        <w:rPr>
          <w:rFonts w:ascii="宋体" w:hAnsi="宋体" w:eastAsia="宋体" w:cs="宋体"/>
          <w:sz w:val="28"/>
          <w:szCs w:val="28"/>
          <w:u w:val="single"/>
        </w:rPr>
        <w:t>          </w:t>
      </w:r>
      <w:r>
        <w:rPr>
          <w:rFonts w:ascii="宋体" w:hAnsi="宋体" w:eastAsia="宋体" w:cs="宋体"/>
          <w:sz w:val="28"/>
          <w:szCs w:val="28"/>
        </w:rPr>
        <w:t>（项目名称）的相关事项协商一致，达成如下合同条款：</w:t>
      </w:r>
    </w:p>
    <w:p w14:paraId="1F244810">
      <w:pPr>
        <w:keepNext w:val="0"/>
        <w:keepLines w:val="0"/>
        <w:pageBreakBefore w:val="0"/>
        <w:widowControl w:val="0"/>
        <w:kinsoku/>
        <w:wordWrap/>
        <w:overflowPunct/>
        <w:topLinePunct w:val="0"/>
        <w:autoSpaceDE/>
        <w:autoSpaceDN/>
        <w:bidi w:val="0"/>
        <w:adjustRightInd/>
        <w:snapToGrid/>
        <w:spacing w:before="0" w:after="0" w:line="500" w:lineRule="exact"/>
        <w:ind w:firstLine="561"/>
        <w:textAlignment w:val="auto"/>
      </w:pPr>
      <w:r>
        <w:rPr>
          <w:rFonts w:ascii="宋体" w:hAnsi="宋体" w:eastAsia="宋体" w:cs="宋体"/>
          <w:b/>
          <w:bCs/>
          <w:sz w:val="28"/>
          <w:szCs w:val="28"/>
        </w:rPr>
        <w:t>一、采购需求：</w:t>
      </w:r>
    </w:p>
    <w:p w14:paraId="3F862ED8">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pPr>
      <w:r>
        <w:rPr>
          <w:rFonts w:ascii="宋体" w:hAnsi="宋体" w:eastAsia="宋体" w:cs="宋体"/>
          <w:color w:val="0C0C0C"/>
          <w:sz w:val="28"/>
          <w:szCs w:val="28"/>
        </w:rPr>
        <w:t>为切实加强水域管理、保护与治理，充分发挥水域综合功能，强化水域科学监测，保障经济社会高质量发展和满足人民群众生产生活需要，根据《水利部河湖管理司关于进一步明确河湖健康评价有关事项的通知》（河湖【2023】1号）</w:t>
      </w:r>
      <w:r>
        <w:rPr>
          <w:rFonts w:hint="eastAsia" w:ascii="宋体" w:hAnsi="宋体" w:eastAsia="宋体" w:cs="宋体"/>
          <w:color w:val="0C0C0C"/>
          <w:sz w:val="28"/>
          <w:szCs w:val="28"/>
          <w:lang w:eastAsia="zh-CN"/>
        </w:rPr>
        <w:t>、</w:t>
      </w:r>
      <w:r>
        <w:rPr>
          <w:rFonts w:ascii="宋体" w:hAnsi="宋体" w:eastAsia="宋体" w:cs="宋体"/>
          <w:sz w:val="28"/>
          <w:szCs w:val="28"/>
        </w:rPr>
        <w:t>《省水利厅关于进一步强化水域监测评估建立健康档案工作的通知》（苏水河湖【2023】1号）、《省水利厅办公室关于加快河湖水域状况评价工作的通知》（苏水办河湖【2024】4号）要求，</w:t>
      </w:r>
      <w:r>
        <w:rPr>
          <w:rFonts w:ascii="宋体" w:hAnsi="宋体" w:eastAsia="宋体" w:cs="宋体"/>
          <w:color w:val="0C0C0C"/>
          <w:sz w:val="28"/>
          <w:szCs w:val="28"/>
        </w:rPr>
        <w:t>开展河道水域监测评价工作。</w:t>
      </w:r>
    </w:p>
    <w:p w14:paraId="0A564375">
      <w:pPr>
        <w:keepNext w:val="0"/>
        <w:keepLines w:val="0"/>
        <w:pageBreakBefore w:val="0"/>
        <w:kinsoku/>
        <w:wordWrap/>
        <w:overflowPunct/>
        <w:topLinePunct w:val="0"/>
        <w:autoSpaceDE/>
        <w:autoSpaceDN/>
        <w:bidi w:val="0"/>
        <w:adjustRightInd/>
        <w:snapToGrid/>
        <w:spacing w:before="0" w:after="0" w:line="500" w:lineRule="exact"/>
        <w:ind w:firstLine="560"/>
        <w:jc w:val="left"/>
        <w:textAlignment w:val="auto"/>
      </w:pPr>
      <w:r>
        <w:rPr>
          <w:rFonts w:ascii="宋体" w:hAnsi="宋体" w:eastAsia="宋体" w:cs="宋体"/>
          <w:b/>
          <w:bCs/>
          <w:color w:val="0C0C0C"/>
          <w:sz w:val="28"/>
          <w:szCs w:val="28"/>
        </w:rPr>
        <w:t>二、服务要求：</w:t>
      </w:r>
    </w:p>
    <w:p w14:paraId="286EF041">
      <w:pPr>
        <w:keepNext w:val="0"/>
        <w:keepLines w:val="0"/>
        <w:pageBreakBefore w:val="0"/>
        <w:kinsoku/>
        <w:wordWrap/>
        <w:overflowPunct/>
        <w:topLinePunct w:val="0"/>
        <w:autoSpaceDE/>
        <w:autoSpaceDN/>
        <w:bidi w:val="0"/>
        <w:adjustRightInd/>
        <w:snapToGrid/>
        <w:spacing w:before="0" w:after="0" w:line="500" w:lineRule="exact"/>
        <w:ind w:firstLine="560"/>
        <w:jc w:val="left"/>
        <w:textAlignment w:val="auto"/>
      </w:pPr>
      <w:r>
        <w:rPr>
          <w:rFonts w:ascii="宋体" w:hAnsi="宋体" w:eastAsia="宋体" w:cs="宋体"/>
          <w:color w:val="auto"/>
          <w:sz w:val="28"/>
          <w:szCs w:val="28"/>
        </w:rPr>
        <w:t>按照江苏省地方标准《水域状况评价规范》，对启东市10条河湖（见表1）进行水域保护状况监测评价工作，重点围绕水空间、水安全、水资源、水生境、水生物、水感观、水文化等方面，</w:t>
      </w:r>
      <w:r>
        <w:rPr>
          <w:rStyle w:val="123"/>
          <w:rFonts w:ascii="宋体" w:hAnsi="宋体" w:eastAsia="宋体" w:cs="宋体"/>
          <w:color w:val="auto"/>
          <w:sz w:val="28"/>
          <w:szCs w:val="28"/>
        </w:rPr>
        <w:t>对照</w:t>
      </w:r>
      <w:r>
        <w:rPr>
          <w:rStyle w:val="124"/>
          <w:rFonts w:ascii="宋体" w:hAnsi="宋体" w:eastAsia="宋体" w:cs="宋体"/>
          <w:color w:val="auto"/>
          <w:sz w:val="28"/>
          <w:szCs w:val="28"/>
        </w:rPr>
        <w:t>附件2列明的</w:t>
      </w:r>
      <w:r>
        <w:rPr>
          <w:rStyle w:val="123"/>
          <w:rFonts w:ascii="宋体" w:hAnsi="宋体" w:eastAsia="宋体" w:cs="宋体"/>
          <w:color w:val="auto"/>
          <w:sz w:val="28"/>
          <w:szCs w:val="28"/>
        </w:rPr>
        <w:t>17项评价指标</w:t>
      </w:r>
      <w:r>
        <w:rPr>
          <w:rStyle w:val="124"/>
          <w:rFonts w:ascii="宋体" w:hAnsi="宋体" w:eastAsia="宋体" w:cs="宋体"/>
          <w:color w:val="auto"/>
          <w:sz w:val="28"/>
          <w:szCs w:val="28"/>
        </w:rPr>
        <w:t>量化标准及计算方法</w:t>
      </w:r>
      <w:r>
        <w:rPr>
          <w:rStyle w:val="123"/>
          <w:rFonts w:ascii="宋体" w:hAnsi="宋体" w:eastAsia="宋体" w:cs="宋体"/>
          <w:color w:val="auto"/>
          <w:sz w:val="28"/>
          <w:szCs w:val="28"/>
        </w:rPr>
        <w:t>，逐项形成评价结果；</w:t>
      </w:r>
      <w:r>
        <w:rPr>
          <w:rFonts w:ascii="宋体" w:hAnsi="宋体" w:eastAsia="宋体" w:cs="宋体"/>
          <w:color w:val="auto"/>
          <w:sz w:val="28"/>
          <w:szCs w:val="28"/>
        </w:rPr>
        <w:t>落实《水利部河湖管理司关于进一步明确河湖健康评价有关事项的通知》</w:t>
      </w:r>
      <w:r>
        <w:rPr>
          <w:rFonts w:ascii="宋体" w:hAnsi="宋体" w:eastAsia="宋体" w:cs="宋体"/>
          <w:color w:val="0C0C0C"/>
          <w:sz w:val="28"/>
          <w:szCs w:val="28"/>
        </w:rPr>
        <w:t>（河湖【2023】1号）要求，提交水域保护状况监测评价成果。</w:t>
      </w:r>
    </w:p>
    <w:p w14:paraId="3753BCF9">
      <w:pPr>
        <w:spacing w:before="0" w:after="0" w:line="500" w:lineRule="atLeast"/>
        <w:ind w:firstLine="2880"/>
      </w:pPr>
      <w:r>
        <w:rPr>
          <w:rFonts w:ascii="仿宋" w:hAnsi="仿宋" w:eastAsia="仿宋" w:cs="仿宋"/>
          <w:sz w:val="24"/>
          <w:szCs w:val="24"/>
        </w:rPr>
        <w:t>表1 河道水域监测评估任务清单</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87"/>
        <w:gridCol w:w="5420"/>
      </w:tblGrid>
      <w:tr w14:paraId="0C64C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bottom w:val="single" w:color="000000" w:sz="4" w:space="0"/>
              <w:right w:val="single" w:color="000000" w:sz="4" w:space="0"/>
            </w:tcBorders>
            <w:noWrap w:val="0"/>
            <w:tcMar>
              <w:top w:w="0" w:type="dxa"/>
              <w:left w:w="108" w:type="dxa"/>
              <w:bottom w:w="0" w:type="dxa"/>
              <w:right w:w="108" w:type="dxa"/>
            </w:tcMar>
            <w:vAlign w:val="center"/>
          </w:tcPr>
          <w:p w14:paraId="57656CD5">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序号</w:t>
            </w:r>
          </w:p>
        </w:tc>
        <w:tc>
          <w:tcPr>
            <w:tcW w:w="5420" w:type="dxa"/>
            <w:tcBorders>
              <w:left w:val="single" w:color="000000" w:sz="4" w:space="0"/>
              <w:bottom w:val="single" w:color="000000" w:sz="4" w:space="0"/>
            </w:tcBorders>
            <w:noWrap w:val="0"/>
            <w:tcMar>
              <w:top w:w="0" w:type="dxa"/>
              <w:left w:w="108" w:type="dxa"/>
              <w:bottom w:w="0" w:type="dxa"/>
              <w:right w:w="108" w:type="dxa"/>
            </w:tcMar>
            <w:vAlign w:val="center"/>
          </w:tcPr>
          <w:p w14:paraId="10184C10">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河湖名称</w:t>
            </w:r>
          </w:p>
        </w:tc>
      </w:tr>
      <w:tr w14:paraId="78C77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0B73B">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1</w:t>
            </w:r>
          </w:p>
        </w:tc>
        <w:tc>
          <w:tcPr>
            <w:tcW w:w="5420"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9FAD831">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聚阳河</w:t>
            </w:r>
          </w:p>
        </w:tc>
      </w:tr>
      <w:tr w14:paraId="6AB12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76D454">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2</w:t>
            </w:r>
          </w:p>
        </w:tc>
        <w:tc>
          <w:tcPr>
            <w:tcW w:w="5420"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528AEB40">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倒岸河</w:t>
            </w:r>
          </w:p>
        </w:tc>
      </w:tr>
      <w:tr w14:paraId="07836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5BF277">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3</w:t>
            </w:r>
          </w:p>
        </w:tc>
        <w:tc>
          <w:tcPr>
            <w:tcW w:w="5420"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7D274A21">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新港河</w:t>
            </w:r>
          </w:p>
        </w:tc>
      </w:tr>
      <w:tr w14:paraId="02E83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D256BF">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4</w:t>
            </w:r>
          </w:p>
        </w:tc>
        <w:tc>
          <w:tcPr>
            <w:tcW w:w="5420"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A155601">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南引河</w:t>
            </w:r>
          </w:p>
        </w:tc>
      </w:tr>
      <w:tr w14:paraId="2F922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52B69F">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5</w:t>
            </w:r>
          </w:p>
        </w:tc>
        <w:tc>
          <w:tcPr>
            <w:tcW w:w="5420"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5301AE1F">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红阳河</w:t>
            </w:r>
          </w:p>
        </w:tc>
      </w:tr>
      <w:tr w14:paraId="2B779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80976C">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6</w:t>
            </w:r>
          </w:p>
        </w:tc>
        <w:tc>
          <w:tcPr>
            <w:tcW w:w="5420"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6C13CBAD">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五滧河</w:t>
            </w:r>
          </w:p>
        </w:tc>
      </w:tr>
      <w:tr w14:paraId="30C18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2DDD1">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7</w:t>
            </w:r>
          </w:p>
        </w:tc>
        <w:tc>
          <w:tcPr>
            <w:tcW w:w="5420"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17A942A9">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戤滧河</w:t>
            </w:r>
          </w:p>
        </w:tc>
      </w:tr>
      <w:tr w14:paraId="79470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0D077C">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8</w:t>
            </w:r>
          </w:p>
        </w:tc>
        <w:tc>
          <w:tcPr>
            <w:tcW w:w="5420"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32C86114">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塘芦港</w:t>
            </w:r>
          </w:p>
        </w:tc>
      </w:tr>
      <w:tr w14:paraId="45CE7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6C69B7">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9</w:t>
            </w:r>
          </w:p>
        </w:tc>
        <w:tc>
          <w:tcPr>
            <w:tcW w:w="5420"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12252AC4">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兴垦匡河</w:t>
            </w:r>
          </w:p>
        </w:tc>
      </w:tr>
      <w:tr w14:paraId="76C83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7" w:type="dxa"/>
            <w:tcBorders>
              <w:top w:val="single" w:color="000000" w:sz="4" w:space="0"/>
              <w:right w:val="single" w:color="000000" w:sz="4" w:space="0"/>
            </w:tcBorders>
            <w:noWrap w:val="0"/>
            <w:tcMar>
              <w:top w:w="0" w:type="dxa"/>
              <w:left w:w="108" w:type="dxa"/>
              <w:bottom w:w="0" w:type="dxa"/>
              <w:right w:w="108" w:type="dxa"/>
            </w:tcMar>
            <w:vAlign w:val="center"/>
          </w:tcPr>
          <w:p w14:paraId="6B4813A0">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10</w:t>
            </w:r>
          </w:p>
        </w:tc>
        <w:tc>
          <w:tcPr>
            <w:tcW w:w="5420" w:type="dxa"/>
            <w:tcBorders>
              <w:top w:val="single" w:color="000000" w:sz="4" w:space="0"/>
              <w:left w:val="single" w:color="000000" w:sz="4" w:space="0"/>
            </w:tcBorders>
            <w:noWrap w:val="0"/>
            <w:tcMar>
              <w:top w:w="0" w:type="dxa"/>
              <w:left w:w="108" w:type="dxa"/>
              <w:bottom w:w="0" w:type="dxa"/>
              <w:right w:w="108" w:type="dxa"/>
            </w:tcMar>
            <w:vAlign w:val="center"/>
          </w:tcPr>
          <w:p w14:paraId="765CD8EC">
            <w:pPr>
              <w:spacing w:before="0" w:after="0" w:line="500" w:lineRule="atLeast"/>
              <w:jc w:val="center"/>
              <w:rPr>
                <w:b w:val="0"/>
                <w:bCs w:val="0"/>
                <w:i w:val="0"/>
                <w:iCs w:val="0"/>
                <w:smallCaps w:val="0"/>
                <w:color w:val="000000"/>
                <w:sz w:val="24"/>
                <w:szCs w:val="24"/>
              </w:rPr>
            </w:pPr>
            <w:r>
              <w:rPr>
                <w:rFonts w:ascii="仿宋" w:hAnsi="仿宋" w:eastAsia="仿宋" w:cs="仿宋"/>
                <w:b w:val="0"/>
                <w:bCs w:val="0"/>
                <w:i w:val="0"/>
                <w:iCs w:val="0"/>
                <w:smallCaps w:val="0"/>
                <w:color w:val="000000"/>
                <w:sz w:val="24"/>
                <w:szCs w:val="24"/>
              </w:rPr>
              <w:t>海防匡河</w:t>
            </w:r>
          </w:p>
        </w:tc>
      </w:tr>
    </w:tbl>
    <w:p w14:paraId="36B301D8">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b/>
          <w:bCs/>
          <w:color w:val="auto"/>
          <w:sz w:val="28"/>
          <w:szCs w:val="28"/>
        </w:rPr>
        <w:t>三、合同费用与支付方式</w:t>
      </w:r>
    </w:p>
    <w:p w14:paraId="4F924DCF">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（一）合同费用</w:t>
      </w:r>
    </w:p>
    <w:p w14:paraId="425958AC">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Style w:val="125"/>
          <w:rFonts w:ascii="宋体" w:hAnsi="宋体" w:eastAsia="宋体" w:cs="宋体"/>
          <w:color w:val="auto"/>
          <w:sz w:val="28"/>
          <w:szCs w:val="28"/>
        </w:rPr>
        <w:t>1、甲乙共同确认本项目合同费用总价为人民币</w:t>
      </w:r>
      <w:r>
        <w:rPr>
          <w:rStyle w:val="125"/>
          <w:rFonts w:ascii="宋体" w:hAnsi="宋体" w:eastAsia="宋体" w:cs="宋体"/>
          <w:strike/>
          <w:color w:val="auto"/>
          <w:sz w:val="28"/>
          <w:szCs w:val="28"/>
        </w:rPr>
        <w:t> </w:t>
      </w:r>
      <w:r>
        <w:rPr>
          <w:rStyle w:val="125"/>
          <w:rFonts w:ascii="宋体" w:hAnsi="宋体" w:eastAsia="宋体" w:cs="宋体"/>
          <w:color w:val="auto"/>
          <w:sz w:val="28"/>
          <w:szCs w:val="28"/>
        </w:rPr>
        <w:t>（¥</w:t>
      </w:r>
      <w:r>
        <w:rPr>
          <w:rStyle w:val="125"/>
          <w:rFonts w:ascii="宋体" w:hAnsi="宋体" w:eastAsia="宋体" w:cs="宋体"/>
          <w:strike/>
          <w:color w:val="auto"/>
          <w:sz w:val="28"/>
          <w:szCs w:val="28"/>
        </w:rPr>
        <w:t> </w:t>
      </w:r>
      <w:r>
        <w:rPr>
          <w:rStyle w:val="125"/>
          <w:rFonts w:ascii="宋体" w:hAnsi="宋体" w:eastAsia="宋体" w:cs="宋体"/>
          <w:color w:val="auto"/>
          <w:sz w:val="28"/>
          <w:szCs w:val="28"/>
        </w:rPr>
        <w:t>）。</w:t>
      </w:r>
      <w:r>
        <w:rPr>
          <w:rStyle w:val="126"/>
          <w:rFonts w:ascii="宋体" w:hAnsi="宋体" w:eastAsia="宋体" w:cs="宋体"/>
          <w:color w:val="auto"/>
          <w:sz w:val="28"/>
          <w:szCs w:val="28"/>
        </w:rPr>
        <w:t>本合同总价包含乙方为完成本合同可能产生的所有费用，不因任何情况调整。</w:t>
      </w:r>
    </w:p>
    <w:p w14:paraId="15E1939F">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2、甲乙共同确认，上述合同费用包括以下内容：</w:t>
      </w:r>
    </w:p>
    <w:p w14:paraId="6B3BE881">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w:t>
      </w:r>
      <w:r>
        <w:rPr>
          <w:rStyle w:val="127"/>
          <w:rFonts w:ascii="宋体" w:hAnsi="宋体" w:eastAsia="宋体" w:cs="宋体"/>
          <w:color w:val="auto"/>
          <w:sz w:val="28"/>
          <w:szCs w:val="28"/>
        </w:rPr>
        <w:t>乙方安排人员参加本项目相关流程的全部费用；</w:t>
      </w:r>
      <w:r>
        <w:rPr>
          <w:rStyle w:val="128"/>
          <w:rFonts w:ascii="宋体" w:hAnsi="宋体" w:eastAsia="宋体" w:cs="宋体"/>
          <w:color w:val="auto"/>
          <w:sz w:val="28"/>
          <w:szCs w:val="28"/>
        </w:rPr>
        <w:t>乙方应保证其派驻人员具备相应资质、能力，因乙方人员原因造成的任何损失由乙方全额承担。乙方应自行负责其人员的安全、保险等，甲方不承担任何连带责任。</w:t>
      </w:r>
    </w:p>
    <w:p w14:paraId="6F7482B3">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2）乙方人员参加本项目所需的车旅费、人工费、咨询费、培训费、校验费、评审费、技术支持费、研究论证费、编制费、调研费、编制与图件制作、劳务补贴、招标代理费等方为完成本合同约定的全部服务内容所发生的成本、利润、费用、公司管理费及各类税费；</w:t>
      </w:r>
    </w:p>
    <w:p w14:paraId="5A7D8569">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（3）乙方人员进行驻场及现场勘测考察所需的全部费用；</w:t>
      </w:r>
    </w:p>
    <w:p w14:paraId="0719EBB2">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（4）其他相关费用。</w:t>
      </w:r>
    </w:p>
    <w:p w14:paraId="7B6D6CBE">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Style w:val="129"/>
          <w:rFonts w:ascii="宋体" w:hAnsi="宋体" w:eastAsia="宋体" w:cs="宋体"/>
          <w:color w:val="auto"/>
          <w:sz w:val="28"/>
          <w:szCs w:val="28"/>
        </w:rPr>
        <w:t>3、甲方有权将本合同项下全部合同费用划转至乙方的指定账户。</w:t>
      </w:r>
      <w:r>
        <w:rPr>
          <w:rStyle w:val="130"/>
          <w:rFonts w:ascii="宋体" w:hAnsi="宋体" w:eastAsia="宋体" w:cs="宋体"/>
          <w:color w:val="auto"/>
          <w:sz w:val="28"/>
          <w:szCs w:val="28"/>
        </w:rPr>
        <w:t>乙方确认合同总价已包含通胀、税率变动等所有风险因素，合同价格为包干价，乙方不得以任何理由要求调整合同价款。</w:t>
      </w:r>
    </w:p>
    <w:p w14:paraId="1A725B52">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（二）费用支付</w:t>
      </w:r>
    </w:p>
    <w:p w14:paraId="23446B6C">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合同签订并生效后的十五天内，成交供应商出具发票，采购人支付合同价的20%，</w:t>
      </w:r>
      <w:r>
        <w:rPr>
          <w:rStyle w:val="131"/>
          <w:rFonts w:ascii="宋体" w:hAnsi="宋体" w:eastAsia="宋体" w:cs="宋体"/>
          <w:color w:val="auto"/>
          <w:sz w:val="28"/>
          <w:szCs w:val="28"/>
        </w:rPr>
        <w:t>剩余合同款的80%待项目</w:t>
      </w:r>
      <w:r>
        <w:rPr>
          <w:rStyle w:val="132"/>
          <w:rFonts w:ascii="宋体" w:hAnsi="宋体" w:eastAsia="宋体" w:cs="宋体"/>
          <w:color w:val="auto"/>
          <w:sz w:val="28"/>
          <w:szCs w:val="28"/>
        </w:rPr>
        <w:t>最终成果</w:t>
      </w:r>
      <w:r>
        <w:rPr>
          <w:rStyle w:val="134"/>
          <w:rFonts w:ascii="宋体" w:hAnsi="宋体" w:eastAsia="宋体" w:cs="宋体"/>
          <w:color w:val="auto"/>
          <w:sz w:val="28"/>
          <w:szCs w:val="28"/>
        </w:rPr>
        <w:t>满足甲方及上级部门的</w:t>
      </w:r>
      <w:r>
        <w:rPr>
          <w:rStyle w:val="134"/>
          <w:rFonts w:hint="eastAsia" w:ascii="宋体" w:hAnsi="宋体" w:cs="宋体"/>
          <w:color w:val="auto"/>
          <w:sz w:val="28"/>
          <w:szCs w:val="28"/>
          <w:lang w:val="en-US" w:eastAsia="zh-CN"/>
        </w:rPr>
        <w:t>需求</w:t>
      </w:r>
      <w:bookmarkStart w:id="109" w:name="_GoBack"/>
      <w:bookmarkEnd w:id="109"/>
      <w:r>
        <w:rPr>
          <w:rStyle w:val="132"/>
          <w:rFonts w:ascii="宋体" w:hAnsi="宋体" w:eastAsia="宋体" w:cs="宋体"/>
          <w:color w:val="auto"/>
          <w:sz w:val="28"/>
          <w:szCs w:val="28"/>
        </w:rPr>
        <w:t>、完成河湖健康档案备案且乙方完整履行资料移交义务</w:t>
      </w:r>
      <w:r>
        <w:rPr>
          <w:rStyle w:val="131"/>
          <w:rFonts w:ascii="宋体" w:hAnsi="宋体" w:eastAsia="宋体" w:cs="宋体"/>
          <w:color w:val="auto"/>
          <w:sz w:val="28"/>
          <w:szCs w:val="28"/>
        </w:rPr>
        <w:t>后</w:t>
      </w:r>
      <w:r>
        <w:rPr>
          <w:rStyle w:val="132"/>
          <w:rFonts w:ascii="宋体" w:hAnsi="宋体" w:eastAsia="宋体" w:cs="宋体"/>
          <w:color w:val="auto"/>
          <w:sz w:val="28"/>
          <w:szCs w:val="28"/>
        </w:rPr>
        <w:t>15个工作日内支</w:t>
      </w:r>
      <w:r>
        <w:rPr>
          <w:rStyle w:val="131"/>
          <w:rFonts w:ascii="宋体" w:hAnsi="宋体" w:eastAsia="宋体" w:cs="宋体"/>
          <w:color w:val="auto"/>
          <w:sz w:val="28"/>
          <w:szCs w:val="28"/>
        </w:rPr>
        <w:t>付。</w:t>
      </w:r>
      <w:r>
        <w:rPr>
          <w:rFonts w:ascii="宋体" w:hAnsi="宋体" w:eastAsia="宋体" w:cs="宋体"/>
          <w:color w:val="auto"/>
          <w:sz w:val="28"/>
          <w:szCs w:val="28"/>
        </w:rPr>
        <w:t>履约保证金在服务期满无问题后予以退还。</w:t>
      </w:r>
    </w:p>
    <w:p w14:paraId="46245830">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b/>
          <w:bCs/>
          <w:sz w:val="28"/>
          <w:szCs w:val="28"/>
        </w:rPr>
        <w:t>四、完成工期及服务地点</w:t>
      </w:r>
    </w:p>
    <w:p w14:paraId="73EE8087">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sz w:val="28"/>
          <w:szCs w:val="28"/>
        </w:rPr>
        <w:t>（一）完成时间：2025年8月至2026年2月28日前，完成启东市10条河湖水域保护状况监测评价成果及编制河湖健康档案，审核并修改完善，向甲方提供最终成果。</w:t>
      </w:r>
    </w:p>
    <w:p w14:paraId="27846D12">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sz w:val="28"/>
          <w:szCs w:val="28"/>
        </w:rPr>
        <w:t>（二）编制成果提供：根据甲方要求。</w:t>
      </w:r>
    </w:p>
    <w:p w14:paraId="72C7106E">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sz w:val="28"/>
          <w:szCs w:val="28"/>
        </w:rPr>
        <w:t>（三）服务地点：甲方指定地点</w:t>
      </w:r>
    </w:p>
    <w:p w14:paraId="22685E90">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b/>
          <w:bCs/>
          <w:sz w:val="28"/>
          <w:szCs w:val="28"/>
        </w:rPr>
        <w:t>五、成果要求</w:t>
      </w:r>
    </w:p>
    <w:p w14:paraId="5F3954EB">
      <w:pPr>
        <w:keepNext w:val="0"/>
        <w:keepLines w:val="0"/>
        <w:pageBreakBefore w:val="0"/>
        <w:widowControl/>
        <w:kinsoku/>
        <w:wordWrap/>
        <w:overflowPunct/>
        <w:topLinePunct w:val="0"/>
        <w:autoSpaceDE/>
        <w:autoSpaceDN/>
        <w:bidi w:val="0"/>
        <w:spacing w:before="0" w:after="0" w:line="500" w:lineRule="exact"/>
        <w:ind w:firstLine="442"/>
        <w:jc w:val="left"/>
        <w:textAlignment w:val="auto"/>
        <w:rPr>
          <w:color w:val="auto"/>
        </w:rPr>
      </w:pPr>
      <w:r>
        <w:rPr>
          <w:rStyle w:val="133"/>
          <w:rFonts w:ascii="宋体" w:hAnsi="宋体" w:eastAsia="宋体" w:cs="宋体"/>
          <w:color w:val="auto"/>
          <w:sz w:val="28"/>
          <w:szCs w:val="28"/>
        </w:rPr>
        <w:t>1.水域保护状况监测评价成果完成后，并通过专家的审查，提交评价报告电子版一份、纸质版报告二份（包含相关附件）。</w:t>
      </w:r>
      <w:r>
        <w:rPr>
          <w:rStyle w:val="134"/>
          <w:rFonts w:ascii="宋体" w:hAnsi="宋体" w:eastAsia="宋体" w:cs="宋体"/>
          <w:color w:val="auto"/>
          <w:sz w:val="28"/>
          <w:szCs w:val="28"/>
        </w:rPr>
        <w:t>乙方提交的评价报告须经启东市水</w:t>
      </w:r>
      <w:r>
        <w:rPr>
          <w:rStyle w:val="134"/>
          <w:rFonts w:hint="eastAsia" w:ascii="宋体" w:hAnsi="宋体" w:eastAsia="宋体" w:cs="宋体"/>
          <w:color w:val="auto"/>
          <w:sz w:val="28"/>
          <w:szCs w:val="28"/>
          <w:lang w:val="en-US" w:eastAsia="zh-CN"/>
        </w:rPr>
        <w:t>务</w:t>
      </w:r>
      <w:r>
        <w:rPr>
          <w:rStyle w:val="134"/>
          <w:rFonts w:ascii="宋体" w:hAnsi="宋体" w:eastAsia="宋体" w:cs="宋体"/>
          <w:color w:val="auto"/>
          <w:sz w:val="28"/>
          <w:szCs w:val="28"/>
        </w:rPr>
        <w:t>局书面确认达到《水域状况评价规范》标准，并严格按照甲方及上级主管部门的最新标准、格式、内容和深度要求编制，确保成果可直接满足甲方及上级主管部门的验收要求。如乙方提交的成果未通过甲方或上级主管部门验收，乙方应无条件免费整改直至合格，且整改不影响合同约定的最终交付时间。</w:t>
      </w:r>
      <w:r>
        <w:rPr>
          <w:rStyle w:val="135"/>
          <w:rFonts w:ascii="宋体" w:hAnsi="宋体" w:eastAsia="宋体" w:cs="宋体"/>
          <w:color w:val="auto"/>
          <w:sz w:val="28"/>
          <w:szCs w:val="28"/>
        </w:rPr>
        <w:t>乙方须通过加密光盘及甲方指定政务云平台双渠道提交成果电子文件，纸质文件应加盖骑缝章并附文件清单。</w:t>
      </w:r>
    </w:p>
    <w:p w14:paraId="00AD46D5">
      <w:pPr>
        <w:keepNext w:val="0"/>
        <w:keepLines w:val="0"/>
        <w:pageBreakBefore w:val="0"/>
        <w:widowControl/>
        <w:kinsoku/>
        <w:wordWrap/>
        <w:overflowPunct/>
        <w:topLinePunct w:val="0"/>
        <w:autoSpaceDE/>
        <w:autoSpaceDN/>
        <w:bidi w:val="0"/>
        <w:spacing w:before="0" w:after="0" w:line="500" w:lineRule="exact"/>
        <w:ind w:firstLine="442"/>
        <w:jc w:val="left"/>
        <w:textAlignment w:val="auto"/>
      </w:pPr>
      <w:r>
        <w:rPr>
          <w:rFonts w:ascii="宋体" w:hAnsi="宋体" w:eastAsia="宋体" w:cs="宋体"/>
          <w:sz w:val="28"/>
          <w:szCs w:val="28"/>
        </w:rPr>
        <w:t>2.按照相关文件要求，根据水域监测评估成果总结编制河湖健康档案，并上传至水利部相关系统。</w:t>
      </w:r>
    </w:p>
    <w:p w14:paraId="6E6AACCD">
      <w:pPr>
        <w:keepNext w:val="0"/>
        <w:keepLines w:val="0"/>
        <w:pageBreakBefore w:val="0"/>
        <w:kinsoku/>
        <w:wordWrap/>
        <w:overflowPunct/>
        <w:topLinePunct w:val="0"/>
        <w:autoSpaceDE/>
        <w:autoSpaceDN/>
        <w:bidi w:val="0"/>
        <w:spacing w:before="0" w:after="0" w:line="500" w:lineRule="exact"/>
        <w:ind w:firstLine="561"/>
        <w:jc w:val="left"/>
        <w:textAlignment w:val="auto"/>
      </w:pPr>
      <w:r>
        <w:rPr>
          <w:rFonts w:ascii="宋体" w:hAnsi="宋体" w:eastAsia="宋体" w:cs="宋体"/>
          <w:b/>
          <w:bCs/>
          <w:sz w:val="28"/>
          <w:szCs w:val="28"/>
        </w:rPr>
        <w:t>六、履约保证金</w:t>
      </w:r>
    </w:p>
    <w:p w14:paraId="2BDCF7ED">
      <w:pPr>
        <w:keepNext w:val="0"/>
        <w:keepLines w:val="0"/>
        <w:pageBreakBefore w:val="0"/>
        <w:kinsoku/>
        <w:wordWrap/>
        <w:overflowPunct/>
        <w:topLinePunct w:val="0"/>
        <w:autoSpaceDE/>
        <w:autoSpaceDN/>
        <w:bidi w:val="0"/>
        <w:spacing w:before="0" w:after="0" w:line="500" w:lineRule="exact"/>
        <w:ind w:firstLine="561"/>
        <w:jc w:val="left"/>
        <w:textAlignment w:val="auto"/>
        <w:rPr>
          <w:color w:val="auto"/>
        </w:rPr>
      </w:pPr>
      <w:r>
        <w:rPr>
          <w:rFonts w:hint="eastAsia" w:ascii="宋体" w:hAnsi="宋体" w:eastAsia="宋体" w:cs="宋体"/>
          <w:color w:val="auto"/>
          <w:sz w:val="28"/>
          <w:szCs w:val="28"/>
          <w:lang w:val="en-US" w:eastAsia="zh-CN"/>
        </w:rPr>
        <w:t>1、</w:t>
      </w:r>
      <w:r>
        <w:rPr>
          <w:rFonts w:ascii="宋体" w:hAnsi="宋体" w:eastAsia="宋体" w:cs="宋体"/>
          <w:color w:val="auto"/>
          <w:sz w:val="28"/>
          <w:szCs w:val="28"/>
        </w:rPr>
        <w:t>本项目中标后的履约保证金为项目成交价的10%（    元），</w:t>
      </w:r>
      <w:r>
        <w:rPr>
          <w:rStyle w:val="136"/>
          <w:rFonts w:ascii="宋体" w:hAnsi="宋体" w:eastAsia="宋体" w:cs="宋体"/>
          <w:color w:val="auto"/>
          <w:sz w:val="28"/>
          <w:szCs w:val="28"/>
        </w:rPr>
        <w:t>乙方的履约保证金须在成交通知书发出之日起至合同签订前汇入采购单位账户（应当以数字人民币、支票、汇票或者金融机构、担保机构出具的保函等非现金形式提交），乙方凭中标通知书与甲方签订合同。超期或未有协商，则视为自动放弃成交资格。</w:t>
      </w:r>
      <w:r>
        <w:rPr>
          <w:rStyle w:val="137"/>
          <w:rFonts w:ascii="宋体" w:hAnsi="宋体" w:eastAsia="宋体" w:cs="宋体"/>
          <w:color w:val="auto"/>
          <w:sz w:val="28"/>
          <w:szCs w:val="28"/>
        </w:rPr>
        <w:t>乙方未在成交通知书发出后7个工作日内足额缴纳履约保证金的，甲方有权单方取消其中标资格。</w:t>
      </w:r>
    </w:p>
    <w:p w14:paraId="00E4D682">
      <w:pPr>
        <w:keepNext w:val="0"/>
        <w:keepLines w:val="0"/>
        <w:pageBreakBefore w:val="0"/>
        <w:kinsoku/>
        <w:wordWrap/>
        <w:overflowPunct/>
        <w:topLinePunct w:val="0"/>
        <w:autoSpaceDE/>
        <w:autoSpaceDN/>
        <w:bidi w:val="0"/>
        <w:spacing w:before="0" w:after="0" w:line="500" w:lineRule="exact"/>
        <w:ind w:firstLine="561"/>
        <w:jc w:val="left"/>
        <w:textAlignment w:val="auto"/>
        <w:rPr>
          <w:color w:val="auto"/>
        </w:rPr>
      </w:pPr>
      <w:r>
        <w:rPr>
          <w:rFonts w:ascii="宋体" w:hAnsi="宋体" w:eastAsia="宋体" w:cs="宋体"/>
          <w:color w:val="auto"/>
          <w:sz w:val="28"/>
          <w:szCs w:val="28"/>
        </w:rPr>
        <w:t>2、乙方全部履约合同义务，经甲方验收合格无质量、进度等问题的，甲方在验收合格后一次性退还履约保证金，</w:t>
      </w:r>
      <w:r>
        <w:rPr>
          <w:rStyle w:val="138"/>
          <w:rFonts w:ascii="宋体" w:hAnsi="宋体" w:eastAsia="宋体" w:cs="宋体"/>
          <w:color w:val="auto"/>
          <w:sz w:val="28"/>
          <w:szCs w:val="28"/>
        </w:rPr>
        <w:t>甲方若逾期退还履约保证金的，按照逾期部分的每日0.05%支付违约金</w:t>
      </w:r>
      <w:r>
        <w:rPr>
          <w:rStyle w:val="139"/>
          <w:rFonts w:ascii="宋体" w:hAnsi="宋体" w:eastAsia="宋体" w:cs="宋体"/>
          <w:color w:val="auto"/>
          <w:sz w:val="28"/>
          <w:szCs w:val="28"/>
        </w:rPr>
        <w:t>，或按中国人民银行同期存款利率支付利息，由双方协商确定</w:t>
      </w:r>
      <w:r>
        <w:rPr>
          <w:rStyle w:val="138"/>
          <w:rFonts w:ascii="宋体" w:hAnsi="宋体" w:eastAsia="宋体" w:cs="宋体"/>
          <w:color w:val="auto"/>
          <w:sz w:val="28"/>
          <w:szCs w:val="28"/>
        </w:rPr>
        <w:t>。</w:t>
      </w:r>
    </w:p>
    <w:p w14:paraId="19ACF8D2">
      <w:pPr>
        <w:keepNext w:val="0"/>
        <w:keepLines w:val="0"/>
        <w:pageBreakBefore w:val="0"/>
        <w:kinsoku/>
        <w:wordWrap/>
        <w:overflowPunct/>
        <w:topLinePunct w:val="0"/>
        <w:autoSpaceDE/>
        <w:autoSpaceDN/>
        <w:bidi w:val="0"/>
        <w:spacing w:before="0" w:after="0" w:line="500" w:lineRule="exact"/>
        <w:ind w:firstLine="561"/>
        <w:jc w:val="left"/>
        <w:textAlignment w:val="auto"/>
        <w:rPr>
          <w:color w:val="auto"/>
        </w:rPr>
      </w:pPr>
      <w:r>
        <w:rPr>
          <w:rFonts w:ascii="宋体" w:hAnsi="宋体" w:eastAsia="宋体" w:cs="宋体"/>
          <w:color w:val="auto"/>
          <w:sz w:val="28"/>
          <w:szCs w:val="28"/>
        </w:rPr>
        <w:t>3、发生以下情况的，履约保证金不予退还或部分退还：</w:t>
      </w:r>
    </w:p>
    <w:p w14:paraId="6F5F89BD">
      <w:pPr>
        <w:keepNext w:val="0"/>
        <w:keepLines w:val="0"/>
        <w:pageBreakBefore w:val="0"/>
        <w:kinsoku/>
        <w:wordWrap/>
        <w:overflowPunct/>
        <w:topLinePunct w:val="0"/>
        <w:autoSpaceDE/>
        <w:autoSpaceDN/>
        <w:bidi w:val="0"/>
        <w:spacing w:before="0" w:after="0" w:line="500" w:lineRule="exact"/>
        <w:ind w:firstLine="561"/>
        <w:jc w:val="left"/>
        <w:textAlignment w:val="auto"/>
        <w:rPr>
          <w:color w:val="auto"/>
        </w:rPr>
      </w:pPr>
      <w:r>
        <w:rPr>
          <w:rFonts w:ascii="宋体" w:hAnsi="宋体" w:eastAsia="宋体" w:cs="宋体"/>
          <w:color w:val="auto"/>
          <w:sz w:val="28"/>
          <w:szCs w:val="28"/>
        </w:rPr>
        <w:t>a.签订合同后，乙方不履行合同义务的，甲方有权全额扣除履约保证金，全额不予退还，同时甲方亦有权终止合同，乙方还须承担相应的法律赔偿责任。</w:t>
      </w:r>
    </w:p>
    <w:p w14:paraId="59E20976">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b.乙方在履约过程中发生违约行为，给甲方造成损失的，甲方有权在乙方缴纳的履约保证金中予以扣款，以弥补甲方经济损失，</w:t>
      </w:r>
      <w:r>
        <w:rPr>
          <w:rStyle w:val="140"/>
          <w:rFonts w:ascii="宋体" w:hAnsi="宋体" w:eastAsia="宋体" w:cs="宋体"/>
          <w:color w:val="auto"/>
          <w:sz w:val="28"/>
          <w:szCs w:val="28"/>
        </w:rPr>
        <w:t>不足的部分乙方</w:t>
      </w:r>
      <w:r>
        <w:rPr>
          <w:rStyle w:val="141"/>
          <w:rFonts w:ascii="宋体" w:hAnsi="宋体" w:eastAsia="宋体" w:cs="宋体"/>
          <w:color w:val="auto"/>
          <w:sz w:val="28"/>
          <w:szCs w:val="28"/>
        </w:rPr>
        <w:t>应在接到甲方通知后3个工作日内以现金方式</w:t>
      </w:r>
      <w:r>
        <w:rPr>
          <w:rStyle w:val="140"/>
          <w:rFonts w:ascii="宋体" w:hAnsi="宋体" w:eastAsia="宋体" w:cs="宋体"/>
          <w:color w:val="auto"/>
          <w:sz w:val="28"/>
          <w:szCs w:val="28"/>
        </w:rPr>
        <w:t>补</w:t>
      </w:r>
      <w:r>
        <w:rPr>
          <w:rStyle w:val="141"/>
          <w:rFonts w:ascii="宋体" w:hAnsi="宋体" w:eastAsia="宋体" w:cs="宋体"/>
          <w:color w:val="auto"/>
          <w:sz w:val="28"/>
          <w:szCs w:val="28"/>
        </w:rPr>
        <w:t>足，且甲方有权从后续应付款中直接扣除</w:t>
      </w:r>
      <w:r>
        <w:rPr>
          <w:rStyle w:val="140"/>
          <w:rFonts w:ascii="宋体" w:hAnsi="宋体" w:eastAsia="宋体" w:cs="宋体"/>
          <w:color w:val="auto"/>
          <w:sz w:val="28"/>
          <w:szCs w:val="28"/>
        </w:rPr>
        <w:t>。</w:t>
      </w:r>
    </w:p>
    <w:p w14:paraId="0F646435">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b/>
          <w:bCs/>
          <w:sz w:val="28"/>
          <w:szCs w:val="28"/>
        </w:rPr>
        <w:t>七、双方的权利与义务</w:t>
      </w:r>
    </w:p>
    <w:p w14:paraId="3A36318B">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sz w:val="28"/>
          <w:szCs w:val="28"/>
        </w:rPr>
        <w:t>（一）甲方的权利与义务</w:t>
      </w:r>
    </w:p>
    <w:p w14:paraId="4E9D95CB">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1、甲方有权协助乙方开展现状调查和基础资料收集工作，提供相关资料。</w:t>
      </w:r>
    </w:p>
    <w:p w14:paraId="799DE172">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Style w:val="142"/>
          <w:rFonts w:ascii="宋体" w:hAnsi="宋体" w:eastAsia="宋体" w:cs="宋体"/>
          <w:color w:val="auto"/>
          <w:sz w:val="28"/>
          <w:szCs w:val="28"/>
        </w:rPr>
        <w:t>2、甲方有权分阶段组织审查并对乙方所作的成果提出书面意见，对乙方提交的报批成果和正式成果进行验收。</w:t>
      </w:r>
      <w:r>
        <w:rPr>
          <w:rStyle w:val="143"/>
          <w:rFonts w:ascii="宋体" w:hAnsi="宋体" w:eastAsia="宋体" w:cs="宋体"/>
          <w:color w:val="auto"/>
          <w:sz w:val="28"/>
          <w:szCs w:val="28"/>
        </w:rPr>
        <w:t>验收标准以甲方技术委员会书面确认为准。</w:t>
      </w:r>
      <w:r>
        <w:rPr>
          <w:rStyle w:val="144"/>
          <w:rFonts w:ascii="宋体" w:hAnsi="宋体" w:eastAsia="宋体" w:cs="宋体"/>
          <w:color w:val="auto"/>
          <w:sz w:val="28"/>
          <w:szCs w:val="28"/>
        </w:rPr>
        <w:t>甲方有权分阶段组织不少于三次的中间成果验收，每次验收不合格乙方需在5个工作日内整改并承担整改费用。</w:t>
      </w:r>
    </w:p>
    <w:p w14:paraId="39DFE804">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3、甲方有权参与合同设定的各阶段工作，参与研究讨论工作。</w:t>
      </w:r>
    </w:p>
    <w:p w14:paraId="584076EB">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4、甲方有权根据情况需要安排召开相关讨论、咨询和论证会。</w:t>
      </w:r>
    </w:p>
    <w:p w14:paraId="0DD5BCB8">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5、甲方有权合理安排工作进度，并及时组织成果验收。</w:t>
      </w:r>
    </w:p>
    <w:p w14:paraId="0348E6AC">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6、甲方有权按合同要求履行付款义务。</w:t>
      </w:r>
    </w:p>
    <w:p w14:paraId="7621BC65">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7、甲方有权协助乙方做好当地的食宿安排、交通组织、资料收集、实地考察、深度访谈、专家研讨会等相关工作，并督促乙方按时保质地完成任务。</w:t>
      </w:r>
    </w:p>
    <w:p w14:paraId="1AF4AE4D">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8、</w:t>
      </w:r>
      <w:r>
        <w:rPr>
          <w:rStyle w:val="145"/>
          <w:rFonts w:ascii="宋体" w:hAnsi="宋体" w:eastAsia="宋体" w:cs="宋体"/>
          <w:color w:val="auto"/>
          <w:sz w:val="28"/>
          <w:szCs w:val="28"/>
        </w:rPr>
        <w:t>甲方有权对乙方在本项目工作过程中的工作情况进行检查、监督，并有权对乙方的工作情况提出整改意见，乙方应根据甲方的整改意见及时进行整改。</w:t>
      </w:r>
      <w:r>
        <w:rPr>
          <w:rStyle w:val="146"/>
          <w:rFonts w:ascii="宋体" w:hAnsi="宋体" w:eastAsia="宋体" w:cs="宋体"/>
          <w:color w:val="auto"/>
          <w:sz w:val="28"/>
          <w:szCs w:val="28"/>
        </w:rPr>
        <w:t>甲方对乙方的整改要求经两次书面通知仍未达标的，视为根本违约。甲方可委托第三方机构对乙方成果进行复核，复核费用由乙方承担。合同履行过程中，甲方有权随时要求乙方报告工作进展、提交阶段性成果，乙方应无条件配合。</w:t>
      </w:r>
      <w:r>
        <w:rPr>
          <w:rStyle w:val="147"/>
          <w:rFonts w:ascii="宋体" w:hAnsi="宋体" w:eastAsia="宋体" w:cs="宋体"/>
          <w:color w:val="auto"/>
          <w:sz w:val="28"/>
          <w:szCs w:val="28"/>
        </w:rPr>
        <w:t>甲方对乙方的整改要求应于48小时内书面响应，24小时内提出整改方案。</w:t>
      </w:r>
    </w:p>
    <w:p w14:paraId="1D881831">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9、甲方有权对本项目方案的编制范围、内容及要求进行重大变更，如因甲方重大变更编制内容或要求、甲方所提供的资料存在重大错误、所提交资料存在较大修改可能造成乙方工作有较大修改或返工时，乙方应及时与甲方进行沟通，</w:t>
      </w:r>
      <w:r>
        <w:rPr>
          <w:rStyle w:val="148"/>
          <w:rFonts w:ascii="宋体" w:hAnsi="宋体" w:eastAsia="宋体" w:cs="宋体"/>
          <w:color w:val="auto"/>
          <w:sz w:val="28"/>
          <w:szCs w:val="28"/>
        </w:rPr>
        <w:t>提交时间</w:t>
      </w:r>
      <w:r>
        <w:rPr>
          <w:rStyle w:val="149"/>
          <w:rFonts w:ascii="宋体" w:hAnsi="宋体" w:eastAsia="宋体" w:cs="宋体"/>
          <w:color w:val="auto"/>
          <w:sz w:val="28"/>
          <w:szCs w:val="28"/>
        </w:rPr>
        <w:t>自动顺延且不得主张费用增加</w:t>
      </w:r>
      <w:r>
        <w:rPr>
          <w:rStyle w:val="148"/>
          <w:rFonts w:ascii="宋体" w:hAnsi="宋体" w:eastAsia="宋体" w:cs="宋体"/>
          <w:color w:val="auto"/>
          <w:sz w:val="28"/>
          <w:szCs w:val="28"/>
        </w:rPr>
        <w:t>。</w:t>
      </w:r>
    </w:p>
    <w:p w14:paraId="7B798500">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10、甲方有权根据本合同约定向乙方提供必要的资料和调研条件。</w:t>
      </w:r>
    </w:p>
    <w:p w14:paraId="4ACB20F2">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11、法律法规规定的其他权利。</w:t>
      </w:r>
    </w:p>
    <w:p w14:paraId="14F8325B">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（二）乙方的权利与义务</w:t>
      </w:r>
    </w:p>
    <w:p w14:paraId="2F8267FE">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w:t>
      </w:r>
      <w:r>
        <w:rPr>
          <w:rStyle w:val="150"/>
          <w:rFonts w:ascii="宋体" w:hAnsi="宋体" w:eastAsia="宋体" w:cs="宋体"/>
          <w:color w:val="auto"/>
          <w:sz w:val="28"/>
          <w:szCs w:val="28"/>
        </w:rPr>
        <w:t>乙方应按甲方提出的要求和国家有关法律法规和规范开展工作，</w:t>
      </w:r>
      <w:r>
        <w:rPr>
          <w:rStyle w:val="151"/>
          <w:rFonts w:ascii="宋体" w:hAnsi="宋体" w:eastAsia="宋体" w:cs="宋体"/>
          <w:color w:val="auto"/>
          <w:sz w:val="28"/>
          <w:szCs w:val="28"/>
        </w:rPr>
        <w:t>严格</w:t>
      </w:r>
      <w:r>
        <w:rPr>
          <w:rStyle w:val="150"/>
          <w:rFonts w:ascii="宋体" w:hAnsi="宋体" w:eastAsia="宋体" w:cs="宋体"/>
          <w:color w:val="auto"/>
          <w:sz w:val="28"/>
          <w:szCs w:val="28"/>
        </w:rPr>
        <w:t>按</w:t>
      </w:r>
      <w:r>
        <w:rPr>
          <w:rStyle w:val="151"/>
          <w:rFonts w:ascii="宋体" w:hAnsi="宋体" w:eastAsia="宋体" w:cs="宋体"/>
          <w:color w:val="auto"/>
          <w:sz w:val="28"/>
          <w:szCs w:val="28"/>
        </w:rPr>
        <w:t>照</w:t>
      </w:r>
      <w:r>
        <w:rPr>
          <w:rStyle w:val="150"/>
          <w:rFonts w:ascii="宋体" w:hAnsi="宋体" w:eastAsia="宋体" w:cs="宋体"/>
          <w:color w:val="auto"/>
          <w:sz w:val="28"/>
          <w:szCs w:val="28"/>
        </w:rPr>
        <w:t>合同进度</w:t>
      </w:r>
      <w:r>
        <w:rPr>
          <w:rStyle w:val="151"/>
          <w:rFonts w:ascii="宋体" w:hAnsi="宋体" w:eastAsia="宋体" w:cs="宋体"/>
          <w:color w:val="auto"/>
          <w:sz w:val="28"/>
          <w:szCs w:val="28"/>
        </w:rPr>
        <w:t>节点</w:t>
      </w:r>
      <w:r>
        <w:rPr>
          <w:rStyle w:val="150"/>
          <w:rFonts w:ascii="宋体" w:hAnsi="宋体" w:eastAsia="宋体" w:cs="宋体"/>
          <w:color w:val="auto"/>
          <w:sz w:val="28"/>
          <w:szCs w:val="28"/>
        </w:rPr>
        <w:t>完成各阶段工作，按甲方要求制作各阶段工作成果。</w:t>
      </w:r>
      <w:r>
        <w:rPr>
          <w:rStyle w:val="151"/>
          <w:rFonts w:ascii="宋体" w:hAnsi="宋体" w:eastAsia="宋体" w:cs="宋体"/>
          <w:color w:val="auto"/>
          <w:sz w:val="28"/>
          <w:szCs w:val="28"/>
        </w:rPr>
        <w:t>甲方有权随时检查、督促进度，乙方应无条件配合。乙方不得将合同服务内容全部或部分分包、转让，未经甲方书面同意，任何分包、转让均属无效，甲方有权解除合同并追究责任。</w:t>
      </w:r>
    </w:p>
    <w:p w14:paraId="0E923F07">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2、乙方有义务参加甲方组织的各阶段有关的讨论、咨询和论证等各种会议，按甲方要求提供会议材料，并按甲方意见修改完善。</w:t>
      </w:r>
    </w:p>
    <w:p w14:paraId="775FCCF1">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3、乙方应全面整合相关各类规划方案和各版本策划方案。</w:t>
      </w:r>
      <w:r>
        <w:rPr>
          <w:rStyle w:val="152"/>
          <w:rFonts w:ascii="宋体" w:hAnsi="宋体" w:eastAsia="宋体" w:cs="宋体"/>
          <w:color w:val="auto"/>
          <w:sz w:val="28"/>
          <w:szCs w:val="28"/>
        </w:rPr>
        <w:t>乙方提交的成果经三次修改仍未通过专家审查，视为根本违约，甲方有权解除合同并追究乙方违约责任。</w:t>
      </w:r>
    </w:p>
    <w:p w14:paraId="2E529E1D">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4、</w:t>
      </w:r>
      <w:r>
        <w:rPr>
          <w:rStyle w:val="153"/>
          <w:rFonts w:ascii="宋体" w:hAnsi="宋体" w:eastAsia="宋体" w:cs="宋体"/>
          <w:color w:val="auto"/>
          <w:sz w:val="28"/>
          <w:szCs w:val="28"/>
        </w:rPr>
        <w:t>乙方应加强成果后期跟踪与服务。成果在实施过程中出现未通过审批问题的，乙方应及时予以修正。</w:t>
      </w:r>
      <w:r>
        <w:rPr>
          <w:rStyle w:val="154"/>
          <w:rFonts w:ascii="宋体" w:hAnsi="宋体" w:eastAsia="宋体" w:cs="宋体"/>
          <w:color w:val="auto"/>
          <w:sz w:val="28"/>
          <w:szCs w:val="28"/>
        </w:rPr>
        <w:t>乙方应在成果交付后，按甲方要求无偿提供必要的后续技术支持、答疑、整改等服务，直至甲方及上级主管部门验收通过。</w:t>
      </w:r>
    </w:p>
    <w:p w14:paraId="74D49631">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5、</w:t>
      </w:r>
      <w:r>
        <w:rPr>
          <w:rStyle w:val="155"/>
          <w:rFonts w:ascii="宋体" w:hAnsi="宋体" w:eastAsia="宋体" w:cs="宋体"/>
          <w:color w:val="auto"/>
          <w:sz w:val="28"/>
          <w:szCs w:val="28"/>
        </w:rPr>
        <w:t>乙方应当根据本合同约定的时间及要求完成本项目编制工作，并保证所编制的本项目编制成果符合甲方及相关政府部门的要求以及相关法律之规定。</w:t>
      </w:r>
      <w:r>
        <w:rPr>
          <w:rStyle w:val="156"/>
          <w:rFonts w:ascii="宋体" w:hAnsi="宋体" w:eastAsia="宋体" w:cs="宋体"/>
          <w:color w:val="auto"/>
          <w:sz w:val="28"/>
          <w:szCs w:val="28"/>
        </w:rPr>
        <w:t>每周五向甲方提交带水印的阶段性成果预览版。</w:t>
      </w:r>
    </w:p>
    <w:p w14:paraId="68B481D0">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6、乙方所提交的本项目编制成果应客观、真实地反映本项目的实际情况，确保本项目编制成果的科学性和可实施性。</w:t>
      </w:r>
    </w:p>
    <w:p w14:paraId="548481F9">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7、</w:t>
      </w:r>
      <w:r>
        <w:rPr>
          <w:rStyle w:val="157"/>
          <w:rFonts w:ascii="宋体" w:hAnsi="宋体" w:eastAsia="宋体" w:cs="宋体"/>
          <w:color w:val="auto"/>
          <w:sz w:val="28"/>
          <w:szCs w:val="28"/>
        </w:rPr>
        <w:t>乙方完成本项目编制工作后，应向甲方归还甲方向乙方提供的及乙方在编制过程中获悉的所有资料和成果，包括但不限于各类设计模型、图纸和方案、施工进度计划、关键工艺工序节点的技术方案资料、相关设备参数资料。</w:t>
      </w:r>
      <w:r>
        <w:rPr>
          <w:rStyle w:val="158"/>
          <w:rFonts w:ascii="宋体" w:hAnsi="宋体" w:eastAsia="宋体" w:cs="宋体"/>
          <w:color w:val="auto"/>
          <w:sz w:val="28"/>
          <w:szCs w:val="28"/>
        </w:rPr>
        <w:t>乙方逾期归还资料的，每逾期一日，按合同总价1%支付违约金；遗失、损毁资料的，乙方应按甲方实际损失全额赔偿。</w:t>
      </w:r>
    </w:p>
    <w:p w14:paraId="2940C547">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8、法律法规规定的其他义务。</w:t>
      </w:r>
    </w:p>
    <w:p w14:paraId="1B5A3233">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b/>
          <w:bCs/>
          <w:color w:val="auto"/>
          <w:sz w:val="28"/>
          <w:szCs w:val="28"/>
        </w:rPr>
        <w:t>八、违约处理与争议解决</w:t>
      </w:r>
    </w:p>
    <w:p w14:paraId="478F9115">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（一）违约的处理</w:t>
      </w:r>
    </w:p>
    <w:p w14:paraId="29ECEEC8">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1、甲方未按合同约定时间和内容提供必要的资料和调研条件，或甲方未按期足额支付项目经费，影响进度，则乙方应及时与甲方进行沟通，经甲方书面同意后，</w:t>
      </w:r>
      <w:r>
        <w:rPr>
          <w:rStyle w:val="159"/>
          <w:rFonts w:ascii="宋体" w:hAnsi="宋体" w:eastAsia="宋体" w:cs="宋体"/>
          <w:color w:val="auto"/>
          <w:sz w:val="28"/>
          <w:szCs w:val="28"/>
        </w:rPr>
        <w:t>乙方提交本项目编制成果的时间相应顺延</w:t>
      </w:r>
      <w:r>
        <w:rPr>
          <w:rStyle w:val="160"/>
          <w:rFonts w:ascii="宋体" w:hAnsi="宋体" w:eastAsia="宋体" w:cs="宋体"/>
          <w:color w:val="auto"/>
          <w:sz w:val="28"/>
          <w:szCs w:val="28"/>
        </w:rPr>
        <w:t>，但顺延期间甲方有权按合同总价0.3%/日扣除相应服务费</w:t>
      </w:r>
      <w:r>
        <w:rPr>
          <w:rStyle w:val="159"/>
          <w:rFonts w:ascii="宋体" w:hAnsi="宋体" w:eastAsia="宋体" w:cs="宋体"/>
          <w:color w:val="auto"/>
          <w:sz w:val="28"/>
          <w:szCs w:val="28"/>
        </w:rPr>
        <w:t>。</w:t>
      </w:r>
    </w:p>
    <w:p w14:paraId="2B27E98D">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2、</w:t>
      </w:r>
      <w:r>
        <w:rPr>
          <w:rStyle w:val="161"/>
          <w:rFonts w:ascii="宋体" w:hAnsi="宋体" w:eastAsia="宋体" w:cs="宋体"/>
          <w:color w:val="auto"/>
          <w:sz w:val="28"/>
          <w:szCs w:val="28"/>
        </w:rPr>
        <w:t>甲方有权按照本合同约定的本项目编制成果内容及时进行成果验收</w:t>
      </w:r>
      <w:r>
        <w:rPr>
          <w:rStyle w:val="162"/>
          <w:rFonts w:ascii="宋体" w:hAnsi="宋体" w:eastAsia="宋体" w:cs="宋体"/>
          <w:color w:val="auto"/>
          <w:sz w:val="28"/>
          <w:szCs w:val="28"/>
        </w:rPr>
        <w:t>。验收标准以甲方书面认定为准，甲方有权根据自身需求决定成果是否合格</w:t>
      </w:r>
      <w:r>
        <w:rPr>
          <w:rFonts w:ascii="宋体" w:hAnsi="宋体" w:eastAsia="宋体" w:cs="宋体"/>
          <w:color w:val="auto"/>
          <w:sz w:val="28"/>
          <w:szCs w:val="28"/>
        </w:rPr>
        <w:t>，如因甲方原因造成成果验收时间拖延，乙方应与甲方进行及时沟通，经过甲方书面同意，则乙方工作时间顺延。</w:t>
      </w:r>
    </w:p>
    <w:p w14:paraId="34D53EDB">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（二）争议的解决</w:t>
      </w:r>
    </w:p>
    <w:p w14:paraId="4F9C73A3">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1、双方在履行本合同中出现争议首先通过友好协商的方式解决；</w:t>
      </w:r>
    </w:p>
    <w:p w14:paraId="133A27D5">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Style w:val="163"/>
          <w:rFonts w:ascii="宋体" w:hAnsi="宋体" w:eastAsia="宋体" w:cs="宋体"/>
          <w:color w:val="auto"/>
          <w:sz w:val="28"/>
          <w:szCs w:val="28"/>
        </w:rPr>
        <w:t>2、协商不成，任何一方均有权向甲方所在地的人民法院提起诉讼。</w:t>
      </w:r>
      <w:r>
        <w:rPr>
          <w:rStyle w:val="164"/>
          <w:rFonts w:ascii="宋体" w:hAnsi="宋体" w:eastAsia="宋体" w:cs="宋体"/>
          <w:color w:val="auto"/>
          <w:sz w:val="28"/>
          <w:szCs w:val="28"/>
        </w:rPr>
        <w:t>在争议解决期间，乙方不得以争议为由中止履行合同义务。</w:t>
      </w:r>
    </w:p>
    <w:p w14:paraId="67916FE7">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b/>
          <w:bCs/>
          <w:color w:val="auto"/>
          <w:sz w:val="28"/>
          <w:szCs w:val="28"/>
        </w:rPr>
        <w:t>九、资料使用和管理，版权及保密约定</w:t>
      </w:r>
    </w:p>
    <w:p w14:paraId="30BBC39C">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1、资料使用和管理</w:t>
      </w:r>
    </w:p>
    <w:p w14:paraId="69EAB6AE">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甲方提供的既有成果只能用于本合同约定的项目，不得扩展到其他项目或其它单位。项目完成后，乙方应根据本合同约定将相关数据、资料交回甲方。乙方对甲方所提供资料的使用权在合同项目完成后自行终止。</w:t>
      </w:r>
    </w:p>
    <w:p w14:paraId="54144306">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（2）乙方应根据国家有关保密法律法规及本合同约定，承担对相关资料保密的法律义务。</w:t>
      </w:r>
    </w:p>
    <w:p w14:paraId="2503F2E2">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2、版权、信息发布与学术研究</w:t>
      </w:r>
    </w:p>
    <w:p w14:paraId="40FE197C">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Style w:val="165"/>
          <w:rFonts w:ascii="宋体" w:hAnsi="宋体" w:eastAsia="宋体" w:cs="宋体"/>
          <w:color w:val="auto"/>
          <w:sz w:val="28"/>
          <w:szCs w:val="28"/>
        </w:rPr>
        <w:t>（1）乙方确认，甲方拥有本项目方案成果的</w:t>
      </w:r>
      <w:r>
        <w:rPr>
          <w:rStyle w:val="166"/>
          <w:rFonts w:ascii="宋体" w:hAnsi="宋体" w:eastAsia="宋体" w:cs="宋体"/>
          <w:color w:val="auto"/>
          <w:sz w:val="28"/>
          <w:szCs w:val="28"/>
        </w:rPr>
        <w:t>全部</w:t>
      </w:r>
      <w:r>
        <w:rPr>
          <w:rStyle w:val="165"/>
          <w:rFonts w:ascii="宋体" w:hAnsi="宋体" w:eastAsia="宋体" w:cs="宋体"/>
          <w:color w:val="auto"/>
          <w:sz w:val="28"/>
          <w:szCs w:val="28"/>
        </w:rPr>
        <w:t>知识产权，包括但不限于版权</w:t>
      </w:r>
      <w:r>
        <w:rPr>
          <w:rStyle w:val="166"/>
          <w:rFonts w:ascii="宋体" w:hAnsi="宋体" w:eastAsia="宋体" w:cs="宋体"/>
          <w:color w:val="auto"/>
          <w:sz w:val="28"/>
          <w:szCs w:val="28"/>
        </w:rPr>
        <w:t>、数据、档案、图件、模型等</w:t>
      </w:r>
      <w:r>
        <w:rPr>
          <w:rStyle w:val="165"/>
          <w:rFonts w:ascii="宋体" w:hAnsi="宋体" w:eastAsia="宋体" w:cs="宋体"/>
          <w:color w:val="auto"/>
          <w:sz w:val="28"/>
          <w:szCs w:val="28"/>
        </w:rPr>
        <w:t>。</w:t>
      </w:r>
      <w:r>
        <w:rPr>
          <w:rStyle w:val="166"/>
          <w:rFonts w:ascii="宋体" w:hAnsi="宋体" w:eastAsia="宋体" w:cs="宋体"/>
          <w:color w:val="auto"/>
          <w:sz w:val="28"/>
          <w:szCs w:val="28"/>
        </w:rPr>
        <w:t>乙方需移交所有原始监测数据及数据处理模型，并永久放弃以任何形式主张本项目成果的署名权、改编权及其他著作人身权。乙方仅享有为履行本合同目的的有限使用权，不得以任何形式将成果用于其他项目或对外披露、发表、转让，否则甲方有权追究其法律责任并要求赔偿。</w:t>
      </w:r>
      <w:r>
        <w:rPr>
          <w:rStyle w:val="167"/>
          <w:rFonts w:ascii="宋体" w:hAnsi="宋体" w:eastAsia="宋体" w:cs="宋体"/>
          <w:color w:val="auto"/>
          <w:sz w:val="28"/>
          <w:szCs w:val="28"/>
        </w:rPr>
        <w:t>乙方保证其提交的成果不侵犯任何第三方知识产权，如发生侵权纠纷，乙方应负责解决并承担甲方因此产生的全部损失。</w:t>
      </w:r>
    </w:p>
    <w:p w14:paraId="62017F1F">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sz w:val="28"/>
          <w:szCs w:val="28"/>
        </w:rPr>
        <w:t>（2）未经甲方同意，乙方不得以任何形式擅自对外界发布关于本</w:t>
      </w:r>
      <w:r>
        <w:rPr>
          <w:rFonts w:ascii="宋体" w:hAnsi="宋体" w:eastAsia="宋体" w:cs="宋体"/>
          <w:color w:val="auto"/>
          <w:sz w:val="28"/>
          <w:szCs w:val="28"/>
        </w:rPr>
        <w:t>项目的任何信息。</w:t>
      </w:r>
    </w:p>
    <w:p w14:paraId="39C42347">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（3）本项目完成前，乙方不得单独发表或交流与本项目有关的学术研究（含论文）。</w:t>
      </w:r>
    </w:p>
    <w:p w14:paraId="2117A13A">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（4）本项目完成后，乙方如需进行的与本项目方案成果相关学术交流（含论文）须以书面形式</w:t>
      </w:r>
      <w:r>
        <w:rPr>
          <w:rStyle w:val="168"/>
          <w:rFonts w:ascii="宋体" w:hAnsi="宋体" w:eastAsia="宋体" w:cs="宋体"/>
          <w:color w:val="auto"/>
          <w:sz w:val="28"/>
          <w:szCs w:val="28"/>
        </w:rPr>
        <w:t>征得甲方同意后方可进行</w:t>
      </w:r>
      <w:r>
        <w:rPr>
          <w:rStyle w:val="169"/>
          <w:rFonts w:ascii="宋体" w:hAnsi="宋体" w:eastAsia="宋体" w:cs="宋体"/>
          <w:color w:val="auto"/>
          <w:sz w:val="28"/>
          <w:szCs w:val="28"/>
        </w:rPr>
        <w:t>，且不得晚于项目验收合格后三年</w:t>
      </w:r>
      <w:r>
        <w:rPr>
          <w:rStyle w:val="168"/>
          <w:rFonts w:ascii="宋体" w:hAnsi="宋体" w:eastAsia="宋体" w:cs="宋体"/>
          <w:color w:val="auto"/>
          <w:sz w:val="28"/>
          <w:szCs w:val="28"/>
        </w:rPr>
        <w:t>。</w:t>
      </w:r>
    </w:p>
    <w:p w14:paraId="4BC4B4CF">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3、保密条款</w:t>
      </w:r>
    </w:p>
    <w:p w14:paraId="44EF0B5A">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乙方承诺：乙方应采取必要的管理与技术措施，确保乙方专为本项目采集的数据、建立的数据库只为乙方获得相关授权的人所接触和掌握，承诺完全履行其保密义务，并不以任何方式将以上成果资料的部分或全部泄露、提供和转让给任何第三方，</w:t>
      </w:r>
      <w:r>
        <w:rPr>
          <w:rStyle w:val="170"/>
          <w:rFonts w:ascii="宋体" w:hAnsi="宋体" w:eastAsia="宋体" w:cs="宋体"/>
          <w:color w:val="auto"/>
          <w:sz w:val="28"/>
          <w:szCs w:val="28"/>
        </w:rPr>
        <w:t>否则乙方按本合同约定承担相应违约责任。</w:t>
      </w:r>
      <w:r>
        <w:rPr>
          <w:rStyle w:val="171"/>
          <w:rFonts w:ascii="宋体" w:hAnsi="宋体" w:eastAsia="宋体" w:cs="宋体"/>
          <w:color w:val="auto"/>
          <w:sz w:val="28"/>
          <w:szCs w:val="28"/>
        </w:rPr>
        <w:t>乙方违反保密义务的，甲方有权要求乙方支付合同总价30%的违约金，并赔偿全部损失。泄密赔偿金按合同总价30%起算，甲方有权就实际损失另行主张。</w:t>
      </w:r>
      <w:r>
        <w:rPr>
          <w:rStyle w:val="172"/>
          <w:rFonts w:ascii="宋体" w:hAnsi="宋体" w:eastAsia="宋体" w:cs="宋体"/>
          <w:color w:val="auto"/>
          <w:sz w:val="28"/>
          <w:szCs w:val="28"/>
        </w:rPr>
        <w:t>乙方违反保密义务每次支付合同总价20%的违约金且甲方有权提前终止合同。</w:t>
      </w:r>
    </w:p>
    <w:p w14:paraId="38C5B11C">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2）未经甲方同意的情况下，乙方不得将甲方向乙方提供的任何资料，包括但不限于合同、合同中的规定、方案要求、计划、图纸、式样、样本、以及乙方因履行本合同所知晓的甲方和项目的服务成果资料等保密信息透露给任何第三方，</w:t>
      </w:r>
      <w:r>
        <w:rPr>
          <w:rStyle w:val="173"/>
          <w:rFonts w:ascii="宋体" w:hAnsi="宋体" w:eastAsia="宋体" w:cs="宋体"/>
          <w:color w:val="auto"/>
          <w:sz w:val="28"/>
          <w:szCs w:val="28"/>
        </w:rPr>
        <w:t>乙方应于其合同义务履行完毕以后将这些资料（包括所有副本）</w:t>
      </w:r>
      <w:r>
        <w:rPr>
          <w:rStyle w:val="174"/>
          <w:rFonts w:ascii="宋体" w:hAnsi="宋体" w:eastAsia="宋体" w:cs="宋体"/>
          <w:color w:val="auto"/>
          <w:sz w:val="28"/>
          <w:szCs w:val="28"/>
        </w:rPr>
        <w:t>无条件移交</w:t>
      </w:r>
      <w:r>
        <w:rPr>
          <w:rStyle w:val="173"/>
          <w:rFonts w:ascii="宋体" w:hAnsi="宋体" w:eastAsia="宋体" w:cs="宋体"/>
          <w:color w:val="auto"/>
          <w:sz w:val="28"/>
          <w:szCs w:val="28"/>
        </w:rPr>
        <w:t>甲方</w:t>
      </w:r>
      <w:r>
        <w:rPr>
          <w:rStyle w:val="174"/>
          <w:rFonts w:ascii="宋体" w:hAnsi="宋体" w:eastAsia="宋体" w:cs="宋体"/>
          <w:color w:val="auto"/>
          <w:sz w:val="28"/>
          <w:szCs w:val="28"/>
        </w:rPr>
        <w:t>，并删除、销毁自有备份，不得保留任何形式的副本或数据</w:t>
      </w:r>
      <w:r>
        <w:rPr>
          <w:rStyle w:val="173"/>
          <w:rFonts w:ascii="宋体" w:hAnsi="宋体" w:eastAsia="宋体" w:cs="宋体"/>
          <w:color w:val="auto"/>
          <w:sz w:val="28"/>
          <w:szCs w:val="28"/>
        </w:rPr>
        <w:t>。</w:t>
      </w:r>
      <w:r>
        <w:rPr>
          <w:rFonts w:ascii="宋体" w:hAnsi="宋体" w:eastAsia="宋体" w:cs="宋体"/>
          <w:color w:val="auto"/>
          <w:sz w:val="28"/>
          <w:szCs w:val="28"/>
        </w:rPr>
        <w:t>除非执行合同需要，在事先未得到甲方书面同意的情况下，乙方不得以任何理由、方式使用上述所列的任何文件、资料和信息的部分或全部。</w:t>
      </w:r>
    </w:p>
    <w:p w14:paraId="69C76A64">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sz w:val="28"/>
          <w:szCs w:val="28"/>
        </w:rPr>
        <w:t>（3）除合同本身以外，本招标文件中列明的所有资料始终为甲方的财产，若甲方要求，乙方应于其合同义务履行完毕以后将这些资料（包括所有副本）退还对方。</w:t>
      </w:r>
    </w:p>
    <w:p w14:paraId="47E4A9E4">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b/>
          <w:bCs/>
          <w:sz w:val="28"/>
          <w:szCs w:val="28"/>
        </w:rPr>
        <w:t>十、不可抗力</w:t>
      </w:r>
    </w:p>
    <w:p w14:paraId="1357469C">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sz w:val="28"/>
          <w:szCs w:val="28"/>
        </w:rPr>
        <w:t>如果双方中任何一方由于战争、严重火灾、水灾、破坏性台风和</w:t>
      </w:r>
      <w:r>
        <w:rPr>
          <w:rFonts w:ascii="宋体" w:hAnsi="宋体" w:eastAsia="宋体" w:cs="宋体"/>
          <w:color w:val="auto"/>
          <w:sz w:val="28"/>
          <w:szCs w:val="28"/>
        </w:rPr>
        <w:t>地震</w:t>
      </w:r>
      <w:r>
        <w:rPr>
          <w:rStyle w:val="175"/>
          <w:rFonts w:ascii="宋体" w:hAnsi="宋体" w:eastAsia="宋体" w:cs="宋体"/>
          <w:color w:val="auto"/>
          <w:sz w:val="28"/>
          <w:szCs w:val="28"/>
        </w:rPr>
        <w:t>以及其它经双方</w:t>
      </w:r>
      <w:r>
        <w:rPr>
          <w:rStyle w:val="176"/>
          <w:rFonts w:ascii="宋体" w:hAnsi="宋体" w:eastAsia="宋体" w:cs="宋体"/>
          <w:color w:val="auto"/>
          <w:sz w:val="28"/>
          <w:szCs w:val="28"/>
        </w:rPr>
        <w:t>书面</w:t>
      </w:r>
      <w:r>
        <w:rPr>
          <w:rStyle w:val="175"/>
          <w:rFonts w:ascii="宋体" w:hAnsi="宋体" w:eastAsia="宋体" w:cs="宋体"/>
          <w:color w:val="auto"/>
          <w:sz w:val="28"/>
          <w:szCs w:val="28"/>
        </w:rPr>
        <w:t>同意属不可抗力的事故，</w:t>
      </w:r>
      <w:r>
        <w:rPr>
          <w:rStyle w:val="176"/>
          <w:rFonts w:ascii="宋体" w:hAnsi="宋体" w:eastAsia="宋体" w:cs="宋体"/>
          <w:color w:val="auto"/>
          <w:sz w:val="28"/>
          <w:szCs w:val="28"/>
        </w:rPr>
        <w:t>且需提供省级以上气象部门或应急管理部门出具的证明文件。乙方应在不可抗力事件发生后48小时内书面通知甲方，并在5日内提供相关权威机构出具的证明材料，否则不可抗力免责不予认定。</w:t>
      </w:r>
      <w:r>
        <w:rPr>
          <w:rStyle w:val="175"/>
          <w:rFonts w:ascii="宋体" w:hAnsi="宋体" w:eastAsia="宋体" w:cs="宋体"/>
          <w:color w:val="auto"/>
          <w:sz w:val="28"/>
          <w:szCs w:val="28"/>
        </w:rPr>
        <w:t>致使合同履行受阻时，履行合同期限应予延长，延长时限应相当于事故所影响的时间，或双方协商解决。</w:t>
      </w:r>
    </w:p>
    <w:p w14:paraId="04187276">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b/>
          <w:bCs/>
          <w:color w:val="auto"/>
          <w:sz w:val="28"/>
          <w:szCs w:val="28"/>
        </w:rPr>
        <w:t>十一、乙方履约延误</w:t>
      </w:r>
    </w:p>
    <w:p w14:paraId="686DB6C9">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1、乙方应按照本合同约定提供服务。</w:t>
      </w:r>
    </w:p>
    <w:p w14:paraId="7310B9D7">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2、乙方不按期完成合同约定的内容，应向甲方支付违约金，除甲方或不可抗力造成原因外，</w:t>
      </w:r>
      <w:r>
        <w:rPr>
          <w:rStyle w:val="177"/>
          <w:rFonts w:ascii="宋体" w:hAnsi="宋体" w:eastAsia="宋体" w:cs="宋体"/>
          <w:color w:val="auto"/>
          <w:sz w:val="28"/>
          <w:szCs w:val="28"/>
        </w:rPr>
        <w:t>每延迟交付一天，按合同总价款的</w:t>
      </w:r>
      <w:r>
        <w:rPr>
          <w:rStyle w:val="178"/>
          <w:rFonts w:ascii="宋体" w:hAnsi="宋体" w:eastAsia="宋体" w:cs="宋体"/>
          <w:color w:val="auto"/>
          <w:sz w:val="28"/>
          <w:szCs w:val="28"/>
        </w:rPr>
        <w:t>1</w:t>
      </w:r>
      <w:r>
        <w:rPr>
          <w:rStyle w:val="177"/>
          <w:rFonts w:ascii="宋体" w:hAnsi="宋体" w:eastAsia="宋体" w:cs="宋体"/>
          <w:color w:val="auto"/>
          <w:sz w:val="28"/>
          <w:szCs w:val="28"/>
        </w:rPr>
        <w:t>%支付违约金，违约金可直接从履约保证金中扣除</w:t>
      </w:r>
      <w:r>
        <w:rPr>
          <w:rStyle w:val="178"/>
          <w:rFonts w:ascii="宋体" w:hAnsi="宋体" w:eastAsia="宋体" w:cs="宋体"/>
          <w:color w:val="auto"/>
          <w:sz w:val="28"/>
          <w:szCs w:val="28"/>
        </w:rPr>
        <w:t>；乙方因任何违约（包括但不限于</w:t>
      </w:r>
      <w:r>
        <w:rPr>
          <w:rStyle w:val="177"/>
          <w:rFonts w:ascii="宋体" w:hAnsi="宋体" w:eastAsia="宋体" w:cs="宋体"/>
          <w:color w:val="auto"/>
          <w:sz w:val="28"/>
          <w:szCs w:val="28"/>
        </w:rPr>
        <w:t>延</w:t>
      </w:r>
      <w:r>
        <w:rPr>
          <w:rStyle w:val="178"/>
          <w:rFonts w:ascii="宋体" w:hAnsi="宋体" w:eastAsia="宋体" w:cs="宋体"/>
          <w:color w:val="auto"/>
          <w:sz w:val="28"/>
          <w:szCs w:val="28"/>
        </w:rPr>
        <w:t>迟交付、成果质量不合格、资料泄露等）均应承担违约责任。延</w:t>
      </w:r>
      <w:r>
        <w:rPr>
          <w:rStyle w:val="177"/>
          <w:rFonts w:ascii="宋体" w:hAnsi="宋体" w:eastAsia="宋体" w:cs="宋体"/>
          <w:color w:val="auto"/>
          <w:sz w:val="28"/>
          <w:szCs w:val="28"/>
        </w:rPr>
        <w:t>期超过10日，甲方有权</w:t>
      </w:r>
      <w:r>
        <w:rPr>
          <w:rStyle w:val="178"/>
          <w:rFonts w:ascii="宋体" w:hAnsi="宋体" w:eastAsia="宋体" w:cs="宋体"/>
          <w:color w:val="auto"/>
          <w:sz w:val="28"/>
          <w:szCs w:val="28"/>
        </w:rPr>
        <w:t>单方</w:t>
      </w:r>
      <w:r>
        <w:rPr>
          <w:rStyle w:val="177"/>
          <w:rFonts w:ascii="宋体" w:hAnsi="宋体" w:eastAsia="宋体" w:cs="宋体"/>
          <w:color w:val="auto"/>
          <w:sz w:val="28"/>
          <w:szCs w:val="28"/>
        </w:rPr>
        <w:t>解除合同并没收</w:t>
      </w:r>
      <w:r>
        <w:rPr>
          <w:rStyle w:val="178"/>
          <w:rFonts w:ascii="宋体" w:hAnsi="宋体" w:eastAsia="宋体" w:cs="宋体"/>
          <w:color w:val="auto"/>
          <w:sz w:val="28"/>
          <w:szCs w:val="28"/>
        </w:rPr>
        <w:t>全部</w:t>
      </w:r>
      <w:r>
        <w:rPr>
          <w:rStyle w:val="177"/>
          <w:rFonts w:ascii="宋体" w:hAnsi="宋体" w:eastAsia="宋体" w:cs="宋体"/>
          <w:color w:val="auto"/>
          <w:sz w:val="28"/>
          <w:szCs w:val="28"/>
        </w:rPr>
        <w:t>履约保证金</w:t>
      </w:r>
      <w:r>
        <w:rPr>
          <w:rStyle w:val="178"/>
          <w:rFonts w:ascii="宋体" w:hAnsi="宋体" w:eastAsia="宋体" w:cs="宋体"/>
          <w:color w:val="auto"/>
          <w:sz w:val="28"/>
          <w:szCs w:val="28"/>
        </w:rPr>
        <w:t>，且乙方应赔偿甲方因此产生的全部损失</w:t>
      </w:r>
      <w:r>
        <w:rPr>
          <w:rStyle w:val="177"/>
          <w:rFonts w:ascii="宋体" w:hAnsi="宋体" w:eastAsia="宋体" w:cs="宋体"/>
          <w:color w:val="auto"/>
          <w:sz w:val="28"/>
          <w:szCs w:val="28"/>
        </w:rPr>
        <w:t>。</w:t>
      </w:r>
      <w:r>
        <w:rPr>
          <w:rStyle w:val="178"/>
          <w:rFonts w:ascii="宋体" w:hAnsi="宋体" w:eastAsia="宋体" w:cs="宋体"/>
          <w:color w:val="auto"/>
          <w:sz w:val="28"/>
          <w:szCs w:val="28"/>
        </w:rPr>
        <w:t>违约金不影响甲方追究实际损失赔偿权利。</w:t>
      </w:r>
    </w:p>
    <w:p w14:paraId="5D386BFD">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sz w:val="28"/>
          <w:szCs w:val="28"/>
        </w:rPr>
        <w:t>3、乙方所有提供的服务及成果验收均应服从甲方的安排及要求。</w:t>
      </w:r>
    </w:p>
    <w:p w14:paraId="3E9E3991">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b/>
          <w:bCs/>
          <w:color w:val="auto"/>
          <w:sz w:val="28"/>
          <w:szCs w:val="28"/>
        </w:rPr>
        <w:t>十二、税费</w:t>
      </w:r>
    </w:p>
    <w:p w14:paraId="610A35AE">
      <w:pPr>
        <w:keepNext w:val="0"/>
        <w:keepLines w:val="0"/>
        <w:pageBreakBefore w:val="0"/>
        <w:kinsoku/>
        <w:wordWrap/>
        <w:overflowPunct/>
        <w:topLinePunct w:val="0"/>
        <w:autoSpaceDE/>
        <w:autoSpaceDN/>
        <w:bidi w:val="0"/>
        <w:spacing w:before="0" w:after="0" w:line="500" w:lineRule="exact"/>
        <w:ind w:firstLine="280"/>
        <w:textAlignment w:val="auto"/>
        <w:rPr>
          <w:color w:val="auto"/>
        </w:rPr>
      </w:pPr>
      <w:r>
        <w:rPr>
          <w:rFonts w:ascii="宋体" w:hAnsi="宋体" w:eastAsia="宋体" w:cs="宋体"/>
          <w:color w:val="auto"/>
          <w:sz w:val="28"/>
          <w:szCs w:val="28"/>
        </w:rPr>
        <w:t>甲乙双方共同确认，本项目开展过程中的相关税费以下列约定承担：</w:t>
      </w:r>
    </w:p>
    <w:p w14:paraId="2F4B2E12">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1、根据国家现行税法对甲方征收的与本合同有关的一切费用由甲方承担。</w:t>
      </w:r>
    </w:p>
    <w:p w14:paraId="258F25BA">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Style w:val="179"/>
          <w:rFonts w:ascii="宋体" w:hAnsi="宋体" w:eastAsia="宋体" w:cs="宋体"/>
          <w:color w:val="auto"/>
          <w:sz w:val="28"/>
          <w:szCs w:val="28"/>
        </w:rPr>
        <w:t>2、根据国家现行税法对乙方征收的与本合同有关的一切税费均由乙方承担。</w:t>
      </w:r>
      <w:r>
        <w:rPr>
          <w:rStyle w:val="180"/>
          <w:rFonts w:ascii="宋体" w:hAnsi="宋体" w:eastAsia="宋体" w:cs="宋体"/>
          <w:color w:val="auto"/>
          <w:sz w:val="28"/>
          <w:szCs w:val="28"/>
        </w:rPr>
        <w:t>乙方应提供完税证明作为付款前提条件，并保证其发票、税务行为合法合规。因乙方税务问题导致甲方损失的，乙方应全额赔偿。</w:t>
      </w:r>
    </w:p>
    <w:p w14:paraId="292F6673">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sz w:val="28"/>
          <w:szCs w:val="28"/>
        </w:rPr>
        <w:t>3、在中国境外发生的与本合同执行有关的一切税费由乙方承担。</w:t>
      </w:r>
    </w:p>
    <w:p w14:paraId="30B42CC8">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b/>
          <w:bCs/>
          <w:sz w:val="28"/>
          <w:szCs w:val="28"/>
        </w:rPr>
        <w:t>十三、违约终止合同</w:t>
      </w:r>
    </w:p>
    <w:p w14:paraId="3F26936F">
      <w:pPr>
        <w:keepNext w:val="0"/>
        <w:keepLines w:val="0"/>
        <w:pageBreakBefore w:val="0"/>
        <w:kinsoku/>
        <w:wordWrap/>
        <w:overflowPunct/>
        <w:topLinePunct w:val="0"/>
        <w:autoSpaceDE/>
        <w:autoSpaceDN/>
        <w:bidi w:val="0"/>
        <w:spacing w:before="210" w:after="210" w:line="500" w:lineRule="exact"/>
        <w:ind w:firstLine="560" w:firstLineChars="200"/>
        <w:textAlignment w:val="auto"/>
        <w:rPr>
          <w:color w:val="auto"/>
        </w:rPr>
      </w:pPr>
      <w:r>
        <w:rPr>
          <w:rStyle w:val="181"/>
          <w:rFonts w:ascii="宋体" w:hAnsi="宋体" w:eastAsia="宋体" w:cs="宋体"/>
          <w:color w:val="auto"/>
          <w:sz w:val="28"/>
          <w:szCs w:val="28"/>
        </w:rPr>
        <w:t>甲方因政策调整或上级主管部门要求可提前30日书面通知乙方解除合同，乙方已完成工作经甲方评估后按比例结算，最高不超过合同总价60%。</w:t>
      </w:r>
    </w:p>
    <w:p w14:paraId="154EB16F">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Style w:val="182"/>
          <w:rFonts w:ascii="宋体" w:hAnsi="宋体" w:eastAsia="宋体" w:cs="宋体"/>
          <w:color w:val="auto"/>
          <w:sz w:val="28"/>
          <w:szCs w:val="28"/>
        </w:rPr>
        <w:t>1、如果发生下列情况之一，甲方有权以书面形式单方面通知乙方终止部分或全部本合同：</w:t>
      </w:r>
      <w:r>
        <w:rPr>
          <w:rStyle w:val="183"/>
          <w:rFonts w:ascii="宋体" w:hAnsi="宋体" w:eastAsia="宋体" w:cs="宋体"/>
          <w:color w:val="auto"/>
          <w:sz w:val="28"/>
          <w:szCs w:val="28"/>
        </w:rPr>
        <w:t>如乙方出现重大违法、失信、被列入黑名单等情形，甲方有权立即解除合同并追究责任。</w:t>
      </w:r>
    </w:p>
    <w:p w14:paraId="253319D0">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（1）乙方未能在合同规定的期限内或甲方同意延长的期限内提供全部或部分服务。</w:t>
      </w:r>
    </w:p>
    <w:p w14:paraId="33E9059D">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（2）乙方未能履行合同规定的任何其他义务。甲方可向乙方发出书面通知，终止部分或合同全部，通知到达乙方时合同即行解除。在这种情况下，并不影响甲方向乙方提出的索赔。 </w:t>
      </w:r>
    </w:p>
    <w:p w14:paraId="167AEC1A">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合同分阶段实施，每个阶段结束后由甲方进行阶段性验收，如服务质量、方案指标达不到要求，甲方有权终止合同，且乙方承担违约责任并作出赔偿，</w:t>
      </w:r>
      <w:r>
        <w:rPr>
          <w:rStyle w:val="184"/>
          <w:rFonts w:ascii="宋体" w:hAnsi="宋体" w:eastAsia="宋体" w:cs="宋体"/>
          <w:color w:val="auto"/>
          <w:sz w:val="28"/>
          <w:szCs w:val="28"/>
        </w:rPr>
        <w:t>赔偿金额为同期累计付款额的</w:t>
      </w:r>
      <w:r>
        <w:rPr>
          <w:rStyle w:val="185"/>
          <w:rFonts w:ascii="宋体" w:hAnsi="宋体" w:eastAsia="宋体" w:cs="宋体"/>
          <w:color w:val="auto"/>
          <w:sz w:val="28"/>
          <w:szCs w:val="28"/>
        </w:rPr>
        <w:t>三</w:t>
      </w:r>
      <w:r>
        <w:rPr>
          <w:rStyle w:val="184"/>
          <w:rFonts w:ascii="宋体" w:hAnsi="宋体" w:eastAsia="宋体" w:cs="宋体"/>
          <w:color w:val="auto"/>
          <w:sz w:val="28"/>
          <w:szCs w:val="28"/>
        </w:rPr>
        <w:t>倍</w:t>
      </w:r>
      <w:r>
        <w:rPr>
          <w:rStyle w:val="185"/>
          <w:rFonts w:ascii="宋体" w:hAnsi="宋体" w:eastAsia="宋体" w:cs="宋体"/>
          <w:color w:val="auto"/>
          <w:sz w:val="28"/>
          <w:szCs w:val="28"/>
        </w:rPr>
        <w:t>，甲方有权从后续应付款项或履约保证金中直接扣除，且不包含已扣除的履约保证金</w:t>
      </w:r>
      <w:r>
        <w:rPr>
          <w:rStyle w:val="184"/>
          <w:rFonts w:ascii="宋体" w:hAnsi="宋体" w:eastAsia="宋体" w:cs="宋体"/>
          <w:color w:val="auto"/>
          <w:sz w:val="28"/>
          <w:szCs w:val="28"/>
        </w:rPr>
        <w:t>。</w:t>
      </w:r>
    </w:p>
    <w:p w14:paraId="0CA755A1">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2、如甲方根据本条第1款终止部分或全部合同，甲方可以按其认为适当的条件和方式与其他服务商签定合同继续服务，对于甲方未终止部分，乙方应根据本合同约定继续执行。</w:t>
      </w:r>
      <w:r>
        <w:rPr>
          <w:rStyle w:val="186"/>
          <w:rFonts w:ascii="宋体" w:hAnsi="宋体" w:eastAsia="宋体" w:cs="宋体"/>
          <w:color w:val="auto"/>
          <w:sz w:val="28"/>
          <w:szCs w:val="28"/>
        </w:rPr>
        <w:t>甲方终止合同后，乙方应于3个工作日内返还全部预付款并按央行同期贷款基准利率四倍支付资金占用费。</w:t>
      </w:r>
    </w:p>
    <w:p w14:paraId="53C9C5BC">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b/>
          <w:bCs/>
          <w:color w:val="auto"/>
          <w:sz w:val="28"/>
          <w:szCs w:val="28"/>
        </w:rPr>
        <w:t>十四、合同的生效</w:t>
      </w:r>
    </w:p>
    <w:p w14:paraId="5F7D35A1">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本合同在乙方缴纳全额履约保证金，即人民币</w:t>
      </w:r>
      <w:r>
        <w:rPr>
          <w:rFonts w:ascii="宋体" w:hAnsi="宋体" w:eastAsia="宋体" w:cs="宋体"/>
          <w:color w:val="auto"/>
          <w:sz w:val="28"/>
          <w:szCs w:val="28"/>
          <w:u w:val="single"/>
        </w:rPr>
        <w:t> </w:t>
      </w:r>
      <w:r>
        <w:rPr>
          <w:rFonts w:ascii="宋体" w:hAnsi="宋体" w:eastAsia="宋体" w:cs="宋体"/>
          <w:color w:val="auto"/>
          <w:sz w:val="28"/>
          <w:szCs w:val="28"/>
        </w:rPr>
        <w:t>元且甲乙双方签字盖章后生效。合同一式肆份，双方各执贰份。</w:t>
      </w:r>
    </w:p>
    <w:p w14:paraId="44A7191C">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b/>
          <w:bCs/>
          <w:color w:val="auto"/>
          <w:sz w:val="28"/>
          <w:szCs w:val="28"/>
        </w:rPr>
        <w:t>十五、组成本合同的文件</w:t>
      </w:r>
    </w:p>
    <w:p w14:paraId="312FF28B">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甲乙双方确认，以下附件构成本合同不可分割的有效组成文件：</w:t>
      </w:r>
    </w:p>
    <w:p w14:paraId="614236B3">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1、采购文件；</w:t>
      </w:r>
    </w:p>
    <w:p w14:paraId="47BD4F47">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Style w:val="187"/>
          <w:rFonts w:ascii="宋体" w:hAnsi="宋体" w:eastAsia="宋体" w:cs="宋体"/>
          <w:color w:val="auto"/>
          <w:sz w:val="28"/>
          <w:szCs w:val="28"/>
        </w:rPr>
        <w:t>2、乙方的响应文件；</w:t>
      </w:r>
      <w:r>
        <w:rPr>
          <w:rStyle w:val="188"/>
          <w:rFonts w:ascii="宋体" w:hAnsi="宋体" w:eastAsia="宋体" w:cs="宋体"/>
          <w:color w:val="auto"/>
          <w:sz w:val="28"/>
          <w:szCs w:val="28"/>
        </w:rPr>
        <w:t>乙方投标文件中的服务团队清单作为合同附件，主要成员变更需经甲方书面同意。</w:t>
      </w:r>
    </w:p>
    <w:p w14:paraId="123C878D">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3、成交通知书。 </w:t>
      </w:r>
    </w:p>
    <w:p w14:paraId="32A13340">
      <w:pPr>
        <w:keepNext w:val="0"/>
        <w:keepLines w:val="0"/>
        <w:pageBreakBefore w:val="0"/>
        <w:kinsoku/>
        <w:wordWrap/>
        <w:overflowPunct/>
        <w:topLinePunct w:val="0"/>
        <w:autoSpaceDE/>
        <w:autoSpaceDN/>
        <w:bidi w:val="0"/>
        <w:spacing w:before="0" w:after="0" w:line="500" w:lineRule="exact"/>
        <w:ind w:firstLine="560"/>
        <w:textAlignment w:val="auto"/>
        <w:rPr>
          <w:color w:val="auto"/>
        </w:rPr>
      </w:pPr>
      <w:r>
        <w:rPr>
          <w:rFonts w:ascii="宋体" w:hAnsi="宋体" w:eastAsia="宋体" w:cs="宋体"/>
          <w:color w:val="auto"/>
          <w:sz w:val="28"/>
          <w:szCs w:val="28"/>
        </w:rPr>
        <w:t>上述附件内容互为补充，上述附件内容不一致的以招标文件为准；如该文件与本合同约定存在不一致之处，以本合同约定为准。</w:t>
      </w:r>
      <w:r>
        <w:rPr>
          <w:rStyle w:val="189"/>
          <w:rFonts w:ascii="宋体" w:hAnsi="宋体" w:eastAsia="宋体" w:cs="宋体"/>
          <w:color w:val="auto"/>
          <w:sz w:val="28"/>
          <w:szCs w:val="28"/>
        </w:rPr>
        <w:t>如有</w:t>
      </w:r>
      <w:r>
        <w:rPr>
          <w:rStyle w:val="190"/>
          <w:rFonts w:ascii="宋体" w:hAnsi="宋体" w:eastAsia="宋体" w:cs="宋体"/>
          <w:color w:val="auto"/>
          <w:sz w:val="28"/>
          <w:szCs w:val="28"/>
        </w:rPr>
        <w:t>任何</w:t>
      </w:r>
      <w:r>
        <w:rPr>
          <w:rStyle w:val="189"/>
          <w:rFonts w:ascii="宋体" w:hAnsi="宋体" w:eastAsia="宋体" w:cs="宋体"/>
          <w:color w:val="auto"/>
          <w:sz w:val="28"/>
          <w:szCs w:val="28"/>
        </w:rPr>
        <w:t>不明确</w:t>
      </w:r>
      <w:r>
        <w:rPr>
          <w:rStyle w:val="190"/>
          <w:rFonts w:ascii="宋体" w:hAnsi="宋体" w:eastAsia="宋体" w:cs="宋体"/>
          <w:color w:val="auto"/>
          <w:sz w:val="28"/>
          <w:szCs w:val="28"/>
        </w:rPr>
        <w:t>或争议</w:t>
      </w:r>
      <w:r>
        <w:rPr>
          <w:rStyle w:val="189"/>
          <w:rFonts w:ascii="宋体" w:hAnsi="宋体" w:eastAsia="宋体" w:cs="宋体"/>
          <w:color w:val="auto"/>
          <w:sz w:val="28"/>
          <w:szCs w:val="28"/>
        </w:rPr>
        <w:t>，以甲方</w:t>
      </w:r>
      <w:r>
        <w:rPr>
          <w:rStyle w:val="190"/>
          <w:rFonts w:ascii="宋体" w:hAnsi="宋体" w:eastAsia="宋体" w:cs="宋体"/>
          <w:color w:val="auto"/>
          <w:sz w:val="28"/>
          <w:szCs w:val="28"/>
        </w:rPr>
        <w:t>书面解释为最终准则，乙方不得异议。合同文件</w:t>
      </w:r>
      <w:r>
        <w:rPr>
          <w:rStyle w:val="189"/>
          <w:rFonts w:ascii="宋体" w:hAnsi="宋体" w:eastAsia="宋体" w:cs="宋体"/>
          <w:color w:val="auto"/>
          <w:sz w:val="28"/>
          <w:szCs w:val="28"/>
        </w:rPr>
        <w:t>的</w:t>
      </w:r>
      <w:r>
        <w:rPr>
          <w:rStyle w:val="190"/>
          <w:rFonts w:ascii="宋体" w:hAnsi="宋体" w:eastAsia="宋体" w:cs="宋体"/>
          <w:color w:val="auto"/>
          <w:sz w:val="28"/>
          <w:szCs w:val="28"/>
        </w:rPr>
        <w:t>最终</w:t>
      </w:r>
      <w:r>
        <w:rPr>
          <w:rStyle w:val="189"/>
          <w:rFonts w:ascii="宋体" w:hAnsi="宋体" w:eastAsia="宋体" w:cs="宋体"/>
          <w:color w:val="auto"/>
          <w:sz w:val="28"/>
          <w:szCs w:val="28"/>
        </w:rPr>
        <w:t>解释</w:t>
      </w:r>
      <w:r>
        <w:rPr>
          <w:rStyle w:val="190"/>
          <w:rFonts w:ascii="宋体" w:hAnsi="宋体" w:eastAsia="宋体" w:cs="宋体"/>
          <w:color w:val="auto"/>
          <w:sz w:val="28"/>
          <w:szCs w:val="28"/>
        </w:rPr>
        <w:t>权归甲方所有，附件内容与合同不一致时以甲方解释</w:t>
      </w:r>
      <w:r>
        <w:rPr>
          <w:rStyle w:val="189"/>
          <w:rFonts w:ascii="宋体" w:hAnsi="宋体" w:eastAsia="宋体" w:cs="宋体"/>
          <w:color w:val="auto"/>
          <w:sz w:val="28"/>
          <w:szCs w:val="28"/>
        </w:rPr>
        <w:t>为准。</w:t>
      </w:r>
    </w:p>
    <w:p w14:paraId="60C3246C">
      <w:pPr>
        <w:keepNext w:val="0"/>
        <w:keepLines w:val="0"/>
        <w:pageBreakBefore w:val="0"/>
        <w:kinsoku/>
        <w:wordWrap/>
        <w:overflowPunct/>
        <w:topLinePunct w:val="0"/>
        <w:autoSpaceDE/>
        <w:autoSpaceDN/>
        <w:bidi w:val="0"/>
        <w:spacing w:before="0" w:after="0" w:line="500" w:lineRule="exact"/>
        <w:ind w:firstLine="552"/>
        <w:textAlignment w:val="auto"/>
      </w:pPr>
      <w:r>
        <w:rPr>
          <w:rFonts w:ascii="宋体" w:hAnsi="宋体" w:eastAsia="宋体" w:cs="宋体"/>
          <w:b/>
          <w:bCs/>
          <w:sz w:val="28"/>
          <w:szCs w:val="28"/>
        </w:rPr>
        <w:t>十六、适用法律</w:t>
      </w:r>
    </w:p>
    <w:p w14:paraId="2BE170C9">
      <w:pPr>
        <w:keepNext w:val="0"/>
        <w:keepLines w:val="0"/>
        <w:pageBreakBefore w:val="0"/>
        <w:kinsoku/>
        <w:wordWrap/>
        <w:overflowPunct/>
        <w:topLinePunct w:val="0"/>
        <w:autoSpaceDE/>
        <w:autoSpaceDN/>
        <w:bidi w:val="0"/>
        <w:spacing w:before="0" w:after="0" w:line="500" w:lineRule="exact"/>
        <w:ind w:firstLine="480"/>
        <w:textAlignment w:val="auto"/>
      </w:pPr>
      <w:r>
        <w:rPr>
          <w:rFonts w:ascii="宋体" w:hAnsi="宋体" w:eastAsia="宋体" w:cs="宋体"/>
          <w:sz w:val="28"/>
          <w:szCs w:val="28"/>
        </w:rPr>
        <w:t>本合同应按照中华人民共和国的现行法律进行解释。</w:t>
      </w:r>
    </w:p>
    <w:p w14:paraId="45A411C0">
      <w:pPr>
        <w:keepNext w:val="0"/>
        <w:keepLines w:val="0"/>
        <w:pageBreakBefore w:val="0"/>
        <w:kinsoku/>
        <w:wordWrap/>
        <w:overflowPunct/>
        <w:topLinePunct w:val="0"/>
        <w:autoSpaceDE/>
        <w:autoSpaceDN/>
        <w:bidi w:val="0"/>
        <w:spacing w:before="0" w:after="0" w:line="500" w:lineRule="exact"/>
        <w:ind w:firstLine="560"/>
        <w:textAlignment w:val="auto"/>
      </w:pPr>
      <w:r>
        <w:rPr>
          <w:rFonts w:ascii="宋体" w:hAnsi="宋体" w:eastAsia="宋体" w:cs="宋体"/>
          <w:sz w:val="28"/>
          <w:szCs w:val="28"/>
        </w:rPr>
        <w:t>甲方：（盖章）          乙方：（盖章）  </w:t>
      </w:r>
    </w:p>
    <w:p w14:paraId="1B40A2F1">
      <w:pPr>
        <w:keepNext w:val="0"/>
        <w:keepLines w:val="0"/>
        <w:pageBreakBefore w:val="0"/>
        <w:kinsoku/>
        <w:wordWrap/>
        <w:overflowPunct/>
        <w:topLinePunct w:val="0"/>
        <w:autoSpaceDE/>
        <w:autoSpaceDN/>
        <w:bidi w:val="0"/>
        <w:spacing w:before="210" w:after="210" w:line="500" w:lineRule="exact"/>
        <w:ind w:firstLine="280" w:firstLineChars="100"/>
        <w:textAlignment w:val="auto"/>
        <w:rPr>
          <w:color w:val="auto"/>
        </w:rPr>
      </w:pPr>
      <w:r>
        <w:rPr>
          <w:rStyle w:val="191"/>
          <w:rFonts w:ascii="宋体" w:hAnsi="宋体" w:eastAsia="宋体" w:cs="宋体"/>
          <w:color w:val="auto"/>
          <w:sz w:val="28"/>
          <w:szCs w:val="28"/>
        </w:rPr>
        <w:t>通知与送达 1、双方应在合同中指定收件地址、联系人及联系方式，作为合同履行期间的有效送达信息。 2、合同履行期间，双方可通过电子邮件、传真、EMS、快递等方式进行通知，电子邮件送达视为有效送达。 3、如一方变更收件地址、联系人或联系方式，须提前书面通知对方，未通知的，仍以原地址为准，因未及时通知造成的后果由变更方承担。</w:t>
      </w:r>
    </w:p>
    <w:p w14:paraId="5656B8F7">
      <w:pPr>
        <w:keepNext w:val="0"/>
        <w:keepLines w:val="0"/>
        <w:pageBreakBefore w:val="0"/>
        <w:widowControl/>
        <w:kinsoku/>
        <w:wordWrap/>
        <w:overflowPunct/>
        <w:topLinePunct w:val="0"/>
        <w:autoSpaceDE/>
        <w:autoSpaceDN/>
        <w:bidi w:val="0"/>
        <w:spacing w:before="0" w:after="0" w:line="500" w:lineRule="exact"/>
        <w:textAlignment w:val="auto"/>
      </w:pPr>
      <w:r>
        <w:rPr>
          <w:rFonts w:ascii="宋体" w:hAnsi="宋体" w:eastAsia="宋体" w:cs="宋体"/>
          <w:sz w:val="28"/>
          <w:szCs w:val="28"/>
        </w:rPr>
        <w:t>地址：                地址：</w:t>
      </w:r>
    </w:p>
    <w:p w14:paraId="4457AE13">
      <w:pPr>
        <w:keepNext w:val="0"/>
        <w:keepLines w:val="0"/>
        <w:pageBreakBefore w:val="0"/>
        <w:widowControl/>
        <w:kinsoku/>
        <w:wordWrap/>
        <w:overflowPunct/>
        <w:topLinePunct w:val="0"/>
        <w:autoSpaceDE/>
        <w:autoSpaceDN/>
        <w:bidi w:val="0"/>
        <w:spacing w:before="0" w:after="0" w:line="500" w:lineRule="exact"/>
        <w:textAlignment w:val="auto"/>
      </w:pPr>
      <w:r>
        <w:rPr>
          <w:rFonts w:ascii="宋体" w:hAnsi="宋体" w:eastAsia="宋体" w:cs="宋体"/>
          <w:sz w:val="28"/>
          <w:szCs w:val="28"/>
        </w:rPr>
        <w:t>法定（授权）代表人：         法定（授权）代表人：</w:t>
      </w:r>
    </w:p>
    <w:p w14:paraId="190114F5">
      <w:pPr>
        <w:keepNext w:val="0"/>
        <w:keepLines w:val="0"/>
        <w:pageBreakBefore w:val="0"/>
        <w:widowControl/>
        <w:kinsoku/>
        <w:wordWrap/>
        <w:overflowPunct/>
        <w:topLinePunct w:val="0"/>
        <w:autoSpaceDE/>
        <w:autoSpaceDN/>
        <w:bidi w:val="0"/>
        <w:spacing w:before="0" w:after="0" w:line="500" w:lineRule="exact"/>
        <w:textAlignment w:val="auto"/>
      </w:pPr>
      <w:r>
        <w:rPr>
          <w:rFonts w:ascii="宋体" w:hAnsi="宋体" w:eastAsia="宋体" w:cs="宋体"/>
          <w:sz w:val="28"/>
          <w:szCs w:val="28"/>
        </w:rPr>
        <w:t>联系人：               联系人：</w:t>
      </w:r>
    </w:p>
    <w:p w14:paraId="08A3CAC1">
      <w:pPr>
        <w:keepNext w:val="0"/>
        <w:keepLines w:val="0"/>
        <w:pageBreakBefore w:val="0"/>
        <w:widowControl/>
        <w:kinsoku/>
        <w:wordWrap/>
        <w:overflowPunct/>
        <w:topLinePunct w:val="0"/>
        <w:autoSpaceDE/>
        <w:autoSpaceDN/>
        <w:bidi w:val="0"/>
        <w:spacing w:before="0" w:after="0" w:line="500" w:lineRule="exact"/>
        <w:textAlignment w:val="auto"/>
      </w:pPr>
      <w:r>
        <w:rPr>
          <w:rFonts w:ascii="宋体" w:hAnsi="宋体" w:eastAsia="宋体" w:cs="宋体"/>
          <w:sz w:val="28"/>
          <w:szCs w:val="28"/>
        </w:rPr>
        <w:t>联系电话：              联系电话：</w:t>
      </w:r>
    </w:p>
    <w:p w14:paraId="2427BCE9">
      <w:pPr>
        <w:keepNext w:val="0"/>
        <w:keepLines w:val="0"/>
        <w:pageBreakBefore w:val="0"/>
        <w:kinsoku/>
        <w:wordWrap/>
        <w:overflowPunct/>
        <w:topLinePunct w:val="0"/>
        <w:autoSpaceDE/>
        <w:autoSpaceDN/>
        <w:bidi w:val="0"/>
        <w:spacing w:before="0" w:after="0" w:line="500" w:lineRule="exact"/>
        <w:textAlignment w:val="auto"/>
      </w:pPr>
      <w:r>
        <w:rPr>
          <w:rFonts w:ascii="宋体" w:hAnsi="宋体" w:eastAsia="宋体" w:cs="宋体"/>
          <w:sz w:val="28"/>
          <w:szCs w:val="28"/>
        </w:rPr>
        <w:t>年   月  日            年  月  </w:t>
      </w:r>
      <w:r>
        <w:rPr>
          <w:rFonts w:ascii="宋体" w:hAnsi="宋体" w:eastAsia="宋体" w:cs="宋体"/>
          <w:sz w:val="24"/>
          <w:szCs w:val="24"/>
        </w:rPr>
        <w:t>日</w:t>
      </w:r>
    </w:p>
    <w:p w14:paraId="51E7B423">
      <w:pPr>
        <w:keepNext w:val="0"/>
        <w:keepLines w:val="0"/>
        <w:pageBreakBefore w:val="0"/>
        <w:kinsoku/>
        <w:wordWrap/>
        <w:overflowPunct/>
        <w:topLinePunct w:val="0"/>
        <w:autoSpaceDE/>
        <w:autoSpaceDN/>
        <w:bidi w:val="0"/>
        <w:adjustRightInd w:val="0"/>
        <w:snapToGrid w:val="0"/>
        <w:spacing w:line="500" w:lineRule="exact"/>
        <w:jc w:val="both"/>
        <w:textAlignment w:val="auto"/>
        <w:outlineLvl w:val="0"/>
        <w:rPr>
          <w:rFonts w:hint="eastAsia" w:ascii="宋体" w:hAnsi="宋体" w:cs="宋体"/>
          <w:bCs/>
          <w:color w:val="auto"/>
          <w:sz w:val="36"/>
          <w:szCs w:val="36"/>
          <w:highlight w:val="none"/>
        </w:rPr>
      </w:pPr>
    </w:p>
    <w:p w14:paraId="3899B8DA">
      <w:pPr>
        <w:adjustRightInd w:val="0"/>
        <w:snapToGrid w:val="0"/>
        <w:spacing w:line="500" w:lineRule="exact"/>
        <w:jc w:val="center"/>
        <w:outlineLvl w:val="0"/>
        <w:rPr>
          <w:rFonts w:hint="eastAsia" w:ascii="宋体" w:hAnsi="宋体" w:cs="宋体"/>
          <w:bCs/>
          <w:color w:val="auto"/>
          <w:sz w:val="36"/>
          <w:szCs w:val="36"/>
          <w:highlight w:val="none"/>
        </w:rPr>
      </w:pPr>
    </w:p>
    <w:p w14:paraId="76231E0E">
      <w:pPr>
        <w:adjustRightInd w:val="0"/>
        <w:snapToGrid w:val="0"/>
        <w:spacing w:line="500" w:lineRule="exact"/>
        <w:jc w:val="center"/>
        <w:outlineLvl w:val="0"/>
        <w:rPr>
          <w:rFonts w:hint="eastAsia" w:ascii="宋体" w:hAnsi="宋体" w:cs="宋体"/>
          <w:bCs/>
          <w:color w:val="auto"/>
          <w:sz w:val="36"/>
          <w:szCs w:val="36"/>
          <w:highlight w:val="none"/>
        </w:rPr>
      </w:pPr>
    </w:p>
    <w:p w14:paraId="05B51061">
      <w:pPr>
        <w:adjustRightInd w:val="0"/>
        <w:snapToGrid w:val="0"/>
        <w:spacing w:line="500" w:lineRule="exact"/>
        <w:jc w:val="center"/>
        <w:outlineLvl w:val="0"/>
        <w:rPr>
          <w:rFonts w:hint="eastAsia" w:ascii="宋体" w:hAnsi="宋体" w:cs="宋体"/>
          <w:bCs/>
          <w:color w:val="auto"/>
          <w:sz w:val="36"/>
          <w:szCs w:val="36"/>
          <w:highlight w:val="none"/>
        </w:rPr>
      </w:pPr>
    </w:p>
    <w:p w14:paraId="718FDA0F">
      <w:pPr>
        <w:adjustRightInd w:val="0"/>
        <w:snapToGrid w:val="0"/>
        <w:spacing w:line="500" w:lineRule="exact"/>
        <w:jc w:val="center"/>
        <w:outlineLvl w:val="0"/>
        <w:rPr>
          <w:rFonts w:hint="eastAsia" w:ascii="宋体" w:hAnsi="宋体" w:cs="宋体"/>
          <w:bCs/>
          <w:color w:val="auto"/>
          <w:sz w:val="36"/>
          <w:szCs w:val="36"/>
          <w:highlight w:val="none"/>
        </w:rPr>
      </w:pPr>
    </w:p>
    <w:p w14:paraId="23225086">
      <w:pPr>
        <w:adjustRightInd w:val="0"/>
        <w:snapToGrid w:val="0"/>
        <w:spacing w:line="500" w:lineRule="exact"/>
        <w:jc w:val="center"/>
        <w:outlineLvl w:val="0"/>
        <w:rPr>
          <w:rFonts w:hint="eastAsia" w:ascii="宋体" w:hAnsi="宋体" w:cs="宋体"/>
          <w:bCs/>
          <w:color w:val="auto"/>
          <w:sz w:val="36"/>
          <w:szCs w:val="36"/>
          <w:highlight w:val="none"/>
        </w:rPr>
      </w:pPr>
    </w:p>
    <w:p w14:paraId="379B7E46">
      <w:pPr>
        <w:adjustRightInd w:val="0"/>
        <w:snapToGrid w:val="0"/>
        <w:spacing w:line="500" w:lineRule="exact"/>
        <w:jc w:val="center"/>
        <w:outlineLvl w:val="0"/>
        <w:rPr>
          <w:rFonts w:hint="eastAsia" w:ascii="宋体" w:hAnsi="宋体" w:cs="宋体"/>
          <w:bCs/>
          <w:color w:val="auto"/>
          <w:sz w:val="36"/>
          <w:szCs w:val="36"/>
          <w:highlight w:val="none"/>
        </w:rPr>
      </w:pPr>
    </w:p>
    <w:p w14:paraId="4E15036E">
      <w:pPr>
        <w:adjustRightInd w:val="0"/>
        <w:snapToGrid w:val="0"/>
        <w:spacing w:line="500" w:lineRule="exact"/>
        <w:jc w:val="center"/>
        <w:outlineLvl w:val="0"/>
        <w:rPr>
          <w:rFonts w:hint="eastAsia" w:ascii="宋体" w:hAnsi="宋体" w:cs="宋体"/>
          <w:bCs/>
          <w:color w:val="auto"/>
          <w:sz w:val="36"/>
          <w:szCs w:val="36"/>
          <w:highlight w:val="none"/>
        </w:rPr>
      </w:pPr>
    </w:p>
    <w:p w14:paraId="4A866E7F">
      <w:pPr>
        <w:adjustRightInd w:val="0"/>
        <w:snapToGrid w:val="0"/>
        <w:spacing w:line="500" w:lineRule="exact"/>
        <w:jc w:val="center"/>
        <w:outlineLvl w:val="0"/>
        <w:rPr>
          <w:rFonts w:hint="eastAsia" w:ascii="宋体" w:hAnsi="宋体" w:cs="宋体"/>
          <w:bCs/>
          <w:color w:val="auto"/>
          <w:sz w:val="36"/>
          <w:szCs w:val="36"/>
          <w:highlight w:val="none"/>
        </w:rPr>
      </w:pPr>
    </w:p>
    <w:p w14:paraId="0F05C625">
      <w:pPr>
        <w:adjustRightInd w:val="0"/>
        <w:snapToGrid w:val="0"/>
        <w:spacing w:line="500" w:lineRule="exact"/>
        <w:jc w:val="center"/>
        <w:outlineLvl w:val="0"/>
        <w:rPr>
          <w:rFonts w:hint="eastAsia" w:ascii="宋体" w:hAnsi="宋体" w:cs="宋体"/>
          <w:bCs/>
          <w:color w:val="auto"/>
          <w:sz w:val="36"/>
          <w:szCs w:val="36"/>
          <w:highlight w:val="none"/>
        </w:rPr>
      </w:pPr>
    </w:p>
    <w:p w14:paraId="0E7E2BC5">
      <w:pPr>
        <w:adjustRightInd w:val="0"/>
        <w:snapToGrid w:val="0"/>
        <w:spacing w:line="500" w:lineRule="exact"/>
        <w:jc w:val="center"/>
        <w:outlineLvl w:val="0"/>
        <w:rPr>
          <w:rFonts w:hint="eastAsia" w:ascii="宋体" w:hAnsi="宋体" w:cs="宋体"/>
          <w:bCs/>
          <w:color w:val="auto"/>
          <w:sz w:val="36"/>
          <w:szCs w:val="36"/>
          <w:highlight w:val="none"/>
        </w:rPr>
      </w:pPr>
    </w:p>
    <w:p w14:paraId="7F00BBF1">
      <w:pPr>
        <w:adjustRightInd w:val="0"/>
        <w:snapToGrid w:val="0"/>
        <w:spacing w:line="500" w:lineRule="exact"/>
        <w:jc w:val="center"/>
        <w:outlineLvl w:val="0"/>
        <w:rPr>
          <w:rFonts w:hint="eastAsia" w:ascii="宋体" w:hAnsi="宋体" w:cs="宋体"/>
          <w:bCs/>
          <w:color w:val="auto"/>
          <w:sz w:val="36"/>
          <w:szCs w:val="36"/>
          <w:highlight w:val="none"/>
        </w:rPr>
      </w:pPr>
    </w:p>
    <w:p w14:paraId="78A248FE">
      <w:pPr>
        <w:adjustRightInd w:val="0"/>
        <w:snapToGrid w:val="0"/>
        <w:spacing w:line="500" w:lineRule="exact"/>
        <w:jc w:val="center"/>
        <w:outlineLvl w:val="0"/>
        <w:rPr>
          <w:rFonts w:hint="eastAsia" w:ascii="宋体" w:hAnsi="宋体" w:cs="宋体"/>
          <w:bCs/>
          <w:color w:val="auto"/>
          <w:sz w:val="36"/>
          <w:szCs w:val="36"/>
          <w:highlight w:val="none"/>
        </w:rPr>
      </w:pPr>
    </w:p>
    <w:p w14:paraId="2C534C54">
      <w:pPr>
        <w:adjustRightInd w:val="0"/>
        <w:snapToGrid w:val="0"/>
        <w:spacing w:line="500" w:lineRule="exact"/>
        <w:jc w:val="center"/>
        <w:outlineLvl w:val="0"/>
        <w:rPr>
          <w:rFonts w:hint="eastAsia" w:ascii="宋体" w:hAnsi="宋体" w:cs="宋体"/>
          <w:bCs/>
          <w:color w:val="auto"/>
          <w:sz w:val="36"/>
          <w:szCs w:val="36"/>
          <w:highlight w:val="none"/>
        </w:rPr>
      </w:pPr>
    </w:p>
    <w:p w14:paraId="7067A5E2">
      <w:pPr>
        <w:adjustRightInd w:val="0"/>
        <w:snapToGrid w:val="0"/>
        <w:spacing w:line="500" w:lineRule="exact"/>
        <w:jc w:val="center"/>
        <w:outlineLvl w:val="0"/>
        <w:rPr>
          <w:rFonts w:hint="eastAsia" w:ascii="宋体" w:hAnsi="宋体" w:cs="宋体"/>
          <w:bCs/>
          <w:color w:val="auto"/>
          <w:sz w:val="36"/>
          <w:szCs w:val="36"/>
          <w:highlight w:val="none"/>
        </w:rPr>
      </w:pPr>
    </w:p>
    <w:p w14:paraId="7E81F0B7">
      <w:pPr>
        <w:adjustRightInd w:val="0"/>
        <w:snapToGrid w:val="0"/>
        <w:spacing w:line="500" w:lineRule="exact"/>
        <w:jc w:val="center"/>
        <w:outlineLvl w:val="0"/>
        <w:rPr>
          <w:rFonts w:hint="eastAsia" w:ascii="宋体" w:hAnsi="宋体" w:cs="宋体"/>
          <w:bCs/>
          <w:color w:val="auto"/>
          <w:sz w:val="36"/>
          <w:szCs w:val="36"/>
          <w:highlight w:val="none"/>
        </w:rPr>
      </w:pPr>
    </w:p>
    <w:p w14:paraId="7AD316B0">
      <w:pPr>
        <w:adjustRightInd w:val="0"/>
        <w:snapToGrid w:val="0"/>
        <w:spacing w:line="500" w:lineRule="exact"/>
        <w:jc w:val="center"/>
        <w:outlineLvl w:val="0"/>
        <w:rPr>
          <w:rFonts w:hint="eastAsia" w:ascii="宋体" w:hAnsi="宋体" w:cs="宋体"/>
          <w:bCs/>
          <w:color w:val="auto"/>
          <w:sz w:val="36"/>
          <w:szCs w:val="36"/>
          <w:highlight w:val="none"/>
        </w:rPr>
      </w:pPr>
    </w:p>
    <w:p w14:paraId="023E5583">
      <w:pPr>
        <w:adjustRightInd w:val="0"/>
        <w:snapToGrid w:val="0"/>
        <w:spacing w:line="500" w:lineRule="exact"/>
        <w:jc w:val="center"/>
        <w:outlineLvl w:val="0"/>
        <w:rPr>
          <w:rFonts w:hint="eastAsia" w:ascii="宋体" w:hAnsi="宋体" w:cs="宋体"/>
          <w:bCs/>
          <w:color w:val="auto"/>
          <w:sz w:val="36"/>
          <w:szCs w:val="36"/>
          <w:highlight w:val="none"/>
        </w:rPr>
      </w:pPr>
    </w:p>
    <w:p w14:paraId="7B0B810C">
      <w:pPr>
        <w:adjustRightInd w:val="0"/>
        <w:snapToGrid w:val="0"/>
        <w:spacing w:line="500" w:lineRule="exact"/>
        <w:jc w:val="center"/>
        <w:outlineLvl w:val="0"/>
        <w:rPr>
          <w:rFonts w:hint="eastAsia" w:ascii="宋体" w:hAnsi="宋体" w:cs="宋体"/>
          <w:bCs/>
          <w:color w:val="auto"/>
          <w:sz w:val="36"/>
          <w:szCs w:val="36"/>
          <w:highlight w:val="none"/>
        </w:rPr>
      </w:pPr>
    </w:p>
    <w:p w14:paraId="6BD546C7">
      <w:pPr>
        <w:adjustRightInd w:val="0"/>
        <w:snapToGrid w:val="0"/>
        <w:spacing w:line="500" w:lineRule="exact"/>
        <w:jc w:val="center"/>
        <w:outlineLvl w:val="0"/>
        <w:rPr>
          <w:rFonts w:hint="eastAsia" w:ascii="宋体" w:hAnsi="宋体" w:cs="宋体"/>
          <w:bCs/>
          <w:color w:val="auto"/>
          <w:sz w:val="36"/>
          <w:szCs w:val="36"/>
          <w:highlight w:val="none"/>
        </w:rPr>
      </w:pPr>
    </w:p>
    <w:p w14:paraId="48D545C4">
      <w:pPr>
        <w:adjustRightInd w:val="0"/>
        <w:snapToGrid w:val="0"/>
        <w:spacing w:line="500" w:lineRule="exact"/>
        <w:jc w:val="center"/>
        <w:outlineLvl w:val="0"/>
        <w:rPr>
          <w:rFonts w:hint="eastAsia" w:ascii="宋体" w:hAnsi="宋体" w:cs="宋体"/>
          <w:bCs/>
          <w:color w:val="auto"/>
          <w:sz w:val="36"/>
          <w:szCs w:val="36"/>
          <w:highlight w:val="none"/>
        </w:rPr>
      </w:pPr>
    </w:p>
    <w:p w14:paraId="0FD011F7">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第四部分  开标和评标</w:t>
      </w:r>
    </w:p>
    <w:p w14:paraId="3C4DDE5D">
      <w:pPr>
        <w:pStyle w:val="67"/>
        <w:snapToGrid w:val="0"/>
        <w:spacing w:before="0" w:after="0" w:line="50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一、开标</w:t>
      </w:r>
    </w:p>
    <w:p w14:paraId="12586104">
      <w:pPr>
        <w:tabs>
          <w:tab w:val="left" w:pos="3585"/>
        </w:tabs>
        <w:adjustRightInd w:val="0"/>
        <w:snapToGrid w:val="0"/>
        <w:spacing w:line="500" w:lineRule="exact"/>
        <w:ind w:firstLine="537" w:firstLineChars="192"/>
        <w:rPr>
          <w:rFonts w:ascii="宋体" w:hAnsi="宋体" w:cs="宋体"/>
          <w:color w:val="auto"/>
          <w:sz w:val="28"/>
          <w:szCs w:val="28"/>
          <w:highlight w:val="none"/>
        </w:rPr>
      </w:pPr>
      <w:r>
        <w:rPr>
          <w:rFonts w:hint="eastAsia" w:ascii="宋体" w:hAnsi="宋体" w:cs="宋体"/>
          <w:color w:val="auto"/>
          <w:sz w:val="28"/>
          <w:szCs w:val="28"/>
          <w:highlight w:val="none"/>
        </w:rPr>
        <w:t>本项目不见面开标。</w:t>
      </w:r>
    </w:p>
    <w:p w14:paraId="638E9803">
      <w:pPr>
        <w:pStyle w:val="67"/>
        <w:snapToGrid w:val="0"/>
        <w:spacing w:before="0" w:after="0" w:line="50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二、评标流程和评标标准</w:t>
      </w:r>
    </w:p>
    <w:p w14:paraId="37170AA7">
      <w:pPr>
        <w:keepNext w:val="0"/>
        <w:keepLines w:val="0"/>
        <w:pageBreakBefore w:val="0"/>
        <w:widowControl w:val="0"/>
        <w:kinsoku/>
        <w:wordWrap/>
        <w:overflowPunct/>
        <w:topLinePunct w:val="0"/>
        <w:autoSpaceDE/>
        <w:autoSpaceDN/>
        <w:bidi w:val="0"/>
        <w:adjustRightInd w:val="0"/>
        <w:snapToGrid w:val="0"/>
        <w:spacing w:line="500" w:lineRule="exact"/>
        <w:ind w:firstLine="555"/>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采用综合评分法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总分值100分。</w:t>
      </w:r>
    </w:p>
    <w:p w14:paraId="0DF28FBC">
      <w:pPr>
        <w:keepNext w:val="0"/>
        <w:keepLines w:val="0"/>
        <w:pageBreakBefore w:val="0"/>
        <w:widowControl w:val="0"/>
        <w:kinsoku/>
        <w:wordWrap/>
        <w:overflowPunct/>
        <w:topLinePunct w:val="0"/>
        <w:autoSpaceDE/>
        <w:autoSpaceDN/>
        <w:bidi w:val="0"/>
        <w:adjustRightInd w:val="0"/>
        <w:snapToGrid w:val="0"/>
        <w:spacing w:line="500" w:lineRule="exact"/>
        <w:ind w:firstLine="55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首先由采购人对投标人资格进行审查，然后评标委员会对符合资格的投标人的投标文件进行符合性审查，最后评标委员会对符合性审查合格的投标文件商务、技术部分进行评估，综合比较与评价。待商务技术标评审结束后，进行价格标的评审。投标人商务、技术部分和价格部分的合计分值，为该投标人的评标总得分。</w:t>
      </w:r>
    </w:p>
    <w:p w14:paraId="756AE5A1">
      <w:pPr>
        <w:keepNext w:val="0"/>
        <w:keepLines w:val="0"/>
        <w:pageBreakBefore w:val="0"/>
        <w:widowControl w:val="0"/>
        <w:kinsoku/>
        <w:wordWrap/>
        <w:overflowPunct/>
        <w:topLinePunct w:val="0"/>
        <w:autoSpaceDE/>
        <w:autoSpaceDN/>
        <w:bidi w:val="0"/>
        <w:adjustRightInd w:val="0"/>
        <w:snapToGrid w:val="0"/>
        <w:spacing w:line="500" w:lineRule="exact"/>
        <w:ind w:firstLine="55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评标结果按评审后总得分由高到低顺序排列，确定中标候选人名单并按顺序确定中标人。得分相同的，按投标报价由低到高顺序排列，得分且投标报价相同的并列。</w:t>
      </w:r>
    </w:p>
    <w:p w14:paraId="316B2569">
      <w:pPr>
        <w:keepNext w:val="0"/>
        <w:keepLines w:val="0"/>
        <w:pageBreakBefore w:val="0"/>
        <w:widowControl w:val="0"/>
        <w:kinsoku/>
        <w:wordWrap/>
        <w:overflowPunct/>
        <w:topLinePunct w:val="0"/>
        <w:autoSpaceDE/>
        <w:autoSpaceDN/>
        <w:bidi w:val="0"/>
        <w:adjustRightInd w:val="0"/>
        <w:snapToGrid w:val="0"/>
        <w:spacing w:line="500" w:lineRule="exact"/>
        <w:ind w:firstLine="55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评委在认真审阅投标文件的基础上，根据各投标文件的响应程度独立评判，不得统一打分。</w:t>
      </w:r>
    </w:p>
    <w:p w14:paraId="2E976EB7">
      <w:pPr>
        <w:keepNext w:val="0"/>
        <w:keepLines w:val="0"/>
        <w:pageBreakBefore w:val="0"/>
        <w:widowControl w:val="0"/>
        <w:kinsoku/>
        <w:wordWrap/>
        <w:overflowPunct/>
        <w:topLinePunct w:val="0"/>
        <w:autoSpaceDE/>
        <w:autoSpaceDN/>
        <w:bidi w:val="0"/>
        <w:adjustRightInd w:val="0"/>
        <w:snapToGrid w:val="0"/>
        <w:spacing w:line="500" w:lineRule="exact"/>
        <w:ind w:firstLine="413" w:firstLineChars="147"/>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（一）评标委员会对投标人资格进行审查。</w:t>
      </w:r>
    </w:p>
    <w:p w14:paraId="42515520">
      <w:pPr>
        <w:pStyle w:val="71"/>
        <w:keepNext w:val="0"/>
        <w:keepLines w:val="0"/>
        <w:pageBreakBefore w:val="0"/>
        <w:widowControl w:val="0"/>
        <w:kinsoku/>
        <w:wordWrap/>
        <w:overflowPunct/>
        <w:topLinePunct w:val="0"/>
        <w:autoSpaceDE/>
        <w:autoSpaceDN/>
        <w:bidi w:val="0"/>
        <w:adjustRightInd w:val="0"/>
        <w:snapToGrid w:val="0"/>
        <w:spacing w:line="500" w:lineRule="exact"/>
        <w:ind w:firstLine="577"/>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投标人资格不合格的，其投标文件判定为无效投标文件。</w:t>
      </w:r>
    </w:p>
    <w:p w14:paraId="3E9C4FF2">
      <w:pPr>
        <w:keepNext w:val="0"/>
        <w:keepLines w:val="0"/>
        <w:pageBreakBefore w:val="0"/>
        <w:widowControl w:val="0"/>
        <w:kinsoku/>
        <w:wordWrap/>
        <w:overflowPunct/>
        <w:topLinePunct w:val="0"/>
        <w:autoSpaceDE/>
        <w:autoSpaceDN/>
        <w:bidi w:val="0"/>
        <w:adjustRightInd w:val="0"/>
        <w:snapToGrid w:val="0"/>
        <w:spacing w:line="500" w:lineRule="exact"/>
        <w:ind w:firstLine="413" w:firstLineChars="147"/>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（二）评标委员会对符合资格投标人的投标文件进行符合性审</w:t>
      </w:r>
    </w:p>
    <w:p w14:paraId="7514CAC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查。</w:t>
      </w:r>
    </w:p>
    <w:p w14:paraId="4D090404">
      <w:pPr>
        <w:pStyle w:val="71"/>
        <w:keepNext w:val="0"/>
        <w:keepLines w:val="0"/>
        <w:pageBreakBefore w:val="0"/>
        <w:widowControl w:val="0"/>
        <w:kinsoku/>
        <w:wordWrap/>
        <w:overflowPunct/>
        <w:topLinePunct w:val="0"/>
        <w:autoSpaceDE/>
        <w:autoSpaceDN/>
        <w:bidi w:val="0"/>
        <w:adjustRightInd w:val="0"/>
        <w:snapToGrid w:val="0"/>
        <w:spacing w:line="500" w:lineRule="exact"/>
        <w:ind w:firstLine="577"/>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未通过符合性审查的投标文件，将被判为不满足招标文件实质性要求。 </w:t>
      </w:r>
    </w:p>
    <w:p w14:paraId="2138EE71">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zh-CN"/>
        </w:rPr>
        <w:t>三</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zh-CN"/>
        </w:rPr>
        <w:t>商务技术分：</w:t>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val="zh-CN"/>
        </w:rPr>
        <w:t>0分</w:t>
      </w:r>
    </w:p>
    <w:p w14:paraId="363016DD">
      <w:pPr>
        <w:keepNext w:val="0"/>
        <w:keepLines w:val="0"/>
        <w:pageBreakBefore w:val="0"/>
        <w:widowControl w:val="0"/>
        <w:kinsoku/>
        <w:wordWrap/>
        <w:overflowPunct/>
        <w:topLinePunct w:val="0"/>
        <w:autoSpaceDE/>
        <w:autoSpaceDN/>
        <w:bidi w:val="0"/>
        <w:adjustRightInd w:val="0"/>
        <w:snapToGrid w:val="0"/>
        <w:spacing w:line="500" w:lineRule="exact"/>
        <w:ind w:firstLine="700" w:firstLineChars="25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各投标人得分为评委会成员评分的算术平均分，分值保留小数点后两位。</w:t>
      </w:r>
    </w:p>
    <w:p w14:paraId="41BE82C9">
      <w:pPr>
        <w:keepNext w:val="0"/>
        <w:keepLines w:val="0"/>
        <w:pageBreakBefore w:val="0"/>
        <w:widowControl w:val="0"/>
        <w:kinsoku/>
        <w:wordWrap/>
        <w:overflowPunct/>
        <w:topLinePunct w:val="0"/>
        <w:autoSpaceDE/>
        <w:autoSpaceDN/>
        <w:bidi w:val="0"/>
        <w:adjustRightInd w:val="0"/>
        <w:snapToGrid w:val="0"/>
        <w:spacing w:line="500" w:lineRule="exact"/>
        <w:ind w:firstLine="700" w:firstLineChars="250"/>
        <w:jc w:val="left"/>
        <w:textAlignment w:val="auto"/>
        <w:rPr>
          <w:rFonts w:hint="eastAsia" w:ascii="宋体" w:hAnsi="宋体" w:eastAsia="宋体" w:cs="宋体"/>
          <w:color w:val="auto"/>
          <w:sz w:val="28"/>
          <w:szCs w:val="28"/>
          <w:highlight w:val="none"/>
        </w:rPr>
      </w:pPr>
    </w:p>
    <w:p w14:paraId="21827D5E">
      <w:pPr>
        <w:keepNext w:val="0"/>
        <w:keepLines w:val="0"/>
        <w:pageBreakBefore w:val="0"/>
        <w:widowControl w:val="0"/>
        <w:kinsoku/>
        <w:wordWrap/>
        <w:overflowPunct/>
        <w:topLinePunct w:val="0"/>
        <w:autoSpaceDE/>
        <w:autoSpaceDN/>
        <w:bidi w:val="0"/>
        <w:adjustRightInd w:val="0"/>
        <w:snapToGrid w:val="0"/>
        <w:spacing w:line="500" w:lineRule="exact"/>
        <w:ind w:firstLine="700" w:firstLineChars="250"/>
        <w:jc w:val="left"/>
        <w:textAlignment w:val="auto"/>
        <w:rPr>
          <w:rFonts w:hint="eastAsia" w:ascii="宋体" w:hAnsi="宋体" w:eastAsia="宋体" w:cs="宋体"/>
          <w:color w:val="auto"/>
          <w:sz w:val="28"/>
          <w:szCs w:val="28"/>
          <w:highlight w:val="none"/>
        </w:rPr>
      </w:pPr>
    </w:p>
    <w:p w14:paraId="10C8424E">
      <w:pPr>
        <w:keepNext w:val="0"/>
        <w:keepLines w:val="0"/>
        <w:pageBreakBefore w:val="0"/>
        <w:widowControl w:val="0"/>
        <w:kinsoku/>
        <w:wordWrap/>
        <w:overflowPunct/>
        <w:topLinePunct w:val="0"/>
        <w:autoSpaceDE/>
        <w:autoSpaceDN/>
        <w:bidi w:val="0"/>
        <w:adjustRightInd w:val="0"/>
        <w:snapToGrid w:val="0"/>
        <w:spacing w:line="500" w:lineRule="exact"/>
        <w:ind w:firstLine="700" w:firstLineChars="250"/>
        <w:jc w:val="left"/>
        <w:textAlignment w:val="auto"/>
        <w:rPr>
          <w:rFonts w:hint="eastAsia" w:ascii="宋体" w:hAnsi="宋体" w:eastAsia="宋体" w:cs="宋体"/>
          <w:color w:val="auto"/>
          <w:sz w:val="28"/>
          <w:szCs w:val="28"/>
          <w:highlight w:val="none"/>
          <w:lang w:val="en-US" w:eastAsia="zh-CN"/>
        </w:rPr>
      </w:pPr>
    </w:p>
    <w:tbl>
      <w:tblPr>
        <w:tblStyle w:val="30"/>
        <w:tblpPr w:leftFromText="180" w:rightFromText="180" w:vertAnchor="text" w:horzAnchor="page" w:tblpX="1374" w:tblpY="204"/>
        <w:tblOverlap w:val="never"/>
        <w:tblW w:w="95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995"/>
        <w:gridCol w:w="6062"/>
        <w:gridCol w:w="810"/>
      </w:tblGrid>
      <w:tr w14:paraId="385F6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4" w:type="dxa"/>
            <w:tcBorders>
              <w:top w:val="single" w:color="auto" w:sz="4" w:space="0"/>
              <w:bottom w:val="single" w:color="auto" w:sz="4" w:space="0"/>
              <w:right w:val="single" w:color="auto" w:sz="4" w:space="0"/>
            </w:tcBorders>
            <w:noWrap w:val="0"/>
            <w:vAlign w:val="center"/>
          </w:tcPr>
          <w:p w14:paraId="5FEBC97D">
            <w:pPr>
              <w:keepNext w:val="0"/>
              <w:keepLines w:val="0"/>
              <w:pageBreakBefore w:val="0"/>
              <w:kinsoku/>
              <w:wordWrap/>
              <w:overflowPunct/>
              <w:topLinePunct w:val="0"/>
              <w:autoSpaceDE w:val="0"/>
              <w:autoSpaceDN w:val="0"/>
              <w:bidi w:val="0"/>
              <w:adjustRightInd w:val="0"/>
              <w:spacing w:line="500" w:lineRule="exact"/>
              <w:jc w:val="center"/>
              <w:textAlignment w:val="auto"/>
              <w:rPr>
                <w:rFonts w:ascii="宋体" w:hAnsi="宋体"/>
                <w:b/>
                <w:bCs/>
                <w:kern w:val="0"/>
                <w:szCs w:val="21"/>
              </w:rPr>
            </w:pPr>
            <w:r>
              <w:rPr>
                <w:rFonts w:ascii="宋体" w:hAnsi="宋体"/>
                <w:b/>
                <w:bCs/>
                <w:kern w:val="0"/>
                <w:szCs w:val="21"/>
              </w:rPr>
              <w:t>序号</w:t>
            </w:r>
          </w:p>
        </w:tc>
        <w:tc>
          <w:tcPr>
            <w:tcW w:w="1995" w:type="dxa"/>
            <w:tcBorders>
              <w:top w:val="single" w:color="auto" w:sz="4" w:space="0"/>
              <w:bottom w:val="single" w:color="auto" w:sz="4" w:space="0"/>
              <w:right w:val="single" w:color="auto" w:sz="4" w:space="0"/>
            </w:tcBorders>
            <w:noWrap w:val="0"/>
            <w:vAlign w:val="center"/>
          </w:tcPr>
          <w:p w14:paraId="279522B0">
            <w:pPr>
              <w:keepNext w:val="0"/>
              <w:keepLines w:val="0"/>
              <w:pageBreakBefore w:val="0"/>
              <w:kinsoku/>
              <w:wordWrap/>
              <w:overflowPunct/>
              <w:topLinePunct w:val="0"/>
              <w:autoSpaceDE w:val="0"/>
              <w:autoSpaceDN w:val="0"/>
              <w:bidi w:val="0"/>
              <w:adjustRightInd w:val="0"/>
              <w:spacing w:line="500" w:lineRule="exact"/>
              <w:jc w:val="center"/>
              <w:textAlignment w:val="auto"/>
              <w:rPr>
                <w:rFonts w:ascii="宋体" w:hAnsi="宋体"/>
                <w:b/>
                <w:bCs/>
                <w:kern w:val="0"/>
                <w:szCs w:val="21"/>
              </w:rPr>
            </w:pPr>
            <w:r>
              <w:rPr>
                <w:rFonts w:hint="eastAsia" w:ascii="宋体" w:hAnsi="宋体" w:cs="宋体"/>
                <w:b/>
                <w:bCs/>
                <w:kern w:val="0"/>
                <w:szCs w:val="21"/>
                <w:lang w:val="zh-CN"/>
              </w:rPr>
              <w:t>评标项目</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18BB713E">
            <w:pPr>
              <w:keepNext w:val="0"/>
              <w:keepLines w:val="0"/>
              <w:pageBreakBefore w:val="0"/>
              <w:kinsoku/>
              <w:wordWrap/>
              <w:overflowPunct/>
              <w:topLinePunct w:val="0"/>
              <w:autoSpaceDE w:val="0"/>
              <w:autoSpaceDN w:val="0"/>
              <w:bidi w:val="0"/>
              <w:adjustRightInd w:val="0"/>
              <w:spacing w:line="500" w:lineRule="exact"/>
              <w:jc w:val="center"/>
              <w:textAlignment w:val="auto"/>
              <w:rPr>
                <w:rFonts w:ascii="宋体" w:hAnsi="宋体"/>
                <w:b/>
                <w:bCs/>
                <w:szCs w:val="21"/>
              </w:rPr>
            </w:pPr>
            <w:r>
              <w:rPr>
                <w:rFonts w:hint="eastAsia" w:ascii="宋体" w:hAnsi="宋体" w:cs="宋体"/>
                <w:b/>
                <w:bCs/>
                <w:kern w:val="0"/>
                <w:szCs w:val="21"/>
                <w:lang w:val="zh-CN"/>
              </w:rPr>
              <w:t>评分要求</w:t>
            </w:r>
          </w:p>
        </w:tc>
        <w:tc>
          <w:tcPr>
            <w:tcW w:w="810" w:type="dxa"/>
            <w:tcBorders>
              <w:top w:val="single" w:color="auto" w:sz="4" w:space="0"/>
              <w:left w:val="single" w:color="auto" w:sz="4" w:space="0"/>
              <w:bottom w:val="single" w:color="auto" w:sz="4" w:space="0"/>
            </w:tcBorders>
            <w:noWrap w:val="0"/>
            <w:vAlign w:val="center"/>
          </w:tcPr>
          <w:p w14:paraId="1C82F0DA">
            <w:pPr>
              <w:keepNext w:val="0"/>
              <w:keepLines w:val="0"/>
              <w:pageBreakBefore w:val="0"/>
              <w:kinsoku/>
              <w:wordWrap/>
              <w:overflowPunct/>
              <w:topLinePunct w:val="0"/>
              <w:autoSpaceDE w:val="0"/>
              <w:autoSpaceDN w:val="0"/>
              <w:bidi w:val="0"/>
              <w:adjustRightInd w:val="0"/>
              <w:spacing w:line="500" w:lineRule="exact"/>
              <w:jc w:val="center"/>
              <w:textAlignment w:val="auto"/>
              <w:rPr>
                <w:rFonts w:ascii="宋体" w:hAnsi="宋体"/>
                <w:b/>
                <w:bCs/>
                <w:szCs w:val="21"/>
              </w:rPr>
            </w:pPr>
            <w:r>
              <w:rPr>
                <w:rFonts w:hint="eastAsia" w:ascii="宋体" w:hAnsi="宋体"/>
                <w:b/>
                <w:bCs/>
                <w:szCs w:val="21"/>
              </w:rPr>
              <w:t>分值</w:t>
            </w:r>
          </w:p>
        </w:tc>
      </w:tr>
      <w:tr w14:paraId="54AA7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704" w:type="dxa"/>
            <w:tcBorders>
              <w:top w:val="single" w:color="auto" w:sz="4" w:space="0"/>
              <w:bottom w:val="single" w:color="auto" w:sz="4" w:space="0"/>
              <w:right w:val="single" w:color="auto" w:sz="4" w:space="0"/>
            </w:tcBorders>
            <w:noWrap w:val="0"/>
            <w:vAlign w:val="center"/>
          </w:tcPr>
          <w:p w14:paraId="2A998A99">
            <w:pPr>
              <w:keepNext w:val="0"/>
              <w:keepLines w:val="0"/>
              <w:pageBreakBefore w:val="0"/>
              <w:kinsoku/>
              <w:wordWrap/>
              <w:overflowPunct/>
              <w:topLinePunct w:val="0"/>
              <w:bidi w:val="0"/>
              <w:spacing w:line="500" w:lineRule="exact"/>
              <w:jc w:val="center"/>
              <w:textAlignment w:val="auto"/>
            </w:pPr>
            <w:r>
              <w:rPr>
                <w:rFonts w:hint="eastAsia"/>
              </w:rPr>
              <w:t>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8121B7E">
            <w:pPr>
              <w:keepNext w:val="0"/>
              <w:keepLines w:val="0"/>
              <w:pageBreakBefore w:val="0"/>
              <w:kinsoku/>
              <w:wordWrap/>
              <w:overflowPunct/>
              <w:topLinePunct w:val="0"/>
              <w:bidi w:val="0"/>
              <w:spacing w:line="500" w:lineRule="exact"/>
              <w:jc w:val="center"/>
              <w:textAlignment w:val="auto"/>
            </w:pPr>
            <w:r>
              <w:rPr>
                <w:rFonts w:hint="eastAsia" w:ascii="宋体" w:hAnsi="宋体" w:cs="宋体"/>
                <w:kern w:val="0"/>
                <w:szCs w:val="21"/>
              </w:rPr>
              <w:t>投标人对本项目的理解及总体编制思路</w:t>
            </w:r>
          </w:p>
        </w:tc>
        <w:tc>
          <w:tcPr>
            <w:tcW w:w="6062" w:type="dxa"/>
            <w:tcBorders>
              <w:top w:val="single" w:color="auto" w:sz="4" w:space="0"/>
              <w:left w:val="single" w:color="auto" w:sz="4" w:space="0"/>
              <w:right w:val="single" w:color="auto" w:sz="4" w:space="0"/>
            </w:tcBorders>
            <w:noWrap w:val="0"/>
            <w:vAlign w:val="center"/>
          </w:tcPr>
          <w:p w14:paraId="18BF9BE3">
            <w:pPr>
              <w:keepNext w:val="0"/>
              <w:keepLines w:val="0"/>
              <w:pageBreakBefore w:val="0"/>
              <w:kinsoku/>
              <w:wordWrap/>
              <w:overflowPunct/>
              <w:topLinePunct w:val="0"/>
              <w:bidi w:val="0"/>
              <w:spacing w:line="500" w:lineRule="exact"/>
              <w:textAlignment w:val="auto"/>
            </w:pPr>
            <w:r>
              <w:rPr>
                <w:rFonts w:hint="eastAsia" w:ascii="宋体" w:hAnsi="宋体" w:cs="宋体"/>
                <w:kern w:val="0"/>
                <w:szCs w:val="21"/>
              </w:rPr>
              <w:t>根据投标人对项目总体了解情况；对本</w:t>
            </w:r>
            <w:r>
              <w:rPr>
                <w:rFonts w:hint="eastAsia" w:ascii="宋体" w:hAnsi="宋体" w:cs="宋体"/>
                <w:kern w:val="0"/>
                <w:szCs w:val="21"/>
                <w:lang w:eastAsia="zh-CN"/>
              </w:rPr>
              <w:t>项目</w:t>
            </w:r>
            <w:r>
              <w:rPr>
                <w:rFonts w:hint="eastAsia" w:ascii="宋体" w:hAnsi="宋体" w:cs="宋体"/>
                <w:kern w:val="0"/>
                <w:szCs w:val="21"/>
              </w:rPr>
              <w:t>具体情况熟悉程度，对本项目理解是否透彻；对编制工作内容思路是否清晰、技术路线是否正确；总体编制思路是否切合工程实际，合理可行等进行综合打分。</w:t>
            </w:r>
            <w:r>
              <w:rPr>
                <w:rFonts w:hint="eastAsia" w:ascii="宋体" w:hAnsi="宋体" w:cs="宋体"/>
                <w:kern w:val="0"/>
                <w:szCs w:val="21"/>
                <w:lang w:eastAsia="zh-CN"/>
              </w:rPr>
              <w:t>总体编制思路切合项目实际，合理可行的</w:t>
            </w:r>
            <w:r>
              <w:rPr>
                <w:rFonts w:hint="eastAsia" w:ascii="宋体" w:hAnsi="宋体" w:cs="宋体"/>
                <w:kern w:val="0"/>
                <w:szCs w:val="21"/>
              </w:rPr>
              <w:t>得</w:t>
            </w:r>
            <w:r>
              <w:rPr>
                <w:rFonts w:hint="eastAsia" w:ascii="宋体" w:hAnsi="宋体" w:cs="宋体"/>
                <w:kern w:val="0"/>
                <w:szCs w:val="21"/>
                <w:lang w:val="en-US" w:eastAsia="zh-CN"/>
              </w:rPr>
              <w:t>16分</w:t>
            </w:r>
            <w:r>
              <w:rPr>
                <w:rFonts w:hint="eastAsia" w:ascii="宋体" w:hAnsi="宋体" w:cs="宋体"/>
                <w:kern w:val="0"/>
                <w:szCs w:val="21"/>
              </w:rPr>
              <w:t>；</w:t>
            </w:r>
            <w:r>
              <w:rPr>
                <w:rFonts w:hint="eastAsia" w:ascii="宋体" w:hAnsi="宋体" w:cs="宋体"/>
                <w:kern w:val="0"/>
                <w:szCs w:val="21"/>
                <w:lang w:eastAsia="zh-CN"/>
              </w:rPr>
              <w:t>总体编制思路切合项目实际稍有欠缺的</w:t>
            </w:r>
            <w:r>
              <w:rPr>
                <w:rFonts w:hint="eastAsia" w:ascii="宋体" w:hAnsi="宋体" w:cs="宋体"/>
                <w:kern w:val="0"/>
                <w:szCs w:val="21"/>
              </w:rPr>
              <w:t>得</w:t>
            </w:r>
            <w:r>
              <w:rPr>
                <w:rFonts w:hint="eastAsia" w:ascii="宋体" w:hAnsi="宋体" w:cs="宋体"/>
                <w:kern w:val="0"/>
                <w:szCs w:val="21"/>
                <w:lang w:val="en-US" w:eastAsia="zh-CN"/>
              </w:rPr>
              <w:t>12分</w:t>
            </w:r>
            <w:r>
              <w:rPr>
                <w:rFonts w:hint="eastAsia" w:ascii="宋体" w:hAnsi="宋体" w:cs="宋体"/>
                <w:kern w:val="0"/>
                <w:szCs w:val="21"/>
              </w:rPr>
              <w:t>；</w:t>
            </w:r>
            <w:r>
              <w:rPr>
                <w:rFonts w:hint="eastAsia" w:ascii="宋体" w:hAnsi="宋体" w:cs="宋体"/>
                <w:kern w:val="0"/>
                <w:szCs w:val="21"/>
                <w:lang w:eastAsia="zh-CN"/>
              </w:rPr>
              <w:t>总体编制思路切合项目实际一般的</w:t>
            </w:r>
            <w:r>
              <w:rPr>
                <w:rFonts w:hint="eastAsia" w:ascii="宋体" w:hAnsi="宋体" w:cs="宋体"/>
                <w:kern w:val="0"/>
                <w:szCs w:val="21"/>
              </w:rPr>
              <w:t>得</w:t>
            </w:r>
            <w:r>
              <w:rPr>
                <w:rFonts w:hint="eastAsia" w:ascii="宋体" w:hAnsi="宋体" w:cs="宋体"/>
                <w:kern w:val="0"/>
                <w:szCs w:val="21"/>
                <w:lang w:val="en-US" w:eastAsia="zh-CN"/>
              </w:rPr>
              <w:t>8分</w:t>
            </w:r>
            <w:r>
              <w:rPr>
                <w:rFonts w:hint="eastAsia" w:ascii="宋体" w:hAnsi="宋体" w:cs="宋体"/>
                <w:kern w:val="0"/>
                <w:szCs w:val="21"/>
              </w:rPr>
              <w:t>；</w:t>
            </w:r>
            <w:r>
              <w:rPr>
                <w:rFonts w:hint="eastAsia" w:ascii="宋体" w:hAnsi="宋体" w:cs="宋体"/>
                <w:kern w:val="0"/>
                <w:szCs w:val="21"/>
                <w:lang w:eastAsia="zh-CN"/>
              </w:rPr>
              <w:t>总体编制思路切合项目实际</w:t>
            </w:r>
            <w:r>
              <w:rPr>
                <w:rFonts w:hint="eastAsia" w:ascii="宋体" w:hAnsi="宋体" w:cs="宋体"/>
                <w:kern w:val="0"/>
                <w:szCs w:val="21"/>
              </w:rPr>
              <w:t>差的得</w:t>
            </w:r>
            <w:r>
              <w:rPr>
                <w:rFonts w:hint="eastAsia" w:ascii="宋体" w:hAnsi="宋体" w:cs="宋体"/>
                <w:kern w:val="0"/>
                <w:szCs w:val="21"/>
                <w:lang w:val="en-US" w:eastAsia="zh-CN"/>
              </w:rPr>
              <w:t>4分；</w:t>
            </w:r>
            <w:r>
              <w:rPr>
                <w:rFonts w:hint="eastAsia" w:ascii="宋体" w:hAnsi="宋体" w:cs="宋体"/>
                <w:kern w:val="0"/>
                <w:szCs w:val="21"/>
                <w:lang w:eastAsia="zh-CN"/>
              </w:rPr>
              <w:t>总体编制思路切合项目实际漏洞较多的</w:t>
            </w:r>
            <w:r>
              <w:rPr>
                <w:rFonts w:hint="eastAsia" w:ascii="宋体" w:hAnsi="宋体" w:cs="宋体"/>
                <w:kern w:val="0"/>
                <w:szCs w:val="21"/>
              </w:rPr>
              <w:t>得</w:t>
            </w:r>
            <w:r>
              <w:rPr>
                <w:rFonts w:hint="eastAsia" w:ascii="宋体" w:hAnsi="宋体" w:cs="宋体"/>
                <w:kern w:val="0"/>
                <w:szCs w:val="21"/>
                <w:lang w:val="en-US" w:eastAsia="zh-CN"/>
              </w:rPr>
              <w:t>2分；未提供不得分。</w:t>
            </w:r>
          </w:p>
        </w:tc>
        <w:tc>
          <w:tcPr>
            <w:tcW w:w="810" w:type="dxa"/>
            <w:tcBorders>
              <w:top w:val="single" w:color="auto" w:sz="4" w:space="0"/>
              <w:left w:val="single" w:color="auto" w:sz="4" w:space="0"/>
            </w:tcBorders>
            <w:noWrap w:val="0"/>
            <w:vAlign w:val="center"/>
          </w:tcPr>
          <w:p w14:paraId="791FF04B">
            <w:pPr>
              <w:keepNext w:val="0"/>
              <w:keepLines w:val="0"/>
              <w:pageBreakBefore w:val="0"/>
              <w:kinsoku/>
              <w:wordWrap/>
              <w:overflowPunct/>
              <w:topLinePunct w:val="0"/>
              <w:bidi w:val="0"/>
              <w:spacing w:line="500" w:lineRule="exact"/>
              <w:jc w:val="center"/>
              <w:textAlignment w:val="auto"/>
              <w:rPr>
                <w:rFonts w:ascii="宋体" w:hAnsi="宋体"/>
              </w:rPr>
            </w:pPr>
            <w:r>
              <w:rPr>
                <w:rFonts w:hint="eastAsia" w:ascii="宋体" w:hAnsi="宋体"/>
              </w:rPr>
              <w:t>16分</w:t>
            </w:r>
          </w:p>
        </w:tc>
      </w:tr>
      <w:tr w14:paraId="2FF21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7" w:hRule="atLeast"/>
        </w:trPr>
        <w:tc>
          <w:tcPr>
            <w:tcW w:w="704" w:type="dxa"/>
            <w:tcBorders>
              <w:top w:val="single" w:color="auto" w:sz="4" w:space="0"/>
              <w:bottom w:val="single" w:color="auto" w:sz="4" w:space="0"/>
              <w:right w:val="single" w:color="auto" w:sz="4" w:space="0"/>
            </w:tcBorders>
            <w:noWrap w:val="0"/>
            <w:vAlign w:val="center"/>
          </w:tcPr>
          <w:p w14:paraId="5F40C127">
            <w:pPr>
              <w:keepNext w:val="0"/>
              <w:keepLines w:val="0"/>
              <w:pageBreakBefore w:val="0"/>
              <w:kinsoku/>
              <w:wordWrap/>
              <w:overflowPunct/>
              <w:topLinePunct w:val="0"/>
              <w:bidi w:val="0"/>
              <w:spacing w:line="500" w:lineRule="exact"/>
              <w:jc w:val="center"/>
              <w:textAlignment w:val="auto"/>
            </w:pPr>
            <w:r>
              <w:rPr>
                <w:rFonts w:hint="eastAsia"/>
              </w:rPr>
              <w:t>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B29A7B9">
            <w:pPr>
              <w:keepNext w:val="0"/>
              <w:keepLines w:val="0"/>
              <w:pageBreakBefore w:val="0"/>
              <w:kinsoku/>
              <w:wordWrap/>
              <w:overflowPunct/>
              <w:topLinePunct w:val="0"/>
              <w:bidi w:val="0"/>
              <w:spacing w:line="500" w:lineRule="exact"/>
              <w:jc w:val="center"/>
              <w:textAlignment w:val="auto"/>
            </w:pPr>
            <w:r>
              <w:rPr>
                <w:rFonts w:hint="eastAsia" w:ascii="宋体" w:hAnsi="宋体" w:cs="宋体"/>
                <w:kern w:val="0"/>
                <w:szCs w:val="21"/>
              </w:rPr>
              <w:t>本项目应重视的问题及对策措施</w:t>
            </w:r>
          </w:p>
        </w:tc>
        <w:tc>
          <w:tcPr>
            <w:tcW w:w="6062" w:type="dxa"/>
            <w:tcBorders>
              <w:top w:val="single" w:color="auto" w:sz="4" w:space="0"/>
              <w:left w:val="single" w:color="auto" w:sz="4" w:space="0"/>
              <w:right w:val="single" w:color="auto" w:sz="4" w:space="0"/>
            </w:tcBorders>
            <w:noWrap w:val="0"/>
            <w:vAlign w:val="center"/>
          </w:tcPr>
          <w:p w14:paraId="51F6B0CE">
            <w:pPr>
              <w:keepNext w:val="0"/>
              <w:keepLines w:val="0"/>
              <w:pageBreakBefore w:val="0"/>
              <w:kinsoku/>
              <w:wordWrap/>
              <w:overflowPunct/>
              <w:topLinePunct w:val="0"/>
              <w:bidi w:val="0"/>
              <w:spacing w:line="500" w:lineRule="exact"/>
              <w:textAlignment w:val="auto"/>
            </w:pPr>
            <w:r>
              <w:rPr>
                <w:rFonts w:hint="eastAsia" w:ascii="宋体" w:hAnsi="宋体" w:cs="宋体"/>
                <w:kern w:val="0"/>
                <w:szCs w:val="21"/>
              </w:rPr>
              <w:t>根据投标人对本项目编制工作中的关键问题分析是否全面、准确、清晰；相应对策及建议是否合理、可行、可靠进行综合打分。相应对策及建议</w:t>
            </w:r>
            <w:r>
              <w:rPr>
                <w:rFonts w:hint="eastAsia" w:ascii="宋体" w:hAnsi="宋体" w:cs="宋体"/>
                <w:kern w:val="0"/>
                <w:szCs w:val="21"/>
                <w:lang w:eastAsia="zh-CN"/>
              </w:rPr>
              <w:t>合理、可行、可靠的</w:t>
            </w:r>
            <w:r>
              <w:rPr>
                <w:rFonts w:hint="eastAsia" w:ascii="宋体" w:hAnsi="宋体" w:cs="宋体"/>
                <w:kern w:val="0"/>
                <w:szCs w:val="21"/>
              </w:rPr>
              <w:t>得</w:t>
            </w:r>
            <w:r>
              <w:rPr>
                <w:rFonts w:hint="eastAsia" w:ascii="宋体" w:hAnsi="宋体" w:cs="宋体"/>
                <w:kern w:val="0"/>
                <w:szCs w:val="21"/>
                <w:lang w:val="en-US" w:eastAsia="zh-CN"/>
              </w:rPr>
              <w:t>16分</w:t>
            </w:r>
            <w:r>
              <w:rPr>
                <w:rFonts w:hint="eastAsia" w:ascii="宋体" w:hAnsi="宋体" w:cs="宋体"/>
                <w:kern w:val="0"/>
                <w:szCs w:val="21"/>
              </w:rPr>
              <w:t>；相应对策及建议</w:t>
            </w:r>
            <w:r>
              <w:rPr>
                <w:rFonts w:hint="eastAsia" w:ascii="宋体" w:hAnsi="宋体" w:cs="宋体"/>
                <w:kern w:val="0"/>
                <w:szCs w:val="21"/>
                <w:lang w:eastAsia="zh-CN"/>
              </w:rPr>
              <w:t>稍有欠缺的</w:t>
            </w:r>
            <w:r>
              <w:rPr>
                <w:rFonts w:hint="eastAsia" w:ascii="宋体" w:hAnsi="宋体" w:cs="宋体"/>
                <w:kern w:val="0"/>
                <w:szCs w:val="21"/>
              </w:rPr>
              <w:t>得</w:t>
            </w:r>
            <w:r>
              <w:rPr>
                <w:rFonts w:hint="eastAsia" w:ascii="宋体" w:hAnsi="宋体" w:cs="宋体"/>
                <w:kern w:val="0"/>
                <w:szCs w:val="21"/>
                <w:lang w:val="en-US" w:eastAsia="zh-CN"/>
              </w:rPr>
              <w:t>12分</w:t>
            </w:r>
            <w:r>
              <w:rPr>
                <w:rFonts w:hint="eastAsia" w:ascii="宋体" w:hAnsi="宋体" w:cs="宋体"/>
                <w:kern w:val="0"/>
                <w:szCs w:val="21"/>
              </w:rPr>
              <w:t>；相应对策及建议</w:t>
            </w:r>
            <w:r>
              <w:rPr>
                <w:rFonts w:hint="eastAsia" w:ascii="宋体" w:hAnsi="宋体" w:cs="宋体"/>
                <w:kern w:val="0"/>
                <w:szCs w:val="21"/>
                <w:lang w:eastAsia="zh-CN"/>
              </w:rPr>
              <w:t>一般的</w:t>
            </w:r>
            <w:r>
              <w:rPr>
                <w:rFonts w:hint="eastAsia" w:ascii="宋体" w:hAnsi="宋体" w:cs="宋体"/>
                <w:kern w:val="0"/>
                <w:szCs w:val="21"/>
              </w:rPr>
              <w:t>得</w:t>
            </w:r>
            <w:r>
              <w:rPr>
                <w:rFonts w:hint="eastAsia" w:ascii="宋体" w:hAnsi="宋体" w:cs="宋体"/>
                <w:kern w:val="0"/>
                <w:szCs w:val="21"/>
                <w:lang w:val="en-US" w:eastAsia="zh-CN"/>
              </w:rPr>
              <w:t>8分</w:t>
            </w:r>
            <w:r>
              <w:rPr>
                <w:rFonts w:hint="eastAsia" w:ascii="宋体" w:hAnsi="宋体" w:cs="宋体"/>
                <w:kern w:val="0"/>
                <w:szCs w:val="21"/>
              </w:rPr>
              <w:t>；相应对策及建议差的得</w:t>
            </w:r>
            <w:r>
              <w:rPr>
                <w:rFonts w:hint="eastAsia" w:ascii="宋体" w:hAnsi="宋体" w:cs="宋体"/>
                <w:kern w:val="0"/>
                <w:szCs w:val="21"/>
                <w:lang w:val="en-US" w:eastAsia="zh-CN"/>
              </w:rPr>
              <w:t>4分；</w:t>
            </w:r>
            <w:r>
              <w:rPr>
                <w:rFonts w:hint="eastAsia" w:ascii="宋体" w:hAnsi="宋体" w:cs="宋体"/>
                <w:kern w:val="0"/>
                <w:szCs w:val="21"/>
              </w:rPr>
              <w:t>相应对策及建议</w:t>
            </w:r>
            <w:r>
              <w:rPr>
                <w:rFonts w:hint="eastAsia" w:ascii="宋体" w:hAnsi="宋体" w:cs="宋体"/>
                <w:kern w:val="0"/>
                <w:szCs w:val="21"/>
                <w:lang w:eastAsia="zh-CN"/>
              </w:rPr>
              <w:t>不合理</w:t>
            </w:r>
            <w:r>
              <w:rPr>
                <w:rFonts w:hint="eastAsia" w:ascii="宋体" w:hAnsi="宋体" w:cs="宋体"/>
                <w:kern w:val="0"/>
                <w:szCs w:val="21"/>
              </w:rPr>
              <w:t>的得</w:t>
            </w:r>
            <w:r>
              <w:rPr>
                <w:rFonts w:hint="eastAsia" w:ascii="宋体" w:hAnsi="宋体" w:cs="宋体"/>
                <w:kern w:val="0"/>
                <w:szCs w:val="21"/>
                <w:lang w:val="en-US" w:eastAsia="zh-CN"/>
              </w:rPr>
              <w:t>2分；未提供不得分。</w:t>
            </w:r>
          </w:p>
        </w:tc>
        <w:tc>
          <w:tcPr>
            <w:tcW w:w="810" w:type="dxa"/>
            <w:tcBorders>
              <w:top w:val="single" w:color="auto" w:sz="4" w:space="0"/>
              <w:left w:val="single" w:color="auto" w:sz="4" w:space="0"/>
            </w:tcBorders>
            <w:noWrap w:val="0"/>
            <w:vAlign w:val="center"/>
          </w:tcPr>
          <w:p w14:paraId="74480C1E">
            <w:pPr>
              <w:keepNext w:val="0"/>
              <w:keepLines w:val="0"/>
              <w:pageBreakBefore w:val="0"/>
              <w:kinsoku/>
              <w:wordWrap/>
              <w:overflowPunct/>
              <w:topLinePunct w:val="0"/>
              <w:bidi w:val="0"/>
              <w:spacing w:line="500" w:lineRule="exact"/>
              <w:jc w:val="center"/>
              <w:textAlignment w:val="auto"/>
              <w:rPr>
                <w:rFonts w:ascii="宋体" w:hAnsi="宋体"/>
              </w:rPr>
            </w:pPr>
            <w:r>
              <w:rPr>
                <w:rFonts w:hint="eastAsia" w:ascii="宋体" w:hAnsi="宋体"/>
              </w:rPr>
              <w:t>16分</w:t>
            </w:r>
          </w:p>
        </w:tc>
      </w:tr>
      <w:tr w14:paraId="0E175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4" w:type="dxa"/>
            <w:vMerge w:val="restart"/>
            <w:tcBorders>
              <w:top w:val="single" w:color="auto" w:sz="4" w:space="0"/>
              <w:right w:val="single" w:color="auto" w:sz="4" w:space="0"/>
            </w:tcBorders>
            <w:noWrap w:val="0"/>
            <w:vAlign w:val="center"/>
          </w:tcPr>
          <w:p w14:paraId="0AB3340D">
            <w:pPr>
              <w:keepNext w:val="0"/>
              <w:keepLines w:val="0"/>
              <w:pageBreakBefore w:val="0"/>
              <w:kinsoku/>
              <w:wordWrap/>
              <w:overflowPunct/>
              <w:topLinePunct w:val="0"/>
              <w:autoSpaceDE w:val="0"/>
              <w:autoSpaceDN w:val="0"/>
              <w:bidi w:val="0"/>
              <w:adjustRightInd w:val="0"/>
              <w:spacing w:line="500" w:lineRule="exact"/>
              <w:jc w:val="center"/>
              <w:textAlignment w:val="auto"/>
            </w:pPr>
            <w:r>
              <w:rPr>
                <w:rFonts w:hint="eastAsia"/>
              </w:rPr>
              <w:t>3</w:t>
            </w:r>
          </w:p>
        </w:tc>
        <w:tc>
          <w:tcPr>
            <w:tcW w:w="1995" w:type="dxa"/>
            <w:vMerge w:val="restart"/>
            <w:tcBorders>
              <w:top w:val="single" w:color="auto" w:sz="4" w:space="0"/>
              <w:left w:val="single" w:color="auto" w:sz="4" w:space="0"/>
              <w:right w:val="single" w:color="auto" w:sz="4" w:space="0"/>
            </w:tcBorders>
            <w:noWrap w:val="0"/>
            <w:vAlign w:val="center"/>
          </w:tcPr>
          <w:p w14:paraId="7A608416">
            <w:pPr>
              <w:keepNext w:val="0"/>
              <w:keepLines w:val="0"/>
              <w:pageBreakBefore w:val="0"/>
              <w:kinsoku/>
              <w:wordWrap/>
              <w:overflowPunct/>
              <w:topLinePunct w:val="0"/>
              <w:bidi w:val="0"/>
              <w:spacing w:line="500" w:lineRule="exact"/>
              <w:jc w:val="center"/>
              <w:textAlignment w:val="auto"/>
            </w:pPr>
            <w:r>
              <w:rPr>
                <w:rFonts w:hint="eastAsia" w:ascii="宋体" w:hAnsi="宋体" w:cs="宋体"/>
                <w:kern w:val="0"/>
                <w:szCs w:val="21"/>
              </w:rPr>
              <w:t>规划工作大纲</w:t>
            </w:r>
          </w:p>
        </w:tc>
        <w:tc>
          <w:tcPr>
            <w:tcW w:w="6062" w:type="dxa"/>
            <w:tcBorders>
              <w:top w:val="single" w:color="auto" w:sz="4" w:space="0"/>
              <w:left w:val="single" w:color="auto" w:sz="4" w:space="0"/>
              <w:right w:val="single" w:color="auto" w:sz="4" w:space="0"/>
            </w:tcBorders>
            <w:noWrap w:val="0"/>
            <w:vAlign w:val="center"/>
          </w:tcPr>
          <w:p w14:paraId="4E6BC440">
            <w:pPr>
              <w:keepNext w:val="0"/>
              <w:keepLines w:val="0"/>
              <w:pageBreakBefore w:val="0"/>
              <w:kinsoku/>
              <w:wordWrap/>
              <w:overflowPunct/>
              <w:topLinePunct w:val="0"/>
              <w:bidi w:val="0"/>
              <w:spacing w:line="500" w:lineRule="exact"/>
              <w:textAlignment w:val="auto"/>
              <w:rPr>
                <w:rFonts w:hint="eastAsia" w:ascii="宋体" w:hAnsi="宋体" w:cs="宋体"/>
                <w:kern w:val="0"/>
                <w:szCs w:val="21"/>
              </w:rPr>
            </w:pPr>
            <w:r>
              <w:rPr>
                <w:rFonts w:hint="eastAsia" w:ascii="宋体" w:hAnsi="宋体" w:cs="宋体"/>
                <w:kern w:val="0"/>
                <w:szCs w:val="21"/>
              </w:rPr>
              <w:t>根据组织机构是否合理、高效，职责分工明确，人员稳定保证措施是否合理进行综合打分。</w:t>
            </w:r>
            <w:r>
              <w:rPr>
                <w:rFonts w:hint="eastAsia" w:ascii="宋体" w:hAnsi="宋体" w:cs="宋体"/>
                <w:kern w:val="0"/>
                <w:szCs w:val="21"/>
                <w:lang w:eastAsia="zh-CN"/>
              </w:rPr>
              <w:t>措施合理的</w:t>
            </w:r>
            <w:r>
              <w:rPr>
                <w:rFonts w:hint="eastAsia" w:ascii="宋体" w:hAnsi="宋体" w:cs="宋体"/>
                <w:kern w:val="0"/>
                <w:szCs w:val="21"/>
              </w:rPr>
              <w:t>得</w:t>
            </w:r>
            <w:r>
              <w:rPr>
                <w:rFonts w:hint="eastAsia" w:ascii="宋体" w:hAnsi="宋体" w:cs="宋体"/>
                <w:kern w:val="0"/>
                <w:szCs w:val="21"/>
                <w:lang w:val="en-US" w:eastAsia="zh-CN"/>
              </w:rPr>
              <w:t>5分</w:t>
            </w:r>
            <w:r>
              <w:rPr>
                <w:rFonts w:hint="eastAsia" w:ascii="宋体" w:hAnsi="宋体" w:cs="宋体"/>
                <w:kern w:val="0"/>
                <w:szCs w:val="21"/>
              </w:rPr>
              <w:t>；</w:t>
            </w:r>
            <w:r>
              <w:rPr>
                <w:rFonts w:hint="eastAsia" w:ascii="宋体" w:hAnsi="宋体" w:cs="宋体"/>
                <w:kern w:val="0"/>
                <w:szCs w:val="21"/>
                <w:lang w:eastAsia="zh-CN"/>
              </w:rPr>
              <w:t>措施稍有欠缺的</w:t>
            </w:r>
            <w:r>
              <w:rPr>
                <w:rFonts w:hint="eastAsia" w:ascii="宋体" w:hAnsi="宋体" w:cs="宋体"/>
                <w:kern w:val="0"/>
                <w:szCs w:val="21"/>
              </w:rPr>
              <w:t>得</w:t>
            </w:r>
            <w:r>
              <w:rPr>
                <w:rFonts w:hint="eastAsia" w:ascii="宋体" w:hAnsi="宋体" w:cs="宋体"/>
                <w:kern w:val="0"/>
                <w:szCs w:val="21"/>
                <w:lang w:val="en-US" w:eastAsia="zh-CN"/>
              </w:rPr>
              <w:t>4分</w:t>
            </w:r>
            <w:r>
              <w:rPr>
                <w:rFonts w:hint="eastAsia" w:ascii="宋体" w:hAnsi="宋体" w:cs="宋体"/>
                <w:kern w:val="0"/>
                <w:szCs w:val="21"/>
              </w:rPr>
              <w:t>；</w:t>
            </w:r>
            <w:r>
              <w:rPr>
                <w:rFonts w:hint="eastAsia" w:ascii="宋体" w:hAnsi="宋体" w:cs="宋体"/>
                <w:kern w:val="0"/>
                <w:szCs w:val="21"/>
                <w:lang w:eastAsia="zh-CN"/>
              </w:rPr>
              <w:t>措施一般的</w:t>
            </w:r>
            <w:r>
              <w:rPr>
                <w:rFonts w:hint="eastAsia" w:ascii="宋体" w:hAnsi="宋体" w:cs="宋体"/>
                <w:kern w:val="0"/>
                <w:szCs w:val="21"/>
              </w:rPr>
              <w:t>得</w:t>
            </w:r>
            <w:r>
              <w:rPr>
                <w:rFonts w:hint="eastAsia" w:ascii="宋体" w:hAnsi="宋体" w:cs="宋体"/>
                <w:kern w:val="0"/>
                <w:szCs w:val="21"/>
                <w:lang w:val="en-US" w:eastAsia="zh-CN"/>
              </w:rPr>
              <w:t>3分</w:t>
            </w:r>
            <w:r>
              <w:rPr>
                <w:rFonts w:hint="eastAsia" w:ascii="宋体" w:hAnsi="宋体" w:cs="宋体"/>
                <w:kern w:val="0"/>
                <w:szCs w:val="21"/>
              </w:rPr>
              <w:t>；</w:t>
            </w:r>
            <w:r>
              <w:rPr>
                <w:rFonts w:hint="eastAsia" w:ascii="宋体" w:hAnsi="宋体" w:cs="宋体"/>
                <w:kern w:val="0"/>
                <w:szCs w:val="21"/>
                <w:lang w:eastAsia="zh-CN"/>
              </w:rPr>
              <w:t>措施</w:t>
            </w:r>
            <w:r>
              <w:rPr>
                <w:rFonts w:hint="eastAsia" w:ascii="宋体" w:hAnsi="宋体" w:cs="宋体"/>
                <w:kern w:val="0"/>
                <w:szCs w:val="21"/>
              </w:rPr>
              <w:t>差的得</w:t>
            </w:r>
            <w:r>
              <w:rPr>
                <w:rFonts w:hint="eastAsia" w:ascii="宋体" w:hAnsi="宋体" w:cs="宋体"/>
                <w:kern w:val="0"/>
                <w:szCs w:val="21"/>
                <w:lang w:val="en-US" w:eastAsia="zh-CN"/>
              </w:rPr>
              <w:t>2分；未提供不得分。</w:t>
            </w:r>
          </w:p>
        </w:tc>
        <w:tc>
          <w:tcPr>
            <w:tcW w:w="810" w:type="dxa"/>
            <w:tcBorders>
              <w:top w:val="single" w:color="auto" w:sz="4" w:space="0"/>
              <w:left w:val="single" w:color="auto" w:sz="4" w:space="0"/>
            </w:tcBorders>
            <w:noWrap w:val="0"/>
            <w:vAlign w:val="center"/>
          </w:tcPr>
          <w:p w14:paraId="0FE49DF2">
            <w:pPr>
              <w:keepNext w:val="0"/>
              <w:keepLines w:val="0"/>
              <w:pageBreakBefore w:val="0"/>
              <w:kinsoku/>
              <w:wordWrap/>
              <w:overflowPunct/>
              <w:topLinePunct w:val="0"/>
              <w:bidi w:val="0"/>
              <w:spacing w:line="500" w:lineRule="exact"/>
              <w:jc w:val="center"/>
              <w:textAlignment w:val="auto"/>
              <w:rPr>
                <w:rFonts w:hint="eastAsia" w:ascii="宋体" w:hAnsi="宋体"/>
              </w:rPr>
            </w:pPr>
            <w:r>
              <w:rPr>
                <w:rFonts w:hint="eastAsia" w:ascii="宋体" w:hAnsi="宋体"/>
              </w:rPr>
              <w:t>5分</w:t>
            </w:r>
          </w:p>
        </w:tc>
      </w:tr>
      <w:tr w14:paraId="6DA35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4" w:type="dxa"/>
            <w:vMerge w:val="continue"/>
            <w:tcBorders>
              <w:right w:val="single" w:color="auto" w:sz="4" w:space="0"/>
            </w:tcBorders>
            <w:noWrap w:val="0"/>
            <w:vAlign w:val="center"/>
          </w:tcPr>
          <w:p w14:paraId="3AC104D8">
            <w:pPr>
              <w:keepNext w:val="0"/>
              <w:keepLines w:val="0"/>
              <w:pageBreakBefore w:val="0"/>
              <w:kinsoku/>
              <w:wordWrap/>
              <w:overflowPunct/>
              <w:topLinePunct w:val="0"/>
              <w:autoSpaceDE w:val="0"/>
              <w:autoSpaceDN w:val="0"/>
              <w:bidi w:val="0"/>
              <w:adjustRightInd w:val="0"/>
              <w:spacing w:line="500" w:lineRule="exact"/>
              <w:jc w:val="center"/>
              <w:textAlignment w:val="auto"/>
            </w:pPr>
          </w:p>
        </w:tc>
        <w:tc>
          <w:tcPr>
            <w:tcW w:w="1995" w:type="dxa"/>
            <w:vMerge w:val="continue"/>
            <w:tcBorders>
              <w:left w:val="single" w:color="auto" w:sz="4" w:space="0"/>
              <w:right w:val="single" w:color="auto" w:sz="4" w:space="0"/>
            </w:tcBorders>
            <w:noWrap w:val="0"/>
            <w:vAlign w:val="center"/>
          </w:tcPr>
          <w:p w14:paraId="3017A229">
            <w:pPr>
              <w:keepNext w:val="0"/>
              <w:keepLines w:val="0"/>
              <w:pageBreakBefore w:val="0"/>
              <w:kinsoku/>
              <w:wordWrap/>
              <w:overflowPunct/>
              <w:topLinePunct w:val="0"/>
              <w:bidi w:val="0"/>
              <w:spacing w:line="500" w:lineRule="exact"/>
              <w:jc w:val="center"/>
              <w:textAlignment w:val="auto"/>
              <w:rPr>
                <w:rFonts w:hint="eastAsia" w:ascii="宋体" w:hAnsi="宋体"/>
                <w:szCs w:val="21"/>
              </w:rPr>
            </w:pPr>
          </w:p>
        </w:tc>
        <w:tc>
          <w:tcPr>
            <w:tcW w:w="6062" w:type="dxa"/>
            <w:tcBorders>
              <w:top w:val="single" w:color="auto" w:sz="4" w:space="0"/>
              <w:left w:val="single" w:color="auto" w:sz="4" w:space="0"/>
              <w:right w:val="single" w:color="auto" w:sz="4" w:space="0"/>
            </w:tcBorders>
            <w:noWrap w:val="0"/>
            <w:vAlign w:val="center"/>
          </w:tcPr>
          <w:p w14:paraId="35BA067A">
            <w:pPr>
              <w:keepNext w:val="0"/>
              <w:keepLines w:val="0"/>
              <w:pageBreakBefore w:val="0"/>
              <w:kinsoku/>
              <w:wordWrap/>
              <w:overflowPunct/>
              <w:topLinePunct w:val="0"/>
              <w:bidi w:val="0"/>
              <w:spacing w:line="500" w:lineRule="exact"/>
              <w:textAlignment w:val="auto"/>
              <w:rPr>
                <w:rFonts w:hint="eastAsia" w:ascii="宋体" w:hAnsi="宋体" w:cs="仿宋_GB2312"/>
                <w:szCs w:val="21"/>
              </w:rPr>
            </w:pPr>
            <w:r>
              <w:rPr>
                <w:rFonts w:hint="eastAsia" w:ascii="宋体" w:hAnsi="宋体" w:cs="宋体"/>
                <w:kern w:val="0"/>
                <w:szCs w:val="21"/>
              </w:rPr>
              <w:t>根据质量要求是否满足招标文件要求，质量保证措施是否合理、可行进行综合打分。</w:t>
            </w:r>
            <w:r>
              <w:rPr>
                <w:rFonts w:hint="eastAsia" w:ascii="宋体" w:hAnsi="宋体" w:cs="宋体"/>
                <w:kern w:val="0"/>
                <w:szCs w:val="21"/>
                <w:lang w:eastAsia="zh-CN"/>
              </w:rPr>
              <w:t>措施合理的</w:t>
            </w:r>
            <w:r>
              <w:rPr>
                <w:rFonts w:hint="eastAsia" w:ascii="宋体" w:hAnsi="宋体" w:cs="宋体"/>
                <w:kern w:val="0"/>
                <w:szCs w:val="21"/>
              </w:rPr>
              <w:t>得</w:t>
            </w:r>
            <w:r>
              <w:rPr>
                <w:rFonts w:hint="eastAsia" w:ascii="宋体" w:hAnsi="宋体" w:cs="宋体"/>
                <w:kern w:val="0"/>
                <w:szCs w:val="21"/>
                <w:lang w:val="en-US" w:eastAsia="zh-CN"/>
              </w:rPr>
              <w:t>5分</w:t>
            </w:r>
            <w:r>
              <w:rPr>
                <w:rFonts w:hint="eastAsia" w:ascii="宋体" w:hAnsi="宋体" w:cs="宋体"/>
                <w:kern w:val="0"/>
                <w:szCs w:val="21"/>
              </w:rPr>
              <w:t>；</w:t>
            </w:r>
            <w:r>
              <w:rPr>
                <w:rFonts w:hint="eastAsia" w:ascii="宋体" w:hAnsi="宋体" w:cs="宋体"/>
                <w:kern w:val="0"/>
                <w:szCs w:val="21"/>
                <w:lang w:eastAsia="zh-CN"/>
              </w:rPr>
              <w:t>措施稍有欠缺的</w:t>
            </w:r>
            <w:r>
              <w:rPr>
                <w:rFonts w:hint="eastAsia" w:ascii="宋体" w:hAnsi="宋体" w:cs="宋体"/>
                <w:kern w:val="0"/>
                <w:szCs w:val="21"/>
              </w:rPr>
              <w:t>得</w:t>
            </w:r>
            <w:r>
              <w:rPr>
                <w:rFonts w:hint="eastAsia" w:ascii="宋体" w:hAnsi="宋体" w:cs="宋体"/>
                <w:kern w:val="0"/>
                <w:szCs w:val="21"/>
                <w:lang w:val="en-US" w:eastAsia="zh-CN"/>
              </w:rPr>
              <w:t>4分</w:t>
            </w:r>
            <w:r>
              <w:rPr>
                <w:rFonts w:hint="eastAsia" w:ascii="宋体" w:hAnsi="宋体" w:cs="宋体"/>
                <w:kern w:val="0"/>
                <w:szCs w:val="21"/>
              </w:rPr>
              <w:t>；</w:t>
            </w:r>
            <w:r>
              <w:rPr>
                <w:rFonts w:hint="eastAsia" w:ascii="宋体" w:hAnsi="宋体" w:cs="宋体"/>
                <w:kern w:val="0"/>
                <w:szCs w:val="21"/>
                <w:lang w:eastAsia="zh-CN"/>
              </w:rPr>
              <w:t>措施一般的</w:t>
            </w:r>
            <w:r>
              <w:rPr>
                <w:rFonts w:hint="eastAsia" w:ascii="宋体" w:hAnsi="宋体" w:cs="宋体"/>
                <w:kern w:val="0"/>
                <w:szCs w:val="21"/>
              </w:rPr>
              <w:t>得</w:t>
            </w:r>
            <w:r>
              <w:rPr>
                <w:rFonts w:hint="eastAsia" w:ascii="宋体" w:hAnsi="宋体" w:cs="宋体"/>
                <w:kern w:val="0"/>
                <w:szCs w:val="21"/>
                <w:lang w:val="en-US" w:eastAsia="zh-CN"/>
              </w:rPr>
              <w:t>3分</w:t>
            </w:r>
            <w:r>
              <w:rPr>
                <w:rFonts w:hint="eastAsia" w:ascii="宋体" w:hAnsi="宋体" w:cs="宋体"/>
                <w:kern w:val="0"/>
                <w:szCs w:val="21"/>
              </w:rPr>
              <w:t>；</w:t>
            </w:r>
            <w:r>
              <w:rPr>
                <w:rFonts w:hint="eastAsia" w:ascii="宋体" w:hAnsi="宋体" w:cs="宋体"/>
                <w:kern w:val="0"/>
                <w:szCs w:val="21"/>
                <w:lang w:eastAsia="zh-CN"/>
              </w:rPr>
              <w:t>措施</w:t>
            </w:r>
            <w:r>
              <w:rPr>
                <w:rFonts w:hint="eastAsia" w:ascii="宋体" w:hAnsi="宋体" w:cs="宋体"/>
                <w:kern w:val="0"/>
                <w:szCs w:val="21"/>
              </w:rPr>
              <w:t>差的得</w:t>
            </w:r>
            <w:r>
              <w:rPr>
                <w:rFonts w:hint="eastAsia" w:ascii="宋体" w:hAnsi="宋体" w:cs="宋体"/>
                <w:kern w:val="0"/>
                <w:szCs w:val="21"/>
                <w:lang w:val="en-US" w:eastAsia="zh-CN"/>
              </w:rPr>
              <w:t>2分；未提供不得分。</w:t>
            </w:r>
          </w:p>
        </w:tc>
        <w:tc>
          <w:tcPr>
            <w:tcW w:w="810" w:type="dxa"/>
            <w:tcBorders>
              <w:top w:val="single" w:color="auto" w:sz="4" w:space="0"/>
              <w:left w:val="single" w:color="auto" w:sz="4" w:space="0"/>
            </w:tcBorders>
            <w:noWrap w:val="0"/>
            <w:vAlign w:val="center"/>
          </w:tcPr>
          <w:p w14:paraId="55FAD815">
            <w:pPr>
              <w:keepNext w:val="0"/>
              <w:keepLines w:val="0"/>
              <w:pageBreakBefore w:val="0"/>
              <w:kinsoku/>
              <w:wordWrap/>
              <w:overflowPunct/>
              <w:topLinePunct w:val="0"/>
              <w:bidi w:val="0"/>
              <w:spacing w:line="500" w:lineRule="exact"/>
              <w:jc w:val="center"/>
              <w:textAlignment w:val="auto"/>
              <w:rPr>
                <w:rFonts w:hint="eastAsia" w:ascii="宋体" w:hAnsi="宋体"/>
              </w:rPr>
            </w:pPr>
            <w:r>
              <w:rPr>
                <w:rFonts w:hint="eastAsia" w:ascii="宋体" w:hAnsi="宋体"/>
              </w:rPr>
              <w:t>5分</w:t>
            </w:r>
          </w:p>
        </w:tc>
      </w:tr>
      <w:tr w14:paraId="0245C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4" w:type="dxa"/>
            <w:vMerge w:val="continue"/>
            <w:tcBorders>
              <w:right w:val="single" w:color="auto" w:sz="4" w:space="0"/>
            </w:tcBorders>
            <w:noWrap w:val="0"/>
            <w:vAlign w:val="center"/>
          </w:tcPr>
          <w:p w14:paraId="09DC72FB">
            <w:pPr>
              <w:keepNext w:val="0"/>
              <w:keepLines w:val="0"/>
              <w:pageBreakBefore w:val="0"/>
              <w:kinsoku/>
              <w:wordWrap/>
              <w:overflowPunct/>
              <w:topLinePunct w:val="0"/>
              <w:autoSpaceDE w:val="0"/>
              <w:autoSpaceDN w:val="0"/>
              <w:bidi w:val="0"/>
              <w:adjustRightInd w:val="0"/>
              <w:spacing w:line="500" w:lineRule="exact"/>
              <w:jc w:val="center"/>
              <w:textAlignment w:val="auto"/>
            </w:pPr>
          </w:p>
        </w:tc>
        <w:tc>
          <w:tcPr>
            <w:tcW w:w="1995" w:type="dxa"/>
            <w:vMerge w:val="continue"/>
            <w:tcBorders>
              <w:left w:val="single" w:color="auto" w:sz="4" w:space="0"/>
              <w:right w:val="single" w:color="auto" w:sz="4" w:space="0"/>
            </w:tcBorders>
            <w:noWrap w:val="0"/>
            <w:vAlign w:val="center"/>
          </w:tcPr>
          <w:p w14:paraId="14E037DE">
            <w:pPr>
              <w:keepNext w:val="0"/>
              <w:keepLines w:val="0"/>
              <w:pageBreakBefore w:val="0"/>
              <w:kinsoku/>
              <w:wordWrap/>
              <w:overflowPunct/>
              <w:topLinePunct w:val="0"/>
              <w:bidi w:val="0"/>
              <w:spacing w:line="500" w:lineRule="exact"/>
              <w:jc w:val="center"/>
              <w:textAlignment w:val="auto"/>
              <w:rPr>
                <w:rFonts w:hint="eastAsia" w:ascii="宋体" w:hAnsi="宋体"/>
                <w:szCs w:val="21"/>
              </w:rPr>
            </w:pPr>
          </w:p>
        </w:tc>
        <w:tc>
          <w:tcPr>
            <w:tcW w:w="6062" w:type="dxa"/>
            <w:tcBorders>
              <w:top w:val="single" w:color="auto" w:sz="4" w:space="0"/>
              <w:left w:val="single" w:color="auto" w:sz="4" w:space="0"/>
              <w:right w:val="single" w:color="auto" w:sz="4" w:space="0"/>
            </w:tcBorders>
            <w:noWrap w:val="0"/>
            <w:vAlign w:val="center"/>
          </w:tcPr>
          <w:p w14:paraId="54FE9F6C">
            <w:pPr>
              <w:keepNext w:val="0"/>
              <w:keepLines w:val="0"/>
              <w:pageBreakBefore w:val="0"/>
              <w:kinsoku/>
              <w:wordWrap/>
              <w:overflowPunct/>
              <w:topLinePunct w:val="0"/>
              <w:bidi w:val="0"/>
              <w:spacing w:line="500" w:lineRule="exact"/>
              <w:textAlignment w:val="auto"/>
              <w:rPr>
                <w:rFonts w:hint="eastAsia" w:ascii="宋体" w:hAnsi="宋体" w:eastAsia="宋体" w:cs="宋体"/>
                <w:kern w:val="0"/>
                <w:szCs w:val="21"/>
                <w:lang w:eastAsia="zh-CN"/>
              </w:rPr>
            </w:pPr>
            <w:r>
              <w:rPr>
                <w:rFonts w:hint="eastAsia" w:ascii="宋体" w:hAnsi="宋体" w:cs="宋体"/>
                <w:kern w:val="0"/>
                <w:szCs w:val="21"/>
              </w:rPr>
              <w:t>根据进度计划是否满足招标文件要求，进度保证措施是否合理、可行进行综合打分。</w:t>
            </w:r>
            <w:r>
              <w:rPr>
                <w:rFonts w:hint="eastAsia" w:ascii="宋体" w:hAnsi="宋体" w:cs="宋体"/>
                <w:kern w:val="0"/>
                <w:szCs w:val="21"/>
                <w:lang w:eastAsia="zh-CN"/>
              </w:rPr>
              <w:t>措施合理的</w:t>
            </w:r>
            <w:r>
              <w:rPr>
                <w:rFonts w:hint="eastAsia" w:ascii="宋体" w:hAnsi="宋体" w:cs="宋体"/>
                <w:kern w:val="0"/>
                <w:szCs w:val="21"/>
              </w:rPr>
              <w:t>得</w:t>
            </w:r>
            <w:r>
              <w:rPr>
                <w:rFonts w:hint="eastAsia" w:ascii="宋体" w:hAnsi="宋体" w:cs="宋体"/>
                <w:kern w:val="0"/>
                <w:szCs w:val="21"/>
                <w:lang w:val="en-US" w:eastAsia="zh-CN"/>
              </w:rPr>
              <w:t>5分</w:t>
            </w:r>
            <w:r>
              <w:rPr>
                <w:rFonts w:hint="eastAsia" w:ascii="宋体" w:hAnsi="宋体" w:cs="宋体"/>
                <w:kern w:val="0"/>
                <w:szCs w:val="21"/>
              </w:rPr>
              <w:t>；</w:t>
            </w:r>
            <w:r>
              <w:rPr>
                <w:rFonts w:hint="eastAsia" w:ascii="宋体" w:hAnsi="宋体" w:cs="宋体"/>
                <w:kern w:val="0"/>
                <w:szCs w:val="21"/>
                <w:lang w:eastAsia="zh-CN"/>
              </w:rPr>
              <w:t>措施稍有欠缺的</w:t>
            </w:r>
            <w:r>
              <w:rPr>
                <w:rFonts w:hint="eastAsia" w:ascii="宋体" w:hAnsi="宋体" w:cs="宋体"/>
                <w:kern w:val="0"/>
                <w:szCs w:val="21"/>
              </w:rPr>
              <w:t>得</w:t>
            </w:r>
            <w:r>
              <w:rPr>
                <w:rFonts w:hint="eastAsia" w:ascii="宋体" w:hAnsi="宋体" w:cs="宋体"/>
                <w:kern w:val="0"/>
                <w:szCs w:val="21"/>
                <w:lang w:val="en-US" w:eastAsia="zh-CN"/>
              </w:rPr>
              <w:t>4分</w:t>
            </w:r>
            <w:r>
              <w:rPr>
                <w:rFonts w:hint="eastAsia" w:ascii="宋体" w:hAnsi="宋体" w:cs="宋体"/>
                <w:kern w:val="0"/>
                <w:szCs w:val="21"/>
              </w:rPr>
              <w:t>；</w:t>
            </w:r>
            <w:r>
              <w:rPr>
                <w:rFonts w:hint="eastAsia" w:ascii="宋体" w:hAnsi="宋体" w:cs="宋体"/>
                <w:kern w:val="0"/>
                <w:szCs w:val="21"/>
                <w:lang w:eastAsia="zh-CN"/>
              </w:rPr>
              <w:t>措施一般的</w:t>
            </w:r>
            <w:r>
              <w:rPr>
                <w:rFonts w:hint="eastAsia" w:ascii="宋体" w:hAnsi="宋体" w:cs="宋体"/>
                <w:kern w:val="0"/>
                <w:szCs w:val="21"/>
              </w:rPr>
              <w:t>得</w:t>
            </w:r>
            <w:r>
              <w:rPr>
                <w:rFonts w:hint="eastAsia" w:ascii="宋体" w:hAnsi="宋体" w:cs="宋体"/>
                <w:kern w:val="0"/>
                <w:szCs w:val="21"/>
                <w:lang w:val="en-US" w:eastAsia="zh-CN"/>
              </w:rPr>
              <w:t>3分</w:t>
            </w:r>
            <w:r>
              <w:rPr>
                <w:rFonts w:hint="eastAsia" w:ascii="宋体" w:hAnsi="宋体" w:cs="宋体"/>
                <w:kern w:val="0"/>
                <w:szCs w:val="21"/>
              </w:rPr>
              <w:t>；</w:t>
            </w:r>
            <w:r>
              <w:rPr>
                <w:rFonts w:hint="eastAsia" w:ascii="宋体" w:hAnsi="宋体" w:cs="宋体"/>
                <w:kern w:val="0"/>
                <w:szCs w:val="21"/>
                <w:lang w:eastAsia="zh-CN"/>
              </w:rPr>
              <w:t>措施</w:t>
            </w:r>
            <w:r>
              <w:rPr>
                <w:rFonts w:hint="eastAsia" w:ascii="宋体" w:hAnsi="宋体" w:cs="宋体"/>
                <w:kern w:val="0"/>
                <w:szCs w:val="21"/>
              </w:rPr>
              <w:t>差的得</w:t>
            </w:r>
            <w:r>
              <w:rPr>
                <w:rFonts w:hint="eastAsia" w:ascii="宋体" w:hAnsi="宋体" w:cs="宋体"/>
                <w:kern w:val="0"/>
                <w:szCs w:val="21"/>
                <w:lang w:val="en-US" w:eastAsia="zh-CN"/>
              </w:rPr>
              <w:t>2分</w:t>
            </w:r>
            <w:r>
              <w:rPr>
                <w:rFonts w:hint="eastAsia" w:ascii="宋体" w:hAnsi="宋体" w:cs="宋体"/>
                <w:kern w:val="0"/>
                <w:szCs w:val="21"/>
                <w:lang w:eastAsia="zh-CN"/>
              </w:rPr>
              <w:t>；</w:t>
            </w:r>
            <w:r>
              <w:rPr>
                <w:rFonts w:hint="eastAsia" w:ascii="宋体" w:hAnsi="宋体" w:cs="宋体"/>
                <w:kern w:val="0"/>
                <w:szCs w:val="21"/>
                <w:lang w:val="en-US" w:eastAsia="zh-CN"/>
              </w:rPr>
              <w:t>未提供不得分。</w:t>
            </w:r>
          </w:p>
        </w:tc>
        <w:tc>
          <w:tcPr>
            <w:tcW w:w="810" w:type="dxa"/>
            <w:tcBorders>
              <w:top w:val="single" w:color="auto" w:sz="4" w:space="0"/>
              <w:left w:val="single" w:color="auto" w:sz="4" w:space="0"/>
            </w:tcBorders>
            <w:noWrap w:val="0"/>
            <w:vAlign w:val="center"/>
          </w:tcPr>
          <w:p w14:paraId="1201FBDB">
            <w:pPr>
              <w:keepNext w:val="0"/>
              <w:keepLines w:val="0"/>
              <w:pageBreakBefore w:val="0"/>
              <w:kinsoku/>
              <w:wordWrap/>
              <w:overflowPunct/>
              <w:topLinePunct w:val="0"/>
              <w:bidi w:val="0"/>
              <w:spacing w:line="500" w:lineRule="exact"/>
              <w:jc w:val="center"/>
              <w:textAlignment w:val="auto"/>
              <w:rPr>
                <w:rFonts w:hint="eastAsia" w:ascii="宋体" w:hAnsi="宋体"/>
              </w:rPr>
            </w:pPr>
            <w:r>
              <w:rPr>
                <w:rFonts w:hint="eastAsia" w:ascii="宋体" w:hAnsi="宋体"/>
              </w:rPr>
              <w:t>5分</w:t>
            </w:r>
          </w:p>
        </w:tc>
      </w:tr>
      <w:tr w14:paraId="20F09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4" w:type="dxa"/>
            <w:vMerge w:val="continue"/>
            <w:tcBorders>
              <w:bottom w:val="single" w:color="auto" w:sz="4" w:space="0"/>
              <w:right w:val="single" w:color="auto" w:sz="4" w:space="0"/>
            </w:tcBorders>
            <w:noWrap w:val="0"/>
            <w:vAlign w:val="center"/>
          </w:tcPr>
          <w:p w14:paraId="48001E8B">
            <w:pPr>
              <w:keepNext w:val="0"/>
              <w:keepLines w:val="0"/>
              <w:pageBreakBefore w:val="0"/>
              <w:kinsoku/>
              <w:wordWrap/>
              <w:overflowPunct/>
              <w:topLinePunct w:val="0"/>
              <w:autoSpaceDE w:val="0"/>
              <w:autoSpaceDN w:val="0"/>
              <w:bidi w:val="0"/>
              <w:adjustRightInd w:val="0"/>
              <w:spacing w:line="500" w:lineRule="exact"/>
              <w:jc w:val="center"/>
              <w:textAlignment w:val="auto"/>
            </w:pPr>
          </w:p>
        </w:tc>
        <w:tc>
          <w:tcPr>
            <w:tcW w:w="1995" w:type="dxa"/>
            <w:vMerge w:val="continue"/>
            <w:tcBorders>
              <w:left w:val="single" w:color="auto" w:sz="4" w:space="0"/>
              <w:bottom w:val="single" w:color="auto" w:sz="4" w:space="0"/>
              <w:right w:val="single" w:color="auto" w:sz="4" w:space="0"/>
            </w:tcBorders>
            <w:noWrap w:val="0"/>
            <w:vAlign w:val="center"/>
          </w:tcPr>
          <w:p w14:paraId="711C79DE">
            <w:pPr>
              <w:keepNext w:val="0"/>
              <w:keepLines w:val="0"/>
              <w:pageBreakBefore w:val="0"/>
              <w:kinsoku/>
              <w:wordWrap/>
              <w:overflowPunct/>
              <w:topLinePunct w:val="0"/>
              <w:bidi w:val="0"/>
              <w:spacing w:line="500" w:lineRule="exact"/>
              <w:jc w:val="center"/>
              <w:textAlignment w:val="auto"/>
              <w:rPr>
                <w:rFonts w:hint="eastAsia" w:ascii="宋体" w:hAnsi="宋体" w:cs="宋体"/>
                <w:kern w:val="0"/>
                <w:szCs w:val="21"/>
              </w:rPr>
            </w:pPr>
          </w:p>
        </w:tc>
        <w:tc>
          <w:tcPr>
            <w:tcW w:w="6062" w:type="dxa"/>
            <w:tcBorders>
              <w:top w:val="single" w:color="auto" w:sz="4" w:space="0"/>
              <w:left w:val="single" w:color="auto" w:sz="4" w:space="0"/>
              <w:right w:val="single" w:color="auto" w:sz="4" w:space="0"/>
            </w:tcBorders>
            <w:noWrap w:val="0"/>
            <w:vAlign w:val="center"/>
          </w:tcPr>
          <w:p w14:paraId="424645AC">
            <w:pPr>
              <w:keepNext w:val="0"/>
              <w:keepLines w:val="0"/>
              <w:pageBreakBefore w:val="0"/>
              <w:kinsoku/>
              <w:wordWrap/>
              <w:overflowPunct/>
              <w:topLinePunct w:val="0"/>
              <w:bidi w:val="0"/>
              <w:spacing w:line="500" w:lineRule="exact"/>
              <w:textAlignment w:val="auto"/>
              <w:rPr>
                <w:rFonts w:hint="eastAsia"/>
              </w:rPr>
            </w:pPr>
            <w:r>
              <w:rPr>
                <w:rFonts w:hint="eastAsia"/>
              </w:rPr>
              <w:t>根据后续服务具体措施是否得当、清晰进行综合打分。</w:t>
            </w:r>
            <w:r>
              <w:rPr>
                <w:rFonts w:hint="eastAsia" w:ascii="宋体" w:hAnsi="宋体" w:cs="宋体"/>
                <w:kern w:val="0"/>
                <w:szCs w:val="21"/>
                <w:lang w:eastAsia="zh-CN"/>
              </w:rPr>
              <w:t>措施合理的</w:t>
            </w:r>
            <w:r>
              <w:rPr>
                <w:rFonts w:hint="eastAsia" w:ascii="宋体" w:hAnsi="宋体" w:cs="宋体"/>
                <w:kern w:val="0"/>
                <w:szCs w:val="21"/>
              </w:rPr>
              <w:t>得</w:t>
            </w:r>
            <w:r>
              <w:rPr>
                <w:rFonts w:hint="eastAsia" w:ascii="宋体" w:hAnsi="宋体" w:cs="宋体"/>
                <w:kern w:val="0"/>
                <w:szCs w:val="21"/>
                <w:lang w:val="en-US" w:eastAsia="zh-CN"/>
              </w:rPr>
              <w:t>5分</w:t>
            </w:r>
            <w:r>
              <w:rPr>
                <w:rFonts w:hint="eastAsia" w:ascii="宋体" w:hAnsi="宋体" w:cs="宋体"/>
                <w:kern w:val="0"/>
                <w:szCs w:val="21"/>
              </w:rPr>
              <w:t>；</w:t>
            </w:r>
            <w:r>
              <w:rPr>
                <w:rFonts w:hint="eastAsia" w:ascii="宋体" w:hAnsi="宋体" w:cs="宋体"/>
                <w:kern w:val="0"/>
                <w:szCs w:val="21"/>
                <w:lang w:eastAsia="zh-CN"/>
              </w:rPr>
              <w:t>措施稍有欠缺的</w:t>
            </w:r>
            <w:r>
              <w:rPr>
                <w:rFonts w:hint="eastAsia" w:ascii="宋体" w:hAnsi="宋体" w:cs="宋体"/>
                <w:kern w:val="0"/>
                <w:szCs w:val="21"/>
              </w:rPr>
              <w:t>得</w:t>
            </w:r>
            <w:r>
              <w:rPr>
                <w:rFonts w:hint="eastAsia" w:ascii="宋体" w:hAnsi="宋体" w:cs="宋体"/>
                <w:kern w:val="0"/>
                <w:szCs w:val="21"/>
                <w:lang w:val="en-US" w:eastAsia="zh-CN"/>
              </w:rPr>
              <w:t>4分</w:t>
            </w:r>
            <w:r>
              <w:rPr>
                <w:rFonts w:hint="eastAsia" w:ascii="宋体" w:hAnsi="宋体" w:cs="宋体"/>
                <w:kern w:val="0"/>
                <w:szCs w:val="21"/>
              </w:rPr>
              <w:t>；</w:t>
            </w:r>
            <w:r>
              <w:rPr>
                <w:rFonts w:hint="eastAsia" w:ascii="宋体" w:hAnsi="宋体" w:cs="宋体"/>
                <w:kern w:val="0"/>
                <w:szCs w:val="21"/>
                <w:lang w:eastAsia="zh-CN"/>
              </w:rPr>
              <w:t>措施一般的</w:t>
            </w:r>
            <w:r>
              <w:rPr>
                <w:rFonts w:hint="eastAsia" w:ascii="宋体" w:hAnsi="宋体" w:cs="宋体"/>
                <w:kern w:val="0"/>
                <w:szCs w:val="21"/>
              </w:rPr>
              <w:t>得</w:t>
            </w:r>
            <w:r>
              <w:rPr>
                <w:rFonts w:hint="eastAsia" w:ascii="宋体" w:hAnsi="宋体" w:cs="宋体"/>
                <w:kern w:val="0"/>
                <w:szCs w:val="21"/>
                <w:lang w:val="en-US" w:eastAsia="zh-CN"/>
              </w:rPr>
              <w:t>3分</w:t>
            </w:r>
            <w:r>
              <w:rPr>
                <w:rFonts w:hint="eastAsia" w:ascii="宋体" w:hAnsi="宋体" w:cs="宋体"/>
                <w:kern w:val="0"/>
                <w:szCs w:val="21"/>
              </w:rPr>
              <w:t>；</w:t>
            </w:r>
            <w:r>
              <w:rPr>
                <w:rFonts w:hint="eastAsia" w:ascii="宋体" w:hAnsi="宋体" w:cs="宋体"/>
                <w:kern w:val="0"/>
                <w:szCs w:val="21"/>
                <w:lang w:eastAsia="zh-CN"/>
              </w:rPr>
              <w:t>措施</w:t>
            </w:r>
            <w:r>
              <w:rPr>
                <w:rFonts w:hint="eastAsia" w:ascii="宋体" w:hAnsi="宋体" w:cs="宋体"/>
                <w:kern w:val="0"/>
                <w:szCs w:val="21"/>
              </w:rPr>
              <w:t>差的得</w:t>
            </w:r>
            <w:r>
              <w:rPr>
                <w:rFonts w:hint="eastAsia" w:ascii="宋体" w:hAnsi="宋体" w:cs="宋体"/>
                <w:kern w:val="0"/>
                <w:szCs w:val="21"/>
                <w:lang w:val="en-US" w:eastAsia="zh-CN"/>
              </w:rPr>
              <w:t>2分；未提供不得分。</w:t>
            </w:r>
          </w:p>
        </w:tc>
        <w:tc>
          <w:tcPr>
            <w:tcW w:w="810" w:type="dxa"/>
            <w:tcBorders>
              <w:top w:val="single" w:color="auto" w:sz="4" w:space="0"/>
              <w:left w:val="single" w:color="auto" w:sz="4" w:space="0"/>
            </w:tcBorders>
            <w:noWrap w:val="0"/>
            <w:vAlign w:val="center"/>
          </w:tcPr>
          <w:p w14:paraId="7D44A5FE">
            <w:pPr>
              <w:keepNext w:val="0"/>
              <w:keepLines w:val="0"/>
              <w:pageBreakBefore w:val="0"/>
              <w:kinsoku/>
              <w:wordWrap/>
              <w:overflowPunct/>
              <w:topLinePunct w:val="0"/>
              <w:bidi w:val="0"/>
              <w:spacing w:line="500" w:lineRule="exact"/>
              <w:jc w:val="center"/>
              <w:textAlignment w:val="auto"/>
              <w:rPr>
                <w:rFonts w:hint="eastAsia" w:ascii="宋体" w:hAnsi="宋体"/>
              </w:rPr>
            </w:pPr>
            <w:r>
              <w:rPr>
                <w:rFonts w:hint="eastAsia" w:ascii="宋体" w:hAnsi="宋体"/>
              </w:rPr>
              <w:t>5分</w:t>
            </w:r>
          </w:p>
        </w:tc>
      </w:tr>
      <w:tr w14:paraId="33C3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704" w:type="dxa"/>
            <w:tcBorders>
              <w:bottom w:val="single" w:color="auto" w:sz="4" w:space="0"/>
              <w:right w:val="single" w:color="auto" w:sz="4" w:space="0"/>
            </w:tcBorders>
            <w:noWrap w:val="0"/>
            <w:vAlign w:val="center"/>
          </w:tcPr>
          <w:p w14:paraId="541DC866">
            <w:pPr>
              <w:keepNext w:val="0"/>
              <w:keepLines w:val="0"/>
              <w:pageBreakBefore w:val="0"/>
              <w:kinsoku/>
              <w:wordWrap/>
              <w:overflowPunct/>
              <w:topLinePunct w:val="0"/>
              <w:autoSpaceDE w:val="0"/>
              <w:autoSpaceDN w:val="0"/>
              <w:bidi w:val="0"/>
              <w:adjustRightInd w:val="0"/>
              <w:spacing w:line="500" w:lineRule="exact"/>
              <w:jc w:val="center"/>
              <w:textAlignment w:val="auto"/>
            </w:pPr>
            <w:r>
              <w:rPr>
                <w:rFonts w:hint="eastAsia" w:ascii="宋体" w:hAnsi="宋体"/>
                <w:szCs w:val="21"/>
              </w:rPr>
              <w:t>4</w:t>
            </w:r>
          </w:p>
        </w:tc>
        <w:tc>
          <w:tcPr>
            <w:tcW w:w="1995" w:type="dxa"/>
            <w:tcBorders>
              <w:left w:val="single" w:color="auto" w:sz="4" w:space="0"/>
              <w:bottom w:val="single" w:color="auto" w:sz="4" w:space="0"/>
              <w:right w:val="single" w:color="auto" w:sz="4" w:space="0"/>
            </w:tcBorders>
            <w:noWrap w:val="0"/>
            <w:vAlign w:val="center"/>
          </w:tcPr>
          <w:p w14:paraId="66FD420F">
            <w:pPr>
              <w:keepNext w:val="0"/>
              <w:keepLines w:val="0"/>
              <w:pageBreakBefore w:val="0"/>
              <w:kinsoku/>
              <w:wordWrap/>
              <w:overflowPunct/>
              <w:topLinePunct w:val="0"/>
              <w:bidi w:val="0"/>
              <w:spacing w:line="500" w:lineRule="exact"/>
              <w:textAlignment w:val="auto"/>
              <w:rPr>
                <w:rFonts w:ascii="宋体"/>
                <w:szCs w:val="21"/>
              </w:rPr>
            </w:pPr>
            <w:r>
              <w:rPr>
                <w:rFonts w:hint="eastAsia" w:ascii="宋体" w:hAnsi="宋体"/>
                <w:szCs w:val="21"/>
              </w:rPr>
              <w:t>拟投入项目人员</w:t>
            </w:r>
          </w:p>
        </w:tc>
        <w:tc>
          <w:tcPr>
            <w:tcW w:w="6062" w:type="dxa"/>
            <w:tcBorders>
              <w:top w:val="single" w:color="auto" w:sz="4" w:space="0"/>
              <w:left w:val="single" w:color="auto" w:sz="4" w:space="0"/>
              <w:right w:val="single" w:color="auto" w:sz="4" w:space="0"/>
            </w:tcBorders>
            <w:noWrap w:val="0"/>
            <w:vAlign w:val="center"/>
          </w:tcPr>
          <w:p w14:paraId="05570392">
            <w:pPr>
              <w:keepNext w:val="0"/>
              <w:keepLines w:val="0"/>
              <w:pageBreakBefore w:val="0"/>
              <w:numPr>
                <w:ilvl w:val="0"/>
                <w:numId w:val="2"/>
              </w:numPr>
              <w:kinsoku/>
              <w:wordWrap/>
              <w:overflowPunct/>
              <w:topLinePunct w:val="0"/>
              <w:bidi w:val="0"/>
              <w:spacing w:line="500" w:lineRule="exact"/>
              <w:textAlignment w:val="auto"/>
              <w:rPr>
                <w:rFonts w:hint="eastAsia" w:ascii="宋体" w:hAnsi="宋体"/>
                <w:szCs w:val="21"/>
                <w:lang w:val="en-US" w:eastAsia="zh-CN"/>
              </w:rPr>
            </w:pPr>
            <w:r>
              <w:rPr>
                <w:rFonts w:hint="eastAsia" w:ascii="宋体" w:hAnsi="宋体"/>
                <w:szCs w:val="21"/>
                <w:lang w:eastAsia="zh-CN"/>
              </w:rPr>
              <w:t>项目负责人具有环保或市政给排水或水利工程类相关专业高级职称的得</w:t>
            </w:r>
            <w:r>
              <w:rPr>
                <w:rFonts w:hint="eastAsia" w:ascii="宋体" w:hAnsi="宋体"/>
                <w:szCs w:val="21"/>
                <w:lang w:val="en-US" w:eastAsia="zh-CN"/>
              </w:rPr>
              <w:t>2分，正高级职称的得4分；</w:t>
            </w:r>
          </w:p>
          <w:p w14:paraId="333F08FD">
            <w:pPr>
              <w:keepNext w:val="0"/>
              <w:keepLines w:val="0"/>
              <w:pageBreakBefore w:val="0"/>
              <w:numPr>
                <w:ilvl w:val="0"/>
                <w:numId w:val="0"/>
              </w:numPr>
              <w:kinsoku/>
              <w:wordWrap/>
              <w:overflowPunct/>
              <w:topLinePunct w:val="0"/>
              <w:bidi w:val="0"/>
              <w:spacing w:line="500" w:lineRule="exact"/>
              <w:textAlignment w:val="auto"/>
              <w:rPr>
                <w:rFonts w:hint="default" w:ascii="宋体" w:hAnsi="宋体"/>
                <w:szCs w:val="21"/>
                <w:lang w:val="en-US" w:eastAsia="zh-CN"/>
              </w:rPr>
            </w:pPr>
            <w:r>
              <w:rPr>
                <w:rFonts w:hint="eastAsia" w:ascii="宋体" w:hAnsi="宋体"/>
                <w:szCs w:val="21"/>
                <w:lang w:val="en-US" w:eastAsia="zh-CN"/>
              </w:rPr>
              <w:t>2、</w:t>
            </w:r>
            <w:r>
              <w:rPr>
                <w:rFonts w:hint="eastAsia" w:ascii="宋体" w:hAnsi="宋体"/>
                <w:szCs w:val="21"/>
                <w:lang w:eastAsia="zh-CN"/>
              </w:rPr>
              <w:t>项目负责人荣誉： 自2020年01月01日（含）以来，主持的类似项目获得市级及以上行业主管部门表彰的有一个得</w:t>
            </w:r>
            <w:r>
              <w:rPr>
                <w:rFonts w:hint="eastAsia" w:ascii="宋体" w:hAnsi="宋体"/>
                <w:szCs w:val="21"/>
                <w:lang w:val="en-US" w:eastAsia="zh-CN"/>
              </w:rPr>
              <w:t>1</w:t>
            </w:r>
            <w:r>
              <w:rPr>
                <w:rFonts w:hint="eastAsia" w:ascii="宋体" w:hAnsi="宋体"/>
                <w:szCs w:val="21"/>
                <w:lang w:eastAsia="zh-CN"/>
              </w:rPr>
              <w:t>分，本项最高得</w:t>
            </w:r>
            <w:r>
              <w:rPr>
                <w:rFonts w:hint="eastAsia" w:ascii="宋体" w:hAnsi="宋体"/>
                <w:szCs w:val="21"/>
                <w:lang w:val="en-US" w:eastAsia="zh-CN"/>
              </w:rPr>
              <w:t>2</w:t>
            </w:r>
            <w:r>
              <w:rPr>
                <w:rFonts w:hint="eastAsia" w:ascii="宋体" w:hAnsi="宋体"/>
                <w:szCs w:val="21"/>
                <w:lang w:eastAsia="zh-CN"/>
              </w:rPr>
              <w:t>分。（证书复印件加盖投标单位公章）</w:t>
            </w:r>
          </w:p>
          <w:p w14:paraId="67B033F8">
            <w:pPr>
              <w:keepNext w:val="0"/>
              <w:keepLines w:val="0"/>
              <w:pageBreakBefore w:val="0"/>
              <w:kinsoku/>
              <w:wordWrap/>
              <w:overflowPunct/>
              <w:topLinePunct w:val="0"/>
              <w:bidi w:val="0"/>
              <w:spacing w:line="500" w:lineRule="exact"/>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投入项目人员（不含项目负责人）具有土木工程师（水利水电工程规划专业类）或咨询工程师（投资）（水利水电专业）登记证书或信息系统项目管理类高级工程师或科技管理信息技术类高级工程师，每1人得2分，最多得6分。</w:t>
            </w:r>
          </w:p>
          <w:p w14:paraId="5F8F83FE">
            <w:pPr>
              <w:keepNext w:val="0"/>
              <w:keepLines w:val="0"/>
              <w:pageBreakBefore w:val="0"/>
              <w:kinsoku/>
              <w:wordWrap/>
              <w:overflowPunct/>
              <w:topLinePunct w:val="0"/>
              <w:bidi w:val="0"/>
              <w:spacing w:line="500" w:lineRule="exact"/>
              <w:textAlignment w:val="auto"/>
              <w:rPr>
                <w:rFonts w:hint="eastAsia" w:ascii="宋体" w:hAnsi="宋体" w:eastAsia="宋体" w:cs="宋体"/>
                <w:kern w:val="0"/>
                <w:szCs w:val="21"/>
                <w:lang w:eastAsia="zh-CN"/>
              </w:rPr>
            </w:pPr>
            <w:r>
              <w:rPr>
                <w:rFonts w:hint="eastAsia" w:ascii="宋体" w:hAnsi="宋体" w:cs="宋体"/>
                <w:kern w:val="0"/>
                <w:szCs w:val="21"/>
                <w:lang w:eastAsia="zh-CN"/>
              </w:rPr>
              <w:t>以上人员需</w:t>
            </w:r>
            <w:r>
              <w:rPr>
                <w:rFonts w:hint="eastAsia" w:ascii="宋体" w:hAnsi="宋体" w:cs="仿宋"/>
                <w:szCs w:val="21"/>
              </w:rPr>
              <w:t>提供相关证书和</w:t>
            </w:r>
            <w:r>
              <w:rPr>
                <w:rFonts w:hint="eastAsia" w:ascii="宋体" w:hAnsi="宋体" w:cs="仿宋"/>
                <w:szCs w:val="21"/>
                <w:lang w:eastAsia="zh-CN"/>
              </w:rPr>
              <w:t>提供从投标截止时间往前推算一个月的社保缴费证明(投标单位为其缴纳的社会保险的凭证加盖社保机构公章或社保中心官网上缴费记录加盖投标单位公章)</w:t>
            </w:r>
            <w:r>
              <w:rPr>
                <w:rFonts w:hint="eastAsia" w:ascii="宋体" w:hAnsi="宋体" w:cs="宋体"/>
                <w:kern w:val="0"/>
                <w:szCs w:val="21"/>
              </w:rPr>
              <w:t>。</w:t>
            </w:r>
          </w:p>
        </w:tc>
        <w:tc>
          <w:tcPr>
            <w:tcW w:w="810" w:type="dxa"/>
            <w:tcBorders>
              <w:top w:val="single" w:color="auto" w:sz="4" w:space="0"/>
              <w:left w:val="single" w:color="auto" w:sz="4" w:space="0"/>
            </w:tcBorders>
            <w:noWrap w:val="0"/>
            <w:vAlign w:val="center"/>
          </w:tcPr>
          <w:p w14:paraId="179A490F">
            <w:pPr>
              <w:keepNext w:val="0"/>
              <w:keepLines w:val="0"/>
              <w:pageBreakBefore w:val="0"/>
              <w:kinsoku/>
              <w:wordWrap/>
              <w:overflowPunct/>
              <w:topLinePunct w:val="0"/>
              <w:bidi w:val="0"/>
              <w:spacing w:line="500" w:lineRule="exact"/>
              <w:jc w:val="center"/>
              <w:textAlignment w:val="auto"/>
              <w:rPr>
                <w:rFonts w:hint="eastAsia" w:ascii="宋体" w:hAnsi="宋体"/>
              </w:rPr>
            </w:pPr>
            <w:r>
              <w:rPr>
                <w:rFonts w:ascii="宋体" w:hAnsi="宋体"/>
                <w:szCs w:val="21"/>
              </w:rPr>
              <w:t>1</w:t>
            </w:r>
            <w:r>
              <w:rPr>
                <w:rFonts w:hint="eastAsia" w:ascii="宋体" w:hAnsi="宋体"/>
                <w:szCs w:val="21"/>
                <w:lang w:val="en-US" w:eastAsia="zh-CN"/>
              </w:rPr>
              <w:t>2</w:t>
            </w:r>
            <w:r>
              <w:rPr>
                <w:rFonts w:hint="eastAsia" w:ascii="宋体" w:hAnsi="宋体"/>
                <w:szCs w:val="21"/>
              </w:rPr>
              <w:t>分</w:t>
            </w:r>
          </w:p>
        </w:tc>
      </w:tr>
      <w:tr w14:paraId="0333B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704" w:type="dxa"/>
            <w:vMerge w:val="restart"/>
            <w:tcBorders>
              <w:top w:val="single" w:color="auto" w:sz="4" w:space="0"/>
              <w:right w:val="single" w:color="auto" w:sz="4" w:space="0"/>
            </w:tcBorders>
            <w:noWrap w:val="0"/>
            <w:vAlign w:val="center"/>
          </w:tcPr>
          <w:p w14:paraId="4A2E4C81">
            <w:pPr>
              <w:keepNext w:val="0"/>
              <w:keepLines w:val="0"/>
              <w:pageBreakBefore w:val="0"/>
              <w:kinsoku/>
              <w:wordWrap/>
              <w:overflowPunct/>
              <w:topLinePunct w:val="0"/>
              <w:autoSpaceDE w:val="0"/>
              <w:autoSpaceDN w:val="0"/>
              <w:bidi w:val="0"/>
              <w:adjustRightInd w:val="0"/>
              <w:spacing w:line="500" w:lineRule="exact"/>
              <w:jc w:val="center"/>
              <w:textAlignment w:val="auto"/>
              <w:rPr>
                <w:rFonts w:hint="eastAsia" w:ascii="宋体" w:hAnsi="宋体"/>
                <w:szCs w:val="21"/>
              </w:rPr>
            </w:pPr>
            <w:r>
              <w:rPr>
                <w:rFonts w:hint="eastAsia" w:ascii="宋体" w:hAnsi="宋体"/>
                <w:szCs w:val="21"/>
              </w:rPr>
              <w:t>5</w:t>
            </w:r>
          </w:p>
        </w:tc>
        <w:tc>
          <w:tcPr>
            <w:tcW w:w="1995" w:type="dxa"/>
            <w:vMerge w:val="restart"/>
            <w:tcBorders>
              <w:top w:val="single" w:color="auto" w:sz="4" w:space="0"/>
              <w:left w:val="single" w:color="auto" w:sz="4" w:space="0"/>
              <w:right w:val="single" w:color="auto" w:sz="4" w:space="0"/>
            </w:tcBorders>
            <w:noWrap w:val="0"/>
            <w:vAlign w:val="center"/>
          </w:tcPr>
          <w:p w14:paraId="19B6C44E">
            <w:pPr>
              <w:keepNext w:val="0"/>
              <w:keepLines w:val="0"/>
              <w:pageBreakBefore w:val="0"/>
              <w:kinsoku/>
              <w:wordWrap/>
              <w:overflowPunct/>
              <w:topLinePunct w:val="0"/>
              <w:bidi w:val="0"/>
              <w:spacing w:line="500" w:lineRule="exact"/>
              <w:jc w:val="center"/>
              <w:textAlignment w:val="auto"/>
              <w:rPr>
                <w:rFonts w:ascii="宋体" w:hAnsi="宋体"/>
                <w:szCs w:val="21"/>
              </w:rPr>
            </w:pPr>
            <w:r>
              <w:rPr>
                <w:rFonts w:hint="eastAsia" w:ascii="宋体" w:hAnsi="宋体" w:cs="宋体"/>
              </w:rPr>
              <w:t>信誉业绩</w:t>
            </w:r>
          </w:p>
        </w:tc>
        <w:tc>
          <w:tcPr>
            <w:tcW w:w="6062" w:type="dxa"/>
            <w:tcBorders>
              <w:top w:val="single" w:color="auto" w:sz="4" w:space="0"/>
              <w:left w:val="single" w:color="auto" w:sz="4" w:space="0"/>
              <w:right w:val="single" w:color="auto" w:sz="4" w:space="0"/>
            </w:tcBorders>
            <w:noWrap w:val="0"/>
            <w:vAlign w:val="center"/>
          </w:tcPr>
          <w:p w14:paraId="694B6DD9">
            <w:pPr>
              <w:keepNext w:val="0"/>
              <w:keepLines w:val="0"/>
              <w:pageBreakBefore w:val="0"/>
              <w:widowControl w:val="0"/>
              <w:numPr>
                <w:ilvl w:val="0"/>
                <w:numId w:val="3"/>
              </w:numPr>
              <w:kinsoku/>
              <w:wordWrap/>
              <w:overflowPunct/>
              <w:topLinePunct w:val="0"/>
              <w:bidi w:val="0"/>
              <w:spacing w:line="500" w:lineRule="exact"/>
              <w:textAlignment w:val="auto"/>
              <w:rPr>
                <w:rFonts w:hint="eastAsia" w:eastAsia="宋体" w:cs="宋体"/>
                <w:lang w:eastAsia="zh-CN"/>
              </w:rPr>
            </w:pPr>
            <w:r>
              <w:rPr>
                <w:rFonts w:hint="eastAsia" w:ascii="宋体" w:hAnsi="宋体"/>
                <w:szCs w:val="21"/>
              </w:rPr>
              <w:t>投标人具有</w:t>
            </w:r>
            <w:r>
              <w:rPr>
                <w:rFonts w:hint="eastAsia" w:ascii="宋体" w:hAnsi="宋体"/>
                <w:szCs w:val="21"/>
                <w:lang w:val="en-US" w:eastAsia="zh-CN"/>
              </w:rPr>
              <w:t>有效期内的</w:t>
            </w:r>
            <w:r>
              <w:rPr>
                <w:rFonts w:hint="eastAsia" w:ascii="宋体" w:hAnsi="宋体"/>
                <w:szCs w:val="21"/>
              </w:rPr>
              <w:t>质量管理体系认证、环境管理体系认证、职业健康安全管理体系认证证书的</w:t>
            </w:r>
            <w:r>
              <w:rPr>
                <w:rFonts w:hint="eastAsia" w:ascii="宋体" w:hAnsi="宋体"/>
                <w:szCs w:val="21"/>
                <w:lang w:eastAsia="zh-CN"/>
              </w:rPr>
              <w:t>，</w:t>
            </w:r>
            <w:r>
              <w:rPr>
                <w:rFonts w:hint="eastAsia"/>
                <w:bCs/>
              </w:rPr>
              <w:t>每提供一个相关证书</w:t>
            </w:r>
            <w:r>
              <w:rPr>
                <w:bCs/>
              </w:rPr>
              <w:t>得</w:t>
            </w:r>
            <w:r>
              <w:rPr>
                <w:rFonts w:hint="eastAsia"/>
                <w:bCs/>
                <w:lang w:val="en-US" w:eastAsia="zh-CN"/>
              </w:rPr>
              <w:t>2</w:t>
            </w:r>
            <w:r>
              <w:rPr>
                <w:bCs/>
              </w:rPr>
              <w:t>分，</w:t>
            </w:r>
            <w:r>
              <w:rPr>
                <w:rFonts w:hint="eastAsia"/>
                <w:bCs/>
              </w:rPr>
              <w:t>本项</w:t>
            </w:r>
            <w:r>
              <w:rPr>
                <w:bCs/>
              </w:rPr>
              <w:t>最多得</w:t>
            </w:r>
            <w:r>
              <w:rPr>
                <w:rFonts w:hint="eastAsia"/>
                <w:bCs/>
                <w:lang w:val="en-US" w:eastAsia="zh-CN"/>
              </w:rPr>
              <w:t>6</w:t>
            </w:r>
            <w:r>
              <w:rPr>
                <w:bCs/>
              </w:rPr>
              <w:t>分。</w:t>
            </w:r>
            <w:r>
              <w:rPr>
                <w:rFonts w:hint="eastAsia"/>
                <w:bCs/>
                <w:lang w:val="en-US" w:eastAsia="zh-CN"/>
              </w:rPr>
              <w:t xml:space="preserve">   </w:t>
            </w:r>
          </w:p>
          <w:p w14:paraId="4E929F87">
            <w:pPr>
              <w:keepNext w:val="0"/>
              <w:keepLines w:val="0"/>
              <w:pageBreakBefore w:val="0"/>
              <w:widowControl w:val="0"/>
              <w:numPr>
                <w:ilvl w:val="0"/>
                <w:numId w:val="0"/>
              </w:numPr>
              <w:kinsoku/>
              <w:wordWrap/>
              <w:overflowPunct/>
              <w:topLinePunct w:val="0"/>
              <w:bidi w:val="0"/>
              <w:spacing w:line="500" w:lineRule="exact"/>
              <w:textAlignment w:val="auto"/>
              <w:rPr>
                <w:rFonts w:hint="eastAsia" w:eastAsia="宋体" w:cs="宋体"/>
                <w:lang w:eastAsia="zh-CN"/>
              </w:rPr>
            </w:pPr>
            <w:r>
              <w:rPr>
                <w:rFonts w:hint="eastAsia"/>
                <w:bCs/>
                <w:lang w:val="en-US" w:eastAsia="zh-CN"/>
              </w:rPr>
              <w:t>（</w:t>
            </w:r>
            <w:r>
              <w:rPr>
                <w:rFonts w:hint="eastAsia" w:ascii="宋体" w:hAnsi="宋体"/>
                <w:szCs w:val="21"/>
              </w:rPr>
              <w:t>需提供证书复印件，并加盖</w:t>
            </w:r>
            <w:r>
              <w:rPr>
                <w:rFonts w:hint="eastAsia" w:ascii="宋体" w:hAnsi="宋体"/>
                <w:szCs w:val="21"/>
                <w:lang w:eastAsia="zh-CN"/>
              </w:rPr>
              <w:t>投标</w:t>
            </w:r>
            <w:r>
              <w:rPr>
                <w:rFonts w:hint="eastAsia" w:ascii="宋体" w:hAnsi="宋体"/>
                <w:szCs w:val="21"/>
              </w:rPr>
              <w:t>单位公章</w:t>
            </w:r>
            <w:r>
              <w:rPr>
                <w:rFonts w:hint="eastAsia" w:ascii="宋体" w:hAnsi="宋体"/>
                <w:szCs w:val="21"/>
                <w:lang w:eastAsia="zh-CN"/>
              </w:rPr>
              <w:t>。）</w:t>
            </w:r>
          </w:p>
        </w:tc>
        <w:tc>
          <w:tcPr>
            <w:tcW w:w="810" w:type="dxa"/>
            <w:tcBorders>
              <w:top w:val="single" w:color="auto" w:sz="4" w:space="0"/>
              <w:left w:val="single" w:color="auto" w:sz="4" w:space="0"/>
              <w:bottom w:val="single" w:color="auto" w:sz="4" w:space="0"/>
            </w:tcBorders>
            <w:noWrap w:val="0"/>
            <w:vAlign w:val="center"/>
          </w:tcPr>
          <w:p w14:paraId="214C4311">
            <w:pPr>
              <w:keepNext w:val="0"/>
              <w:keepLines w:val="0"/>
              <w:pageBreakBefore w:val="0"/>
              <w:kinsoku/>
              <w:wordWrap/>
              <w:overflowPunct/>
              <w:topLinePunct w:val="0"/>
              <w:bidi w:val="0"/>
              <w:spacing w:line="500" w:lineRule="exact"/>
              <w:jc w:val="center"/>
              <w:textAlignment w:val="auto"/>
              <w:rPr>
                <w:rFonts w:hint="eastAsia" w:ascii="宋体" w:hAnsi="宋体"/>
                <w:szCs w:val="21"/>
              </w:rPr>
            </w:pPr>
            <w:r>
              <w:rPr>
                <w:rFonts w:hint="eastAsia" w:ascii="宋体" w:hAnsi="宋体"/>
                <w:szCs w:val="21"/>
                <w:lang w:val="en-US" w:eastAsia="zh-CN"/>
              </w:rPr>
              <w:t>6</w:t>
            </w:r>
            <w:r>
              <w:rPr>
                <w:rFonts w:hint="eastAsia" w:ascii="宋体" w:hAnsi="宋体"/>
                <w:szCs w:val="21"/>
              </w:rPr>
              <w:t>分</w:t>
            </w:r>
          </w:p>
        </w:tc>
      </w:tr>
      <w:tr w14:paraId="78463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4" w:type="dxa"/>
            <w:vMerge w:val="continue"/>
            <w:tcBorders>
              <w:right w:val="single" w:color="auto" w:sz="4" w:space="0"/>
            </w:tcBorders>
            <w:noWrap w:val="0"/>
            <w:vAlign w:val="center"/>
          </w:tcPr>
          <w:p w14:paraId="256A9C75">
            <w:pPr>
              <w:keepNext w:val="0"/>
              <w:keepLines w:val="0"/>
              <w:pageBreakBefore w:val="0"/>
              <w:kinsoku/>
              <w:wordWrap/>
              <w:overflowPunct/>
              <w:topLinePunct w:val="0"/>
              <w:autoSpaceDE w:val="0"/>
              <w:autoSpaceDN w:val="0"/>
              <w:bidi w:val="0"/>
              <w:adjustRightInd w:val="0"/>
              <w:spacing w:line="500" w:lineRule="exact"/>
              <w:textAlignment w:val="auto"/>
              <w:rPr>
                <w:rFonts w:ascii="宋体" w:hAnsi="宋体"/>
                <w:szCs w:val="21"/>
              </w:rPr>
            </w:pPr>
          </w:p>
        </w:tc>
        <w:tc>
          <w:tcPr>
            <w:tcW w:w="1995" w:type="dxa"/>
            <w:vMerge w:val="continue"/>
            <w:tcBorders>
              <w:left w:val="single" w:color="auto" w:sz="4" w:space="0"/>
              <w:right w:val="single" w:color="auto" w:sz="4" w:space="0"/>
            </w:tcBorders>
            <w:noWrap w:val="0"/>
            <w:vAlign w:val="center"/>
          </w:tcPr>
          <w:p w14:paraId="27C772C7">
            <w:pPr>
              <w:keepNext w:val="0"/>
              <w:keepLines w:val="0"/>
              <w:pageBreakBefore w:val="0"/>
              <w:kinsoku/>
              <w:wordWrap/>
              <w:overflowPunct/>
              <w:topLinePunct w:val="0"/>
              <w:bidi w:val="0"/>
              <w:spacing w:line="500" w:lineRule="exact"/>
              <w:textAlignment w:val="auto"/>
              <w:rPr>
                <w:rFonts w:ascii="宋体" w:hAnsi="宋体"/>
                <w:szCs w:val="21"/>
              </w:rPr>
            </w:pPr>
          </w:p>
        </w:tc>
        <w:tc>
          <w:tcPr>
            <w:tcW w:w="6062" w:type="dxa"/>
            <w:tcBorders>
              <w:top w:val="single" w:color="auto" w:sz="4" w:space="0"/>
              <w:left w:val="single" w:color="auto" w:sz="4" w:space="0"/>
              <w:bottom w:val="single" w:color="auto" w:sz="4" w:space="0"/>
              <w:right w:val="single" w:color="auto" w:sz="4" w:space="0"/>
            </w:tcBorders>
            <w:noWrap w:val="0"/>
            <w:vAlign w:val="center"/>
          </w:tcPr>
          <w:p w14:paraId="5977F5D4">
            <w:pPr>
              <w:keepNext w:val="0"/>
              <w:keepLines w:val="0"/>
              <w:pageBreakBefore w:val="0"/>
              <w:widowControl/>
              <w:kinsoku/>
              <w:wordWrap/>
              <w:overflowPunct/>
              <w:topLinePunct w:val="0"/>
              <w:autoSpaceDE/>
              <w:autoSpaceDN/>
              <w:bidi w:val="0"/>
              <w:adjustRightInd w:val="0"/>
              <w:snapToGrid w:val="0"/>
              <w:spacing w:line="500" w:lineRule="exact"/>
              <w:textAlignment w:val="auto"/>
              <w:rPr>
                <w:color w:val="auto"/>
                <w:highlight w:val="none"/>
              </w:rPr>
            </w:pPr>
            <w:r>
              <w:rPr>
                <w:rFonts w:hint="eastAsia"/>
                <w:color w:val="auto"/>
                <w:highlight w:val="none"/>
              </w:rPr>
              <w:t>供应商近自</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1</w:t>
            </w:r>
            <w:r>
              <w:rPr>
                <w:rFonts w:hint="eastAsia"/>
                <w:color w:val="auto"/>
                <w:highlight w:val="none"/>
              </w:rPr>
              <w:t>月1日以来，承担过</w:t>
            </w:r>
            <w:r>
              <w:rPr>
                <w:rFonts w:hint="eastAsia"/>
                <w:color w:val="auto"/>
                <w:highlight w:val="none"/>
                <w:lang w:val="en-US" w:eastAsia="zh-CN"/>
              </w:rPr>
              <w:t>水域状况保护监测、</w:t>
            </w:r>
            <w:r>
              <w:rPr>
                <w:rFonts w:hint="eastAsia"/>
                <w:color w:val="auto"/>
                <w:highlight w:val="none"/>
              </w:rPr>
              <w:t>生态河湖评估</w:t>
            </w:r>
            <w:r>
              <w:rPr>
                <w:rFonts w:hint="eastAsia"/>
                <w:color w:val="auto"/>
                <w:highlight w:val="none"/>
                <w:lang w:eastAsia="zh-CN"/>
              </w:rPr>
              <w:t>、</w:t>
            </w:r>
            <w:r>
              <w:rPr>
                <w:rFonts w:hint="eastAsia" w:ascii="宋体" w:hAnsi="宋体"/>
                <w:szCs w:val="21"/>
              </w:rPr>
              <w:t>一河（城）一策编制</w:t>
            </w:r>
            <w:r>
              <w:rPr>
                <w:rFonts w:hint="eastAsia" w:ascii="宋体" w:hAnsi="宋体"/>
                <w:szCs w:val="21"/>
                <w:lang w:val="en-US" w:eastAsia="zh-CN"/>
              </w:rPr>
              <w:t>、幸福河湖创建、水资源规范管理等相关业绩的，有一个</w:t>
            </w:r>
            <w:r>
              <w:rPr>
                <w:rFonts w:hint="eastAsia"/>
                <w:color w:val="auto"/>
                <w:highlight w:val="none"/>
              </w:rPr>
              <w:t>得</w:t>
            </w:r>
            <w:r>
              <w:rPr>
                <w:rFonts w:hint="eastAsia"/>
                <w:color w:val="auto"/>
                <w:highlight w:val="none"/>
                <w:lang w:val="en-US" w:eastAsia="zh-CN"/>
              </w:rPr>
              <w:t>2</w:t>
            </w:r>
            <w:r>
              <w:rPr>
                <w:rFonts w:hint="eastAsia"/>
                <w:color w:val="auto"/>
                <w:highlight w:val="none"/>
              </w:rPr>
              <w:t>分，最高得1</w:t>
            </w:r>
            <w:r>
              <w:rPr>
                <w:rFonts w:hint="eastAsia"/>
                <w:color w:val="auto"/>
                <w:highlight w:val="none"/>
                <w:lang w:val="en-US"/>
              </w:rPr>
              <w:t>0</w:t>
            </w:r>
            <w:r>
              <w:rPr>
                <w:rFonts w:hint="eastAsia"/>
                <w:color w:val="auto"/>
                <w:highlight w:val="none"/>
              </w:rPr>
              <w:t>分；</w:t>
            </w:r>
          </w:p>
          <w:p w14:paraId="4A8BB4F8">
            <w:pPr>
              <w:keepNext w:val="0"/>
              <w:keepLines w:val="0"/>
              <w:pageBreakBefore w:val="0"/>
              <w:kinsoku/>
              <w:wordWrap/>
              <w:overflowPunct/>
              <w:topLinePunct w:val="0"/>
              <w:autoSpaceDE/>
              <w:autoSpaceDN/>
              <w:bidi w:val="0"/>
              <w:spacing w:line="500" w:lineRule="exact"/>
              <w:textAlignment w:val="auto"/>
              <w:rPr>
                <w:rFonts w:hint="eastAsia" w:cs="宋体"/>
              </w:rPr>
            </w:pPr>
            <w:r>
              <w:rPr>
                <w:rFonts w:hint="eastAsia"/>
                <w:color w:val="auto"/>
                <w:highlight w:val="none"/>
              </w:rPr>
              <w:t>（以上业绩须提供合同复印件加盖</w:t>
            </w:r>
            <w:r>
              <w:rPr>
                <w:rFonts w:hint="eastAsia"/>
                <w:color w:val="auto"/>
                <w:highlight w:val="none"/>
                <w:lang w:eastAsia="zh-CN"/>
              </w:rPr>
              <w:t>投标单位</w:t>
            </w:r>
            <w:r>
              <w:rPr>
                <w:rFonts w:hint="eastAsia"/>
                <w:color w:val="auto"/>
                <w:highlight w:val="none"/>
              </w:rPr>
              <w:t>公章，时间以合同为准，</w:t>
            </w:r>
            <w:r>
              <w:rPr>
                <w:rFonts w:hint="eastAsia"/>
                <w:color w:val="auto"/>
                <w:highlight w:val="none"/>
                <w:lang w:val="en-US" w:eastAsia="zh-CN"/>
              </w:rPr>
              <w:t>合同必须能反映相关内容</w:t>
            </w:r>
            <w:r>
              <w:rPr>
                <w:rFonts w:hint="eastAsia"/>
                <w:color w:val="auto"/>
                <w:highlight w:val="none"/>
              </w:rPr>
              <w:t>）</w:t>
            </w:r>
          </w:p>
        </w:tc>
        <w:tc>
          <w:tcPr>
            <w:tcW w:w="810" w:type="dxa"/>
            <w:tcBorders>
              <w:top w:val="single" w:color="auto" w:sz="4" w:space="0"/>
              <w:left w:val="single" w:color="auto" w:sz="4" w:space="0"/>
              <w:bottom w:val="single" w:color="auto" w:sz="4" w:space="0"/>
            </w:tcBorders>
            <w:noWrap w:val="0"/>
            <w:vAlign w:val="center"/>
          </w:tcPr>
          <w:p w14:paraId="49BCBB0D">
            <w:pPr>
              <w:keepNext w:val="0"/>
              <w:keepLines w:val="0"/>
              <w:pageBreakBefore w:val="0"/>
              <w:kinsoku/>
              <w:wordWrap/>
              <w:overflowPunct/>
              <w:topLinePunct w:val="0"/>
              <w:bidi w:val="0"/>
              <w:spacing w:line="500" w:lineRule="exact"/>
              <w:jc w:val="center"/>
              <w:textAlignment w:val="auto"/>
              <w:rPr>
                <w:rFonts w:hint="eastAsia" w:ascii="宋体" w:hAnsi="宋体"/>
                <w:szCs w:val="21"/>
              </w:rPr>
            </w:pPr>
            <w:r>
              <w:rPr>
                <w:rFonts w:hint="eastAsia" w:ascii="宋体" w:hAnsi="宋体"/>
                <w:szCs w:val="21"/>
              </w:rPr>
              <w:t>10分</w:t>
            </w:r>
          </w:p>
        </w:tc>
      </w:tr>
    </w:tbl>
    <w:p w14:paraId="1E2D6CB9">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备注：商务技术分不满</w:t>
      </w:r>
      <w:r>
        <w:rPr>
          <w:rFonts w:hint="eastAsia" w:ascii="宋体" w:hAnsi="宋体" w:cs="宋体"/>
          <w:color w:val="auto"/>
          <w:sz w:val="28"/>
          <w:szCs w:val="28"/>
          <w:highlight w:val="none"/>
          <w:lang w:val="en-US" w:eastAsia="zh-CN"/>
        </w:rPr>
        <w:t>35</w:t>
      </w:r>
      <w:r>
        <w:rPr>
          <w:rFonts w:hint="eastAsia" w:ascii="宋体" w:hAnsi="宋体" w:eastAsia="宋体" w:cs="宋体"/>
          <w:color w:val="auto"/>
          <w:sz w:val="28"/>
          <w:szCs w:val="28"/>
          <w:highlight w:val="none"/>
        </w:rPr>
        <w:t>分的，作无效投标文件处理。</w:t>
      </w:r>
    </w:p>
    <w:p w14:paraId="2FE377A6">
      <w:pPr>
        <w:keepNext w:val="0"/>
        <w:keepLines w:val="0"/>
        <w:pageBreakBefore w:val="0"/>
        <w:widowControl w:val="0"/>
        <w:kinsoku/>
        <w:wordWrap/>
        <w:overflowPunct/>
        <w:topLinePunct w:val="0"/>
        <w:autoSpaceDE w:val="0"/>
        <w:autoSpaceDN w:val="0"/>
        <w:bidi w:val="0"/>
        <w:adjustRightInd w:val="0"/>
        <w:snapToGrid w:val="0"/>
        <w:spacing w:line="500" w:lineRule="exact"/>
        <w:ind w:firstLine="56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（四）</w:t>
      </w:r>
      <w:r>
        <w:rPr>
          <w:rFonts w:hint="eastAsia" w:ascii="宋体" w:hAnsi="宋体" w:eastAsia="宋体" w:cs="宋体"/>
          <w:b/>
          <w:color w:val="auto"/>
          <w:sz w:val="28"/>
          <w:szCs w:val="28"/>
          <w:highlight w:val="none"/>
          <w:lang w:val="zh-CN"/>
        </w:rPr>
        <w:t>价格分：</w:t>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zh-CN"/>
        </w:rPr>
        <w:t>0分</w:t>
      </w:r>
    </w:p>
    <w:p w14:paraId="66EDAA5F">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价格分统一采用低价优先法计算，即满足招标文件要求且投标价格最低的投标报价为评标基准价，其价格分为满分。其他投标人的价格分统一按照下列公式计算：</w:t>
      </w:r>
    </w:p>
    <w:p w14:paraId="50549BE4">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投标报价得分=（评标基准价/投标报价）×价格权值×100</w:t>
      </w:r>
    </w:p>
    <w:p w14:paraId="0ED9E4C0">
      <w:pPr>
        <w:pStyle w:val="67"/>
        <w:keepNext w:val="0"/>
        <w:keepLines w:val="0"/>
        <w:pageBreakBefore w:val="0"/>
        <w:widowControl w:val="0"/>
        <w:kinsoku/>
        <w:wordWrap/>
        <w:overflowPunct/>
        <w:topLinePunct w:val="0"/>
        <w:bidi w:val="0"/>
        <w:adjustRightInd w:val="0"/>
        <w:snapToGrid w:val="0"/>
        <w:spacing w:before="0" w:after="0" w:line="500" w:lineRule="exact"/>
        <w:ind w:left="0" w:right="0" w:firstLine="562" w:firstLineChars="200"/>
        <w:jc w:val="both"/>
        <w:rPr>
          <w:rFonts w:hint="eastAsia" w:ascii="宋体" w:hAnsi="宋体" w:eastAsia="宋体" w:cs="宋体"/>
          <w:b/>
          <w:bCs/>
          <w:color w:val="auto"/>
          <w:kern w:val="2"/>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bCs/>
          <w:color w:val="auto"/>
          <w:kern w:val="2"/>
          <w:sz w:val="28"/>
          <w:szCs w:val="28"/>
          <w:highlight w:val="none"/>
        </w:rPr>
        <w:t>五</w:t>
      </w:r>
      <w:r>
        <w:rPr>
          <w:rFonts w:hint="eastAsia" w:ascii="宋体" w:hAnsi="宋体" w:eastAsia="宋体" w:cs="宋体"/>
          <w:b/>
          <w:color w:val="auto"/>
          <w:sz w:val="28"/>
          <w:szCs w:val="28"/>
          <w:highlight w:val="none"/>
        </w:rPr>
        <w:t>）</w:t>
      </w:r>
      <w:r>
        <w:rPr>
          <w:rFonts w:hint="eastAsia" w:ascii="宋体" w:hAnsi="宋体" w:eastAsia="宋体" w:cs="宋体"/>
          <w:b/>
          <w:bCs/>
          <w:color w:val="auto"/>
          <w:kern w:val="2"/>
          <w:sz w:val="28"/>
          <w:szCs w:val="28"/>
          <w:highlight w:val="none"/>
        </w:rPr>
        <w:t>政府采购政策功能落实</w:t>
      </w:r>
    </w:p>
    <w:p w14:paraId="11B02847">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小微型企业价格扣除</w:t>
      </w:r>
    </w:p>
    <w:p w14:paraId="0796C828">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（1）本项目对小型和微型企业产品给予10%的扣除价格，用扣除后的价格参与评审。</w:t>
      </w:r>
    </w:p>
    <w:p w14:paraId="7FBE543C">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（2）供应商需按照《政府采购促进中小企业发展管理办法》（财库﹝2020﹞46 号）的规定提供相应的《中小企业声明函》。</w:t>
      </w:r>
    </w:p>
    <w:p w14:paraId="07C58343">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（3）企业标准请参照《关于印发中小企业划型标准规定的通知》（工信部联企业</w:t>
      </w:r>
      <w:r>
        <w:rPr>
          <w:rFonts w:hint="eastAsia" w:ascii="宋体" w:hAnsi="宋体" w:eastAsia="宋体" w:cs="宋体"/>
          <w:bCs/>
          <w:color w:val="auto"/>
          <w:sz w:val="28"/>
          <w:szCs w:val="28"/>
          <w:highlight w:val="none"/>
          <w:lang w:eastAsia="zh-CN"/>
        </w:rPr>
        <w:t>〔2011〕300号</w:t>
      </w:r>
      <w:r>
        <w:rPr>
          <w:rFonts w:hint="eastAsia" w:ascii="宋体" w:hAnsi="宋体" w:eastAsia="宋体" w:cs="宋体"/>
          <w:bCs/>
          <w:color w:val="auto"/>
          <w:sz w:val="28"/>
          <w:szCs w:val="28"/>
          <w:highlight w:val="none"/>
        </w:rPr>
        <w:t>）文件规定自行填写。</w:t>
      </w:r>
    </w:p>
    <w:p w14:paraId="0B3DD965">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残疾人福利单位价格扣除</w:t>
      </w:r>
    </w:p>
    <w:p w14:paraId="090E2180">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（1）本项目对残疾人福利性单位，给予10%的价格扣除，用扣除后的价格参与评审。</w:t>
      </w:r>
    </w:p>
    <w:p w14:paraId="6B760FC4">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（2）残疾人福利单位需按照采购文件的要求提供《残疾人福利性单位声明函》。</w:t>
      </w:r>
    </w:p>
    <w:p w14:paraId="7DEA4778">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（3）残疾人福利单位标准请参照《关于促进残疾人就业政府采购政策的通知》（财库〔2017〕141号）。</w:t>
      </w:r>
    </w:p>
    <w:p w14:paraId="5529ED42">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监狱和戒毒企业价格扣除</w:t>
      </w:r>
    </w:p>
    <w:p w14:paraId="01EBEBB4">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（1）本项目对监狱和戒毒企业（简称监狱企业）给予10%的价格扣除，用扣除后的价格参与评审。</w:t>
      </w:r>
    </w:p>
    <w:p w14:paraId="2920CB96">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14:paraId="4FD7F3A6">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（3）监狱企业标准请参照《关于政府采购支持监狱企业发展有关问题的通知》（财库</w:t>
      </w:r>
      <w:r>
        <w:rPr>
          <w:rFonts w:hint="eastAsia" w:ascii="宋体" w:hAnsi="宋体" w:eastAsia="宋体" w:cs="宋体"/>
          <w:bCs/>
          <w:color w:val="auto"/>
          <w:sz w:val="28"/>
          <w:szCs w:val="28"/>
          <w:highlight w:val="none"/>
          <w:lang w:eastAsia="zh-CN"/>
        </w:rPr>
        <w:t>〔2014〕68号</w:t>
      </w:r>
      <w:r>
        <w:rPr>
          <w:rFonts w:hint="eastAsia" w:ascii="宋体" w:hAnsi="宋体" w:eastAsia="宋体" w:cs="宋体"/>
          <w:bCs/>
          <w:color w:val="auto"/>
          <w:sz w:val="28"/>
          <w:szCs w:val="28"/>
          <w:highlight w:val="none"/>
        </w:rPr>
        <w:t>）。</w:t>
      </w:r>
    </w:p>
    <w:p w14:paraId="358E9118">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残疾人福利单位、监狱企业属于小型、微型企业的，不重复享受政策。</w:t>
      </w:r>
    </w:p>
    <w:p w14:paraId="7D69EE3E">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56878152">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联合体各方均为小型、微型企业（残疾人福利单位、监狱企业）的，联合体享受上述同类价格扣除，用扣除后的价格参与评审。</w:t>
      </w:r>
    </w:p>
    <w:p w14:paraId="36C1C87B">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专门面向中小企业采购的项目或者采购包，不再执行价格评审优惠的扶持政策。</w:t>
      </w:r>
    </w:p>
    <w:p w14:paraId="42595DFA">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8</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根据《江苏省政府采购信用管理暂行办法》的规定，供应商信用评价结果为三星的扣2分，评价结果为二星的扣3分，评价结果为一星的扣4分。</w:t>
      </w:r>
    </w:p>
    <w:p w14:paraId="338374F3">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（六）中标人的确定</w:t>
      </w:r>
    </w:p>
    <w:p w14:paraId="3254FEDD">
      <w:pPr>
        <w:keepNext w:val="0"/>
        <w:keepLines w:val="0"/>
        <w:pageBreakBefore w:val="0"/>
        <w:widowControl w:val="0"/>
        <w:kinsoku/>
        <w:wordWrap/>
        <w:overflowPunct/>
        <w:topLinePunct w:val="0"/>
        <w:bidi w:val="0"/>
        <w:adjustRightInd w:val="0"/>
        <w:snapToGrid w:val="0"/>
        <w:spacing w:line="500" w:lineRule="exact"/>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评委会汇总各评委评分后，综合评审得分最高的投标人为中标候选人，若总得分者有相同时，则投标报价低者排名优先，均相同时则通过抽签方式随机确定排名顺序。</w:t>
      </w:r>
    </w:p>
    <w:p w14:paraId="15D05B37">
      <w:pPr>
        <w:adjustRightInd w:val="0"/>
        <w:snapToGrid w:val="0"/>
        <w:spacing w:line="500" w:lineRule="exact"/>
        <w:ind w:firstLine="554" w:firstLineChars="198"/>
        <w:rPr>
          <w:rFonts w:hint="eastAsia" w:ascii="宋体" w:hAnsi="宋体" w:eastAsia="宋体" w:cs="宋体"/>
          <w:sz w:val="28"/>
          <w:szCs w:val="28"/>
          <w:lang w:eastAsia="zh-CN"/>
        </w:rPr>
      </w:pPr>
      <w:r>
        <w:rPr>
          <w:rFonts w:hint="eastAsia" w:ascii="宋体" w:hAnsi="宋体" w:eastAsia="宋体" w:cs="宋体"/>
          <w:sz w:val="28"/>
          <w:szCs w:val="28"/>
        </w:rPr>
        <w:t>本项目选取1名中标候选人，并编写评标报告。采购人应根据评委会推荐的中标候选人确定中标人。中标通知书发出后，中标供应商无正当理由不得放弃中标。</w:t>
      </w:r>
      <w:r>
        <w:rPr>
          <w:rFonts w:hint="eastAsia" w:ascii="宋体" w:hAnsi="宋体" w:eastAsia="宋体" w:cs="宋体"/>
          <w:sz w:val="28"/>
          <w:szCs w:val="28"/>
          <w:lang w:eastAsia="zh-CN"/>
        </w:rPr>
        <w:t>中标供应商拒绝与采购人签订合同的，采购人依法重新开展政府采购活动。</w:t>
      </w:r>
    </w:p>
    <w:p w14:paraId="7A3F7B0E">
      <w:pPr>
        <w:adjustRightInd w:val="0"/>
        <w:snapToGrid w:val="0"/>
        <w:spacing w:line="500" w:lineRule="exact"/>
        <w:ind w:firstLine="557" w:firstLineChars="1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（七）采购人代表宣布评标结果。</w:t>
      </w:r>
    </w:p>
    <w:p w14:paraId="7060B8C7">
      <w:pPr>
        <w:adjustRightInd w:val="0"/>
        <w:snapToGrid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（八）公告中标结果</w:t>
      </w:r>
    </w:p>
    <w:p w14:paraId="499D8B53">
      <w:pPr>
        <w:adjustRightInd w:val="0"/>
        <w:snapToGrid w:val="0"/>
        <w:spacing w:line="500" w:lineRule="exact"/>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自确定中标人之日起2个工作日内，在</w:t>
      </w:r>
      <w:r>
        <w:rPr>
          <w:rFonts w:hint="eastAsia" w:ascii="宋体" w:hAnsi="宋体" w:eastAsia="宋体" w:cs="宋体"/>
          <w:color w:val="auto"/>
          <w:sz w:val="28"/>
          <w:szCs w:val="28"/>
          <w:highlight w:val="none"/>
          <w:lang w:eastAsia="zh-CN"/>
        </w:rPr>
        <w:t>启东市人民政府网</w:t>
      </w:r>
      <w:r>
        <w:rPr>
          <w:rFonts w:hint="eastAsia" w:ascii="宋体" w:hAnsi="宋体" w:eastAsia="宋体" w:cs="宋体"/>
          <w:color w:val="auto"/>
          <w:sz w:val="28"/>
          <w:szCs w:val="28"/>
          <w:highlight w:val="none"/>
        </w:rPr>
        <w:t>公告中标结果，公告期限为1个工作日。</w:t>
      </w:r>
    </w:p>
    <w:p w14:paraId="3BF6D1AF">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九</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发放中标通知书</w:t>
      </w:r>
    </w:p>
    <w:p w14:paraId="06D6FAF3">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公告中标结果的同时，采购人</w:t>
      </w:r>
      <w:r>
        <w:rPr>
          <w:rFonts w:hint="eastAsia" w:ascii="宋体" w:hAnsi="宋体" w:eastAsia="宋体" w:cs="宋体"/>
          <w:bCs/>
          <w:color w:val="auto"/>
          <w:sz w:val="28"/>
          <w:szCs w:val="28"/>
          <w:highlight w:val="none"/>
        </w:rPr>
        <w:t>向中标供应商发放中标通知书。</w:t>
      </w:r>
    </w:p>
    <w:p w14:paraId="0065DDA0">
      <w:pPr>
        <w:adjustRightInd w:val="0"/>
        <w:snapToGrid w:val="0"/>
        <w:spacing w:line="500" w:lineRule="exact"/>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中标通知书发出后，采购人不得违法改变中标结果，中标供应商无正当理由不得放弃中标。</w:t>
      </w:r>
    </w:p>
    <w:p w14:paraId="5EF3F015">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Cs/>
          <w:color w:val="auto"/>
          <w:sz w:val="36"/>
          <w:szCs w:val="36"/>
          <w:highlight w:val="none"/>
        </w:rPr>
        <w:t>第五部分  投标文件组成</w:t>
      </w:r>
    </w:p>
    <w:p w14:paraId="4F4E2EDF">
      <w:pPr>
        <w:adjustRightInd w:val="0"/>
        <w:snapToGrid w:val="0"/>
        <w:spacing w:line="500" w:lineRule="exact"/>
        <w:ind w:firstLine="555"/>
        <w:jc w:val="left"/>
        <w:rPr>
          <w:rFonts w:ascii="宋体" w:hAnsi="宋体" w:cs="宋体"/>
          <w:b/>
          <w:color w:val="auto"/>
          <w:sz w:val="28"/>
          <w:szCs w:val="28"/>
          <w:highlight w:val="none"/>
        </w:rPr>
      </w:pPr>
      <w:r>
        <w:rPr>
          <w:rFonts w:hint="eastAsia" w:ascii="宋体" w:hAnsi="宋体" w:cs="宋体"/>
          <w:b/>
          <w:color w:val="auto"/>
          <w:sz w:val="28"/>
          <w:szCs w:val="28"/>
          <w:highlight w:val="none"/>
        </w:rPr>
        <w:t>投标文件由资格审查证明材料、商务技术标、价格标、三部分组成。</w:t>
      </w:r>
      <w:r>
        <w:rPr>
          <w:rFonts w:hint="eastAsia" w:ascii="宋体" w:hAnsi="宋体" w:cs="宋体"/>
          <w:b/>
          <w:bCs/>
          <w:color w:val="auto"/>
          <w:kern w:val="0"/>
          <w:sz w:val="28"/>
          <w:szCs w:val="28"/>
          <w:highlight w:val="none"/>
          <w:lang w:val="zh-CN"/>
        </w:rPr>
        <w:t>请投标人根据本招标文件的要求在以上</w:t>
      </w:r>
      <w:r>
        <w:rPr>
          <w:rFonts w:hint="eastAsia" w:ascii="宋体" w:hAnsi="宋体" w:cs="宋体"/>
          <w:b/>
          <w:color w:val="auto"/>
          <w:sz w:val="28"/>
          <w:szCs w:val="28"/>
          <w:highlight w:val="none"/>
        </w:rPr>
        <w:t>三部分中</w:t>
      </w:r>
      <w:r>
        <w:rPr>
          <w:rFonts w:hint="eastAsia" w:ascii="宋体" w:hAnsi="宋体" w:cs="宋体"/>
          <w:b/>
          <w:bCs/>
          <w:color w:val="auto"/>
          <w:kern w:val="0"/>
          <w:sz w:val="28"/>
          <w:szCs w:val="28"/>
          <w:highlight w:val="none"/>
          <w:lang w:val="zh-CN"/>
        </w:rPr>
        <w:t>分别上传响应的投标材料。</w:t>
      </w:r>
    </w:p>
    <w:p w14:paraId="0568EFB1">
      <w:pPr>
        <w:adjustRightInd w:val="0"/>
        <w:snapToGrid w:val="0"/>
        <w:spacing w:line="500" w:lineRule="exac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一、资格审查证明材料（不能出现商务技术标、价格标）</w:t>
      </w:r>
    </w:p>
    <w:p w14:paraId="3E5A1CE0">
      <w:pPr>
        <w:adjustRightInd w:val="0"/>
        <w:snapToGrid w:val="0"/>
        <w:spacing w:line="500" w:lineRule="exact"/>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投标人符合《中华人民共和国政府采购法》第二十二条规定条件的声明函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2F88CD1B">
      <w:pPr>
        <w:adjustRightInd w:val="0"/>
        <w:snapToGrid w:val="0"/>
        <w:spacing w:line="500" w:lineRule="exact"/>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2.法定代表人身份证明书（格式见附件2）及法人或者其他组织的</w:t>
      </w:r>
      <w:r>
        <w:rPr>
          <w:rFonts w:hint="eastAsia" w:ascii="宋体" w:hAnsi="宋体" w:eastAsia="宋体" w:cs="宋体"/>
          <w:b/>
          <w:bCs/>
          <w:color w:val="auto"/>
          <w:kern w:val="0"/>
          <w:sz w:val="28"/>
          <w:szCs w:val="28"/>
          <w:highlight w:val="none"/>
          <w:lang w:val="zh-CN"/>
        </w:rPr>
        <w:t>营业执照</w:t>
      </w:r>
      <w:r>
        <w:rPr>
          <w:rFonts w:hint="eastAsia" w:ascii="宋体" w:hAnsi="宋体" w:eastAsia="宋体" w:cs="宋体"/>
          <w:color w:val="auto"/>
          <w:kern w:val="0"/>
          <w:sz w:val="28"/>
          <w:szCs w:val="28"/>
          <w:highlight w:val="none"/>
          <w:lang w:val="zh-CN"/>
        </w:rPr>
        <w:t>等证明文件，自然人参加的提供身份证明；</w:t>
      </w:r>
    </w:p>
    <w:p w14:paraId="55D6B1C1">
      <w:pPr>
        <w:adjustRightInd w:val="0"/>
        <w:snapToGrid w:val="0"/>
        <w:spacing w:line="500" w:lineRule="exact"/>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3.法定代表人授权委托书原件（格式见附件3，法定代表人参加的，无需提供授权委托书），投标代表本人身份证复印件；</w:t>
      </w:r>
    </w:p>
    <w:p w14:paraId="1889F5D2">
      <w:pPr>
        <w:adjustRightInd w:val="0"/>
        <w:snapToGrid w:val="0"/>
        <w:spacing w:line="500" w:lineRule="exact"/>
        <w:rPr>
          <w:rFonts w:hint="eastAsia" w:ascii="宋体" w:hAnsi="宋体" w:eastAsia="宋体" w:cs="宋体"/>
          <w:color w:val="auto"/>
          <w:kern w:val="0"/>
          <w:sz w:val="28"/>
          <w:szCs w:val="28"/>
          <w:highlight w:val="none"/>
          <w:lang w:val="zh-CN"/>
        </w:rPr>
      </w:pPr>
      <w:r>
        <w:rPr>
          <w:rFonts w:hint="eastAsia" w:ascii="宋体" w:hAnsi="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val="zh-CN"/>
        </w:rPr>
        <w:t>.投标函（格式见附件</w:t>
      </w:r>
      <w:r>
        <w:rPr>
          <w:rFonts w:hint="eastAsia" w:ascii="宋体" w:hAnsi="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val="zh-CN"/>
        </w:rPr>
        <w:t>）；</w:t>
      </w:r>
    </w:p>
    <w:p w14:paraId="1D5147BD">
      <w:pPr>
        <w:adjustRightInd w:val="0"/>
        <w:snapToGrid w:val="0"/>
        <w:spacing w:line="500" w:lineRule="exact"/>
        <w:rPr>
          <w:rFonts w:hint="eastAsia" w:ascii="宋体" w:hAnsi="宋体" w:eastAsia="宋体" w:cs="宋体"/>
          <w:color w:val="auto"/>
          <w:kern w:val="0"/>
          <w:sz w:val="28"/>
          <w:szCs w:val="28"/>
          <w:highlight w:val="none"/>
          <w:lang w:val="zh-CN" w:eastAsia="zh-CN"/>
        </w:rPr>
      </w:pPr>
      <w:r>
        <w:rPr>
          <w:rFonts w:hint="eastAsia" w:ascii="宋体" w:hAnsi="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zh-CN"/>
        </w:rPr>
        <w:t>.中小企业声明函（</w:t>
      </w:r>
      <w:r>
        <w:rPr>
          <w:rFonts w:hint="eastAsia" w:ascii="宋体" w:hAnsi="宋体" w:eastAsia="宋体" w:cs="宋体"/>
          <w:color w:val="auto"/>
          <w:kern w:val="0"/>
          <w:sz w:val="28"/>
          <w:szCs w:val="28"/>
          <w:highlight w:val="none"/>
        </w:rPr>
        <w:t>格式见附件</w:t>
      </w:r>
      <w:r>
        <w:rPr>
          <w:rFonts w:hint="eastAsia" w:ascii="宋体" w:hAnsi="宋体" w:cs="宋体"/>
          <w:color w:val="auto"/>
          <w:kern w:val="0"/>
          <w:sz w:val="28"/>
          <w:szCs w:val="28"/>
          <w:highlight w:val="none"/>
          <w:lang w:val="en-US" w:eastAsia="zh-CN"/>
        </w:rPr>
        <w:t>8</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w:t>
      </w:r>
    </w:p>
    <w:p w14:paraId="31C7542E">
      <w:pPr>
        <w:adjustRightInd w:val="0"/>
        <w:snapToGrid w:val="0"/>
        <w:spacing w:line="500" w:lineRule="exac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rPr>
        <w:t>残疾人福利性单位声明函（格式见附件</w:t>
      </w:r>
      <w:r>
        <w:rPr>
          <w:rFonts w:hint="eastAsia" w:ascii="宋体" w:hAnsi="宋体" w:cs="宋体"/>
          <w:color w:val="auto"/>
          <w:kern w:val="0"/>
          <w:sz w:val="28"/>
          <w:szCs w:val="28"/>
          <w:highlight w:val="none"/>
          <w:lang w:val="en-US" w:eastAsia="zh-CN"/>
        </w:rPr>
        <w:t>9</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w:t>
      </w:r>
    </w:p>
    <w:p w14:paraId="11A1D0AE">
      <w:pPr>
        <w:adjustRightInd w:val="0"/>
        <w:snapToGrid w:val="0"/>
        <w:spacing w:line="500" w:lineRule="exact"/>
        <w:rPr>
          <w:rFonts w:hint="eastAsia" w:ascii="宋体" w:hAnsi="宋体" w:eastAsia="宋体" w:cs="宋体"/>
          <w:color w:val="auto"/>
          <w:kern w:val="0"/>
          <w:sz w:val="28"/>
          <w:szCs w:val="28"/>
          <w:highlight w:val="none"/>
          <w:lang w:val="zh-CN" w:eastAsia="zh-CN"/>
        </w:rPr>
      </w:pPr>
      <w:r>
        <w:rPr>
          <w:rFonts w:hint="eastAsia" w:ascii="宋体" w:hAnsi="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rPr>
        <w:t>.</w:t>
      </w:r>
      <w:r>
        <w:rPr>
          <w:rFonts w:hint="eastAsia" w:ascii="宋体" w:hAnsi="宋体" w:eastAsia="宋体" w:cs="宋体"/>
          <w:bCs/>
          <w:color w:val="auto"/>
          <w:kern w:val="0"/>
          <w:sz w:val="28"/>
          <w:szCs w:val="28"/>
          <w:highlight w:val="none"/>
        </w:rPr>
        <w:t>监狱和戒毒企业证明材料（格式见附件</w:t>
      </w:r>
      <w:r>
        <w:rPr>
          <w:rFonts w:hint="eastAsia" w:ascii="宋体" w:hAnsi="宋体" w:eastAsia="宋体" w:cs="宋体"/>
          <w:bCs/>
          <w:color w:val="auto"/>
          <w:kern w:val="0"/>
          <w:sz w:val="28"/>
          <w:szCs w:val="28"/>
          <w:highlight w:val="none"/>
          <w:lang w:val="en-US" w:eastAsia="zh-CN"/>
        </w:rPr>
        <w:t>1</w:t>
      </w:r>
      <w:r>
        <w:rPr>
          <w:rFonts w:hint="eastAsia" w:ascii="宋体" w:hAnsi="宋体" w:cs="宋体"/>
          <w:bCs/>
          <w:color w:val="auto"/>
          <w:kern w:val="0"/>
          <w:sz w:val="28"/>
          <w:szCs w:val="28"/>
          <w:highlight w:val="none"/>
          <w:lang w:val="en-US" w:eastAsia="zh-CN"/>
        </w:rPr>
        <w:t>0</w:t>
      </w:r>
      <w:r>
        <w:rPr>
          <w:rFonts w:hint="eastAsia" w:ascii="宋体" w:hAnsi="宋体" w:eastAsia="宋体" w:cs="宋体"/>
          <w:bCs/>
          <w:color w:val="auto"/>
          <w:kern w:val="0"/>
          <w:sz w:val="28"/>
          <w:szCs w:val="28"/>
          <w:highlight w:val="none"/>
        </w:rPr>
        <w:t>）</w:t>
      </w:r>
      <w:r>
        <w:rPr>
          <w:rFonts w:hint="eastAsia" w:ascii="宋体" w:hAnsi="宋体" w:eastAsia="宋体" w:cs="宋体"/>
          <w:bCs/>
          <w:color w:val="auto"/>
          <w:kern w:val="0"/>
          <w:sz w:val="28"/>
          <w:szCs w:val="28"/>
          <w:highlight w:val="none"/>
          <w:lang w:eastAsia="zh-CN"/>
        </w:rPr>
        <w:t>。</w:t>
      </w:r>
    </w:p>
    <w:p w14:paraId="2E6B57C4">
      <w:pPr>
        <w:adjustRightInd w:val="0"/>
        <w:snapToGrid w:val="0"/>
        <w:spacing w:line="500" w:lineRule="exac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二、商务技术标（不能出现价格标）</w:t>
      </w:r>
    </w:p>
    <w:p w14:paraId="6712D085">
      <w:pPr>
        <w:adjustRightInd w:val="0"/>
        <w:snapToGrid w:val="0"/>
        <w:spacing w:line="500" w:lineRule="exact"/>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rPr>
        <w:t>1</w:t>
      </w:r>
      <w:r>
        <w:rPr>
          <w:rFonts w:hint="eastAsia" w:ascii="宋体" w:hAnsi="宋体" w:eastAsia="宋体" w:cs="宋体"/>
          <w:bCs/>
          <w:color w:val="auto"/>
          <w:kern w:val="0"/>
          <w:sz w:val="28"/>
          <w:szCs w:val="28"/>
          <w:highlight w:val="none"/>
          <w:lang w:val="zh-CN"/>
        </w:rPr>
        <w:t>.商务部分正负偏离表；（格式见附件</w:t>
      </w:r>
      <w:r>
        <w:rPr>
          <w:rFonts w:hint="eastAsia" w:ascii="宋体" w:hAnsi="宋体" w:cs="宋体"/>
          <w:bCs/>
          <w:color w:val="auto"/>
          <w:kern w:val="0"/>
          <w:sz w:val="28"/>
          <w:szCs w:val="28"/>
          <w:highlight w:val="none"/>
          <w:lang w:val="en-US" w:eastAsia="zh-CN"/>
        </w:rPr>
        <w:t>5</w:t>
      </w:r>
      <w:r>
        <w:rPr>
          <w:rFonts w:hint="eastAsia" w:ascii="宋体" w:hAnsi="宋体" w:eastAsia="宋体" w:cs="宋体"/>
          <w:bCs/>
          <w:color w:val="auto"/>
          <w:kern w:val="0"/>
          <w:sz w:val="28"/>
          <w:szCs w:val="28"/>
          <w:highlight w:val="none"/>
          <w:lang w:val="zh-CN"/>
        </w:rPr>
        <w:t>）</w:t>
      </w:r>
    </w:p>
    <w:p w14:paraId="57D661BF">
      <w:pPr>
        <w:adjustRightInd w:val="0"/>
        <w:snapToGrid w:val="0"/>
        <w:spacing w:line="500" w:lineRule="exact"/>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rPr>
        <w:t>2</w:t>
      </w:r>
      <w:r>
        <w:rPr>
          <w:rFonts w:hint="eastAsia" w:ascii="宋体" w:hAnsi="宋体" w:eastAsia="宋体" w:cs="宋体"/>
          <w:bCs/>
          <w:color w:val="auto"/>
          <w:kern w:val="0"/>
          <w:sz w:val="28"/>
          <w:szCs w:val="28"/>
          <w:highlight w:val="none"/>
          <w:lang w:val="zh-CN"/>
        </w:rPr>
        <w:t>.技术部分正负偏离表；（格式见附件</w:t>
      </w:r>
      <w:r>
        <w:rPr>
          <w:rFonts w:hint="eastAsia" w:ascii="宋体" w:hAnsi="宋体" w:cs="宋体"/>
          <w:bCs/>
          <w:color w:val="auto"/>
          <w:kern w:val="0"/>
          <w:sz w:val="28"/>
          <w:szCs w:val="28"/>
          <w:highlight w:val="none"/>
          <w:lang w:val="en-US" w:eastAsia="zh-CN"/>
        </w:rPr>
        <w:t>6</w:t>
      </w:r>
      <w:r>
        <w:rPr>
          <w:rFonts w:hint="eastAsia" w:ascii="宋体" w:hAnsi="宋体" w:eastAsia="宋体" w:cs="宋体"/>
          <w:bCs/>
          <w:color w:val="auto"/>
          <w:kern w:val="0"/>
          <w:sz w:val="28"/>
          <w:szCs w:val="28"/>
          <w:highlight w:val="none"/>
          <w:lang w:val="zh-CN"/>
        </w:rPr>
        <w:t>）</w:t>
      </w:r>
    </w:p>
    <w:p w14:paraId="5670B7A6">
      <w:pPr>
        <w:adjustRightInd w:val="0"/>
        <w:snapToGrid w:val="0"/>
        <w:spacing w:line="500" w:lineRule="exact"/>
        <w:rPr>
          <w:rFonts w:hint="eastAsia" w:ascii="宋体" w:hAnsi="宋体" w:eastAsia="宋体" w:cs="宋体"/>
          <w:b/>
          <w:bCs w:val="0"/>
          <w:color w:val="auto"/>
          <w:kern w:val="0"/>
          <w:sz w:val="28"/>
          <w:szCs w:val="28"/>
          <w:highlight w:val="none"/>
          <w:lang w:val="zh-CN"/>
        </w:rPr>
      </w:pPr>
      <w:r>
        <w:rPr>
          <w:rFonts w:hint="eastAsia" w:ascii="宋体" w:hAnsi="宋体" w:eastAsia="宋体" w:cs="宋体"/>
          <w:b/>
          <w:bCs w:val="0"/>
          <w:color w:val="auto"/>
          <w:kern w:val="0"/>
          <w:sz w:val="28"/>
          <w:szCs w:val="28"/>
          <w:highlight w:val="none"/>
          <w:lang w:val="zh-CN"/>
        </w:rPr>
        <w:t>填制正负偏离表，完全响应的，请以空白表列示。不完全响应的，</w:t>
      </w:r>
    </w:p>
    <w:p w14:paraId="3D423E49">
      <w:pPr>
        <w:adjustRightInd w:val="0"/>
        <w:snapToGrid w:val="0"/>
        <w:spacing w:line="500" w:lineRule="exact"/>
        <w:rPr>
          <w:rFonts w:hint="eastAsia" w:ascii="宋体" w:hAnsi="宋体" w:eastAsia="宋体" w:cs="宋体"/>
          <w:b/>
          <w:bCs w:val="0"/>
          <w:color w:val="auto"/>
          <w:kern w:val="0"/>
          <w:sz w:val="28"/>
          <w:szCs w:val="28"/>
          <w:highlight w:val="none"/>
          <w:lang w:val="zh-CN"/>
        </w:rPr>
      </w:pPr>
      <w:r>
        <w:rPr>
          <w:rFonts w:hint="eastAsia" w:ascii="宋体" w:hAnsi="宋体" w:eastAsia="宋体" w:cs="宋体"/>
          <w:b/>
          <w:bCs w:val="0"/>
          <w:color w:val="auto"/>
          <w:kern w:val="0"/>
          <w:sz w:val="28"/>
          <w:szCs w:val="28"/>
          <w:highlight w:val="none"/>
          <w:lang w:val="zh-CN"/>
        </w:rPr>
        <w:t>必须在偏离表中列示；列示不全的，视同故意隐瞒。</w:t>
      </w:r>
    </w:p>
    <w:p w14:paraId="4AFED5D8">
      <w:pPr>
        <w:adjustRightInd w:val="0"/>
        <w:snapToGrid w:val="0"/>
        <w:spacing w:line="500" w:lineRule="exact"/>
        <w:rPr>
          <w:rFonts w:hint="eastAsia" w:ascii="宋体" w:hAnsi="宋体" w:eastAsia="宋体" w:cs="宋体"/>
          <w:b w:val="0"/>
          <w:bCs/>
          <w:color w:val="auto"/>
          <w:kern w:val="0"/>
          <w:sz w:val="28"/>
          <w:szCs w:val="28"/>
          <w:highlight w:val="none"/>
          <w:lang w:val="en-US" w:eastAsia="zh-CN"/>
        </w:rPr>
      </w:pPr>
      <w:r>
        <w:rPr>
          <w:rFonts w:hint="eastAsia" w:ascii="宋体" w:hAnsi="宋体" w:cs="宋体"/>
          <w:b w:val="0"/>
          <w:bCs/>
          <w:color w:val="auto"/>
          <w:kern w:val="0"/>
          <w:sz w:val="28"/>
          <w:szCs w:val="28"/>
          <w:highlight w:val="none"/>
          <w:lang w:val="en-US" w:eastAsia="zh-CN"/>
        </w:rPr>
        <w:t>3.</w:t>
      </w:r>
      <w:r>
        <w:rPr>
          <w:rFonts w:hint="eastAsia" w:ascii="宋体" w:hAnsi="宋体" w:eastAsia="宋体" w:cs="宋体"/>
          <w:bCs/>
          <w:color w:val="auto"/>
          <w:kern w:val="0"/>
          <w:sz w:val="28"/>
          <w:szCs w:val="28"/>
          <w:highlight w:val="none"/>
          <w:lang w:val="zh-CN"/>
        </w:rPr>
        <w:t>商务技术评分标准中须提供的相关得分佐证材料</w:t>
      </w:r>
      <w:r>
        <w:rPr>
          <w:rFonts w:hint="eastAsia" w:ascii="宋体" w:hAnsi="宋体" w:cs="宋体"/>
          <w:b w:val="0"/>
          <w:bCs/>
          <w:color w:val="auto"/>
          <w:kern w:val="0"/>
          <w:sz w:val="28"/>
          <w:szCs w:val="28"/>
          <w:highlight w:val="none"/>
          <w:lang w:val="en-US" w:eastAsia="zh-CN"/>
        </w:rPr>
        <w:t>。</w:t>
      </w:r>
    </w:p>
    <w:p w14:paraId="1E8A37ED">
      <w:pPr>
        <w:adjustRightInd w:val="0"/>
        <w:snapToGrid w:val="0"/>
        <w:spacing w:line="500" w:lineRule="exac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三、价格标</w:t>
      </w:r>
    </w:p>
    <w:p w14:paraId="379036D8">
      <w:pPr>
        <w:adjustRightInd w:val="0"/>
        <w:snapToGrid w:val="0"/>
        <w:spacing w:line="500" w:lineRule="exact"/>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1.开标一览表（格式见附件</w:t>
      </w:r>
      <w:r>
        <w:rPr>
          <w:rFonts w:hint="eastAsia" w:ascii="宋体" w:hAnsi="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lang w:val="zh-CN"/>
        </w:rPr>
        <w:t>）；</w:t>
      </w:r>
    </w:p>
    <w:p w14:paraId="04ADA0C4">
      <w:pPr>
        <w:snapToGrid w:val="0"/>
        <w:spacing w:line="400" w:lineRule="exact"/>
        <w:ind w:firstLine="540" w:firstLineChars="192"/>
        <w:contextualSpacing/>
        <w:rPr>
          <w:rFonts w:ascii="宋体" w:hAnsi="宋体" w:cs="宋体"/>
          <w:b/>
          <w:color w:val="auto"/>
          <w:kern w:val="0"/>
          <w:sz w:val="28"/>
          <w:szCs w:val="28"/>
          <w:highlight w:val="none"/>
          <w:lang w:val="zh-CN"/>
        </w:rPr>
      </w:pPr>
    </w:p>
    <w:p w14:paraId="13FD3168">
      <w:pPr>
        <w:snapToGrid w:val="0"/>
        <w:spacing w:line="400" w:lineRule="exact"/>
        <w:ind w:firstLine="540" w:firstLineChars="192"/>
        <w:contextualSpacing/>
        <w:rPr>
          <w:rFonts w:ascii="宋体" w:hAnsi="宋体" w:cs="宋体"/>
          <w:b/>
          <w:color w:val="auto"/>
          <w:kern w:val="0"/>
          <w:sz w:val="28"/>
          <w:szCs w:val="28"/>
          <w:highlight w:val="none"/>
          <w:lang w:val="zh-CN"/>
        </w:rPr>
      </w:pPr>
    </w:p>
    <w:p w14:paraId="1A56BE15">
      <w:pPr>
        <w:snapToGrid w:val="0"/>
        <w:spacing w:line="400" w:lineRule="exact"/>
        <w:contextualSpacing/>
        <w:rPr>
          <w:rFonts w:hint="eastAsia" w:ascii="宋体" w:hAnsi="宋体" w:cs="宋体"/>
          <w:color w:val="auto"/>
          <w:kern w:val="0"/>
          <w:sz w:val="32"/>
          <w:szCs w:val="32"/>
          <w:highlight w:val="none"/>
          <w:lang w:val="zh-CN"/>
        </w:rPr>
      </w:pPr>
    </w:p>
    <w:p w14:paraId="7476B9A8">
      <w:pPr>
        <w:snapToGrid w:val="0"/>
        <w:spacing w:line="400" w:lineRule="exact"/>
        <w:contextualSpacing/>
        <w:rPr>
          <w:rFonts w:hint="eastAsia" w:ascii="宋体" w:hAnsi="宋体" w:cs="宋体"/>
          <w:color w:val="auto"/>
          <w:kern w:val="0"/>
          <w:sz w:val="32"/>
          <w:szCs w:val="32"/>
          <w:highlight w:val="none"/>
          <w:lang w:val="zh-CN"/>
        </w:rPr>
      </w:pPr>
    </w:p>
    <w:p w14:paraId="735D3114">
      <w:pPr>
        <w:snapToGrid w:val="0"/>
        <w:spacing w:line="40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附件1</w:t>
      </w:r>
    </w:p>
    <w:p w14:paraId="28B44A2B">
      <w:pPr>
        <w:jc w:val="center"/>
        <w:rPr>
          <w:rFonts w:hint="eastAsia" w:ascii="宋体" w:hAnsi="宋体"/>
          <w:b/>
          <w:color w:val="auto"/>
          <w:sz w:val="30"/>
          <w:szCs w:val="30"/>
          <w:highlight w:val="none"/>
        </w:rPr>
      </w:pPr>
      <w:r>
        <w:rPr>
          <w:rFonts w:hint="eastAsia" w:ascii="宋体" w:hAnsi="宋体"/>
          <w:b/>
          <w:color w:val="auto"/>
          <w:sz w:val="30"/>
          <w:szCs w:val="30"/>
          <w:highlight w:val="none"/>
        </w:rPr>
        <w:t>投标人符合《中华人民共和国政府采购法》第二十二条规定条件的声明函</w:t>
      </w:r>
    </w:p>
    <w:p w14:paraId="2A32E81C">
      <w:pPr>
        <w:spacing w:line="520" w:lineRule="exact"/>
        <w:ind w:firstLine="482" w:firstLineChars="200"/>
        <w:rPr>
          <w:rFonts w:ascii="宋体" w:hAnsi="宋体"/>
          <w:b/>
          <w:bCs/>
          <w:color w:val="auto"/>
          <w:sz w:val="24"/>
          <w:szCs w:val="21"/>
          <w:highlight w:val="none"/>
        </w:rPr>
      </w:pPr>
    </w:p>
    <w:p w14:paraId="0370D660">
      <w:pPr>
        <w:spacing w:line="520" w:lineRule="exact"/>
        <w:ind w:firstLine="480" w:firstLineChars="200"/>
        <w:rPr>
          <w:rFonts w:hint="eastAsia"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u w:val="single"/>
        </w:rPr>
        <w:t>__________________</w:t>
      </w:r>
      <w:r>
        <w:rPr>
          <w:rFonts w:hint="eastAsia" w:ascii="宋体" w:hAnsi="宋体"/>
          <w:bCs/>
          <w:color w:val="auto"/>
          <w:sz w:val="24"/>
          <w:szCs w:val="21"/>
          <w:highlight w:val="none"/>
        </w:rPr>
        <w:t>（项目名称）投标活动。针对《中华人民共和国政府采购法》第二十二条规定做出如下声明：</w:t>
      </w:r>
    </w:p>
    <w:p w14:paraId="6143D4F8">
      <w:pPr>
        <w:spacing w:line="520" w:lineRule="exact"/>
        <w:ind w:firstLine="482"/>
        <w:rPr>
          <w:rFonts w:hint="eastAsia"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5572EC8F">
      <w:pPr>
        <w:spacing w:line="520" w:lineRule="exact"/>
        <w:ind w:firstLine="482"/>
        <w:rPr>
          <w:rFonts w:hint="eastAsia"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30B30DC1">
      <w:pPr>
        <w:spacing w:line="520" w:lineRule="exact"/>
        <w:ind w:firstLine="482"/>
        <w:rPr>
          <w:rFonts w:hint="eastAsia"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5E7A06D9">
      <w:pPr>
        <w:spacing w:line="520" w:lineRule="exact"/>
        <w:ind w:firstLine="482"/>
        <w:rPr>
          <w:rFonts w:hint="eastAsia"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1D3A29F9">
      <w:pPr>
        <w:spacing w:line="520" w:lineRule="exact"/>
        <w:ind w:firstLine="482"/>
        <w:rPr>
          <w:rFonts w:hint="eastAsia"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AB0E02">
      <w:pPr>
        <w:spacing w:line="520" w:lineRule="exact"/>
        <w:ind w:firstLine="482"/>
        <w:rPr>
          <w:rFonts w:hint="eastAsia" w:ascii="宋体" w:hAnsi="宋体"/>
          <w:color w:val="auto"/>
          <w:sz w:val="24"/>
          <w:highlight w:val="none"/>
        </w:rPr>
      </w:pPr>
      <w:r>
        <w:rPr>
          <w:rFonts w:hint="eastAsia" w:ascii="宋体" w:hAnsi="宋体"/>
          <w:color w:val="auto"/>
          <w:sz w:val="24"/>
          <w:highlight w:val="none"/>
        </w:rPr>
        <w:t>6.我单位满足法律、行政法规规定的其他条件。</w:t>
      </w:r>
    </w:p>
    <w:p w14:paraId="323E9A12">
      <w:pPr>
        <w:spacing w:line="500" w:lineRule="exact"/>
        <w:ind w:firstLine="482"/>
        <w:rPr>
          <w:rFonts w:hint="eastAsia" w:ascii="宋体" w:hAnsi="宋体"/>
          <w:color w:val="auto"/>
          <w:sz w:val="24"/>
          <w:highlight w:val="none"/>
        </w:rPr>
      </w:pPr>
    </w:p>
    <w:p w14:paraId="5833EC4E">
      <w:pPr>
        <w:spacing w:line="500" w:lineRule="exact"/>
        <w:rPr>
          <w:rFonts w:hint="eastAsia" w:ascii="宋体" w:hAnsi="宋体"/>
          <w:color w:val="auto"/>
          <w:sz w:val="24"/>
          <w:highlight w:val="none"/>
        </w:rPr>
      </w:pPr>
    </w:p>
    <w:p w14:paraId="09006679">
      <w:pPr>
        <w:spacing w:line="500" w:lineRule="exact"/>
        <w:rPr>
          <w:rFonts w:hint="eastAsia" w:ascii="宋体" w:hAnsi="宋体"/>
          <w:bCs/>
          <w:color w:val="auto"/>
          <w:sz w:val="24"/>
          <w:szCs w:val="21"/>
          <w:highlight w:val="none"/>
        </w:rPr>
      </w:pPr>
    </w:p>
    <w:p w14:paraId="6458A4B7">
      <w:pPr>
        <w:spacing w:line="500" w:lineRule="exact"/>
        <w:rPr>
          <w:rFonts w:hint="eastAsia" w:ascii="宋体" w:hAnsi="宋体"/>
          <w:bCs/>
          <w:color w:val="auto"/>
          <w:sz w:val="24"/>
          <w:szCs w:val="21"/>
          <w:highlight w:val="none"/>
        </w:rPr>
      </w:pPr>
    </w:p>
    <w:p w14:paraId="51AAB9C8">
      <w:pPr>
        <w:spacing w:line="500" w:lineRule="exact"/>
        <w:rPr>
          <w:rFonts w:hint="eastAsia" w:ascii="宋体" w:hAnsi="宋体"/>
          <w:bCs/>
          <w:color w:val="auto"/>
          <w:sz w:val="24"/>
          <w:szCs w:val="21"/>
          <w:highlight w:val="none"/>
        </w:rPr>
      </w:pPr>
    </w:p>
    <w:p w14:paraId="0F2E43A8">
      <w:pPr>
        <w:spacing w:line="460" w:lineRule="exact"/>
        <w:jc w:val="center"/>
        <w:rPr>
          <w:rFonts w:hint="eastAsia"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38BA902B">
      <w:pPr>
        <w:spacing w:line="460" w:lineRule="exact"/>
        <w:jc w:val="right"/>
        <w:rPr>
          <w:rFonts w:hint="eastAsia" w:ascii="宋体" w:hAnsi="宋体"/>
          <w:bCs/>
          <w:color w:val="auto"/>
          <w:sz w:val="24"/>
          <w:szCs w:val="21"/>
          <w:highlight w:val="none"/>
        </w:rPr>
      </w:pPr>
      <w:r>
        <w:rPr>
          <w:rFonts w:hint="eastAsia" w:ascii="宋体" w:hAnsi="宋体"/>
          <w:bCs/>
          <w:color w:val="auto"/>
          <w:sz w:val="24"/>
          <w:szCs w:val="21"/>
          <w:highlight w:val="none"/>
        </w:rPr>
        <w:t xml:space="preserve">    </w:t>
      </w:r>
    </w:p>
    <w:p w14:paraId="7637D018">
      <w:pPr>
        <w:spacing w:line="460" w:lineRule="exact"/>
        <w:jc w:val="right"/>
        <w:rPr>
          <w:rFonts w:ascii="宋体" w:hAnsi="宋体" w:cs="宋体"/>
          <w:bCs/>
          <w:color w:val="auto"/>
          <w:sz w:val="24"/>
          <w:szCs w:val="21"/>
          <w:highlight w:val="none"/>
        </w:rPr>
      </w:pPr>
      <w:r>
        <w:rPr>
          <w:rFonts w:hint="eastAsia" w:ascii="宋体" w:hAnsi="宋体"/>
          <w:bCs/>
          <w:color w:val="auto"/>
          <w:sz w:val="24"/>
          <w:szCs w:val="21"/>
          <w:highlight w:val="none"/>
        </w:rPr>
        <w:t xml:space="preserve">                                 日期：</w:t>
      </w:r>
      <w:r>
        <w:rPr>
          <w:rFonts w:hint="eastAsia" w:ascii="宋体" w:hAnsi="宋体"/>
          <w:bCs/>
          <w:color w:val="auto"/>
          <w:sz w:val="24"/>
          <w:szCs w:val="21"/>
          <w:highlight w:val="none"/>
          <w:u w:val="single"/>
        </w:rPr>
        <w:t>______</w:t>
      </w:r>
      <w:r>
        <w:rPr>
          <w:rFonts w:hint="eastAsia" w:ascii="宋体" w:hAnsi="宋体"/>
          <w:bCs/>
          <w:color w:val="auto"/>
          <w:sz w:val="24"/>
          <w:szCs w:val="21"/>
          <w:highlight w:val="none"/>
        </w:rPr>
        <w:t>年</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月</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日</w:t>
      </w:r>
    </w:p>
    <w:p w14:paraId="3197560D">
      <w:pPr>
        <w:rPr>
          <w:rFonts w:ascii="宋体" w:hAnsi="宋体" w:cs="宋体"/>
          <w:color w:val="auto"/>
          <w:szCs w:val="21"/>
          <w:highlight w:val="none"/>
        </w:rPr>
      </w:pPr>
    </w:p>
    <w:p w14:paraId="313BA72D">
      <w:pPr>
        <w:snapToGrid w:val="0"/>
        <w:spacing w:line="400" w:lineRule="exact"/>
        <w:contextualSpacing/>
        <w:rPr>
          <w:rFonts w:hint="eastAsia" w:ascii="宋体" w:hAnsi="宋体" w:cs="宋体"/>
          <w:color w:val="auto"/>
          <w:kern w:val="0"/>
          <w:sz w:val="32"/>
          <w:szCs w:val="32"/>
          <w:highlight w:val="none"/>
          <w:lang w:val="zh-CN"/>
        </w:rPr>
      </w:pPr>
    </w:p>
    <w:p w14:paraId="458B6D1F">
      <w:pPr>
        <w:snapToGrid w:val="0"/>
        <w:spacing w:line="400" w:lineRule="exact"/>
        <w:contextualSpacing/>
        <w:rPr>
          <w:rFonts w:hint="eastAsia" w:ascii="宋体" w:hAnsi="宋体" w:cs="宋体"/>
          <w:color w:val="auto"/>
          <w:kern w:val="0"/>
          <w:sz w:val="32"/>
          <w:szCs w:val="32"/>
          <w:highlight w:val="none"/>
          <w:lang w:val="zh-CN"/>
        </w:rPr>
      </w:pPr>
    </w:p>
    <w:p w14:paraId="687561D0">
      <w:pPr>
        <w:snapToGrid w:val="0"/>
        <w:spacing w:line="40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附件2</w:t>
      </w:r>
    </w:p>
    <w:p w14:paraId="7A3652F5">
      <w:pPr>
        <w:spacing w:line="56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法定代表人身份证明</w:t>
      </w:r>
    </w:p>
    <w:p w14:paraId="11197E83">
      <w:pPr>
        <w:spacing w:line="480" w:lineRule="exact"/>
        <w:rPr>
          <w:rFonts w:ascii="宋体" w:hAnsi="宋体" w:cs="宋体"/>
          <w:color w:val="auto"/>
          <w:sz w:val="24"/>
          <w:highlight w:val="none"/>
        </w:rPr>
      </w:pPr>
    </w:p>
    <w:p w14:paraId="1A1724A9">
      <w:pPr>
        <w:spacing w:line="480" w:lineRule="exact"/>
        <w:ind w:firstLine="48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04E61C4C">
      <w:pPr>
        <w:spacing w:line="480" w:lineRule="exact"/>
        <w:ind w:firstLine="480"/>
        <w:rPr>
          <w:rFonts w:ascii="宋体" w:hAnsi="宋体" w:cs="宋体"/>
          <w:color w:val="auto"/>
          <w:sz w:val="24"/>
          <w:highlight w:val="none"/>
        </w:rPr>
      </w:pPr>
    </w:p>
    <w:p w14:paraId="0AD84C3B">
      <w:pPr>
        <w:spacing w:line="480" w:lineRule="exact"/>
        <w:ind w:firstLine="480"/>
        <w:rPr>
          <w:rFonts w:ascii="宋体" w:hAnsi="宋体" w:cs="宋体"/>
          <w:color w:val="auto"/>
          <w:sz w:val="24"/>
          <w:highlight w:val="none"/>
        </w:rPr>
      </w:pPr>
    </w:p>
    <w:p w14:paraId="26F124E3">
      <w:pPr>
        <w:adjustRightInd w:val="0"/>
        <w:spacing w:line="480" w:lineRule="auto"/>
        <w:ind w:left="3255" w:leftChars="1550" w:firstLine="240" w:firstLineChars="100"/>
        <w:rPr>
          <w:rFonts w:ascii="宋体" w:hAnsi="宋体" w:cs="宋体"/>
          <w:color w:val="auto"/>
          <w:sz w:val="24"/>
          <w:highlight w:val="none"/>
        </w:rPr>
      </w:pPr>
    </w:p>
    <w:p w14:paraId="0C20EDD0">
      <w:pPr>
        <w:adjustRightInd w:val="0"/>
        <w:spacing w:line="480" w:lineRule="auto"/>
        <w:ind w:left="3255" w:leftChars="1550" w:firstLine="240" w:firstLineChars="10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单位名称(盖公章)</w:t>
      </w:r>
      <w:r>
        <w:rPr>
          <w:rFonts w:hint="eastAsia" w:ascii="宋体" w:hAnsi="宋体" w:cs="宋体"/>
          <w:color w:val="auto"/>
          <w:sz w:val="24"/>
          <w:highlight w:val="none"/>
          <w:u w:val="single"/>
        </w:rPr>
        <w:t xml:space="preserve">                     </w:t>
      </w:r>
    </w:p>
    <w:p w14:paraId="664FF3C4">
      <w:pPr>
        <w:adjustRightInd w:val="0"/>
        <w:spacing w:line="480" w:lineRule="auto"/>
        <w:ind w:left="3255" w:leftChars="1550" w:firstLine="240" w:firstLineChars="100"/>
        <w:jc w:val="left"/>
        <w:rPr>
          <w:rFonts w:ascii="宋体" w:hAnsi="宋体" w:cs="宋体"/>
          <w:color w:val="auto"/>
          <w:sz w:val="24"/>
          <w:highlight w:val="none"/>
          <w:u w:val="single"/>
        </w:rPr>
      </w:pPr>
      <w:r>
        <w:rPr>
          <w:rFonts w:hint="eastAsia" w:ascii="宋体" w:hAnsi="宋体" w:cs="宋体"/>
          <w:color w:val="auto"/>
          <w:sz w:val="24"/>
          <w:highlight w:val="none"/>
        </w:rPr>
        <w:t>日 期：     年   月   日</w:t>
      </w:r>
    </w:p>
    <w:p w14:paraId="244790AE">
      <w:pPr>
        <w:adjustRightInd w:val="0"/>
        <w:spacing w:line="480" w:lineRule="auto"/>
        <w:jc w:val="left"/>
        <w:rPr>
          <w:rFonts w:ascii="宋体" w:hAnsi="宋体" w:cs="宋体"/>
          <w:color w:val="auto"/>
          <w:highlight w:val="none"/>
        </w:rPr>
      </w:pPr>
    </w:p>
    <w:p w14:paraId="68861AF5">
      <w:pPr>
        <w:widowControl/>
        <w:spacing w:line="360" w:lineRule="auto"/>
        <w:rPr>
          <w:rFonts w:ascii="宋体" w:hAnsi="宋体" w:cs="宋体"/>
          <w:b/>
          <w:bCs/>
          <w:color w:val="auto"/>
          <w:kern w:val="0"/>
          <w:sz w:val="28"/>
          <w:szCs w:val="28"/>
          <w:highlight w:val="none"/>
        </w:rPr>
      </w:pPr>
      <w:r>
        <w:rPr>
          <w:rFonts w:hint="eastAsia" w:ascii="宋体" w:hAnsi="宋体" w:cs="宋体"/>
          <w:b/>
          <w:color w:val="auto"/>
          <w:sz w:val="24"/>
          <w:highlight w:val="none"/>
        </w:rPr>
        <w:t>附：法定代表人的身份证复印件盖单位公章</w:t>
      </w:r>
    </w:p>
    <w:p w14:paraId="7BC5083C">
      <w:pPr>
        <w:rPr>
          <w:rFonts w:ascii="宋体" w:hAnsi="宋体" w:cs="宋体"/>
          <w:color w:val="auto"/>
          <w:highlight w:val="none"/>
        </w:rPr>
      </w:pPr>
      <w:r>
        <w:rPr>
          <w:rFonts w:hint="eastAsia" w:ascii="宋体" w:hAnsi="宋体" w:cs="宋体"/>
          <w:color w:val="auto"/>
          <w:highlight w:val="none"/>
        </w:rPr>
        <w:t xml:space="preserve">     </w:t>
      </w:r>
    </w:p>
    <w:p w14:paraId="50D9E0D4">
      <w:pPr>
        <w:snapToGrid w:val="0"/>
        <w:spacing w:line="400" w:lineRule="exact"/>
        <w:ind w:firstLine="540" w:firstLineChars="192"/>
        <w:contextualSpacing/>
        <w:rPr>
          <w:rFonts w:ascii="宋体" w:hAnsi="宋体" w:cs="宋体"/>
          <w:b/>
          <w:color w:val="auto"/>
          <w:kern w:val="0"/>
          <w:sz w:val="28"/>
          <w:szCs w:val="28"/>
          <w:highlight w:val="none"/>
        </w:rPr>
      </w:pPr>
    </w:p>
    <w:p w14:paraId="519308BF">
      <w:pPr>
        <w:snapToGrid w:val="0"/>
        <w:spacing w:line="400" w:lineRule="exact"/>
        <w:ind w:firstLine="540" w:firstLineChars="192"/>
        <w:contextualSpacing/>
        <w:rPr>
          <w:rFonts w:ascii="宋体" w:hAnsi="宋体" w:cs="宋体"/>
          <w:b/>
          <w:color w:val="auto"/>
          <w:kern w:val="0"/>
          <w:sz w:val="28"/>
          <w:szCs w:val="28"/>
          <w:highlight w:val="none"/>
          <w:lang w:val="zh-CN"/>
        </w:rPr>
      </w:pPr>
    </w:p>
    <w:p w14:paraId="10C3582A">
      <w:pPr>
        <w:snapToGrid w:val="0"/>
        <w:spacing w:line="400" w:lineRule="exact"/>
        <w:ind w:firstLine="540" w:firstLineChars="192"/>
        <w:contextualSpacing/>
        <w:rPr>
          <w:rFonts w:ascii="宋体" w:hAnsi="宋体" w:cs="宋体"/>
          <w:b/>
          <w:color w:val="auto"/>
          <w:kern w:val="0"/>
          <w:sz w:val="28"/>
          <w:szCs w:val="28"/>
          <w:highlight w:val="none"/>
          <w:lang w:val="zh-CN"/>
        </w:rPr>
      </w:pPr>
    </w:p>
    <w:p w14:paraId="3119EF64">
      <w:pPr>
        <w:snapToGrid w:val="0"/>
        <w:spacing w:line="400" w:lineRule="exact"/>
        <w:ind w:firstLine="540" w:firstLineChars="192"/>
        <w:contextualSpacing/>
        <w:rPr>
          <w:rFonts w:ascii="宋体" w:hAnsi="宋体" w:cs="宋体"/>
          <w:b/>
          <w:color w:val="auto"/>
          <w:kern w:val="0"/>
          <w:sz w:val="28"/>
          <w:szCs w:val="28"/>
          <w:highlight w:val="none"/>
        </w:rPr>
      </w:pPr>
    </w:p>
    <w:p w14:paraId="4B01A8A4">
      <w:pPr>
        <w:snapToGrid w:val="0"/>
        <w:spacing w:line="400" w:lineRule="exact"/>
        <w:ind w:firstLine="540" w:firstLineChars="192"/>
        <w:contextualSpacing/>
        <w:rPr>
          <w:rFonts w:ascii="宋体" w:hAnsi="宋体" w:cs="宋体"/>
          <w:b/>
          <w:color w:val="auto"/>
          <w:kern w:val="0"/>
          <w:sz w:val="28"/>
          <w:szCs w:val="28"/>
          <w:highlight w:val="none"/>
          <w:lang w:val="zh-CN"/>
        </w:rPr>
      </w:pPr>
    </w:p>
    <w:p w14:paraId="19AF8933">
      <w:pPr>
        <w:snapToGrid w:val="0"/>
        <w:spacing w:line="400" w:lineRule="exact"/>
        <w:ind w:firstLine="540" w:firstLineChars="192"/>
        <w:contextualSpacing/>
        <w:rPr>
          <w:rFonts w:ascii="宋体" w:hAnsi="宋体" w:cs="宋体"/>
          <w:b/>
          <w:color w:val="auto"/>
          <w:kern w:val="0"/>
          <w:sz w:val="28"/>
          <w:szCs w:val="28"/>
          <w:highlight w:val="none"/>
          <w:lang w:val="zh-CN"/>
        </w:rPr>
      </w:pPr>
    </w:p>
    <w:p w14:paraId="7E2F3966">
      <w:pPr>
        <w:snapToGrid w:val="0"/>
        <w:spacing w:line="400" w:lineRule="exact"/>
        <w:ind w:firstLine="540" w:firstLineChars="192"/>
        <w:contextualSpacing/>
        <w:rPr>
          <w:rFonts w:ascii="宋体" w:hAnsi="宋体" w:cs="宋体"/>
          <w:b/>
          <w:color w:val="auto"/>
          <w:kern w:val="0"/>
          <w:sz w:val="28"/>
          <w:szCs w:val="28"/>
          <w:highlight w:val="none"/>
          <w:lang w:val="zh-CN"/>
        </w:rPr>
      </w:pPr>
    </w:p>
    <w:p w14:paraId="74B9F005">
      <w:pPr>
        <w:snapToGrid w:val="0"/>
        <w:spacing w:line="400" w:lineRule="exact"/>
        <w:ind w:firstLine="540" w:firstLineChars="192"/>
        <w:contextualSpacing/>
        <w:rPr>
          <w:rFonts w:ascii="宋体" w:hAnsi="宋体" w:cs="宋体"/>
          <w:b/>
          <w:color w:val="auto"/>
          <w:kern w:val="0"/>
          <w:sz w:val="28"/>
          <w:szCs w:val="28"/>
          <w:highlight w:val="none"/>
          <w:lang w:val="zh-CN"/>
        </w:rPr>
      </w:pPr>
    </w:p>
    <w:p w14:paraId="1C39D44C">
      <w:pPr>
        <w:snapToGrid w:val="0"/>
        <w:spacing w:line="400" w:lineRule="exact"/>
        <w:ind w:firstLine="540" w:firstLineChars="192"/>
        <w:contextualSpacing/>
        <w:rPr>
          <w:rFonts w:ascii="宋体" w:hAnsi="宋体" w:cs="宋体"/>
          <w:b/>
          <w:color w:val="auto"/>
          <w:kern w:val="0"/>
          <w:sz w:val="28"/>
          <w:szCs w:val="28"/>
          <w:highlight w:val="none"/>
          <w:lang w:val="zh-CN"/>
        </w:rPr>
      </w:pPr>
    </w:p>
    <w:p w14:paraId="71923169">
      <w:pPr>
        <w:snapToGrid w:val="0"/>
        <w:spacing w:line="400" w:lineRule="exact"/>
        <w:ind w:firstLine="540" w:firstLineChars="192"/>
        <w:contextualSpacing/>
        <w:rPr>
          <w:rFonts w:ascii="宋体" w:hAnsi="宋体" w:cs="宋体"/>
          <w:b/>
          <w:color w:val="auto"/>
          <w:kern w:val="0"/>
          <w:sz w:val="28"/>
          <w:szCs w:val="28"/>
          <w:highlight w:val="none"/>
          <w:lang w:val="zh-CN"/>
        </w:rPr>
      </w:pPr>
    </w:p>
    <w:p w14:paraId="107E8621">
      <w:pPr>
        <w:snapToGrid w:val="0"/>
        <w:spacing w:line="400" w:lineRule="exact"/>
        <w:ind w:firstLine="540" w:firstLineChars="192"/>
        <w:contextualSpacing/>
        <w:rPr>
          <w:rFonts w:ascii="宋体" w:hAnsi="宋体" w:cs="宋体"/>
          <w:b/>
          <w:color w:val="auto"/>
          <w:kern w:val="0"/>
          <w:sz w:val="28"/>
          <w:szCs w:val="28"/>
          <w:highlight w:val="none"/>
          <w:lang w:val="zh-CN"/>
        </w:rPr>
      </w:pPr>
    </w:p>
    <w:p w14:paraId="60EC5290">
      <w:pPr>
        <w:snapToGrid w:val="0"/>
        <w:spacing w:line="400" w:lineRule="exact"/>
        <w:ind w:firstLine="540" w:firstLineChars="192"/>
        <w:contextualSpacing/>
        <w:rPr>
          <w:rFonts w:ascii="宋体" w:hAnsi="宋体" w:cs="宋体"/>
          <w:b/>
          <w:color w:val="auto"/>
          <w:kern w:val="0"/>
          <w:sz w:val="28"/>
          <w:szCs w:val="28"/>
          <w:highlight w:val="none"/>
          <w:lang w:val="zh-CN"/>
        </w:rPr>
      </w:pPr>
    </w:p>
    <w:p w14:paraId="65284F74">
      <w:pPr>
        <w:snapToGrid w:val="0"/>
        <w:spacing w:line="400" w:lineRule="exact"/>
        <w:ind w:firstLine="540" w:firstLineChars="192"/>
        <w:contextualSpacing/>
        <w:rPr>
          <w:rFonts w:ascii="宋体" w:hAnsi="宋体" w:cs="宋体"/>
          <w:b/>
          <w:color w:val="auto"/>
          <w:kern w:val="0"/>
          <w:sz w:val="28"/>
          <w:szCs w:val="28"/>
          <w:highlight w:val="none"/>
          <w:lang w:val="zh-CN"/>
        </w:rPr>
      </w:pPr>
    </w:p>
    <w:p w14:paraId="567CF99E">
      <w:pPr>
        <w:snapToGrid w:val="0"/>
        <w:spacing w:line="400" w:lineRule="exact"/>
        <w:ind w:firstLine="540" w:firstLineChars="192"/>
        <w:contextualSpacing/>
        <w:rPr>
          <w:rFonts w:ascii="宋体" w:hAnsi="宋体" w:cs="宋体"/>
          <w:b/>
          <w:color w:val="auto"/>
          <w:kern w:val="0"/>
          <w:sz w:val="28"/>
          <w:szCs w:val="28"/>
          <w:highlight w:val="none"/>
          <w:lang w:val="zh-CN"/>
        </w:rPr>
      </w:pPr>
    </w:p>
    <w:p w14:paraId="1381127F">
      <w:pPr>
        <w:snapToGrid w:val="0"/>
        <w:spacing w:line="400" w:lineRule="exact"/>
        <w:ind w:firstLine="540" w:firstLineChars="192"/>
        <w:contextualSpacing/>
        <w:rPr>
          <w:rFonts w:ascii="宋体" w:hAnsi="宋体" w:cs="宋体"/>
          <w:b/>
          <w:color w:val="auto"/>
          <w:kern w:val="0"/>
          <w:sz w:val="28"/>
          <w:szCs w:val="28"/>
          <w:highlight w:val="none"/>
          <w:lang w:val="zh-CN"/>
        </w:rPr>
      </w:pPr>
    </w:p>
    <w:p w14:paraId="59AF3B6C">
      <w:pPr>
        <w:snapToGrid w:val="0"/>
        <w:spacing w:line="400" w:lineRule="exact"/>
        <w:ind w:firstLine="540" w:firstLineChars="192"/>
        <w:contextualSpacing/>
        <w:rPr>
          <w:rFonts w:ascii="宋体" w:hAnsi="宋体" w:cs="宋体"/>
          <w:b/>
          <w:color w:val="auto"/>
          <w:kern w:val="0"/>
          <w:sz w:val="28"/>
          <w:szCs w:val="28"/>
          <w:highlight w:val="none"/>
          <w:lang w:val="zh-CN"/>
        </w:rPr>
      </w:pPr>
    </w:p>
    <w:p w14:paraId="32877B4C">
      <w:pPr>
        <w:snapToGrid w:val="0"/>
        <w:spacing w:line="400" w:lineRule="exact"/>
        <w:ind w:firstLine="540" w:firstLineChars="192"/>
        <w:contextualSpacing/>
        <w:rPr>
          <w:rFonts w:ascii="宋体" w:hAnsi="宋体" w:cs="宋体"/>
          <w:b/>
          <w:color w:val="auto"/>
          <w:kern w:val="0"/>
          <w:sz w:val="28"/>
          <w:szCs w:val="28"/>
          <w:highlight w:val="none"/>
          <w:lang w:val="zh-CN"/>
        </w:rPr>
      </w:pPr>
    </w:p>
    <w:p w14:paraId="1291DD04">
      <w:pPr>
        <w:snapToGrid w:val="0"/>
        <w:spacing w:line="400" w:lineRule="exact"/>
        <w:ind w:firstLine="540" w:firstLineChars="192"/>
        <w:contextualSpacing/>
        <w:rPr>
          <w:rFonts w:ascii="宋体" w:hAnsi="宋体" w:cs="宋体"/>
          <w:b/>
          <w:color w:val="auto"/>
          <w:kern w:val="0"/>
          <w:sz w:val="28"/>
          <w:szCs w:val="28"/>
          <w:highlight w:val="none"/>
          <w:lang w:val="zh-CN"/>
        </w:rPr>
      </w:pPr>
    </w:p>
    <w:p w14:paraId="00D8A418">
      <w:pPr>
        <w:snapToGrid w:val="0"/>
        <w:spacing w:line="40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附件3</w:t>
      </w:r>
    </w:p>
    <w:p w14:paraId="121BE4B1">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法定代表人授权委托书</w:t>
      </w:r>
    </w:p>
    <w:p w14:paraId="53212814">
      <w:pPr>
        <w:rPr>
          <w:rFonts w:ascii="宋体" w:hAnsi="宋体" w:cs="宋体"/>
          <w:color w:val="auto"/>
          <w:sz w:val="32"/>
          <w:szCs w:val="32"/>
          <w:highlight w:val="none"/>
        </w:rPr>
      </w:pPr>
    </w:p>
    <w:p w14:paraId="3A0B5B1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24"/>
          <w:szCs w:val="24"/>
          <w:highlight w:val="none"/>
          <w:u w:val="single"/>
          <w:lang w:bidi="ar"/>
        </w:rPr>
      </w:pPr>
      <w:r>
        <w:rPr>
          <w:rFonts w:hint="eastAsia" w:ascii="宋体" w:hAnsi="宋体" w:cs="宋体"/>
          <w:color w:val="auto"/>
          <w:sz w:val="24"/>
          <w:szCs w:val="24"/>
          <w:highlight w:val="none"/>
          <w:u w:val="single"/>
          <w:lang w:eastAsia="zh-CN" w:bidi="ar"/>
        </w:rPr>
        <w:t>启东市水务局</w:t>
      </w:r>
      <w:r>
        <w:rPr>
          <w:rFonts w:hint="eastAsia" w:ascii="宋体" w:hAnsi="宋体" w:cs="宋体"/>
          <w:color w:val="auto"/>
          <w:sz w:val="24"/>
          <w:szCs w:val="24"/>
          <w:highlight w:val="none"/>
          <w:lang w:bidi="ar"/>
        </w:rPr>
        <w:t>：</w:t>
      </w:r>
    </w:p>
    <w:p w14:paraId="60B1B4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系中华人民共和国合法企业（或事业单位），法定地址：</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，特授权</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代表我单位全权办理针对</w:t>
      </w:r>
      <w:r>
        <w:rPr>
          <w:rFonts w:hint="eastAsia" w:ascii="宋体" w:hAnsi="宋体" w:cs="宋体"/>
          <w:color w:val="auto"/>
          <w:sz w:val="24"/>
          <w:szCs w:val="24"/>
          <w:highlight w:val="none"/>
          <w:u w:val="single"/>
          <w:lang w:bidi="ar"/>
        </w:rPr>
        <w:t xml:space="preserve">                      项目</w:t>
      </w:r>
      <w:r>
        <w:rPr>
          <w:rFonts w:hint="eastAsia" w:ascii="宋体" w:hAnsi="宋体" w:cs="宋体"/>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1C76DD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bidi="ar"/>
        </w:rPr>
        <w:t>被授权人无权转委托。</w:t>
      </w:r>
    </w:p>
    <w:p w14:paraId="172835C1">
      <w:pPr>
        <w:spacing w:line="440" w:lineRule="exact"/>
        <w:ind w:firstLine="480" w:firstLineChars="200"/>
        <w:rPr>
          <w:rFonts w:ascii="宋体" w:hAnsi="宋体" w:cs="宋体"/>
          <w:color w:val="auto"/>
          <w:sz w:val="24"/>
          <w:szCs w:val="24"/>
          <w:highlight w:val="none"/>
        </w:rPr>
      </w:pPr>
    </w:p>
    <w:p w14:paraId="7CA2E1A2">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bidi="ar"/>
        </w:rPr>
        <w:t>被授权人</w:t>
      </w:r>
      <w:r>
        <w:rPr>
          <w:rFonts w:hint="eastAsia" w:ascii="宋体" w:hAnsi="宋体" w:cs="宋体"/>
          <w:b/>
          <w:bCs/>
          <w:color w:val="auto"/>
          <w:sz w:val="24"/>
          <w:szCs w:val="24"/>
          <w:highlight w:val="none"/>
          <w:lang w:bidi="ar"/>
        </w:rPr>
        <w:t>（签字）</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性别：</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年龄：</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职务：</w:t>
      </w:r>
      <w:r>
        <w:rPr>
          <w:rFonts w:hint="eastAsia" w:ascii="宋体" w:hAnsi="宋体" w:cs="宋体"/>
          <w:color w:val="auto"/>
          <w:sz w:val="24"/>
          <w:szCs w:val="24"/>
          <w:highlight w:val="none"/>
          <w:u w:val="single"/>
          <w:lang w:bidi="ar"/>
        </w:rPr>
        <w:t xml:space="preserve">       </w:t>
      </w:r>
    </w:p>
    <w:p w14:paraId="0FB710B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p w14:paraId="7D0928E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bidi="ar"/>
        </w:rPr>
        <w:t>身份证号码：</w:t>
      </w:r>
      <w:r>
        <w:rPr>
          <w:rFonts w:hint="eastAsia" w:ascii="宋体" w:hAnsi="宋体" w:cs="宋体"/>
          <w:color w:val="auto"/>
          <w:sz w:val="24"/>
          <w:szCs w:val="24"/>
          <w:highlight w:val="none"/>
          <w:u w:val="single"/>
          <w:lang w:bidi="ar"/>
        </w:rPr>
        <w:t xml:space="preserve">                                       </w:t>
      </w:r>
    </w:p>
    <w:p w14:paraId="6372F96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p w14:paraId="4CD6324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bidi="ar"/>
        </w:rPr>
        <w:t>通讯地址：</w:t>
      </w:r>
      <w:r>
        <w:rPr>
          <w:rFonts w:hint="eastAsia" w:ascii="宋体" w:hAnsi="宋体" w:cs="宋体"/>
          <w:color w:val="auto"/>
          <w:sz w:val="24"/>
          <w:szCs w:val="24"/>
          <w:highlight w:val="none"/>
          <w:u w:val="single"/>
          <w:lang w:bidi="ar"/>
        </w:rPr>
        <w:t xml:space="preserve">                                         </w:t>
      </w:r>
    </w:p>
    <w:p w14:paraId="50542D3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p w14:paraId="4857FCE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bidi="ar"/>
        </w:rPr>
        <w:t>联系电话：</w:t>
      </w:r>
      <w:r>
        <w:rPr>
          <w:rFonts w:hint="eastAsia" w:ascii="宋体" w:hAnsi="宋体" w:cs="宋体"/>
          <w:color w:val="auto"/>
          <w:sz w:val="24"/>
          <w:szCs w:val="24"/>
          <w:highlight w:val="none"/>
          <w:u w:val="single"/>
          <w:lang w:bidi="ar"/>
        </w:rPr>
        <w:t xml:space="preserve">                                         </w:t>
      </w:r>
    </w:p>
    <w:p w14:paraId="728F481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p w14:paraId="7DCEAB4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bidi="ar"/>
        </w:rPr>
        <w:t>法定代表人（签字或盖章）：</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 xml:space="preserve"> </w:t>
      </w:r>
    </w:p>
    <w:p w14:paraId="7C8E5AF2">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p w14:paraId="7C43FC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bidi="ar"/>
        </w:rPr>
        <w:t>供应商（盖公章）：</w:t>
      </w:r>
      <w:r>
        <w:rPr>
          <w:rFonts w:hint="eastAsia" w:ascii="宋体" w:hAnsi="宋体" w:cs="宋体"/>
          <w:color w:val="auto"/>
          <w:sz w:val="24"/>
          <w:szCs w:val="24"/>
          <w:highlight w:val="none"/>
          <w:u w:val="single"/>
          <w:lang w:bidi="ar"/>
        </w:rPr>
        <w:t xml:space="preserve">                          </w:t>
      </w:r>
    </w:p>
    <w:p w14:paraId="572BA44C">
      <w:pPr>
        <w:spacing w:line="440" w:lineRule="exact"/>
        <w:rPr>
          <w:rFonts w:ascii="宋体" w:hAnsi="宋体" w:cs="宋体"/>
          <w:color w:val="auto"/>
          <w:sz w:val="24"/>
          <w:szCs w:val="24"/>
          <w:highlight w:val="none"/>
        </w:rPr>
      </w:pPr>
    </w:p>
    <w:p w14:paraId="404AE7A1">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                              日期： </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年</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日</w:t>
      </w:r>
    </w:p>
    <w:p w14:paraId="14A4D42C">
      <w:pPr>
        <w:spacing w:line="440" w:lineRule="exact"/>
        <w:jc w:val="left"/>
        <w:rPr>
          <w:rFonts w:ascii="宋体" w:hAnsi="宋体" w:cs="宋体"/>
          <w:b/>
          <w:color w:val="auto"/>
          <w:kern w:val="0"/>
          <w:sz w:val="24"/>
          <w:szCs w:val="24"/>
          <w:highlight w:val="none"/>
        </w:rPr>
      </w:pPr>
    </w:p>
    <w:p w14:paraId="126C56CE">
      <w:pPr>
        <w:jc w:val="left"/>
        <w:rPr>
          <w:rFonts w:ascii="宋体" w:hAnsi="宋体" w:cs="宋体"/>
          <w:b/>
          <w:bCs/>
          <w:color w:val="auto"/>
          <w:sz w:val="24"/>
          <w:szCs w:val="24"/>
          <w:highlight w:val="none"/>
          <w:lang w:bidi="ar"/>
        </w:rPr>
      </w:pPr>
    </w:p>
    <w:p w14:paraId="614AE6DD">
      <w:pPr>
        <w:jc w:val="left"/>
        <w:rPr>
          <w:rFonts w:ascii="宋体" w:hAnsi="宋体" w:cs="宋体"/>
          <w:color w:val="auto"/>
          <w:sz w:val="24"/>
          <w:szCs w:val="24"/>
          <w:highlight w:val="none"/>
        </w:rPr>
      </w:pPr>
      <w:r>
        <w:rPr>
          <w:rFonts w:hint="eastAsia" w:ascii="宋体" w:hAnsi="宋体" w:cs="宋体"/>
          <w:b/>
          <w:bCs/>
          <w:color w:val="auto"/>
          <w:sz w:val="24"/>
          <w:szCs w:val="24"/>
          <w:highlight w:val="none"/>
          <w:lang w:bidi="ar"/>
        </w:rPr>
        <w:t>附：被授权人身份证正反面复印件盖公章</w:t>
      </w:r>
    </w:p>
    <w:p w14:paraId="118797CF">
      <w:pPr>
        <w:snapToGrid w:val="0"/>
        <w:spacing w:line="400" w:lineRule="exact"/>
        <w:ind w:firstLine="540" w:firstLineChars="192"/>
        <w:contextualSpacing/>
        <w:rPr>
          <w:rFonts w:ascii="宋体" w:hAnsi="宋体" w:cs="宋体"/>
          <w:b/>
          <w:color w:val="auto"/>
          <w:kern w:val="0"/>
          <w:sz w:val="28"/>
          <w:szCs w:val="28"/>
          <w:highlight w:val="none"/>
        </w:rPr>
      </w:pPr>
    </w:p>
    <w:p w14:paraId="19D7ACC7">
      <w:pPr>
        <w:snapToGrid w:val="0"/>
        <w:spacing w:line="400" w:lineRule="exact"/>
        <w:ind w:firstLine="540" w:firstLineChars="192"/>
        <w:contextualSpacing/>
        <w:rPr>
          <w:rFonts w:ascii="宋体" w:hAnsi="宋体" w:cs="宋体"/>
          <w:b/>
          <w:color w:val="auto"/>
          <w:kern w:val="0"/>
          <w:sz w:val="28"/>
          <w:szCs w:val="28"/>
          <w:highlight w:val="none"/>
        </w:rPr>
      </w:pPr>
    </w:p>
    <w:p w14:paraId="2E97052F">
      <w:pPr>
        <w:snapToGrid w:val="0"/>
        <w:spacing w:line="400" w:lineRule="exact"/>
        <w:contextualSpacing/>
        <w:rPr>
          <w:rFonts w:hint="eastAsia" w:ascii="宋体" w:hAnsi="宋体" w:cs="宋体"/>
          <w:color w:val="auto"/>
          <w:kern w:val="0"/>
          <w:sz w:val="32"/>
          <w:szCs w:val="32"/>
          <w:highlight w:val="none"/>
        </w:rPr>
      </w:pPr>
    </w:p>
    <w:p w14:paraId="05C3C772">
      <w:pPr>
        <w:snapToGrid w:val="0"/>
        <w:spacing w:line="400" w:lineRule="exact"/>
        <w:contextualSpacing/>
        <w:rPr>
          <w:rFonts w:hint="eastAsia" w:ascii="宋体" w:hAnsi="宋体" w:eastAsia="宋体" w:cs="宋体"/>
          <w:color w:val="auto"/>
          <w:kern w:val="0"/>
          <w:sz w:val="32"/>
          <w:szCs w:val="32"/>
          <w:highlight w:val="none"/>
        </w:rPr>
      </w:pPr>
    </w:p>
    <w:p w14:paraId="0C03A6B8">
      <w:pPr>
        <w:snapToGrid w:val="0"/>
        <w:spacing w:line="400" w:lineRule="exact"/>
        <w:contextualSpacing/>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rPr>
        <w:t>附件</w:t>
      </w:r>
      <w:r>
        <w:rPr>
          <w:rFonts w:hint="eastAsia" w:ascii="宋体" w:hAnsi="宋体" w:cs="宋体"/>
          <w:color w:val="auto"/>
          <w:kern w:val="0"/>
          <w:sz w:val="32"/>
          <w:szCs w:val="32"/>
          <w:highlight w:val="none"/>
          <w:lang w:val="en-US" w:eastAsia="zh-CN"/>
        </w:rPr>
        <w:t>4</w:t>
      </w:r>
    </w:p>
    <w:p w14:paraId="01919888">
      <w:pPr>
        <w:keepNext/>
        <w:keepLines/>
        <w:spacing w:before="260" w:after="260" w:line="416" w:lineRule="auto"/>
        <w:jc w:val="center"/>
        <w:outlineLvl w:val="1"/>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t>投标函</w:t>
      </w:r>
    </w:p>
    <w:p w14:paraId="3618345B">
      <w:pPr>
        <w:adjustRightInd w:val="0"/>
        <w:spacing w:line="420" w:lineRule="exact"/>
        <w:jc w:val="left"/>
        <w:textAlignment w:val="baseline"/>
        <w:rPr>
          <w:rFonts w:ascii="宋体" w:hAnsi="宋体"/>
          <w:color w:val="auto"/>
          <w:sz w:val="24"/>
          <w:szCs w:val="21"/>
          <w:highlight w:val="none"/>
        </w:rPr>
      </w:pPr>
      <w:r>
        <w:rPr>
          <w:rFonts w:hint="eastAsia" w:ascii="宋体" w:hAnsi="宋体"/>
          <w:color w:val="auto"/>
          <w:sz w:val="24"/>
          <w:szCs w:val="21"/>
          <w:highlight w:val="none"/>
        </w:rPr>
        <w:t>致：</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（采购人名称）</w:t>
      </w:r>
    </w:p>
    <w:p w14:paraId="03D1720E">
      <w:pPr>
        <w:adjustRightInd w:val="0"/>
        <w:spacing w:line="420" w:lineRule="exact"/>
        <w:ind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根据贵方的__________（项目</w:t>
      </w:r>
      <w:r>
        <w:rPr>
          <w:rFonts w:ascii="宋体" w:hAnsi="宋体"/>
          <w:color w:val="auto"/>
          <w:sz w:val="24"/>
          <w:szCs w:val="21"/>
          <w:highlight w:val="none"/>
        </w:rPr>
        <w:t>名称</w:t>
      </w:r>
      <w:r>
        <w:rPr>
          <w:rFonts w:hint="eastAsia" w:ascii="宋体" w:hAnsi="宋体"/>
          <w:color w:val="auto"/>
          <w:sz w:val="24"/>
          <w:szCs w:val="21"/>
          <w:highlight w:val="none"/>
        </w:rPr>
        <w:t>）招标文件，正式授权______(被授权人姓名)代表我方______________（投标人的名称），全权处理本次项目投标的有关事宜。</w:t>
      </w:r>
    </w:p>
    <w:p w14:paraId="187EDE97">
      <w:pPr>
        <w:adjustRightInd w:val="0"/>
        <w:spacing w:line="420" w:lineRule="exact"/>
        <w:ind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据此函，__________（</w:t>
      </w:r>
      <w:r>
        <w:rPr>
          <w:rFonts w:hint="eastAsia" w:ascii="宋体" w:hAnsi="宋体"/>
          <w:b/>
          <w:bCs/>
          <w:color w:val="auto"/>
          <w:sz w:val="24"/>
          <w:szCs w:val="21"/>
          <w:highlight w:val="none"/>
        </w:rPr>
        <w:t>被授权人签字</w:t>
      </w:r>
      <w:r>
        <w:rPr>
          <w:rFonts w:hint="eastAsia" w:ascii="宋体" w:hAnsi="宋体"/>
          <w:color w:val="auto"/>
          <w:sz w:val="24"/>
          <w:szCs w:val="21"/>
          <w:highlight w:val="none"/>
        </w:rPr>
        <w:t>）兹宣布同意如下：</w:t>
      </w:r>
    </w:p>
    <w:p w14:paraId="4596C216">
      <w:pPr>
        <w:adjustRightInd w:val="0"/>
        <w:spacing w:line="420" w:lineRule="exact"/>
        <w:ind w:firstLine="48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1.按招标文件规定的各项要求，向买方提供所需货物、服务（包含与货物相关的服务及与服务相关的货物）。</w:t>
      </w:r>
    </w:p>
    <w:p w14:paraId="0CC978F1">
      <w:pPr>
        <w:adjustRightInd w:val="0"/>
        <w:spacing w:line="420" w:lineRule="exact"/>
        <w:ind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2.我们完全理解贵方不一定将合同授予最低报价的投标人。</w:t>
      </w:r>
    </w:p>
    <w:p w14:paraId="317E2099">
      <w:pPr>
        <w:adjustRightInd w:val="0"/>
        <w:spacing w:line="420" w:lineRule="exact"/>
        <w:ind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3.我们已详细审核全部招标文件及其有效补充文件，我们知道必须放弃提出含糊不清或误解问题的权利。</w:t>
      </w:r>
    </w:p>
    <w:p w14:paraId="19249655">
      <w:pPr>
        <w:adjustRightInd w:val="0"/>
        <w:spacing w:line="420" w:lineRule="exact"/>
        <w:ind w:firstLine="48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4.我们同意从规定的开标日期起遵循本投标文件，并在规定的投标有效期期满之前均具有约束力。</w:t>
      </w:r>
    </w:p>
    <w:p w14:paraId="73AE970A">
      <w:pPr>
        <w:adjustRightInd w:val="0"/>
        <w:spacing w:line="420" w:lineRule="exact"/>
        <w:ind w:firstLine="480"/>
        <w:jc w:val="left"/>
        <w:textAlignment w:val="baseline"/>
        <w:rPr>
          <w:rFonts w:hint="eastAsia" w:ascii="宋体" w:hAnsi="宋体"/>
          <w:color w:val="auto"/>
          <w:sz w:val="24"/>
          <w:szCs w:val="21"/>
          <w:highlight w:val="none"/>
        </w:rPr>
      </w:pPr>
      <w:r>
        <w:rPr>
          <w:rFonts w:ascii="宋体" w:hAnsi="宋体"/>
          <w:color w:val="auto"/>
          <w:sz w:val="24"/>
          <w:szCs w:val="21"/>
          <w:highlight w:val="none"/>
        </w:rPr>
        <w:t>5</w:t>
      </w:r>
      <w:r>
        <w:rPr>
          <w:rFonts w:hint="eastAsia" w:ascii="宋体" w:hAnsi="宋体"/>
          <w:color w:val="auto"/>
          <w:sz w:val="24"/>
          <w:szCs w:val="21"/>
          <w:highlight w:val="none"/>
        </w:rPr>
        <w:t>.同意向贵方提供贵方可能另外要求的与投标有关的任何证据或资料，并保证我方已提供和将要提供的文件是真实的、准确的。</w:t>
      </w:r>
    </w:p>
    <w:p w14:paraId="29422DB7">
      <w:pPr>
        <w:adjustRightInd w:val="0"/>
        <w:spacing w:line="420" w:lineRule="exact"/>
        <w:ind w:firstLine="480"/>
        <w:jc w:val="left"/>
        <w:textAlignment w:val="baseline"/>
        <w:rPr>
          <w:rFonts w:hint="eastAsia" w:ascii="宋体" w:hAnsi="宋体"/>
          <w:color w:val="auto"/>
          <w:sz w:val="24"/>
          <w:szCs w:val="21"/>
          <w:highlight w:val="none"/>
        </w:rPr>
      </w:pPr>
      <w:r>
        <w:rPr>
          <w:rFonts w:ascii="宋体" w:hAnsi="宋体"/>
          <w:color w:val="auto"/>
          <w:sz w:val="24"/>
          <w:szCs w:val="21"/>
          <w:highlight w:val="none"/>
        </w:rPr>
        <w:t>6</w:t>
      </w:r>
      <w:r>
        <w:rPr>
          <w:rFonts w:hint="eastAsia" w:ascii="宋体" w:hAnsi="宋体"/>
          <w:color w:val="auto"/>
          <w:sz w:val="24"/>
          <w:szCs w:val="21"/>
          <w:highlight w:val="none"/>
        </w:rPr>
        <w:t>.一旦我方中标,我方将根据招标文件的规定，严格履行合同的责任和义务,并保证在招标文件规定的时间完成项目，交付买方验收、使用。</w:t>
      </w:r>
    </w:p>
    <w:p w14:paraId="4BB29E46">
      <w:pPr>
        <w:adjustRightInd w:val="0"/>
        <w:spacing w:line="420" w:lineRule="exact"/>
        <w:ind w:firstLine="480" w:firstLineChars="200"/>
        <w:jc w:val="left"/>
        <w:textAlignment w:val="baseline"/>
        <w:rPr>
          <w:rFonts w:hint="eastAsia" w:ascii="宋体" w:hAnsi="宋体"/>
          <w:color w:val="auto"/>
          <w:sz w:val="24"/>
          <w:szCs w:val="21"/>
          <w:highlight w:val="none"/>
        </w:rPr>
      </w:pPr>
      <w:r>
        <w:rPr>
          <w:rFonts w:ascii="宋体" w:hAnsi="宋体"/>
          <w:color w:val="auto"/>
          <w:sz w:val="24"/>
          <w:szCs w:val="21"/>
          <w:highlight w:val="none"/>
        </w:rPr>
        <w:t>7</w:t>
      </w:r>
      <w:r>
        <w:rPr>
          <w:rFonts w:hint="eastAsia" w:ascii="宋体" w:hAnsi="宋体"/>
          <w:color w:val="auto"/>
          <w:sz w:val="24"/>
          <w:szCs w:val="21"/>
          <w:highlight w:val="none"/>
        </w:rPr>
        <w:t>.与本投标有关的正式通讯地址为：</w:t>
      </w:r>
    </w:p>
    <w:p w14:paraId="4D14F6D8">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p>
    <w:p w14:paraId="509C7054">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p>
    <w:p w14:paraId="43169816">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地          址：</w:t>
      </w:r>
    </w:p>
    <w:p w14:paraId="7E6E83AD">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邮          编：</w:t>
      </w:r>
    </w:p>
    <w:p w14:paraId="38C9E7A2">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电          话：</w:t>
      </w:r>
    </w:p>
    <w:p w14:paraId="7E097278">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传          真：</w:t>
      </w:r>
    </w:p>
    <w:p w14:paraId="45504E5D">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投标人开户行：</w:t>
      </w:r>
    </w:p>
    <w:p w14:paraId="062C2972">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账          号：</w:t>
      </w:r>
    </w:p>
    <w:p w14:paraId="1B464DF9">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日           期：________年____月____日</w:t>
      </w:r>
    </w:p>
    <w:p w14:paraId="38A0DAD0">
      <w:pPr>
        <w:snapToGrid w:val="0"/>
        <w:spacing w:line="300" w:lineRule="auto"/>
        <w:contextualSpacing/>
        <w:jc w:val="center"/>
        <w:rPr>
          <w:rFonts w:hint="eastAsia" w:ascii="宋体" w:hAnsi="宋体" w:cs="宋体"/>
          <w:b/>
          <w:color w:val="auto"/>
          <w:sz w:val="32"/>
          <w:szCs w:val="32"/>
          <w:highlight w:val="none"/>
        </w:rPr>
      </w:pPr>
    </w:p>
    <w:p w14:paraId="384436B6">
      <w:pPr>
        <w:snapToGrid w:val="0"/>
        <w:spacing w:line="300" w:lineRule="auto"/>
        <w:contextualSpacing/>
        <w:jc w:val="center"/>
        <w:rPr>
          <w:rFonts w:hint="eastAsia" w:ascii="宋体" w:hAnsi="宋体" w:cs="宋体"/>
          <w:b/>
          <w:color w:val="auto"/>
          <w:sz w:val="32"/>
          <w:szCs w:val="32"/>
          <w:highlight w:val="none"/>
        </w:rPr>
      </w:pPr>
    </w:p>
    <w:p w14:paraId="7D62A222">
      <w:pPr>
        <w:snapToGrid w:val="0"/>
        <w:spacing w:line="300" w:lineRule="auto"/>
        <w:contextualSpacing/>
        <w:jc w:val="center"/>
        <w:rPr>
          <w:rFonts w:hint="eastAsia" w:ascii="宋体" w:hAnsi="宋体" w:cs="宋体"/>
          <w:b/>
          <w:color w:val="auto"/>
          <w:sz w:val="32"/>
          <w:szCs w:val="32"/>
          <w:highlight w:val="none"/>
        </w:rPr>
      </w:pPr>
    </w:p>
    <w:p w14:paraId="511E9388">
      <w:pPr>
        <w:snapToGrid w:val="0"/>
        <w:spacing w:line="400" w:lineRule="exact"/>
        <w:contextualSpacing/>
        <w:rPr>
          <w:rFonts w:hint="eastAsia" w:ascii="宋体" w:hAnsi="宋体" w:cs="宋体"/>
          <w:color w:val="auto"/>
          <w:kern w:val="0"/>
          <w:sz w:val="32"/>
          <w:szCs w:val="32"/>
          <w:highlight w:val="none"/>
        </w:rPr>
      </w:pPr>
    </w:p>
    <w:p w14:paraId="793FC93E">
      <w:pPr>
        <w:snapToGrid w:val="0"/>
        <w:spacing w:line="400" w:lineRule="exact"/>
        <w:contextualSpacing/>
        <w:rPr>
          <w:rFonts w:hint="default" w:ascii="宋体" w:hAnsi="宋体" w:eastAsia="宋体" w:cs="宋体"/>
          <w:b/>
          <w:color w:val="auto"/>
          <w:sz w:val="32"/>
          <w:szCs w:val="32"/>
          <w:highlight w:val="none"/>
          <w:lang w:val="en-US" w:eastAsia="zh-CN"/>
        </w:rPr>
      </w:pPr>
      <w:r>
        <w:rPr>
          <w:rFonts w:hint="eastAsia" w:ascii="宋体" w:hAnsi="宋体" w:cs="宋体"/>
          <w:color w:val="auto"/>
          <w:kern w:val="0"/>
          <w:sz w:val="32"/>
          <w:szCs w:val="32"/>
          <w:highlight w:val="none"/>
        </w:rPr>
        <w:t>附件</w:t>
      </w:r>
      <w:r>
        <w:rPr>
          <w:rFonts w:hint="eastAsia" w:ascii="宋体" w:hAnsi="宋体" w:cs="宋体"/>
          <w:color w:val="auto"/>
          <w:kern w:val="0"/>
          <w:sz w:val="32"/>
          <w:szCs w:val="32"/>
          <w:highlight w:val="none"/>
          <w:lang w:val="en-US" w:eastAsia="zh-CN"/>
        </w:rPr>
        <w:t>5</w:t>
      </w:r>
    </w:p>
    <w:p w14:paraId="673639E8">
      <w:pPr>
        <w:snapToGrid w:val="0"/>
        <w:spacing w:line="30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商务部分正负偏离表</w:t>
      </w:r>
    </w:p>
    <w:p w14:paraId="2658658E">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（由投标人据实填写，表格不够自行添加）</w:t>
      </w: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6865B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83CBE1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3D56745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8B92516">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1D098C8">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2A81F7B1">
            <w:pPr>
              <w:spacing w:line="340" w:lineRule="exact"/>
              <w:jc w:val="center"/>
              <w:rPr>
                <w:rFonts w:ascii="宋体" w:hAnsi="宋体" w:cs="宋体"/>
                <w:color w:val="auto"/>
                <w:sz w:val="24"/>
                <w:highlight w:val="none"/>
              </w:rPr>
            </w:pPr>
          </w:p>
          <w:p w14:paraId="5707FC45">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06C0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1C5053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4CFC4">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C835711">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5AFD7E0">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5F9AF1F">
            <w:pPr>
              <w:spacing w:line="340" w:lineRule="exact"/>
              <w:jc w:val="left"/>
              <w:rPr>
                <w:rFonts w:ascii="宋体" w:hAnsi="宋体" w:cs="宋体"/>
                <w:color w:val="auto"/>
                <w:sz w:val="24"/>
                <w:highlight w:val="none"/>
              </w:rPr>
            </w:pPr>
          </w:p>
        </w:tc>
      </w:tr>
      <w:tr w14:paraId="4D42B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70F414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F492B26">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509142A">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8577468">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E19C260">
            <w:pPr>
              <w:spacing w:line="340" w:lineRule="exact"/>
              <w:jc w:val="left"/>
              <w:rPr>
                <w:rFonts w:ascii="宋体" w:hAnsi="宋体" w:cs="宋体"/>
                <w:color w:val="auto"/>
                <w:sz w:val="24"/>
                <w:highlight w:val="none"/>
              </w:rPr>
            </w:pPr>
          </w:p>
        </w:tc>
      </w:tr>
      <w:tr w14:paraId="5E619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142BD35C">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0583E1F">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5412F7">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8685032">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4D94610">
            <w:pPr>
              <w:spacing w:line="340" w:lineRule="exact"/>
              <w:jc w:val="left"/>
              <w:rPr>
                <w:rFonts w:ascii="宋体" w:hAnsi="宋体" w:cs="宋体"/>
                <w:color w:val="auto"/>
                <w:sz w:val="24"/>
                <w:highlight w:val="none"/>
              </w:rPr>
            </w:pPr>
          </w:p>
        </w:tc>
      </w:tr>
      <w:tr w14:paraId="4A2DD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175923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6761FC3">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CAD845C">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7BB9577">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261BA1E">
            <w:pPr>
              <w:spacing w:line="340" w:lineRule="exact"/>
              <w:jc w:val="left"/>
              <w:rPr>
                <w:rFonts w:ascii="宋体" w:hAnsi="宋体" w:cs="宋体"/>
                <w:color w:val="auto"/>
                <w:sz w:val="24"/>
                <w:highlight w:val="none"/>
              </w:rPr>
            </w:pPr>
          </w:p>
        </w:tc>
      </w:tr>
    </w:tbl>
    <w:p w14:paraId="5C15030A">
      <w:pPr>
        <w:snapToGrid w:val="0"/>
        <w:spacing w:line="300" w:lineRule="auto"/>
        <w:contextualSpacing/>
        <w:rPr>
          <w:rFonts w:ascii="宋体" w:hAnsi="宋体" w:cs="宋体"/>
          <w:b/>
          <w:color w:val="auto"/>
          <w:sz w:val="24"/>
          <w:highlight w:val="none"/>
        </w:rPr>
      </w:pPr>
      <w:r>
        <w:rPr>
          <w:rFonts w:hint="eastAsia" w:ascii="宋体" w:hAnsi="宋体" w:cs="宋体"/>
          <w:b/>
          <w:color w:val="auto"/>
          <w:sz w:val="24"/>
          <w:highlight w:val="none"/>
        </w:rPr>
        <w:t>注：</w:t>
      </w:r>
    </w:p>
    <w:p w14:paraId="2D22908B">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1.投标人提交的投标文件中与招标文件第三部分“项目需求”中的商务部分的要求，应逐条填列在偏离表中。</w:t>
      </w:r>
    </w:p>
    <w:p w14:paraId="220FEC48">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2.“偏离说明”一栏选择“正偏离”、“无偏离”、“负偏离”进行填写。正偏离、无偏离的确认和负偏离的是否响应招标文件，由评委认定。</w:t>
      </w:r>
    </w:p>
    <w:p w14:paraId="57E83A15">
      <w:pPr>
        <w:snapToGrid w:val="0"/>
        <w:spacing w:line="30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3.供应商若提供其他增值服务，可以在表中自行据实填写。</w:t>
      </w:r>
    </w:p>
    <w:p w14:paraId="03090CC0">
      <w:pPr>
        <w:snapToGrid w:val="0"/>
        <w:spacing w:line="400" w:lineRule="exact"/>
        <w:ind w:firstLine="540" w:firstLineChars="192"/>
        <w:contextualSpacing/>
        <w:rPr>
          <w:rFonts w:ascii="宋体" w:hAnsi="宋体" w:cs="宋体"/>
          <w:b/>
          <w:color w:val="auto"/>
          <w:kern w:val="0"/>
          <w:sz w:val="28"/>
          <w:szCs w:val="28"/>
          <w:highlight w:val="none"/>
        </w:rPr>
      </w:pPr>
    </w:p>
    <w:p w14:paraId="0D3AE26B">
      <w:pPr>
        <w:snapToGrid w:val="0"/>
        <w:spacing w:line="400" w:lineRule="exact"/>
        <w:ind w:firstLine="540" w:firstLineChars="192"/>
        <w:contextualSpacing/>
        <w:rPr>
          <w:rFonts w:ascii="宋体" w:hAnsi="宋体" w:cs="宋体"/>
          <w:b/>
          <w:color w:val="auto"/>
          <w:kern w:val="0"/>
          <w:sz w:val="28"/>
          <w:szCs w:val="28"/>
          <w:highlight w:val="none"/>
        </w:rPr>
      </w:pPr>
    </w:p>
    <w:p w14:paraId="270CCCFC">
      <w:pPr>
        <w:snapToGrid w:val="0"/>
        <w:spacing w:line="400" w:lineRule="exact"/>
        <w:ind w:firstLine="540" w:firstLineChars="192"/>
        <w:contextualSpacing/>
        <w:rPr>
          <w:rFonts w:ascii="宋体" w:hAnsi="宋体" w:cs="宋体"/>
          <w:b/>
          <w:color w:val="auto"/>
          <w:kern w:val="0"/>
          <w:sz w:val="28"/>
          <w:szCs w:val="28"/>
          <w:highlight w:val="none"/>
        </w:rPr>
      </w:pPr>
    </w:p>
    <w:p w14:paraId="3120AD2A">
      <w:pPr>
        <w:snapToGrid w:val="0"/>
        <w:spacing w:line="400" w:lineRule="exact"/>
        <w:ind w:firstLine="540" w:firstLineChars="192"/>
        <w:contextualSpacing/>
        <w:rPr>
          <w:rFonts w:ascii="宋体" w:hAnsi="宋体" w:cs="宋体"/>
          <w:b/>
          <w:color w:val="auto"/>
          <w:kern w:val="0"/>
          <w:sz w:val="28"/>
          <w:szCs w:val="28"/>
          <w:highlight w:val="none"/>
        </w:rPr>
      </w:pPr>
    </w:p>
    <w:p w14:paraId="4D9FF5BE">
      <w:pPr>
        <w:snapToGrid w:val="0"/>
        <w:spacing w:line="400" w:lineRule="exact"/>
        <w:ind w:firstLine="540" w:firstLineChars="192"/>
        <w:contextualSpacing/>
        <w:rPr>
          <w:rFonts w:ascii="宋体" w:hAnsi="宋体" w:cs="宋体"/>
          <w:b/>
          <w:color w:val="auto"/>
          <w:kern w:val="0"/>
          <w:sz w:val="28"/>
          <w:szCs w:val="28"/>
          <w:highlight w:val="none"/>
        </w:rPr>
      </w:pPr>
    </w:p>
    <w:p w14:paraId="0CA3552D">
      <w:pPr>
        <w:snapToGrid w:val="0"/>
        <w:spacing w:line="400" w:lineRule="exact"/>
        <w:ind w:firstLine="540" w:firstLineChars="192"/>
        <w:contextualSpacing/>
        <w:rPr>
          <w:rFonts w:ascii="宋体" w:hAnsi="宋体" w:cs="宋体"/>
          <w:b/>
          <w:color w:val="auto"/>
          <w:kern w:val="0"/>
          <w:sz w:val="28"/>
          <w:szCs w:val="28"/>
          <w:highlight w:val="none"/>
        </w:rPr>
      </w:pPr>
    </w:p>
    <w:p w14:paraId="710764BB">
      <w:pPr>
        <w:snapToGrid w:val="0"/>
        <w:spacing w:line="400" w:lineRule="exact"/>
        <w:ind w:firstLine="540" w:firstLineChars="192"/>
        <w:contextualSpacing/>
        <w:rPr>
          <w:rFonts w:ascii="宋体" w:hAnsi="宋体" w:cs="宋体"/>
          <w:b/>
          <w:color w:val="auto"/>
          <w:kern w:val="0"/>
          <w:sz w:val="28"/>
          <w:szCs w:val="28"/>
          <w:highlight w:val="none"/>
        </w:rPr>
      </w:pPr>
    </w:p>
    <w:p w14:paraId="43B03B6A">
      <w:pPr>
        <w:snapToGrid w:val="0"/>
        <w:spacing w:line="400" w:lineRule="exact"/>
        <w:ind w:firstLine="540" w:firstLineChars="192"/>
        <w:contextualSpacing/>
        <w:rPr>
          <w:rFonts w:ascii="宋体" w:hAnsi="宋体" w:cs="宋体"/>
          <w:b/>
          <w:color w:val="auto"/>
          <w:kern w:val="0"/>
          <w:sz w:val="28"/>
          <w:szCs w:val="28"/>
          <w:highlight w:val="none"/>
        </w:rPr>
      </w:pPr>
    </w:p>
    <w:p w14:paraId="5AE4377C">
      <w:pPr>
        <w:snapToGrid w:val="0"/>
        <w:spacing w:line="400" w:lineRule="exact"/>
        <w:ind w:firstLine="540" w:firstLineChars="192"/>
        <w:contextualSpacing/>
        <w:rPr>
          <w:rFonts w:ascii="宋体" w:hAnsi="宋体" w:cs="宋体"/>
          <w:b/>
          <w:color w:val="auto"/>
          <w:kern w:val="0"/>
          <w:sz w:val="28"/>
          <w:szCs w:val="28"/>
          <w:highlight w:val="none"/>
        </w:rPr>
      </w:pPr>
    </w:p>
    <w:p w14:paraId="0031720F">
      <w:pPr>
        <w:snapToGrid w:val="0"/>
        <w:spacing w:line="400" w:lineRule="exact"/>
        <w:ind w:firstLine="540" w:firstLineChars="192"/>
        <w:contextualSpacing/>
        <w:rPr>
          <w:rFonts w:ascii="宋体" w:hAnsi="宋体" w:cs="宋体"/>
          <w:b/>
          <w:color w:val="auto"/>
          <w:kern w:val="0"/>
          <w:sz w:val="28"/>
          <w:szCs w:val="28"/>
          <w:highlight w:val="none"/>
        </w:rPr>
      </w:pPr>
    </w:p>
    <w:p w14:paraId="03F14D0B">
      <w:pPr>
        <w:snapToGrid w:val="0"/>
        <w:spacing w:line="400" w:lineRule="exact"/>
        <w:ind w:firstLine="540" w:firstLineChars="192"/>
        <w:contextualSpacing/>
        <w:rPr>
          <w:rFonts w:ascii="宋体" w:hAnsi="宋体" w:cs="宋体"/>
          <w:b/>
          <w:color w:val="auto"/>
          <w:kern w:val="0"/>
          <w:sz w:val="28"/>
          <w:szCs w:val="28"/>
          <w:highlight w:val="none"/>
        </w:rPr>
      </w:pPr>
    </w:p>
    <w:p w14:paraId="5B255D30">
      <w:pPr>
        <w:snapToGrid w:val="0"/>
        <w:spacing w:line="400" w:lineRule="exact"/>
        <w:ind w:firstLine="540" w:firstLineChars="192"/>
        <w:contextualSpacing/>
        <w:rPr>
          <w:rFonts w:ascii="宋体" w:hAnsi="宋体" w:cs="宋体"/>
          <w:b/>
          <w:color w:val="auto"/>
          <w:kern w:val="0"/>
          <w:sz w:val="28"/>
          <w:szCs w:val="28"/>
          <w:highlight w:val="none"/>
        </w:rPr>
      </w:pPr>
    </w:p>
    <w:p w14:paraId="4374D982">
      <w:pPr>
        <w:snapToGrid w:val="0"/>
        <w:spacing w:line="400" w:lineRule="exact"/>
        <w:ind w:firstLine="540" w:firstLineChars="192"/>
        <w:contextualSpacing/>
        <w:rPr>
          <w:rFonts w:ascii="宋体" w:hAnsi="宋体" w:cs="宋体"/>
          <w:b/>
          <w:color w:val="auto"/>
          <w:kern w:val="0"/>
          <w:sz w:val="28"/>
          <w:szCs w:val="28"/>
          <w:highlight w:val="none"/>
        </w:rPr>
      </w:pPr>
    </w:p>
    <w:p w14:paraId="74C92677">
      <w:pPr>
        <w:snapToGrid w:val="0"/>
        <w:spacing w:line="400" w:lineRule="exact"/>
        <w:ind w:firstLine="540" w:firstLineChars="192"/>
        <w:contextualSpacing/>
        <w:rPr>
          <w:rFonts w:ascii="宋体" w:hAnsi="宋体" w:cs="宋体"/>
          <w:b/>
          <w:color w:val="auto"/>
          <w:kern w:val="0"/>
          <w:sz w:val="28"/>
          <w:szCs w:val="28"/>
          <w:highlight w:val="none"/>
        </w:rPr>
      </w:pPr>
    </w:p>
    <w:p w14:paraId="63D5A60E">
      <w:pPr>
        <w:snapToGrid w:val="0"/>
        <w:spacing w:line="400" w:lineRule="exact"/>
        <w:ind w:firstLine="540" w:firstLineChars="192"/>
        <w:contextualSpacing/>
        <w:rPr>
          <w:rFonts w:ascii="宋体" w:hAnsi="宋体" w:cs="宋体"/>
          <w:b/>
          <w:color w:val="auto"/>
          <w:kern w:val="0"/>
          <w:sz w:val="28"/>
          <w:szCs w:val="28"/>
          <w:highlight w:val="none"/>
        </w:rPr>
      </w:pPr>
    </w:p>
    <w:p w14:paraId="20B20BF1">
      <w:pPr>
        <w:snapToGrid w:val="0"/>
        <w:spacing w:line="400" w:lineRule="exact"/>
        <w:contextualSpacing/>
        <w:rPr>
          <w:rFonts w:hint="eastAsia" w:ascii="宋体" w:hAnsi="宋体" w:eastAsia="宋体" w:cs="宋体"/>
          <w:color w:val="auto"/>
          <w:kern w:val="0"/>
          <w:sz w:val="32"/>
          <w:szCs w:val="32"/>
          <w:highlight w:val="none"/>
          <w:lang w:eastAsia="zh-CN"/>
        </w:rPr>
      </w:pPr>
      <w:r>
        <w:rPr>
          <w:rFonts w:hint="eastAsia" w:ascii="宋体" w:hAnsi="宋体" w:cs="宋体"/>
          <w:color w:val="auto"/>
          <w:kern w:val="0"/>
          <w:sz w:val="32"/>
          <w:szCs w:val="32"/>
          <w:highlight w:val="none"/>
        </w:rPr>
        <w:t>附件</w:t>
      </w:r>
      <w:r>
        <w:rPr>
          <w:rFonts w:hint="eastAsia" w:ascii="宋体" w:hAnsi="宋体" w:cs="宋体"/>
          <w:color w:val="auto"/>
          <w:kern w:val="0"/>
          <w:sz w:val="32"/>
          <w:szCs w:val="32"/>
          <w:highlight w:val="none"/>
          <w:lang w:val="en-US" w:eastAsia="zh-CN"/>
        </w:rPr>
        <w:t>6</w:t>
      </w:r>
    </w:p>
    <w:p w14:paraId="6980EFA5">
      <w:pPr>
        <w:snapToGrid w:val="0"/>
        <w:spacing w:line="30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技术部分正负偏离表</w:t>
      </w:r>
    </w:p>
    <w:p w14:paraId="127677A4">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（由投标人据实填写，表格不够自行添加）</w:t>
      </w: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4C254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5D89B3A">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1C7F94E">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2FB3FB2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26B5FA0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2E44CA1D">
            <w:pPr>
              <w:spacing w:line="340" w:lineRule="exact"/>
              <w:jc w:val="center"/>
              <w:rPr>
                <w:rFonts w:ascii="宋体" w:hAnsi="宋体" w:cs="宋体"/>
                <w:color w:val="auto"/>
                <w:sz w:val="24"/>
                <w:highlight w:val="none"/>
              </w:rPr>
            </w:pPr>
          </w:p>
          <w:p w14:paraId="200A7488">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3191E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4E6820B7">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0BBBFB4E">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5A48540">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398BEA4">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5D683FA">
            <w:pPr>
              <w:spacing w:line="340" w:lineRule="exact"/>
              <w:jc w:val="left"/>
              <w:rPr>
                <w:rFonts w:ascii="宋体" w:hAnsi="宋体" w:cs="宋体"/>
                <w:color w:val="auto"/>
                <w:sz w:val="24"/>
                <w:highlight w:val="none"/>
              </w:rPr>
            </w:pPr>
          </w:p>
        </w:tc>
      </w:tr>
      <w:tr w14:paraId="472DF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50994B9">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1B9B5181">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092829A">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FA92562">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70C1FD5">
            <w:pPr>
              <w:spacing w:line="340" w:lineRule="exact"/>
              <w:jc w:val="left"/>
              <w:rPr>
                <w:rFonts w:ascii="宋体" w:hAnsi="宋体" w:cs="宋体"/>
                <w:color w:val="auto"/>
                <w:sz w:val="24"/>
                <w:highlight w:val="none"/>
              </w:rPr>
            </w:pPr>
          </w:p>
        </w:tc>
      </w:tr>
      <w:tr w14:paraId="076C2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8B6C3C7">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268190C5">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39BA97C">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5C1E4AC">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A6E602B">
            <w:pPr>
              <w:spacing w:line="340" w:lineRule="exact"/>
              <w:jc w:val="left"/>
              <w:rPr>
                <w:rFonts w:ascii="宋体" w:hAnsi="宋体" w:cs="宋体"/>
                <w:color w:val="auto"/>
                <w:sz w:val="24"/>
                <w:highlight w:val="none"/>
              </w:rPr>
            </w:pPr>
          </w:p>
        </w:tc>
      </w:tr>
      <w:tr w14:paraId="1FECA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B5EE47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626F12AD">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A2C5D33">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3004C02">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D70EACD">
            <w:pPr>
              <w:spacing w:line="340" w:lineRule="exact"/>
              <w:jc w:val="left"/>
              <w:rPr>
                <w:rFonts w:ascii="宋体" w:hAnsi="宋体" w:cs="宋体"/>
                <w:color w:val="auto"/>
                <w:sz w:val="24"/>
                <w:highlight w:val="none"/>
              </w:rPr>
            </w:pPr>
          </w:p>
        </w:tc>
      </w:tr>
    </w:tbl>
    <w:p w14:paraId="53E57D15">
      <w:pPr>
        <w:snapToGrid w:val="0"/>
        <w:spacing w:line="300" w:lineRule="auto"/>
        <w:contextualSpacing/>
        <w:rPr>
          <w:rFonts w:ascii="宋体" w:hAnsi="宋体" w:cs="宋体"/>
          <w:b/>
          <w:color w:val="auto"/>
          <w:sz w:val="24"/>
          <w:highlight w:val="none"/>
        </w:rPr>
      </w:pPr>
      <w:r>
        <w:rPr>
          <w:rFonts w:hint="eastAsia" w:ascii="宋体" w:hAnsi="宋体" w:cs="宋体"/>
          <w:b/>
          <w:color w:val="auto"/>
          <w:sz w:val="24"/>
          <w:highlight w:val="none"/>
        </w:rPr>
        <w:t>注：</w:t>
      </w:r>
    </w:p>
    <w:p w14:paraId="25FC6D31">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1.投标人提交的投标文件中与招标文件第三部分“项目需求”中的技术部分的要求，应逐条填列在偏离表中。</w:t>
      </w:r>
    </w:p>
    <w:p w14:paraId="5FF5AD1E">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2.“偏离说明”一栏选择“正偏离”、“无偏离”、“负偏离”进行填写。正偏离、无偏离的确认和负偏离的是否响应招标文件，由评委认定。</w:t>
      </w:r>
    </w:p>
    <w:p w14:paraId="6EFF3A34">
      <w:pPr>
        <w:snapToGrid w:val="0"/>
        <w:spacing w:line="30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3.供应商若提供其他增值服务，可以在表中自行据实填写。</w:t>
      </w:r>
    </w:p>
    <w:p w14:paraId="5068C2B8">
      <w:pPr>
        <w:snapToGrid w:val="0"/>
        <w:spacing w:line="400" w:lineRule="exact"/>
        <w:ind w:firstLine="540" w:firstLineChars="192"/>
        <w:contextualSpacing/>
        <w:rPr>
          <w:rFonts w:ascii="宋体" w:hAnsi="宋体" w:cs="宋体"/>
          <w:b/>
          <w:color w:val="auto"/>
          <w:kern w:val="0"/>
          <w:sz w:val="28"/>
          <w:szCs w:val="28"/>
          <w:highlight w:val="none"/>
        </w:rPr>
      </w:pPr>
    </w:p>
    <w:p w14:paraId="5E02E0FD">
      <w:pPr>
        <w:snapToGrid w:val="0"/>
        <w:spacing w:line="400" w:lineRule="exact"/>
        <w:ind w:firstLine="540" w:firstLineChars="192"/>
        <w:contextualSpacing/>
        <w:rPr>
          <w:rFonts w:ascii="宋体" w:hAnsi="宋体" w:cs="宋体"/>
          <w:b/>
          <w:color w:val="auto"/>
          <w:kern w:val="0"/>
          <w:sz w:val="28"/>
          <w:szCs w:val="28"/>
          <w:highlight w:val="none"/>
        </w:rPr>
      </w:pPr>
    </w:p>
    <w:p w14:paraId="2F7E2313">
      <w:pPr>
        <w:snapToGrid w:val="0"/>
        <w:spacing w:line="400" w:lineRule="exact"/>
        <w:ind w:firstLine="540" w:firstLineChars="192"/>
        <w:contextualSpacing/>
        <w:rPr>
          <w:rFonts w:ascii="宋体" w:hAnsi="宋体" w:cs="宋体"/>
          <w:b/>
          <w:color w:val="auto"/>
          <w:kern w:val="0"/>
          <w:sz w:val="28"/>
          <w:szCs w:val="28"/>
          <w:highlight w:val="none"/>
        </w:rPr>
      </w:pPr>
    </w:p>
    <w:p w14:paraId="15146F97">
      <w:pPr>
        <w:snapToGrid w:val="0"/>
        <w:spacing w:line="400" w:lineRule="exact"/>
        <w:ind w:firstLine="540" w:firstLineChars="192"/>
        <w:contextualSpacing/>
        <w:rPr>
          <w:rFonts w:ascii="宋体" w:hAnsi="宋体" w:cs="宋体"/>
          <w:b/>
          <w:color w:val="auto"/>
          <w:kern w:val="0"/>
          <w:sz w:val="28"/>
          <w:szCs w:val="28"/>
          <w:highlight w:val="none"/>
        </w:rPr>
      </w:pPr>
    </w:p>
    <w:p w14:paraId="4C09A59C">
      <w:pPr>
        <w:snapToGrid w:val="0"/>
        <w:spacing w:line="400" w:lineRule="exact"/>
        <w:ind w:firstLine="540" w:firstLineChars="192"/>
        <w:contextualSpacing/>
        <w:rPr>
          <w:rFonts w:ascii="宋体" w:hAnsi="宋体" w:cs="宋体"/>
          <w:b/>
          <w:color w:val="auto"/>
          <w:kern w:val="0"/>
          <w:sz w:val="28"/>
          <w:szCs w:val="28"/>
          <w:highlight w:val="none"/>
        </w:rPr>
      </w:pPr>
    </w:p>
    <w:p w14:paraId="29231C87">
      <w:pPr>
        <w:snapToGrid w:val="0"/>
        <w:spacing w:line="400" w:lineRule="exact"/>
        <w:ind w:firstLine="540" w:firstLineChars="192"/>
        <w:contextualSpacing/>
        <w:rPr>
          <w:rFonts w:ascii="宋体" w:hAnsi="宋体" w:cs="宋体"/>
          <w:b/>
          <w:color w:val="auto"/>
          <w:kern w:val="0"/>
          <w:sz w:val="28"/>
          <w:szCs w:val="28"/>
          <w:highlight w:val="none"/>
        </w:rPr>
      </w:pPr>
    </w:p>
    <w:p w14:paraId="430A2C21">
      <w:pPr>
        <w:snapToGrid w:val="0"/>
        <w:spacing w:line="400" w:lineRule="exact"/>
        <w:ind w:firstLine="540" w:firstLineChars="192"/>
        <w:contextualSpacing/>
        <w:rPr>
          <w:rFonts w:ascii="宋体" w:hAnsi="宋体" w:cs="宋体"/>
          <w:b/>
          <w:color w:val="auto"/>
          <w:kern w:val="0"/>
          <w:sz w:val="28"/>
          <w:szCs w:val="28"/>
          <w:highlight w:val="none"/>
        </w:rPr>
      </w:pPr>
    </w:p>
    <w:p w14:paraId="784BB398">
      <w:pPr>
        <w:snapToGrid w:val="0"/>
        <w:spacing w:line="400" w:lineRule="exact"/>
        <w:ind w:firstLine="540" w:firstLineChars="192"/>
        <w:contextualSpacing/>
        <w:rPr>
          <w:rFonts w:ascii="宋体" w:hAnsi="宋体" w:cs="宋体"/>
          <w:b/>
          <w:color w:val="auto"/>
          <w:kern w:val="0"/>
          <w:sz w:val="28"/>
          <w:szCs w:val="28"/>
          <w:highlight w:val="none"/>
        </w:rPr>
      </w:pPr>
    </w:p>
    <w:p w14:paraId="0B35C49C">
      <w:pPr>
        <w:snapToGrid w:val="0"/>
        <w:spacing w:line="400" w:lineRule="exact"/>
        <w:ind w:firstLine="540" w:firstLineChars="192"/>
        <w:contextualSpacing/>
        <w:rPr>
          <w:rFonts w:ascii="宋体" w:hAnsi="宋体" w:cs="宋体"/>
          <w:b/>
          <w:color w:val="auto"/>
          <w:kern w:val="0"/>
          <w:sz w:val="28"/>
          <w:szCs w:val="28"/>
          <w:highlight w:val="none"/>
        </w:rPr>
      </w:pPr>
    </w:p>
    <w:p w14:paraId="28C447DA">
      <w:pPr>
        <w:snapToGrid w:val="0"/>
        <w:spacing w:line="400" w:lineRule="exact"/>
        <w:ind w:firstLine="540" w:firstLineChars="192"/>
        <w:contextualSpacing/>
        <w:rPr>
          <w:rFonts w:ascii="宋体" w:hAnsi="宋体" w:cs="宋体"/>
          <w:b/>
          <w:color w:val="auto"/>
          <w:kern w:val="0"/>
          <w:sz w:val="28"/>
          <w:szCs w:val="28"/>
          <w:highlight w:val="none"/>
        </w:rPr>
      </w:pPr>
    </w:p>
    <w:p w14:paraId="0D052BFF">
      <w:pPr>
        <w:snapToGrid w:val="0"/>
        <w:spacing w:line="400" w:lineRule="exact"/>
        <w:ind w:firstLine="540" w:firstLineChars="192"/>
        <w:contextualSpacing/>
        <w:rPr>
          <w:rFonts w:ascii="宋体" w:hAnsi="宋体" w:cs="宋体"/>
          <w:b/>
          <w:color w:val="auto"/>
          <w:kern w:val="0"/>
          <w:sz w:val="28"/>
          <w:szCs w:val="28"/>
          <w:highlight w:val="none"/>
        </w:rPr>
      </w:pPr>
    </w:p>
    <w:p w14:paraId="1A759926">
      <w:pPr>
        <w:snapToGrid w:val="0"/>
        <w:spacing w:line="400" w:lineRule="exact"/>
        <w:ind w:firstLine="540" w:firstLineChars="192"/>
        <w:contextualSpacing/>
        <w:rPr>
          <w:rFonts w:ascii="宋体" w:hAnsi="宋体" w:cs="宋体"/>
          <w:b/>
          <w:color w:val="auto"/>
          <w:kern w:val="0"/>
          <w:sz w:val="28"/>
          <w:szCs w:val="28"/>
          <w:highlight w:val="none"/>
        </w:rPr>
      </w:pPr>
    </w:p>
    <w:p w14:paraId="2C811388">
      <w:pPr>
        <w:snapToGrid w:val="0"/>
        <w:spacing w:line="400" w:lineRule="exact"/>
        <w:ind w:firstLine="540" w:firstLineChars="192"/>
        <w:contextualSpacing/>
        <w:rPr>
          <w:rFonts w:ascii="宋体" w:hAnsi="宋体" w:cs="宋体"/>
          <w:b/>
          <w:color w:val="auto"/>
          <w:kern w:val="0"/>
          <w:sz w:val="28"/>
          <w:szCs w:val="28"/>
          <w:highlight w:val="none"/>
        </w:rPr>
      </w:pPr>
    </w:p>
    <w:p w14:paraId="6ED7223E">
      <w:pPr>
        <w:snapToGrid w:val="0"/>
        <w:spacing w:line="400" w:lineRule="exact"/>
        <w:ind w:firstLine="540" w:firstLineChars="192"/>
        <w:contextualSpacing/>
        <w:rPr>
          <w:rFonts w:ascii="宋体" w:hAnsi="宋体" w:cs="宋体"/>
          <w:b/>
          <w:color w:val="auto"/>
          <w:kern w:val="0"/>
          <w:sz w:val="28"/>
          <w:szCs w:val="28"/>
          <w:highlight w:val="none"/>
        </w:rPr>
      </w:pPr>
    </w:p>
    <w:p w14:paraId="4E499C8F">
      <w:pPr>
        <w:snapToGrid w:val="0"/>
        <w:spacing w:line="400" w:lineRule="exact"/>
        <w:ind w:firstLine="540" w:firstLineChars="192"/>
        <w:contextualSpacing/>
        <w:rPr>
          <w:rFonts w:ascii="宋体" w:hAnsi="宋体" w:cs="宋体"/>
          <w:b/>
          <w:color w:val="auto"/>
          <w:kern w:val="0"/>
          <w:sz w:val="28"/>
          <w:szCs w:val="28"/>
          <w:highlight w:val="none"/>
        </w:rPr>
      </w:pPr>
    </w:p>
    <w:p w14:paraId="7907F37C">
      <w:pPr>
        <w:snapToGrid w:val="0"/>
        <w:spacing w:line="400" w:lineRule="exact"/>
        <w:ind w:firstLine="540" w:firstLineChars="192"/>
        <w:contextualSpacing/>
        <w:rPr>
          <w:rFonts w:ascii="宋体" w:hAnsi="宋体" w:cs="宋体"/>
          <w:b/>
          <w:color w:val="auto"/>
          <w:kern w:val="0"/>
          <w:sz w:val="28"/>
          <w:szCs w:val="28"/>
          <w:highlight w:val="none"/>
        </w:rPr>
      </w:pPr>
    </w:p>
    <w:p w14:paraId="4114DE92">
      <w:pPr>
        <w:snapToGrid w:val="0"/>
        <w:spacing w:line="400" w:lineRule="exact"/>
        <w:ind w:firstLine="540" w:firstLineChars="192"/>
        <w:contextualSpacing/>
        <w:rPr>
          <w:rFonts w:ascii="宋体" w:hAnsi="宋体" w:cs="宋体"/>
          <w:b/>
          <w:color w:val="auto"/>
          <w:kern w:val="0"/>
          <w:sz w:val="28"/>
          <w:szCs w:val="28"/>
          <w:highlight w:val="none"/>
        </w:rPr>
      </w:pPr>
    </w:p>
    <w:p w14:paraId="58AB7110">
      <w:pPr>
        <w:snapToGrid w:val="0"/>
        <w:spacing w:line="400" w:lineRule="exact"/>
        <w:ind w:firstLine="540" w:firstLineChars="192"/>
        <w:contextualSpacing/>
        <w:rPr>
          <w:rFonts w:ascii="宋体" w:hAnsi="宋体" w:cs="宋体"/>
          <w:b/>
          <w:color w:val="auto"/>
          <w:kern w:val="0"/>
          <w:sz w:val="28"/>
          <w:szCs w:val="28"/>
          <w:highlight w:val="none"/>
        </w:rPr>
      </w:pPr>
    </w:p>
    <w:p w14:paraId="441D4D7A">
      <w:pPr>
        <w:snapToGrid w:val="0"/>
        <w:spacing w:line="400" w:lineRule="exact"/>
        <w:contextualSpacing/>
        <w:rPr>
          <w:rFonts w:hint="eastAsia" w:ascii="宋体" w:hAnsi="宋体" w:eastAsia="宋体" w:cs="宋体"/>
          <w:color w:val="auto"/>
          <w:kern w:val="0"/>
          <w:sz w:val="32"/>
          <w:szCs w:val="32"/>
          <w:highlight w:val="none"/>
          <w:lang w:eastAsia="zh-CN"/>
        </w:rPr>
      </w:pPr>
      <w:r>
        <w:rPr>
          <w:rFonts w:hint="eastAsia" w:ascii="宋体" w:hAnsi="宋体" w:cs="宋体"/>
          <w:color w:val="auto"/>
          <w:kern w:val="0"/>
          <w:sz w:val="32"/>
          <w:szCs w:val="32"/>
          <w:highlight w:val="none"/>
        </w:rPr>
        <w:t>附件</w:t>
      </w:r>
      <w:r>
        <w:rPr>
          <w:rFonts w:hint="eastAsia" w:ascii="宋体" w:hAnsi="宋体" w:cs="宋体"/>
          <w:color w:val="auto"/>
          <w:kern w:val="0"/>
          <w:sz w:val="32"/>
          <w:szCs w:val="32"/>
          <w:highlight w:val="none"/>
          <w:lang w:val="en-US" w:eastAsia="zh-CN"/>
        </w:rPr>
        <w:t>7</w:t>
      </w:r>
    </w:p>
    <w:p w14:paraId="2D58E031">
      <w:pPr>
        <w:widowControl/>
        <w:spacing w:before="100" w:beforeAutospacing="1" w:after="100" w:afterAutospacing="1" w:line="500" w:lineRule="atLeast"/>
        <w:jc w:val="center"/>
        <w:rPr>
          <w:rFonts w:hint="eastAsia" w:ascii="宋体" w:hAnsi="宋体" w:cs="宋体"/>
          <w:b w:val="0"/>
          <w:bCs w:val="0"/>
          <w:i/>
          <w:iCs/>
          <w:color w:val="auto"/>
          <w:sz w:val="28"/>
          <w:szCs w:val="28"/>
          <w:highlight w:val="none"/>
          <w:u w:val="single"/>
          <w:lang w:eastAsia="zh-CN"/>
        </w:rPr>
      </w:pPr>
      <w:r>
        <w:rPr>
          <w:rFonts w:hint="eastAsia" w:ascii="宋体" w:hAnsi="宋体" w:cs="宋体"/>
          <w:b/>
          <w:bCs/>
          <w:color w:val="auto"/>
          <w:kern w:val="0"/>
          <w:sz w:val="32"/>
          <w:szCs w:val="32"/>
          <w:highlight w:val="none"/>
        </w:rPr>
        <w:t>开  标 一 览  表</w:t>
      </w:r>
    </w:p>
    <w:tbl>
      <w:tblPr>
        <w:tblStyle w:val="30"/>
        <w:tblW w:w="8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2"/>
        <w:gridCol w:w="4290"/>
        <w:gridCol w:w="1436"/>
      </w:tblGrid>
      <w:tr w14:paraId="6B5C6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3162" w:type="dxa"/>
            <w:tcBorders>
              <w:top w:val="single" w:color="000000" w:sz="4" w:space="0"/>
              <w:left w:val="single" w:color="000000" w:sz="4" w:space="0"/>
              <w:bottom w:val="single" w:color="000000" w:sz="4" w:space="0"/>
              <w:right w:val="single" w:color="000000" w:sz="4" w:space="0"/>
            </w:tcBorders>
            <w:noWrap w:val="0"/>
            <w:vAlign w:val="center"/>
          </w:tcPr>
          <w:p w14:paraId="7D3C5C58">
            <w:pPr>
              <w:widowControl/>
              <w:snapToGrid w:val="0"/>
              <w:spacing w:line="460" w:lineRule="exact"/>
              <w:jc w:val="center"/>
              <w:textAlignment w:val="baseline"/>
              <w:rPr>
                <w:rFonts w:hint="eastAsia" w:ascii="宋体" w:hAnsi="宋体" w:eastAsia="宋体"/>
                <w:b/>
                <w:sz w:val="24"/>
                <w:szCs w:val="24"/>
                <w:lang w:eastAsia="zh-CN"/>
              </w:rPr>
            </w:pPr>
            <w:r>
              <w:rPr>
                <w:rFonts w:hint="eastAsia" w:ascii="宋体" w:hAnsi="宋体"/>
                <w:b/>
                <w:sz w:val="24"/>
                <w:szCs w:val="24"/>
              </w:rPr>
              <w:t>采购</w:t>
            </w:r>
            <w:r>
              <w:rPr>
                <w:rFonts w:hint="eastAsia" w:ascii="宋体" w:hAnsi="宋体"/>
                <w:b/>
                <w:sz w:val="24"/>
                <w:szCs w:val="24"/>
                <w:lang w:eastAsia="zh-CN"/>
              </w:rPr>
              <w:t>项目</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7D4634AA">
            <w:pPr>
              <w:widowControl/>
              <w:snapToGrid w:val="0"/>
              <w:spacing w:line="460" w:lineRule="exact"/>
              <w:jc w:val="center"/>
              <w:textAlignment w:val="baseline"/>
              <w:rPr>
                <w:rFonts w:hint="eastAsia" w:ascii="宋体" w:hAnsi="宋体"/>
                <w:b/>
                <w:sz w:val="24"/>
                <w:szCs w:val="24"/>
              </w:rPr>
            </w:pPr>
            <w:r>
              <w:rPr>
                <w:rFonts w:hint="eastAsia" w:ascii="宋体" w:hAnsi="宋体"/>
                <w:b/>
                <w:sz w:val="24"/>
                <w:szCs w:val="24"/>
              </w:rPr>
              <w:t>报价</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77DD16B">
            <w:pPr>
              <w:widowControl/>
              <w:snapToGrid w:val="0"/>
              <w:spacing w:line="460" w:lineRule="exact"/>
              <w:jc w:val="center"/>
              <w:textAlignment w:val="baseline"/>
              <w:rPr>
                <w:rFonts w:ascii="宋体" w:hAnsi="宋体"/>
                <w:b/>
                <w:bCs/>
                <w:sz w:val="24"/>
                <w:szCs w:val="24"/>
              </w:rPr>
            </w:pPr>
            <w:r>
              <w:rPr>
                <w:rFonts w:hint="eastAsia" w:ascii="宋体" w:hAnsi="宋体"/>
                <w:b/>
                <w:bCs/>
                <w:sz w:val="24"/>
                <w:szCs w:val="24"/>
              </w:rPr>
              <w:t>备注</w:t>
            </w:r>
          </w:p>
        </w:tc>
      </w:tr>
      <w:tr w14:paraId="46308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3" w:hRule="atLeast"/>
          <w:jc w:val="center"/>
        </w:trPr>
        <w:tc>
          <w:tcPr>
            <w:tcW w:w="3162" w:type="dxa"/>
            <w:tcBorders>
              <w:top w:val="single" w:color="000000" w:sz="4" w:space="0"/>
              <w:left w:val="single" w:color="000000" w:sz="4" w:space="0"/>
              <w:right w:val="single" w:color="000000" w:sz="4" w:space="0"/>
            </w:tcBorders>
            <w:noWrap w:val="0"/>
            <w:vAlign w:val="center"/>
          </w:tcPr>
          <w:p w14:paraId="514896AA">
            <w:pPr>
              <w:widowControl/>
              <w:spacing w:line="400" w:lineRule="exact"/>
              <w:jc w:val="center"/>
              <w:textAlignment w:val="baseline"/>
              <w:rPr>
                <w:rFonts w:hint="eastAsia" w:ascii="宋体" w:hAnsi="宋体"/>
                <w:sz w:val="24"/>
                <w:szCs w:val="24"/>
                <w:lang w:eastAsia="zh-CN"/>
              </w:rPr>
            </w:pPr>
            <w:r>
              <w:rPr>
                <w:rFonts w:hint="eastAsia" w:ascii="宋体" w:hAnsi="宋体"/>
                <w:sz w:val="24"/>
                <w:szCs w:val="24"/>
                <w:lang w:eastAsia="zh-CN"/>
              </w:rPr>
              <w:t>启东市二、三级河道“水域状况”评价项目</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BB0021F">
            <w:pPr>
              <w:spacing w:line="400" w:lineRule="exact"/>
              <w:ind w:firstLine="720" w:firstLineChars="300"/>
              <w:jc w:val="both"/>
              <w:textAlignment w:val="baseline"/>
              <w:rPr>
                <w:rFonts w:hint="eastAsia" w:ascii="宋体" w:hAnsi="宋体"/>
                <w:sz w:val="24"/>
                <w:szCs w:val="24"/>
                <w:lang w:eastAsia="zh-CN"/>
              </w:rPr>
            </w:pPr>
            <w:r>
              <w:rPr>
                <w:rFonts w:hint="eastAsia" w:ascii="宋体" w:hAnsi="宋体"/>
                <w:sz w:val="24"/>
                <w:szCs w:val="24"/>
                <w:lang w:eastAsia="zh-CN"/>
              </w:rPr>
              <w:t>大写：</w:t>
            </w:r>
          </w:p>
          <w:p w14:paraId="5C17544D">
            <w:pPr>
              <w:spacing w:line="400" w:lineRule="exact"/>
              <w:jc w:val="center"/>
              <w:textAlignment w:val="baseline"/>
              <w:rPr>
                <w:rFonts w:ascii="宋体" w:hAnsi="宋体"/>
                <w:sz w:val="24"/>
                <w:szCs w:val="24"/>
              </w:rPr>
            </w:pPr>
            <w:r>
              <w:rPr>
                <w:rFonts w:hint="eastAsia" w:ascii="宋体" w:hAnsi="宋体"/>
                <w:sz w:val="24"/>
                <w:szCs w:val="24"/>
                <w:lang w:eastAsia="zh-CN"/>
              </w:rPr>
              <w:t>小写：</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元</w:t>
            </w:r>
            <w:r>
              <w:rPr>
                <w:rFonts w:ascii="宋体" w:hAnsi="宋体"/>
                <w:sz w:val="24"/>
                <w:szCs w:val="24"/>
              </w:rPr>
              <w:t xml:space="preserve"> </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2CCDEED">
            <w:pPr>
              <w:widowControl/>
              <w:spacing w:line="400" w:lineRule="exact"/>
              <w:jc w:val="center"/>
              <w:textAlignment w:val="baseline"/>
              <w:rPr>
                <w:rFonts w:ascii="宋体" w:hAnsi="宋体"/>
                <w:sz w:val="24"/>
                <w:szCs w:val="24"/>
              </w:rPr>
            </w:pPr>
          </w:p>
        </w:tc>
      </w:tr>
    </w:tbl>
    <w:p w14:paraId="1DADCDC6">
      <w:pPr>
        <w:snapToGrid w:val="0"/>
        <w:spacing w:line="400" w:lineRule="exact"/>
        <w:contextualSpacing/>
        <w:rPr>
          <w:rFonts w:hint="eastAsia" w:ascii="宋体" w:hAnsi="宋体" w:cs="宋体"/>
          <w:b w:val="0"/>
          <w:bCs w:val="0"/>
          <w:i/>
          <w:iCs/>
          <w:color w:val="auto"/>
          <w:sz w:val="28"/>
          <w:szCs w:val="28"/>
          <w:highlight w:val="none"/>
          <w:u w:val="single"/>
          <w:lang w:eastAsia="zh-CN"/>
        </w:rPr>
      </w:pPr>
    </w:p>
    <w:p w14:paraId="50A6ED20">
      <w:pPr>
        <w:snapToGrid w:val="0"/>
        <w:spacing w:line="400" w:lineRule="exact"/>
        <w:contextualSpacing/>
        <w:rPr>
          <w:rFonts w:hint="eastAsia" w:ascii="宋体" w:hAnsi="宋体" w:cs="宋体"/>
          <w:b w:val="0"/>
          <w:bCs w:val="0"/>
          <w:i/>
          <w:iCs/>
          <w:color w:val="auto"/>
          <w:sz w:val="28"/>
          <w:szCs w:val="28"/>
          <w:highlight w:val="none"/>
          <w:u w:val="single"/>
          <w:lang w:eastAsia="zh-CN"/>
        </w:rPr>
      </w:pPr>
    </w:p>
    <w:p w14:paraId="3302DAA0">
      <w:pPr>
        <w:snapToGrid w:val="0"/>
        <w:spacing w:line="400" w:lineRule="exact"/>
        <w:contextualSpacing/>
        <w:rPr>
          <w:rFonts w:hint="eastAsia" w:ascii="宋体" w:hAnsi="宋体" w:cs="宋体"/>
          <w:b w:val="0"/>
          <w:bCs w:val="0"/>
          <w:i/>
          <w:iCs/>
          <w:color w:val="auto"/>
          <w:sz w:val="28"/>
          <w:szCs w:val="28"/>
          <w:highlight w:val="none"/>
          <w:u w:val="single"/>
          <w:lang w:eastAsia="zh-CN"/>
        </w:rPr>
      </w:pPr>
    </w:p>
    <w:p w14:paraId="297EAD4E">
      <w:pPr>
        <w:snapToGrid w:val="0"/>
        <w:spacing w:line="400" w:lineRule="exact"/>
        <w:contextualSpacing/>
        <w:rPr>
          <w:rFonts w:ascii="宋体" w:hAnsi="宋体" w:cs="宋体"/>
          <w:b/>
          <w:color w:val="auto"/>
          <w:kern w:val="0"/>
          <w:sz w:val="28"/>
          <w:szCs w:val="28"/>
          <w:highlight w:val="none"/>
        </w:rPr>
      </w:pPr>
      <w:r>
        <w:rPr>
          <w:rFonts w:hint="eastAsia" w:ascii="宋体" w:hAnsi="宋体" w:cs="宋体"/>
          <w:b w:val="0"/>
          <w:bCs w:val="0"/>
          <w:i/>
          <w:iCs/>
          <w:color w:val="auto"/>
          <w:sz w:val="28"/>
          <w:szCs w:val="28"/>
          <w:highlight w:val="none"/>
          <w:u w:val="single"/>
          <w:lang w:eastAsia="zh-CN"/>
        </w:rPr>
        <w:t>本报表须机打并加盖报价单位公章，手填无效。</w:t>
      </w:r>
    </w:p>
    <w:p w14:paraId="7BCB5D8D">
      <w:pPr>
        <w:snapToGrid w:val="0"/>
        <w:spacing w:line="400" w:lineRule="exact"/>
        <w:ind w:firstLine="540" w:firstLineChars="192"/>
        <w:contextualSpacing/>
        <w:rPr>
          <w:rFonts w:ascii="宋体" w:hAnsi="宋体" w:cs="宋体"/>
          <w:b/>
          <w:color w:val="auto"/>
          <w:kern w:val="0"/>
          <w:sz w:val="28"/>
          <w:szCs w:val="28"/>
          <w:highlight w:val="none"/>
        </w:rPr>
      </w:pPr>
    </w:p>
    <w:p w14:paraId="61C20E06">
      <w:pPr>
        <w:pStyle w:val="15"/>
        <w:rPr>
          <w:rFonts w:ascii="宋体" w:hAnsi="宋体" w:cs="宋体"/>
          <w:b/>
          <w:color w:val="auto"/>
          <w:kern w:val="0"/>
          <w:sz w:val="28"/>
          <w:szCs w:val="28"/>
          <w:highlight w:val="none"/>
        </w:rPr>
      </w:pPr>
    </w:p>
    <w:p w14:paraId="491FEE43">
      <w:pPr>
        <w:rPr>
          <w:color w:val="auto"/>
          <w:highlight w:val="none"/>
        </w:rPr>
      </w:pPr>
    </w:p>
    <w:p w14:paraId="3E7D10AF">
      <w:pPr>
        <w:keepNext w:val="0"/>
        <w:keepLines w:val="0"/>
        <w:pageBreakBefore w:val="0"/>
        <w:widowControl w:val="0"/>
        <w:tabs>
          <w:tab w:val="left" w:pos="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供应商名称（全称并加盖公章）：</w:t>
      </w:r>
      <w:r>
        <w:rPr>
          <w:rFonts w:hint="eastAsia" w:ascii="宋体" w:hAnsi="宋体" w:cs="宋体"/>
          <w:color w:val="auto"/>
          <w:sz w:val="28"/>
          <w:szCs w:val="28"/>
          <w:highlight w:val="none"/>
          <w:u w:val="single"/>
        </w:rPr>
        <w:t xml:space="preserve">                  </w:t>
      </w:r>
    </w:p>
    <w:p w14:paraId="7FA31EAA">
      <w:pPr>
        <w:keepNext w:val="0"/>
        <w:keepLines w:val="0"/>
        <w:pageBreakBefore w:val="0"/>
        <w:widowControl w:val="0"/>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法定代表人或被授权人（签字或盖章）：                  </w:t>
      </w:r>
    </w:p>
    <w:p w14:paraId="6A0174AA">
      <w:pPr>
        <w:keepNext w:val="0"/>
        <w:keepLines w:val="0"/>
        <w:pageBreakBefore w:val="0"/>
        <w:widowControl w:val="0"/>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203DA8A">
      <w:pPr>
        <w:keepNext w:val="0"/>
        <w:keepLines w:val="0"/>
        <w:pageBreakBefore w:val="0"/>
        <w:widowControl w:val="0"/>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1AF9E7B">
      <w:pPr>
        <w:snapToGrid w:val="0"/>
        <w:spacing w:line="400" w:lineRule="exact"/>
        <w:ind w:firstLine="540" w:firstLineChars="192"/>
        <w:contextualSpacing/>
        <w:rPr>
          <w:rFonts w:ascii="宋体" w:hAnsi="宋体" w:cs="宋体"/>
          <w:b/>
          <w:color w:val="auto"/>
          <w:kern w:val="0"/>
          <w:sz w:val="28"/>
          <w:szCs w:val="28"/>
          <w:highlight w:val="none"/>
        </w:rPr>
      </w:pPr>
    </w:p>
    <w:p w14:paraId="095FB425">
      <w:pPr>
        <w:snapToGrid w:val="0"/>
        <w:spacing w:line="400" w:lineRule="exact"/>
        <w:ind w:firstLine="540" w:firstLineChars="192"/>
        <w:contextualSpacing/>
        <w:rPr>
          <w:rFonts w:ascii="宋体" w:hAnsi="宋体" w:cs="宋体"/>
          <w:b/>
          <w:color w:val="auto"/>
          <w:kern w:val="0"/>
          <w:sz w:val="28"/>
          <w:szCs w:val="28"/>
          <w:highlight w:val="none"/>
        </w:rPr>
      </w:pPr>
    </w:p>
    <w:p w14:paraId="378EB2A7">
      <w:pPr>
        <w:snapToGrid w:val="0"/>
        <w:spacing w:line="400" w:lineRule="exact"/>
        <w:ind w:firstLine="540" w:firstLineChars="192"/>
        <w:contextualSpacing/>
        <w:rPr>
          <w:rFonts w:ascii="宋体" w:hAnsi="宋体" w:cs="宋体"/>
          <w:b/>
          <w:color w:val="auto"/>
          <w:kern w:val="0"/>
          <w:sz w:val="28"/>
          <w:szCs w:val="28"/>
          <w:highlight w:val="none"/>
        </w:rPr>
      </w:pPr>
    </w:p>
    <w:p w14:paraId="786887E2">
      <w:pPr>
        <w:snapToGrid w:val="0"/>
        <w:spacing w:line="400" w:lineRule="exact"/>
        <w:ind w:firstLine="540" w:firstLineChars="192"/>
        <w:contextualSpacing/>
        <w:rPr>
          <w:rFonts w:ascii="宋体" w:hAnsi="宋体" w:cs="宋体"/>
          <w:b/>
          <w:color w:val="auto"/>
          <w:kern w:val="0"/>
          <w:sz w:val="28"/>
          <w:szCs w:val="28"/>
          <w:highlight w:val="none"/>
        </w:rPr>
      </w:pPr>
    </w:p>
    <w:p w14:paraId="5D31D36C">
      <w:pPr>
        <w:snapToGrid w:val="0"/>
        <w:spacing w:line="400" w:lineRule="exact"/>
        <w:contextualSpacing/>
        <w:rPr>
          <w:rFonts w:ascii="宋体" w:hAnsi="宋体" w:cs="宋体"/>
          <w:b/>
          <w:color w:val="auto"/>
          <w:kern w:val="0"/>
          <w:sz w:val="28"/>
          <w:szCs w:val="28"/>
          <w:highlight w:val="none"/>
        </w:rPr>
      </w:pPr>
    </w:p>
    <w:p w14:paraId="5B88CCD8">
      <w:pPr>
        <w:snapToGrid w:val="0"/>
        <w:spacing w:line="400" w:lineRule="exact"/>
        <w:contextualSpacing/>
        <w:rPr>
          <w:rFonts w:ascii="宋体" w:hAnsi="宋体" w:cs="宋体"/>
          <w:color w:val="auto"/>
          <w:kern w:val="0"/>
          <w:sz w:val="32"/>
          <w:szCs w:val="32"/>
          <w:highlight w:val="none"/>
        </w:rPr>
      </w:pPr>
    </w:p>
    <w:p w14:paraId="2A2768EA">
      <w:pPr>
        <w:snapToGrid w:val="0"/>
        <w:spacing w:line="400" w:lineRule="exact"/>
        <w:contextualSpacing/>
        <w:rPr>
          <w:rFonts w:ascii="宋体" w:hAnsi="宋体" w:cs="宋体"/>
          <w:color w:val="auto"/>
          <w:kern w:val="0"/>
          <w:sz w:val="32"/>
          <w:szCs w:val="32"/>
          <w:highlight w:val="none"/>
        </w:rPr>
      </w:pPr>
    </w:p>
    <w:p w14:paraId="44F0A8CE">
      <w:pPr>
        <w:snapToGrid w:val="0"/>
        <w:spacing w:line="400" w:lineRule="exact"/>
        <w:contextualSpacing/>
        <w:rPr>
          <w:rFonts w:ascii="宋体" w:hAnsi="宋体" w:cs="宋体"/>
          <w:color w:val="auto"/>
          <w:kern w:val="0"/>
          <w:sz w:val="32"/>
          <w:szCs w:val="32"/>
          <w:highlight w:val="none"/>
        </w:rPr>
      </w:pPr>
    </w:p>
    <w:p w14:paraId="7AC62284">
      <w:pPr>
        <w:snapToGrid w:val="0"/>
        <w:spacing w:line="300" w:lineRule="auto"/>
        <w:jc w:val="both"/>
        <w:outlineLvl w:val="0"/>
        <w:rPr>
          <w:rFonts w:hint="eastAsia" w:ascii="宋体" w:hAnsi="宋体" w:cs="宋体"/>
          <w:color w:val="auto"/>
          <w:kern w:val="0"/>
          <w:sz w:val="32"/>
          <w:szCs w:val="32"/>
          <w:highlight w:val="none"/>
        </w:rPr>
      </w:pPr>
    </w:p>
    <w:p w14:paraId="3CB1390F">
      <w:pPr>
        <w:snapToGrid w:val="0"/>
        <w:spacing w:line="300" w:lineRule="auto"/>
        <w:jc w:val="both"/>
        <w:outlineLvl w:val="0"/>
        <w:rPr>
          <w:rFonts w:hint="eastAsia" w:ascii="宋体" w:hAnsi="宋体" w:cs="宋体"/>
          <w:color w:val="auto"/>
          <w:kern w:val="0"/>
          <w:sz w:val="32"/>
          <w:szCs w:val="32"/>
          <w:highlight w:val="none"/>
        </w:rPr>
      </w:pPr>
    </w:p>
    <w:p w14:paraId="70C45A49">
      <w:pPr>
        <w:snapToGrid w:val="0"/>
        <w:spacing w:line="300" w:lineRule="auto"/>
        <w:jc w:val="both"/>
        <w:outlineLvl w:val="0"/>
        <w:rPr>
          <w:rFonts w:hint="default" w:ascii="宋体" w:hAnsi="宋体" w:eastAsia="宋体" w:cs="宋体"/>
          <w:color w:val="auto"/>
          <w:sz w:val="28"/>
          <w:szCs w:val="28"/>
          <w:highlight w:val="none"/>
          <w:lang w:val="en-US" w:eastAsia="zh-CN" w:bidi="zh-CN"/>
        </w:rPr>
      </w:pPr>
      <w:r>
        <w:rPr>
          <w:rFonts w:hint="eastAsia" w:ascii="宋体" w:hAnsi="宋体" w:cs="宋体"/>
          <w:color w:val="auto"/>
          <w:kern w:val="0"/>
          <w:sz w:val="32"/>
          <w:szCs w:val="32"/>
          <w:highlight w:val="none"/>
        </w:rPr>
        <w:t>附件</w:t>
      </w:r>
      <w:r>
        <w:rPr>
          <w:rFonts w:hint="eastAsia" w:ascii="宋体" w:hAnsi="宋体" w:cs="宋体"/>
          <w:color w:val="auto"/>
          <w:kern w:val="0"/>
          <w:sz w:val="32"/>
          <w:szCs w:val="32"/>
          <w:highlight w:val="none"/>
          <w:lang w:val="en-US" w:eastAsia="zh-CN"/>
        </w:rPr>
        <w:t>8</w:t>
      </w:r>
    </w:p>
    <w:p w14:paraId="20CB14BF">
      <w:pPr>
        <w:snapToGrid w:val="0"/>
        <w:spacing w:line="300" w:lineRule="auto"/>
        <w:jc w:val="center"/>
        <w:outlineLvl w:val="0"/>
        <w:rPr>
          <w:b/>
          <w:bCs/>
          <w:sz w:val="28"/>
          <w:szCs w:val="28"/>
          <w:lang w:bidi="zh-CN"/>
        </w:rPr>
      </w:pPr>
      <w:r>
        <w:rPr>
          <w:b/>
          <w:bCs/>
          <w:sz w:val="28"/>
          <w:szCs w:val="28"/>
          <w:lang w:bidi="zh-CN"/>
        </w:rPr>
        <w:t>中小企业声明函（工程、服务）</w:t>
      </w:r>
    </w:p>
    <w:p w14:paraId="2CE99672">
      <w:pPr>
        <w:snapToGrid w:val="0"/>
        <w:spacing w:line="360" w:lineRule="auto"/>
        <w:ind w:firstLine="560" w:firstLineChars="200"/>
        <w:outlineLvl w:val="0"/>
        <w:rPr>
          <w:sz w:val="28"/>
          <w:szCs w:val="28"/>
          <w:lang w:bidi="zh-CN"/>
        </w:rPr>
      </w:pPr>
      <w:r>
        <w:rPr>
          <w:sz w:val="28"/>
          <w:szCs w:val="28"/>
          <w:lang w:bidi="zh-CN"/>
        </w:rPr>
        <w:t>本公司（联合体）郑重声明，根据《政府采购促进中小企业发展管理办法》（财库〔2020</w:t>
      </w:r>
      <w:r>
        <w:rPr>
          <w:rFonts w:hint="eastAsia"/>
          <w:sz w:val="28"/>
          <w:szCs w:val="28"/>
          <w:lang w:bidi="zh-CN"/>
        </w:rPr>
        <w:t>〕</w:t>
      </w:r>
      <w:r>
        <w:rPr>
          <w:sz w:val="28"/>
          <w:szCs w:val="28"/>
          <w:lang w:bidi="zh-CN"/>
        </w:rPr>
        <w:t>46号）的规定，本公司（联合体）参加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采购活动，工程的施工单位全部为符合政策要求的中小</w:t>
      </w:r>
      <w:r>
        <w:rPr>
          <w:rFonts w:hint="eastAsia"/>
          <w:sz w:val="28"/>
          <w:szCs w:val="28"/>
          <w:lang w:bidi="zh-CN"/>
        </w:rPr>
        <w:t>微</w:t>
      </w:r>
      <w:r>
        <w:rPr>
          <w:sz w:val="28"/>
          <w:szCs w:val="28"/>
          <w:lang w:bidi="zh-CN"/>
        </w:rPr>
        <w:t>企业（或者：服务全部由符合政策要求的中小</w:t>
      </w:r>
      <w:r>
        <w:rPr>
          <w:rFonts w:hint="eastAsia"/>
          <w:sz w:val="28"/>
          <w:szCs w:val="28"/>
          <w:lang w:bidi="zh-CN"/>
        </w:rPr>
        <w:t>微</w:t>
      </w:r>
      <w:r>
        <w:rPr>
          <w:sz w:val="28"/>
          <w:szCs w:val="28"/>
          <w:lang w:bidi="zh-CN"/>
        </w:rPr>
        <w:t>企业承接）。相关企业（含联合体中的中小</w:t>
      </w:r>
      <w:r>
        <w:rPr>
          <w:rFonts w:hint="eastAsia"/>
          <w:sz w:val="28"/>
          <w:szCs w:val="28"/>
          <w:lang w:bidi="zh-CN"/>
        </w:rPr>
        <w:t>微</w:t>
      </w:r>
      <w:r>
        <w:rPr>
          <w:sz w:val="28"/>
          <w:szCs w:val="28"/>
          <w:lang w:bidi="zh-CN"/>
        </w:rPr>
        <w:t>企业、签订分包意向协议的中小</w:t>
      </w:r>
      <w:r>
        <w:rPr>
          <w:rFonts w:hint="eastAsia"/>
          <w:sz w:val="28"/>
          <w:szCs w:val="28"/>
          <w:lang w:bidi="zh-CN"/>
        </w:rPr>
        <w:t>微</w:t>
      </w:r>
      <w:r>
        <w:rPr>
          <w:sz w:val="28"/>
          <w:szCs w:val="28"/>
          <w:lang w:bidi="zh-CN"/>
        </w:rPr>
        <w:t>企业）的具体情况如下：</w:t>
      </w:r>
    </w:p>
    <w:p w14:paraId="707E7D22">
      <w:pPr>
        <w:snapToGrid w:val="0"/>
        <w:spacing w:line="360" w:lineRule="auto"/>
        <w:jc w:val="left"/>
        <w:outlineLvl w:val="0"/>
        <w:rPr>
          <w:sz w:val="28"/>
          <w:szCs w:val="28"/>
          <w:lang w:bidi="zh-CN"/>
        </w:rPr>
      </w:pPr>
      <w:r>
        <w:rPr>
          <w:rFonts w:hint="eastAsia"/>
          <w:sz w:val="28"/>
          <w:szCs w:val="28"/>
          <w:lang w:bidi="zh-CN"/>
        </w:rPr>
        <w:t>1.</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rFonts w:hint="eastAsia" w:ascii="宋体" w:hAnsi="宋体"/>
          <w:sz w:val="24"/>
          <w:szCs w:val="21"/>
        </w:rPr>
        <w:t>_____</w:t>
      </w:r>
      <w:r>
        <w:rPr>
          <w:sz w:val="28"/>
          <w:szCs w:val="28"/>
          <w:lang w:bidi="zh-CN"/>
        </w:rPr>
        <w:t>人，营业收入为</w:t>
      </w:r>
      <w:r>
        <w:rPr>
          <w:rFonts w:hint="eastAsia" w:ascii="宋体" w:hAnsi="宋体"/>
          <w:sz w:val="24"/>
          <w:szCs w:val="21"/>
        </w:rPr>
        <w:t>_____</w:t>
      </w:r>
      <w:r>
        <w:rPr>
          <w:sz w:val="28"/>
          <w:szCs w:val="28"/>
          <w:lang w:bidi="zh-CN"/>
        </w:rPr>
        <w:t>万元，资产总额为</w:t>
      </w:r>
      <w:r>
        <w:rPr>
          <w:rFonts w:hint="eastAsia" w:ascii="宋体" w:hAnsi="宋体"/>
          <w:sz w:val="24"/>
          <w:szCs w:val="21"/>
        </w:rPr>
        <w:t>_____</w:t>
      </w:r>
      <w:r>
        <w:rPr>
          <w:sz w:val="28"/>
          <w:szCs w:val="28"/>
          <w:lang w:bidi="zh-CN"/>
        </w:rPr>
        <w:t>万元，属于</w:t>
      </w:r>
      <w:r>
        <w:rPr>
          <w:sz w:val="28"/>
          <w:szCs w:val="28"/>
          <w:u w:val="single"/>
          <w:lang w:bidi="zh-CN"/>
        </w:rPr>
        <w:t>（中型企业、小型企业、微型企业）</w:t>
      </w:r>
      <w:r>
        <w:rPr>
          <w:sz w:val="28"/>
          <w:szCs w:val="28"/>
          <w:lang w:bidi="zh-CN"/>
        </w:rPr>
        <w:t>；</w:t>
      </w:r>
    </w:p>
    <w:p w14:paraId="28C170EB">
      <w:pPr>
        <w:snapToGrid w:val="0"/>
        <w:spacing w:line="360" w:lineRule="auto"/>
        <w:jc w:val="left"/>
        <w:outlineLvl w:val="0"/>
        <w:rPr>
          <w:sz w:val="28"/>
          <w:szCs w:val="28"/>
          <w:lang w:bidi="zh-CN"/>
        </w:rPr>
      </w:pPr>
      <w:r>
        <w:rPr>
          <w:rFonts w:hint="eastAsia"/>
          <w:sz w:val="28"/>
          <w:szCs w:val="28"/>
          <w:lang w:bidi="zh-CN"/>
        </w:rPr>
        <w:t>2.</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rFonts w:hint="eastAsia" w:ascii="宋体" w:hAnsi="宋体"/>
          <w:sz w:val="24"/>
          <w:szCs w:val="21"/>
        </w:rPr>
        <w:t>_____</w:t>
      </w:r>
      <w:r>
        <w:rPr>
          <w:sz w:val="28"/>
          <w:szCs w:val="28"/>
          <w:lang w:bidi="zh-CN"/>
        </w:rPr>
        <w:t>人，营业收入为</w:t>
      </w:r>
      <w:r>
        <w:rPr>
          <w:rFonts w:hint="eastAsia" w:ascii="宋体" w:hAnsi="宋体"/>
          <w:sz w:val="24"/>
          <w:szCs w:val="21"/>
        </w:rPr>
        <w:t>_____</w:t>
      </w:r>
      <w:r>
        <w:rPr>
          <w:sz w:val="28"/>
          <w:szCs w:val="28"/>
          <w:lang w:bidi="zh-CN"/>
        </w:rPr>
        <w:t>万元，资产总额为</w:t>
      </w:r>
      <w:r>
        <w:rPr>
          <w:rFonts w:hint="eastAsia" w:ascii="宋体" w:hAnsi="宋体"/>
          <w:sz w:val="24"/>
          <w:szCs w:val="21"/>
        </w:rPr>
        <w:t>_____</w:t>
      </w:r>
      <w:r>
        <w:rPr>
          <w:sz w:val="28"/>
          <w:szCs w:val="28"/>
          <w:lang w:bidi="zh-CN"/>
        </w:rPr>
        <w:t>万元，属于</w:t>
      </w:r>
      <w:r>
        <w:rPr>
          <w:sz w:val="28"/>
          <w:szCs w:val="28"/>
          <w:u w:val="single"/>
          <w:lang w:bidi="zh-CN"/>
        </w:rPr>
        <w:t>（中型企业、小型企业、微型企业）</w:t>
      </w:r>
      <w:r>
        <w:rPr>
          <w:sz w:val="28"/>
          <w:szCs w:val="28"/>
          <w:lang w:bidi="zh-CN"/>
        </w:rPr>
        <w:t>；</w:t>
      </w:r>
    </w:p>
    <w:p w14:paraId="526895BC">
      <w:pPr>
        <w:snapToGrid w:val="0"/>
        <w:spacing w:line="360" w:lineRule="auto"/>
        <w:jc w:val="left"/>
        <w:outlineLvl w:val="0"/>
        <w:rPr>
          <w:sz w:val="28"/>
          <w:szCs w:val="28"/>
          <w:lang w:bidi="zh-CN"/>
        </w:rPr>
      </w:pPr>
      <w:r>
        <w:rPr>
          <w:sz w:val="28"/>
          <w:szCs w:val="28"/>
          <w:lang w:bidi="zh-CN"/>
        </w:rPr>
        <w:t>……</w:t>
      </w:r>
    </w:p>
    <w:p w14:paraId="714A1C31">
      <w:pPr>
        <w:snapToGrid w:val="0"/>
        <w:spacing w:line="360" w:lineRule="auto"/>
        <w:ind w:firstLine="560" w:firstLineChars="20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14:paraId="249EC7AB">
      <w:pPr>
        <w:snapToGrid w:val="0"/>
        <w:spacing w:line="360" w:lineRule="auto"/>
        <w:ind w:firstLine="560" w:firstLineChars="200"/>
        <w:outlineLvl w:val="0"/>
        <w:rPr>
          <w:sz w:val="28"/>
          <w:szCs w:val="28"/>
          <w:lang w:bidi="zh-CN"/>
        </w:rPr>
      </w:pPr>
      <w:r>
        <w:rPr>
          <w:sz w:val="28"/>
          <w:szCs w:val="28"/>
          <w:lang w:bidi="zh-CN"/>
        </w:rPr>
        <w:t>本企业对上述声明内容的真实性负责。如有虚假，将依法承担相应责任。</w:t>
      </w:r>
    </w:p>
    <w:p w14:paraId="7B91685E">
      <w:pPr>
        <w:snapToGrid w:val="0"/>
        <w:spacing w:line="300" w:lineRule="auto"/>
        <w:outlineLvl w:val="0"/>
        <w:rPr>
          <w:rFonts w:hint="eastAsia" w:ascii="宋体" w:hAnsi="宋体" w:cs="宋体"/>
          <w:szCs w:val="21"/>
          <w:lang w:bidi="zh-CN"/>
        </w:rPr>
      </w:pPr>
      <w:r>
        <w:rPr>
          <w:rFonts w:hint="eastAsia" w:ascii="宋体" w:hAnsi="宋体" w:cs="宋体"/>
          <w:szCs w:val="21"/>
          <w:lang w:bidi="zh-CN"/>
        </w:rPr>
        <w:t>注：1.如项目属性为“服务”或“工程”，请按本表填写。</w:t>
      </w:r>
    </w:p>
    <w:p w14:paraId="11EECAF6">
      <w:pPr>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w14:paraId="4C126BBC">
      <w:pPr>
        <w:snapToGrid w:val="0"/>
        <w:spacing w:line="360" w:lineRule="auto"/>
        <w:ind w:firstLine="420" w:firstLineChars="200"/>
        <w:outlineLvl w:val="0"/>
        <w:rPr>
          <w:rFonts w:hint="eastAsia"/>
          <w:sz w:val="28"/>
          <w:szCs w:val="28"/>
          <w:lang w:bidi="zh-CN"/>
        </w:rPr>
      </w:pPr>
      <w:r>
        <w:rPr>
          <w:rFonts w:hint="eastAsia" w:ascii="宋体" w:hAnsi="宋体" w:cs="宋体"/>
          <w:szCs w:val="21"/>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27C7864D">
      <w:pPr>
        <w:snapToGrid w:val="0"/>
        <w:spacing w:line="300" w:lineRule="auto"/>
        <w:outlineLvl w:val="0"/>
        <w:rPr>
          <w:rFonts w:hint="eastAsia"/>
          <w:sz w:val="28"/>
          <w:szCs w:val="28"/>
          <w:lang w:bidi="zh-CN"/>
        </w:rPr>
      </w:pPr>
    </w:p>
    <w:p w14:paraId="6D2AE0A1">
      <w:pPr>
        <w:snapToGrid w:val="0"/>
        <w:spacing w:line="300" w:lineRule="auto"/>
        <w:ind w:firstLine="5040" w:firstLineChars="1800"/>
        <w:outlineLvl w:val="0"/>
        <w:rPr>
          <w:rFonts w:hint="eastAsia"/>
          <w:sz w:val="28"/>
          <w:szCs w:val="28"/>
          <w:lang w:bidi="zh-CN"/>
        </w:rPr>
      </w:pPr>
      <w:r>
        <w:rPr>
          <w:sz w:val="28"/>
          <w:szCs w:val="28"/>
          <w:lang w:bidi="zh-CN"/>
        </w:rPr>
        <w:t>企业名称（盖章）：</w:t>
      </w:r>
    </w:p>
    <w:p w14:paraId="45B6C9FA">
      <w:pPr>
        <w:snapToGrid w:val="0"/>
        <w:spacing w:line="300" w:lineRule="auto"/>
        <w:ind w:firstLine="4900" w:firstLineChars="1750"/>
        <w:outlineLvl w:val="0"/>
        <w:rPr>
          <w:sz w:val="28"/>
          <w:szCs w:val="28"/>
          <w:lang w:bidi="zh-CN"/>
        </w:rPr>
      </w:pPr>
      <w:r>
        <w:rPr>
          <w:sz w:val="28"/>
          <w:szCs w:val="28"/>
          <w:lang w:bidi="zh-CN"/>
        </w:rPr>
        <w:t>日期：</w:t>
      </w:r>
    </w:p>
    <w:p w14:paraId="37C8861A">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9</w:t>
      </w:r>
    </w:p>
    <w:p w14:paraId="22CD565C">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14:paraId="3A76C2C4">
      <w:pPr>
        <w:spacing w:line="58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791AADA5">
      <w:pPr>
        <w:spacing w:line="58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本单位对上述声明的真实性负责。如有虚假，将依法承担相应责任。</w:t>
      </w:r>
    </w:p>
    <w:p w14:paraId="0F8487FC">
      <w:pPr>
        <w:spacing w:line="588" w:lineRule="exact"/>
        <w:ind w:firstLine="560" w:firstLineChars="200"/>
        <w:rPr>
          <w:rFonts w:ascii="宋体" w:hAnsi="宋体" w:cs="宋体"/>
          <w:color w:val="auto"/>
          <w:sz w:val="28"/>
          <w:szCs w:val="28"/>
          <w:highlight w:val="none"/>
        </w:rPr>
      </w:pPr>
    </w:p>
    <w:p w14:paraId="6A617788">
      <w:pPr>
        <w:spacing w:line="588" w:lineRule="exact"/>
        <w:ind w:firstLine="584" w:firstLineChars="200"/>
        <w:rPr>
          <w:rFonts w:ascii="宋体" w:hAnsi="宋体" w:cs="宋体"/>
          <w:color w:val="auto"/>
          <w:spacing w:val="6"/>
          <w:sz w:val="28"/>
          <w:szCs w:val="28"/>
          <w:highlight w:val="none"/>
        </w:rPr>
      </w:pPr>
    </w:p>
    <w:p w14:paraId="383383F5">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2B5A28E5">
      <w:pPr>
        <w:spacing w:line="588" w:lineRule="exact"/>
        <w:ind w:firstLine="560" w:firstLineChars="200"/>
        <w:rPr>
          <w:rFonts w:ascii="宋体" w:hAnsi="宋体" w:cs="宋体"/>
          <w:color w:val="auto"/>
          <w:spacing w:val="6"/>
          <w:sz w:val="28"/>
          <w:szCs w:val="28"/>
          <w:highlight w:val="none"/>
        </w:rPr>
      </w:pPr>
      <w:r>
        <w:rPr>
          <w:rFonts w:hint="eastAsia" w:ascii="宋体" w:hAnsi="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3CDF9955">
      <w:pPr>
        <w:spacing w:line="588" w:lineRule="exact"/>
        <w:ind w:firstLine="584" w:firstLineChars="200"/>
        <w:rPr>
          <w:rFonts w:ascii="宋体" w:hAnsi="宋体" w:cs="宋体"/>
          <w:color w:val="auto"/>
          <w:spacing w:val="6"/>
          <w:sz w:val="28"/>
          <w:szCs w:val="28"/>
          <w:highlight w:val="none"/>
        </w:rPr>
      </w:pPr>
    </w:p>
    <w:p w14:paraId="690A17EF">
      <w:pPr>
        <w:spacing w:line="588" w:lineRule="exact"/>
        <w:ind w:firstLine="584" w:firstLineChars="200"/>
        <w:rPr>
          <w:rFonts w:ascii="宋体" w:hAnsi="宋体" w:cs="宋体"/>
          <w:color w:val="auto"/>
          <w:spacing w:val="6"/>
          <w:sz w:val="28"/>
          <w:szCs w:val="28"/>
          <w:highlight w:val="none"/>
        </w:rPr>
      </w:pPr>
    </w:p>
    <w:p w14:paraId="434525A8">
      <w:pPr>
        <w:tabs>
          <w:tab w:val="left" w:pos="4860"/>
        </w:tabs>
        <w:spacing w:line="588" w:lineRule="exact"/>
        <w:ind w:right="1560" w:firstLine="584" w:firstLineChars="200"/>
        <w:jc w:val="center"/>
        <w:rPr>
          <w:rFonts w:ascii="宋体" w:hAnsi="宋体" w:cs="宋体"/>
          <w:color w:val="auto"/>
          <w:sz w:val="28"/>
          <w:szCs w:val="28"/>
          <w:highlight w:val="none"/>
        </w:rPr>
      </w:pPr>
      <w:r>
        <w:rPr>
          <w:rFonts w:hint="eastAsia" w:ascii="宋体" w:hAnsi="宋体" w:cs="宋体"/>
          <w:color w:val="auto"/>
          <w:spacing w:val="6"/>
          <w:sz w:val="28"/>
          <w:szCs w:val="28"/>
          <w:highlight w:val="none"/>
        </w:rPr>
        <w:t xml:space="preserve">             </w:t>
      </w:r>
      <w:r>
        <w:rPr>
          <w:rFonts w:hint="eastAsia" w:ascii="宋体" w:hAnsi="宋体" w:cs="宋体"/>
          <w:color w:val="auto"/>
          <w:sz w:val="28"/>
          <w:szCs w:val="28"/>
          <w:highlight w:val="none"/>
        </w:rPr>
        <w:t xml:space="preserve">           供应商全称（盖章）：</w:t>
      </w:r>
    </w:p>
    <w:p w14:paraId="4EC28535">
      <w:pPr>
        <w:tabs>
          <w:tab w:val="left" w:pos="4860"/>
        </w:tabs>
        <w:spacing w:line="588" w:lineRule="exact"/>
        <w:ind w:right="1560"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日  期：</w:t>
      </w:r>
    </w:p>
    <w:p w14:paraId="177D20AB">
      <w:pPr>
        <w:ind w:firstLine="420"/>
        <w:rPr>
          <w:rFonts w:ascii="宋体" w:hAnsi="宋体" w:cs="宋体"/>
          <w:color w:val="auto"/>
          <w:sz w:val="28"/>
          <w:szCs w:val="28"/>
          <w:highlight w:val="none"/>
        </w:rPr>
      </w:pPr>
    </w:p>
    <w:p w14:paraId="365AEE81">
      <w:pPr>
        <w:ind w:firstLine="420"/>
        <w:rPr>
          <w:rFonts w:ascii="宋体" w:hAnsi="宋体" w:cs="宋体"/>
          <w:color w:val="auto"/>
          <w:sz w:val="28"/>
          <w:szCs w:val="28"/>
          <w:highlight w:val="none"/>
        </w:rPr>
      </w:pPr>
    </w:p>
    <w:p w14:paraId="597C8F0C">
      <w:pPr>
        <w:snapToGrid w:val="0"/>
        <w:spacing w:line="300" w:lineRule="auto"/>
        <w:outlineLvl w:val="0"/>
        <w:rPr>
          <w:rFonts w:ascii="宋体" w:hAnsi="宋体" w:cs="宋体"/>
          <w:color w:val="auto"/>
          <w:sz w:val="32"/>
          <w:szCs w:val="32"/>
          <w:highlight w:val="none"/>
        </w:rPr>
      </w:pPr>
    </w:p>
    <w:p w14:paraId="1A88A471">
      <w:pPr>
        <w:snapToGrid w:val="0"/>
        <w:spacing w:line="300" w:lineRule="auto"/>
        <w:outlineLvl w:val="0"/>
        <w:rPr>
          <w:rFonts w:ascii="宋体" w:hAnsi="宋体" w:cs="宋体"/>
          <w:color w:val="auto"/>
          <w:sz w:val="32"/>
          <w:szCs w:val="32"/>
          <w:highlight w:val="none"/>
        </w:rPr>
      </w:pPr>
    </w:p>
    <w:p w14:paraId="071937CE">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10</w:t>
      </w:r>
    </w:p>
    <w:p w14:paraId="6D7E8884">
      <w:pPr>
        <w:snapToGrid w:val="0"/>
        <w:spacing w:line="420" w:lineRule="exact"/>
        <w:jc w:val="center"/>
        <w:outlineLvl w:val="3"/>
        <w:rPr>
          <w:rFonts w:ascii="宋体" w:hAnsi="宋体" w:cs="宋体"/>
          <w:b/>
          <w:bCs/>
          <w:color w:val="auto"/>
          <w:sz w:val="32"/>
          <w:szCs w:val="32"/>
          <w:highlight w:val="none"/>
        </w:rPr>
      </w:pPr>
      <w:r>
        <w:rPr>
          <w:rFonts w:hint="eastAsia" w:ascii="宋体" w:hAnsi="宋体" w:cs="宋体"/>
          <w:b/>
          <w:bCs/>
          <w:color w:val="auto"/>
          <w:sz w:val="32"/>
          <w:szCs w:val="32"/>
          <w:highlight w:val="none"/>
        </w:rPr>
        <w:t>监狱和戒毒企业证明材料</w:t>
      </w:r>
    </w:p>
    <w:p w14:paraId="2A481003">
      <w:pPr>
        <w:snapToGrid w:val="0"/>
        <w:spacing w:line="420" w:lineRule="exact"/>
        <w:ind w:firstLine="495" w:firstLineChars="177"/>
        <w:rPr>
          <w:rFonts w:ascii="宋体" w:hAnsi="宋体" w:cs="宋体"/>
          <w:color w:val="auto"/>
          <w:sz w:val="28"/>
          <w:szCs w:val="28"/>
          <w:highlight w:val="none"/>
        </w:rPr>
      </w:pPr>
    </w:p>
    <w:p w14:paraId="299B17D6">
      <w:pPr>
        <w:snapToGrid w:val="0"/>
        <w:spacing w:line="420" w:lineRule="exact"/>
        <w:ind w:firstLine="498" w:firstLineChars="177"/>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3DEE30ED">
      <w:pPr>
        <w:snapToGrid w:val="0"/>
        <w:spacing w:line="420" w:lineRule="exact"/>
        <w:ind w:firstLine="495" w:firstLineChars="177"/>
        <w:rPr>
          <w:rFonts w:ascii="宋体" w:hAnsi="宋体" w:cs="宋体"/>
          <w:color w:val="auto"/>
          <w:sz w:val="28"/>
          <w:szCs w:val="28"/>
          <w:highlight w:val="none"/>
        </w:rPr>
      </w:pPr>
    </w:p>
    <w:p w14:paraId="75D7D92C">
      <w:pPr>
        <w:snapToGrid w:val="0"/>
        <w:spacing w:line="420" w:lineRule="exact"/>
        <w:ind w:firstLine="660" w:firstLineChars="236"/>
        <w:rPr>
          <w:rFonts w:ascii="宋体" w:hAnsi="宋体" w:cs="宋体"/>
          <w:color w:val="auto"/>
          <w:sz w:val="28"/>
          <w:szCs w:val="28"/>
          <w:highlight w:val="none"/>
        </w:rPr>
      </w:pPr>
      <w:r>
        <w:rPr>
          <w:rFonts w:hint="eastAsia" w:ascii="宋体" w:hAnsi="宋体" w:cs="宋体"/>
          <w:color w:val="auto"/>
          <w:sz w:val="28"/>
          <w:szCs w:val="28"/>
          <w:highlight w:val="none"/>
        </w:rPr>
        <w:t>根据《财政部司法部关于政府采购支持监狱企业发展有关问题的通知》（财库〔2014〕68号），监狱企业参加政府采购活动时，应当提供提供省级以上监狱管理局、戒毒管理局（含新疆生产建设兵团）出具的，供应商属于监狱企业的证明文件。</w:t>
      </w:r>
    </w:p>
    <w:p w14:paraId="74B36E75">
      <w:pPr>
        <w:snapToGrid w:val="0"/>
        <w:spacing w:line="300" w:lineRule="auto"/>
        <w:outlineLvl w:val="0"/>
        <w:rPr>
          <w:rFonts w:ascii="宋体" w:hAnsi="宋体" w:cs="宋体"/>
          <w:color w:val="auto"/>
          <w:sz w:val="28"/>
          <w:szCs w:val="28"/>
          <w:highlight w:val="none"/>
        </w:rPr>
      </w:pPr>
    </w:p>
    <w:p w14:paraId="22A179EA">
      <w:pPr>
        <w:snapToGrid w:val="0"/>
        <w:spacing w:line="300" w:lineRule="auto"/>
        <w:outlineLvl w:val="0"/>
        <w:rPr>
          <w:rFonts w:ascii="宋体" w:hAnsi="宋体" w:cs="宋体"/>
          <w:color w:val="auto"/>
          <w:sz w:val="28"/>
          <w:szCs w:val="28"/>
          <w:highlight w:val="none"/>
        </w:rPr>
      </w:pPr>
    </w:p>
    <w:p w14:paraId="27CEBFC8">
      <w:pPr>
        <w:snapToGrid w:val="0"/>
        <w:spacing w:line="300" w:lineRule="auto"/>
        <w:outlineLvl w:val="0"/>
        <w:rPr>
          <w:rFonts w:ascii="宋体" w:hAnsi="宋体" w:cs="宋体"/>
          <w:color w:val="auto"/>
          <w:sz w:val="28"/>
          <w:szCs w:val="28"/>
          <w:highlight w:val="none"/>
        </w:rPr>
      </w:pPr>
    </w:p>
    <w:p w14:paraId="41A010DB">
      <w:pPr>
        <w:snapToGrid w:val="0"/>
        <w:spacing w:line="300" w:lineRule="auto"/>
        <w:outlineLvl w:val="0"/>
        <w:rPr>
          <w:rFonts w:ascii="宋体" w:hAnsi="宋体" w:cs="宋体"/>
          <w:color w:val="auto"/>
          <w:sz w:val="28"/>
          <w:szCs w:val="28"/>
          <w:highlight w:val="none"/>
        </w:rPr>
      </w:pPr>
    </w:p>
    <w:p w14:paraId="34B37A0D">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45E0C0D">
      <w:pPr>
        <w:snapToGrid w:val="0"/>
        <w:spacing w:line="300" w:lineRule="auto"/>
        <w:ind w:firstLine="560" w:firstLineChars="200"/>
        <w:outlineLvl w:val="0"/>
        <w:rPr>
          <w:rFonts w:ascii="宋体" w:hAnsi="宋体" w:cs="宋体"/>
          <w:color w:val="auto"/>
          <w:sz w:val="28"/>
          <w:szCs w:val="28"/>
          <w:highlight w:val="none"/>
        </w:rPr>
      </w:pPr>
      <w:r>
        <w:rPr>
          <w:rFonts w:hint="eastAsia" w:ascii="宋体" w:hAnsi="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07014BEE">
      <w:pPr>
        <w:snapToGrid w:val="0"/>
        <w:spacing w:line="300" w:lineRule="auto"/>
        <w:outlineLvl w:val="0"/>
        <w:rPr>
          <w:rFonts w:ascii="宋体" w:hAnsi="宋体" w:cs="宋体"/>
          <w:color w:val="auto"/>
          <w:sz w:val="28"/>
          <w:szCs w:val="28"/>
          <w:highlight w:val="none"/>
        </w:rPr>
      </w:pPr>
    </w:p>
    <w:p w14:paraId="57CAB0F1">
      <w:pPr>
        <w:snapToGrid w:val="0"/>
        <w:spacing w:line="300" w:lineRule="auto"/>
        <w:outlineLvl w:val="0"/>
        <w:rPr>
          <w:rFonts w:ascii="宋体" w:hAnsi="宋体" w:cs="宋体"/>
          <w:color w:val="auto"/>
          <w:sz w:val="28"/>
          <w:szCs w:val="28"/>
          <w:highlight w:val="none"/>
        </w:rPr>
      </w:pPr>
    </w:p>
    <w:p w14:paraId="15F2F255">
      <w:pPr>
        <w:snapToGrid w:val="0"/>
        <w:spacing w:line="300" w:lineRule="auto"/>
        <w:outlineLvl w:val="0"/>
        <w:rPr>
          <w:rFonts w:ascii="宋体" w:hAnsi="宋体" w:cs="宋体"/>
          <w:color w:val="auto"/>
          <w:sz w:val="28"/>
          <w:szCs w:val="28"/>
          <w:highlight w:val="none"/>
        </w:rPr>
      </w:pPr>
    </w:p>
    <w:p w14:paraId="2447661F">
      <w:pPr>
        <w:snapToGrid w:val="0"/>
        <w:spacing w:line="300" w:lineRule="auto"/>
        <w:outlineLvl w:val="0"/>
        <w:rPr>
          <w:rFonts w:ascii="宋体" w:hAnsi="宋体" w:cs="宋体"/>
          <w:color w:val="auto"/>
          <w:sz w:val="28"/>
          <w:szCs w:val="28"/>
          <w:highlight w:val="none"/>
        </w:rPr>
      </w:pPr>
    </w:p>
    <w:p w14:paraId="6225726D">
      <w:pPr>
        <w:snapToGrid w:val="0"/>
        <w:spacing w:line="300" w:lineRule="auto"/>
        <w:outlineLvl w:val="0"/>
        <w:rPr>
          <w:rFonts w:ascii="宋体" w:hAnsi="宋体" w:cs="宋体"/>
          <w:color w:val="auto"/>
          <w:sz w:val="28"/>
          <w:szCs w:val="28"/>
          <w:highlight w:val="none"/>
        </w:rPr>
      </w:pPr>
    </w:p>
    <w:p w14:paraId="51A39E28">
      <w:pPr>
        <w:snapToGrid w:val="0"/>
        <w:spacing w:line="300" w:lineRule="auto"/>
        <w:outlineLvl w:val="0"/>
        <w:rPr>
          <w:rFonts w:ascii="宋体" w:hAnsi="宋体" w:cs="宋体"/>
          <w:color w:val="auto"/>
          <w:sz w:val="28"/>
          <w:szCs w:val="28"/>
          <w:highlight w:val="none"/>
        </w:rPr>
      </w:pPr>
    </w:p>
    <w:p w14:paraId="0CF74737">
      <w:pPr>
        <w:snapToGrid w:val="0"/>
        <w:spacing w:line="300" w:lineRule="auto"/>
        <w:outlineLvl w:val="0"/>
        <w:rPr>
          <w:rFonts w:ascii="宋体" w:hAnsi="宋体" w:cs="宋体"/>
          <w:color w:val="auto"/>
          <w:sz w:val="28"/>
          <w:szCs w:val="28"/>
          <w:highlight w:val="none"/>
        </w:rPr>
      </w:pPr>
    </w:p>
    <w:p w14:paraId="0573C4ED">
      <w:pPr>
        <w:snapToGrid w:val="0"/>
        <w:spacing w:line="300" w:lineRule="auto"/>
        <w:outlineLvl w:val="0"/>
        <w:rPr>
          <w:rFonts w:ascii="宋体" w:hAnsi="宋体" w:cs="宋体"/>
          <w:color w:val="auto"/>
          <w:sz w:val="28"/>
          <w:szCs w:val="28"/>
          <w:highlight w:val="none"/>
        </w:rPr>
      </w:pPr>
    </w:p>
    <w:p w14:paraId="45567790">
      <w:pPr>
        <w:snapToGrid w:val="0"/>
        <w:spacing w:line="300" w:lineRule="auto"/>
        <w:outlineLvl w:val="0"/>
        <w:rPr>
          <w:rFonts w:ascii="宋体" w:hAnsi="宋体" w:cs="宋体"/>
          <w:color w:val="auto"/>
          <w:sz w:val="28"/>
          <w:szCs w:val="28"/>
          <w:highlight w:val="none"/>
        </w:rPr>
      </w:pPr>
    </w:p>
    <w:p w14:paraId="2135A362">
      <w:pPr>
        <w:snapToGrid w:val="0"/>
        <w:spacing w:line="300" w:lineRule="auto"/>
        <w:outlineLvl w:val="0"/>
        <w:rPr>
          <w:rFonts w:ascii="宋体" w:hAnsi="宋体" w:cs="宋体"/>
          <w:color w:val="auto"/>
          <w:sz w:val="28"/>
          <w:szCs w:val="28"/>
          <w:highlight w:val="none"/>
        </w:rPr>
      </w:pPr>
    </w:p>
    <w:p w14:paraId="21C9B8CD">
      <w:pPr>
        <w:snapToGrid w:val="0"/>
        <w:spacing w:line="300" w:lineRule="auto"/>
        <w:outlineLvl w:val="0"/>
        <w:rPr>
          <w:rFonts w:ascii="宋体" w:hAnsi="宋体" w:cs="宋体"/>
          <w:color w:val="auto"/>
          <w:sz w:val="28"/>
          <w:szCs w:val="28"/>
          <w:highlight w:val="none"/>
        </w:rPr>
      </w:pPr>
    </w:p>
    <w:p w14:paraId="52C34DEA">
      <w:pPr>
        <w:snapToGrid w:val="0"/>
        <w:spacing w:line="300" w:lineRule="auto"/>
        <w:outlineLvl w:val="0"/>
        <w:rPr>
          <w:rFonts w:ascii="宋体" w:hAnsi="宋体" w:cs="宋体"/>
          <w:color w:val="auto"/>
          <w:sz w:val="28"/>
          <w:szCs w:val="28"/>
          <w:highlight w:val="none"/>
        </w:rPr>
      </w:pPr>
    </w:p>
    <w:p w14:paraId="2990E1C0">
      <w:pPr>
        <w:snapToGrid w:val="0"/>
        <w:spacing w:line="300" w:lineRule="auto"/>
        <w:outlineLvl w:val="0"/>
        <w:rPr>
          <w:rFonts w:ascii="宋体" w:hAnsi="宋体" w:cs="宋体"/>
          <w:color w:val="auto"/>
          <w:sz w:val="28"/>
          <w:szCs w:val="28"/>
          <w:highlight w:val="none"/>
        </w:rPr>
      </w:pPr>
    </w:p>
    <w:p w14:paraId="36315120">
      <w:pPr>
        <w:snapToGrid w:val="0"/>
        <w:spacing w:line="300" w:lineRule="auto"/>
        <w:outlineLvl w:val="0"/>
        <w:rPr>
          <w:rFonts w:ascii="宋体" w:hAnsi="宋体" w:cs="宋体"/>
          <w:color w:val="auto"/>
          <w:sz w:val="32"/>
          <w:szCs w:val="32"/>
          <w:highlight w:val="none"/>
        </w:rPr>
      </w:pPr>
    </w:p>
    <w:p w14:paraId="1D021251">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11</w:t>
      </w:r>
    </w:p>
    <w:p w14:paraId="73857128">
      <w:pPr>
        <w:jc w:val="center"/>
        <w:rPr>
          <w:rFonts w:ascii="宋体" w:hAnsi="宋体" w:cs="宋体"/>
          <w:bCs/>
          <w:color w:val="auto"/>
          <w:sz w:val="30"/>
          <w:szCs w:val="30"/>
          <w:highlight w:val="none"/>
        </w:rPr>
      </w:pPr>
      <w:r>
        <w:rPr>
          <w:rFonts w:hint="eastAsia" w:ascii="宋体" w:hAnsi="宋体" w:cs="宋体"/>
          <w:bCs/>
          <w:color w:val="auto"/>
          <w:sz w:val="30"/>
          <w:szCs w:val="30"/>
          <w:highlight w:val="none"/>
        </w:rPr>
        <w:t>质疑函范本</w:t>
      </w:r>
    </w:p>
    <w:p w14:paraId="61531386">
      <w:pPr>
        <w:adjustRightInd w:val="0"/>
        <w:snapToGrid w:val="0"/>
        <w:spacing w:before="312" w:beforeLines="100"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一、质疑供应商基本信息</w:t>
      </w:r>
    </w:p>
    <w:p w14:paraId="4B20EF98">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p>
    <w:p w14:paraId="499473FC">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地址：邮编：</w:t>
      </w:r>
    </w:p>
    <w:p w14:paraId="5F32554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联系人：联系电话：</w:t>
      </w:r>
    </w:p>
    <w:p w14:paraId="28FD55C3">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p>
    <w:p w14:paraId="19CFE7B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p>
    <w:p w14:paraId="57F8409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地址：邮编：</w:t>
      </w:r>
    </w:p>
    <w:p w14:paraId="69D227FC">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3E54CD8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p>
    <w:p w14:paraId="565EA6B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质疑项目的编号：包号：</w:t>
      </w:r>
    </w:p>
    <w:p w14:paraId="082E841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p>
    <w:p w14:paraId="7B8D1B8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p>
    <w:p w14:paraId="6F65C8FB">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2EDC3534">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p>
    <w:p w14:paraId="50F1D4A5">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p>
    <w:p w14:paraId="6877A61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p>
    <w:p w14:paraId="512BACA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138A620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3EDF493C">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17096076">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p>
    <w:p w14:paraId="5DC6444A">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1A36B848">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40485D20">
      <w:pPr>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33296C98">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5737C022">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10D2CC0B">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01EA86DC">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1D4456A1">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5CC70F84">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F497">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90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09E0B7C">
                          <w:pPr>
                            <w:pStyle w:val="2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209E0B7C">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3354">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F097B"/>
    <w:multiLevelType w:val="singleLevel"/>
    <w:tmpl w:val="8B0F097B"/>
    <w:lvl w:ilvl="0" w:tentative="0">
      <w:start w:val="1"/>
      <w:numFmt w:val="decimal"/>
      <w:suff w:val="nothing"/>
      <w:lvlText w:val="%1、"/>
      <w:lvlJc w:val="left"/>
    </w:lvl>
  </w:abstractNum>
  <w:abstractNum w:abstractNumId="1">
    <w:nsid w:val="ED2D2A33"/>
    <w:multiLevelType w:val="singleLevel"/>
    <w:tmpl w:val="ED2D2A33"/>
    <w:lvl w:ilvl="0" w:tentative="0">
      <w:start w:val="1"/>
      <w:numFmt w:val="decimal"/>
      <w:suff w:val="nothing"/>
      <w:lvlText w:val="%1、"/>
      <w:lvlJc w:val="left"/>
    </w:lvl>
  </w:abstractNum>
  <w:abstractNum w:abstractNumId="2">
    <w:nsid w:val="38DA3F37"/>
    <w:multiLevelType w:val="multilevel"/>
    <w:tmpl w:val="38DA3F37"/>
    <w:lvl w:ilvl="0" w:tentative="0">
      <w:start w:val="1"/>
      <w:numFmt w:val="bullet"/>
      <w:pStyle w:val="108"/>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6708D"/>
    <w:rsid w:val="00000546"/>
    <w:rsid w:val="00000AB2"/>
    <w:rsid w:val="00000CF2"/>
    <w:rsid w:val="0000158C"/>
    <w:rsid w:val="00001A88"/>
    <w:rsid w:val="00002A9B"/>
    <w:rsid w:val="00005984"/>
    <w:rsid w:val="00005E0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596F"/>
    <w:rsid w:val="0002708D"/>
    <w:rsid w:val="000274F9"/>
    <w:rsid w:val="000277CD"/>
    <w:rsid w:val="00031AD6"/>
    <w:rsid w:val="0003272E"/>
    <w:rsid w:val="0003308F"/>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B2D"/>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0C22"/>
    <w:rsid w:val="00071E47"/>
    <w:rsid w:val="00071F57"/>
    <w:rsid w:val="0007260D"/>
    <w:rsid w:val="00073424"/>
    <w:rsid w:val="00073BED"/>
    <w:rsid w:val="00074988"/>
    <w:rsid w:val="00075120"/>
    <w:rsid w:val="000751EE"/>
    <w:rsid w:val="0007540B"/>
    <w:rsid w:val="00076AE9"/>
    <w:rsid w:val="00076F71"/>
    <w:rsid w:val="0007742F"/>
    <w:rsid w:val="0008009E"/>
    <w:rsid w:val="0008018D"/>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213C"/>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2A0A"/>
    <w:rsid w:val="000C3603"/>
    <w:rsid w:val="000C4F19"/>
    <w:rsid w:val="000C515F"/>
    <w:rsid w:val="000C54C8"/>
    <w:rsid w:val="000C58C8"/>
    <w:rsid w:val="000C6322"/>
    <w:rsid w:val="000C661B"/>
    <w:rsid w:val="000C6D20"/>
    <w:rsid w:val="000C6FFF"/>
    <w:rsid w:val="000C7774"/>
    <w:rsid w:val="000D0DE2"/>
    <w:rsid w:val="000D16A6"/>
    <w:rsid w:val="000D190E"/>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3FC3"/>
    <w:rsid w:val="000E66B5"/>
    <w:rsid w:val="000E6876"/>
    <w:rsid w:val="000E69A2"/>
    <w:rsid w:val="000E6D6C"/>
    <w:rsid w:val="000E76D0"/>
    <w:rsid w:val="000E7DCC"/>
    <w:rsid w:val="000F07A2"/>
    <w:rsid w:val="000F1FA3"/>
    <w:rsid w:val="000F3E9B"/>
    <w:rsid w:val="000F4096"/>
    <w:rsid w:val="000F4358"/>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37D74"/>
    <w:rsid w:val="00142F1A"/>
    <w:rsid w:val="00145A1C"/>
    <w:rsid w:val="001462E0"/>
    <w:rsid w:val="00146479"/>
    <w:rsid w:val="00146643"/>
    <w:rsid w:val="00147766"/>
    <w:rsid w:val="00147C6A"/>
    <w:rsid w:val="00152826"/>
    <w:rsid w:val="001546EC"/>
    <w:rsid w:val="0015474F"/>
    <w:rsid w:val="00154AF5"/>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06AD"/>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47B0"/>
    <w:rsid w:val="001C507C"/>
    <w:rsid w:val="001C7569"/>
    <w:rsid w:val="001C7754"/>
    <w:rsid w:val="001C78FA"/>
    <w:rsid w:val="001D07F0"/>
    <w:rsid w:val="001D0D3C"/>
    <w:rsid w:val="001D1806"/>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0F4F"/>
    <w:rsid w:val="001E13F5"/>
    <w:rsid w:val="001E1D55"/>
    <w:rsid w:val="001E220C"/>
    <w:rsid w:val="001E2D0C"/>
    <w:rsid w:val="001E3D01"/>
    <w:rsid w:val="001E5F42"/>
    <w:rsid w:val="001E64A5"/>
    <w:rsid w:val="001E6B99"/>
    <w:rsid w:val="001E6D80"/>
    <w:rsid w:val="001F1467"/>
    <w:rsid w:val="001F1694"/>
    <w:rsid w:val="001F16AE"/>
    <w:rsid w:val="001F1D43"/>
    <w:rsid w:val="001F2610"/>
    <w:rsid w:val="001F34D5"/>
    <w:rsid w:val="001F358D"/>
    <w:rsid w:val="001F466D"/>
    <w:rsid w:val="001F4BC7"/>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1A2D"/>
    <w:rsid w:val="00213737"/>
    <w:rsid w:val="00213A43"/>
    <w:rsid w:val="00214214"/>
    <w:rsid w:val="0021486E"/>
    <w:rsid w:val="0021542F"/>
    <w:rsid w:val="0021700A"/>
    <w:rsid w:val="00217736"/>
    <w:rsid w:val="002203F5"/>
    <w:rsid w:val="00220B3A"/>
    <w:rsid w:val="0022181C"/>
    <w:rsid w:val="002238CD"/>
    <w:rsid w:val="00224912"/>
    <w:rsid w:val="00224A02"/>
    <w:rsid w:val="00225AD4"/>
    <w:rsid w:val="00225ED7"/>
    <w:rsid w:val="00227B1A"/>
    <w:rsid w:val="0023036A"/>
    <w:rsid w:val="002304ED"/>
    <w:rsid w:val="00230F76"/>
    <w:rsid w:val="00231953"/>
    <w:rsid w:val="002323C9"/>
    <w:rsid w:val="00232418"/>
    <w:rsid w:val="0023372A"/>
    <w:rsid w:val="00234038"/>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37D3"/>
    <w:rsid w:val="00285085"/>
    <w:rsid w:val="00287D53"/>
    <w:rsid w:val="00290131"/>
    <w:rsid w:val="00290232"/>
    <w:rsid w:val="0029088E"/>
    <w:rsid w:val="0029120D"/>
    <w:rsid w:val="00291528"/>
    <w:rsid w:val="002929E4"/>
    <w:rsid w:val="0029448F"/>
    <w:rsid w:val="002953BA"/>
    <w:rsid w:val="00296707"/>
    <w:rsid w:val="00297900"/>
    <w:rsid w:val="002A11B9"/>
    <w:rsid w:val="002A1226"/>
    <w:rsid w:val="002A156B"/>
    <w:rsid w:val="002A2121"/>
    <w:rsid w:val="002A221F"/>
    <w:rsid w:val="002A27C2"/>
    <w:rsid w:val="002A28DD"/>
    <w:rsid w:val="002A31EB"/>
    <w:rsid w:val="002A432D"/>
    <w:rsid w:val="002A46DC"/>
    <w:rsid w:val="002A537C"/>
    <w:rsid w:val="002A54FF"/>
    <w:rsid w:val="002A5549"/>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6FA4"/>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B75"/>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25F5"/>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61"/>
    <w:rsid w:val="0033346D"/>
    <w:rsid w:val="00333606"/>
    <w:rsid w:val="00333C74"/>
    <w:rsid w:val="00333F95"/>
    <w:rsid w:val="00334BF8"/>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C85"/>
    <w:rsid w:val="00347E34"/>
    <w:rsid w:val="00350672"/>
    <w:rsid w:val="00350899"/>
    <w:rsid w:val="00350D5A"/>
    <w:rsid w:val="00351BC2"/>
    <w:rsid w:val="003522CC"/>
    <w:rsid w:val="003526B4"/>
    <w:rsid w:val="00352985"/>
    <w:rsid w:val="003535D6"/>
    <w:rsid w:val="003535E0"/>
    <w:rsid w:val="003549F2"/>
    <w:rsid w:val="00354BDD"/>
    <w:rsid w:val="0035616F"/>
    <w:rsid w:val="003563B1"/>
    <w:rsid w:val="00356B86"/>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B16"/>
    <w:rsid w:val="00390CF5"/>
    <w:rsid w:val="003926C1"/>
    <w:rsid w:val="003926C9"/>
    <w:rsid w:val="00393134"/>
    <w:rsid w:val="003931E7"/>
    <w:rsid w:val="00393422"/>
    <w:rsid w:val="00393BAC"/>
    <w:rsid w:val="0039416E"/>
    <w:rsid w:val="00394C24"/>
    <w:rsid w:val="00394C8F"/>
    <w:rsid w:val="00396451"/>
    <w:rsid w:val="00396F85"/>
    <w:rsid w:val="00397448"/>
    <w:rsid w:val="00397952"/>
    <w:rsid w:val="003A0212"/>
    <w:rsid w:val="003A19CB"/>
    <w:rsid w:val="003A23EC"/>
    <w:rsid w:val="003A2746"/>
    <w:rsid w:val="003A2952"/>
    <w:rsid w:val="003A3D3D"/>
    <w:rsid w:val="003A5070"/>
    <w:rsid w:val="003A56B0"/>
    <w:rsid w:val="003A58EF"/>
    <w:rsid w:val="003A7076"/>
    <w:rsid w:val="003A7798"/>
    <w:rsid w:val="003B05BC"/>
    <w:rsid w:val="003B0CEC"/>
    <w:rsid w:val="003B156C"/>
    <w:rsid w:val="003B23CE"/>
    <w:rsid w:val="003B2AC0"/>
    <w:rsid w:val="003B2D19"/>
    <w:rsid w:val="003B5901"/>
    <w:rsid w:val="003B60FA"/>
    <w:rsid w:val="003B64EA"/>
    <w:rsid w:val="003B7B4D"/>
    <w:rsid w:val="003C0ADC"/>
    <w:rsid w:val="003C1731"/>
    <w:rsid w:val="003C290B"/>
    <w:rsid w:val="003C69F6"/>
    <w:rsid w:val="003C6BEE"/>
    <w:rsid w:val="003C7549"/>
    <w:rsid w:val="003D0866"/>
    <w:rsid w:val="003D0E84"/>
    <w:rsid w:val="003D1841"/>
    <w:rsid w:val="003D1E69"/>
    <w:rsid w:val="003D201B"/>
    <w:rsid w:val="003D3555"/>
    <w:rsid w:val="003D3C66"/>
    <w:rsid w:val="003D3C71"/>
    <w:rsid w:val="003D419D"/>
    <w:rsid w:val="003D4480"/>
    <w:rsid w:val="003D544B"/>
    <w:rsid w:val="003E017B"/>
    <w:rsid w:val="003E154C"/>
    <w:rsid w:val="003E3316"/>
    <w:rsid w:val="003E36FF"/>
    <w:rsid w:val="003E3C30"/>
    <w:rsid w:val="003E3FE6"/>
    <w:rsid w:val="003E4653"/>
    <w:rsid w:val="003E4C9C"/>
    <w:rsid w:val="003E5334"/>
    <w:rsid w:val="003E57F3"/>
    <w:rsid w:val="003E5F84"/>
    <w:rsid w:val="003E6B15"/>
    <w:rsid w:val="003E6C59"/>
    <w:rsid w:val="003E6E66"/>
    <w:rsid w:val="003E71C6"/>
    <w:rsid w:val="003E75C3"/>
    <w:rsid w:val="003E7911"/>
    <w:rsid w:val="003E7EB7"/>
    <w:rsid w:val="003F1302"/>
    <w:rsid w:val="003F1DF8"/>
    <w:rsid w:val="003F291E"/>
    <w:rsid w:val="003F3CDE"/>
    <w:rsid w:val="003F3F9E"/>
    <w:rsid w:val="003F4CA5"/>
    <w:rsid w:val="003F5766"/>
    <w:rsid w:val="003F5F8E"/>
    <w:rsid w:val="003F6ABB"/>
    <w:rsid w:val="003F73A5"/>
    <w:rsid w:val="004016E9"/>
    <w:rsid w:val="00401799"/>
    <w:rsid w:val="00401EA0"/>
    <w:rsid w:val="00402145"/>
    <w:rsid w:val="0040233A"/>
    <w:rsid w:val="00402838"/>
    <w:rsid w:val="0040431B"/>
    <w:rsid w:val="004044FA"/>
    <w:rsid w:val="004048E9"/>
    <w:rsid w:val="00404D80"/>
    <w:rsid w:val="00405393"/>
    <w:rsid w:val="00406669"/>
    <w:rsid w:val="00406A9D"/>
    <w:rsid w:val="00406CB3"/>
    <w:rsid w:val="00407107"/>
    <w:rsid w:val="00410143"/>
    <w:rsid w:val="004105DE"/>
    <w:rsid w:val="00410F2E"/>
    <w:rsid w:val="0041144F"/>
    <w:rsid w:val="00412477"/>
    <w:rsid w:val="00412845"/>
    <w:rsid w:val="0041654F"/>
    <w:rsid w:val="0041717C"/>
    <w:rsid w:val="004214C7"/>
    <w:rsid w:val="00421885"/>
    <w:rsid w:val="004220FE"/>
    <w:rsid w:val="00423C6D"/>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5BD"/>
    <w:rsid w:val="004D1B87"/>
    <w:rsid w:val="004D3D50"/>
    <w:rsid w:val="004D3F25"/>
    <w:rsid w:val="004E09A2"/>
    <w:rsid w:val="004E0ADF"/>
    <w:rsid w:val="004E0EC2"/>
    <w:rsid w:val="004E185D"/>
    <w:rsid w:val="004E198B"/>
    <w:rsid w:val="004E1A9A"/>
    <w:rsid w:val="004E2F92"/>
    <w:rsid w:val="004E363C"/>
    <w:rsid w:val="004E4671"/>
    <w:rsid w:val="004E4BDC"/>
    <w:rsid w:val="004E511E"/>
    <w:rsid w:val="004E5615"/>
    <w:rsid w:val="004E594D"/>
    <w:rsid w:val="004E5C26"/>
    <w:rsid w:val="004E5C64"/>
    <w:rsid w:val="004E7CDB"/>
    <w:rsid w:val="004F0376"/>
    <w:rsid w:val="004F0CDF"/>
    <w:rsid w:val="004F0FE2"/>
    <w:rsid w:val="004F3153"/>
    <w:rsid w:val="004F3A78"/>
    <w:rsid w:val="004F3C8A"/>
    <w:rsid w:val="004F420A"/>
    <w:rsid w:val="004F46A5"/>
    <w:rsid w:val="004F5294"/>
    <w:rsid w:val="004F5E50"/>
    <w:rsid w:val="005001F5"/>
    <w:rsid w:val="0050111B"/>
    <w:rsid w:val="005018B0"/>
    <w:rsid w:val="00501EE6"/>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27BE6"/>
    <w:rsid w:val="00530D01"/>
    <w:rsid w:val="00533196"/>
    <w:rsid w:val="005365CA"/>
    <w:rsid w:val="00536991"/>
    <w:rsid w:val="00537500"/>
    <w:rsid w:val="00540316"/>
    <w:rsid w:val="0054065A"/>
    <w:rsid w:val="00540EB0"/>
    <w:rsid w:val="00541004"/>
    <w:rsid w:val="00541053"/>
    <w:rsid w:val="00542949"/>
    <w:rsid w:val="00542CF0"/>
    <w:rsid w:val="005450B8"/>
    <w:rsid w:val="005467BF"/>
    <w:rsid w:val="005468B0"/>
    <w:rsid w:val="00546EEA"/>
    <w:rsid w:val="00547737"/>
    <w:rsid w:val="005501FD"/>
    <w:rsid w:val="005505B1"/>
    <w:rsid w:val="00551BC0"/>
    <w:rsid w:val="005539A0"/>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AE4"/>
    <w:rsid w:val="005B1C57"/>
    <w:rsid w:val="005B3D9B"/>
    <w:rsid w:val="005B55B2"/>
    <w:rsid w:val="005C2642"/>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4C72"/>
    <w:rsid w:val="005E6BFC"/>
    <w:rsid w:val="005E6D29"/>
    <w:rsid w:val="005E6E97"/>
    <w:rsid w:val="005E7E46"/>
    <w:rsid w:val="005F0A73"/>
    <w:rsid w:val="005F1DDE"/>
    <w:rsid w:val="005F2FCA"/>
    <w:rsid w:val="005F33F4"/>
    <w:rsid w:val="005F347B"/>
    <w:rsid w:val="005F363A"/>
    <w:rsid w:val="005F37A7"/>
    <w:rsid w:val="005F3A1F"/>
    <w:rsid w:val="005F4047"/>
    <w:rsid w:val="005F4353"/>
    <w:rsid w:val="005F4FAA"/>
    <w:rsid w:val="005F5C7F"/>
    <w:rsid w:val="006015AD"/>
    <w:rsid w:val="006022FA"/>
    <w:rsid w:val="006023B5"/>
    <w:rsid w:val="0060456C"/>
    <w:rsid w:val="006046E5"/>
    <w:rsid w:val="006048EE"/>
    <w:rsid w:val="0060696F"/>
    <w:rsid w:val="00607679"/>
    <w:rsid w:val="00612F49"/>
    <w:rsid w:val="0061417D"/>
    <w:rsid w:val="0061547A"/>
    <w:rsid w:val="006159CF"/>
    <w:rsid w:val="00616D1C"/>
    <w:rsid w:val="00616FD4"/>
    <w:rsid w:val="00621416"/>
    <w:rsid w:val="0062198B"/>
    <w:rsid w:val="0062417D"/>
    <w:rsid w:val="00625AFB"/>
    <w:rsid w:val="00626796"/>
    <w:rsid w:val="0062722E"/>
    <w:rsid w:val="00627E6B"/>
    <w:rsid w:val="00633086"/>
    <w:rsid w:val="00634AAF"/>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13E"/>
    <w:rsid w:val="00670779"/>
    <w:rsid w:val="006709C6"/>
    <w:rsid w:val="00671A38"/>
    <w:rsid w:val="00671B3A"/>
    <w:rsid w:val="00671C19"/>
    <w:rsid w:val="00672FE7"/>
    <w:rsid w:val="00673107"/>
    <w:rsid w:val="0068012A"/>
    <w:rsid w:val="00680D84"/>
    <w:rsid w:val="00680E1B"/>
    <w:rsid w:val="00681790"/>
    <w:rsid w:val="0068221E"/>
    <w:rsid w:val="0068304D"/>
    <w:rsid w:val="00683C15"/>
    <w:rsid w:val="00683E0C"/>
    <w:rsid w:val="00685117"/>
    <w:rsid w:val="00685CB8"/>
    <w:rsid w:val="0068671D"/>
    <w:rsid w:val="006869CB"/>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3B6"/>
    <w:rsid w:val="006B098C"/>
    <w:rsid w:val="006B0FFF"/>
    <w:rsid w:val="006B16FF"/>
    <w:rsid w:val="006B1B1D"/>
    <w:rsid w:val="006B285C"/>
    <w:rsid w:val="006B2902"/>
    <w:rsid w:val="006B2E88"/>
    <w:rsid w:val="006B4295"/>
    <w:rsid w:val="006B45EE"/>
    <w:rsid w:val="006B4814"/>
    <w:rsid w:val="006B528C"/>
    <w:rsid w:val="006B66CC"/>
    <w:rsid w:val="006B7B03"/>
    <w:rsid w:val="006B7D34"/>
    <w:rsid w:val="006C1F55"/>
    <w:rsid w:val="006C2854"/>
    <w:rsid w:val="006C2923"/>
    <w:rsid w:val="006C2D42"/>
    <w:rsid w:val="006C3311"/>
    <w:rsid w:val="006C3F4E"/>
    <w:rsid w:val="006C46C9"/>
    <w:rsid w:val="006C4D46"/>
    <w:rsid w:val="006C5FB9"/>
    <w:rsid w:val="006C6CDD"/>
    <w:rsid w:val="006C6F6B"/>
    <w:rsid w:val="006C793F"/>
    <w:rsid w:val="006D0A6E"/>
    <w:rsid w:val="006D1377"/>
    <w:rsid w:val="006D39A0"/>
    <w:rsid w:val="006D3F37"/>
    <w:rsid w:val="006D5119"/>
    <w:rsid w:val="006D681A"/>
    <w:rsid w:val="006D6FAE"/>
    <w:rsid w:val="006D7703"/>
    <w:rsid w:val="006D77B1"/>
    <w:rsid w:val="006E008F"/>
    <w:rsid w:val="006E01D7"/>
    <w:rsid w:val="006E1D37"/>
    <w:rsid w:val="006E3CC9"/>
    <w:rsid w:val="006E5648"/>
    <w:rsid w:val="006E6446"/>
    <w:rsid w:val="006E70D0"/>
    <w:rsid w:val="006E7223"/>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52AC"/>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6FDA"/>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94C"/>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19FD"/>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51C"/>
    <w:rsid w:val="007D6B19"/>
    <w:rsid w:val="007D6D9A"/>
    <w:rsid w:val="007D7074"/>
    <w:rsid w:val="007E0F13"/>
    <w:rsid w:val="007E1294"/>
    <w:rsid w:val="007E19D6"/>
    <w:rsid w:val="007E3986"/>
    <w:rsid w:val="007E4615"/>
    <w:rsid w:val="007E5A5F"/>
    <w:rsid w:val="007E66A2"/>
    <w:rsid w:val="007E6B04"/>
    <w:rsid w:val="007E6F3C"/>
    <w:rsid w:val="007E7C14"/>
    <w:rsid w:val="007E7FE8"/>
    <w:rsid w:val="007F08EE"/>
    <w:rsid w:val="007F190C"/>
    <w:rsid w:val="007F1947"/>
    <w:rsid w:val="007F19E9"/>
    <w:rsid w:val="007F32E7"/>
    <w:rsid w:val="007F33D5"/>
    <w:rsid w:val="007F4046"/>
    <w:rsid w:val="007F7FE6"/>
    <w:rsid w:val="00800565"/>
    <w:rsid w:val="00801100"/>
    <w:rsid w:val="00801F47"/>
    <w:rsid w:val="00803287"/>
    <w:rsid w:val="00803ED3"/>
    <w:rsid w:val="0080407B"/>
    <w:rsid w:val="00804162"/>
    <w:rsid w:val="00804195"/>
    <w:rsid w:val="00804416"/>
    <w:rsid w:val="00804471"/>
    <w:rsid w:val="00804B9D"/>
    <w:rsid w:val="00805157"/>
    <w:rsid w:val="00805BAE"/>
    <w:rsid w:val="00805C10"/>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285"/>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369"/>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40"/>
    <w:rsid w:val="008A13B2"/>
    <w:rsid w:val="008A15B7"/>
    <w:rsid w:val="008A423A"/>
    <w:rsid w:val="008A4388"/>
    <w:rsid w:val="008A56CA"/>
    <w:rsid w:val="008A58B2"/>
    <w:rsid w:val="008A619E"/>
    <w:rsid w:val="008A6877"/>
    <w:rsid w:val="008A75AE"/>
    <w:rsid w:val="008B08A9"/>
    <w:rsid w:val="008B0C26"/>
    <w:rsid w:val="008B103A"/>
    <w:rsid w:val="008B2510"/>
    <w:rsid w:val="008B2773"/>
    <w:rsid w:val="008B4F47"/>
    <w:rsid w:val="008B5247"/>
    <w:rsid w:val="008B585F"/>
    <w:rsid w:val="008B5BDB"/>
    <w:rsid w:val="008B74DB"/>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3FAE"/>
    <w:rsid w:val="008E4294"/>
    <w:rsid w:val="008E523B"/>
    <w:rsid w:val="008E5CB4"/>
    <w:rsid w:val="008E6320"/>
    <w:rsid w:val="008E6BD2"/>
    <w:rsid w:val="008E6F4A"/>
    <w:rsid w:val="008E7621"/>
    <w:rsid w:val="008F025F"/>
    <w:rsid w:val="008F124F"/>
    <w:rsid w:val="008F20DC"/>
    <w:rsid w:val="008F2E8A"/>
    <w:rsid w:val="008F3403"/>
    <w:rsid w:val="008F3ACA"/>
    <w:rsid w:val="008F429C"/>
    <w:rsid w:val="008F56F3"/>
    <w:rsid w:val="008F64A1"/>
    <w:rsid w:val="008F68B6"/>
    <w:rsid w:val="008F7694"/>
    <w:rsid w:val="008F7D27"/>
    <w:rsid w:val="00900480"/>
    <w:rsid w:val="00900BA3"/>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3C82"/>
    <w:rsid w:val="00924CBA"/>
    <w:rsid w:val="00925885"/>
    <w:rsid w:val="009270E9"/>
    <w:rsid w:val="0092759A"/>
    <w:rsid w:val="00927D34"/>
    <w:rsid w:val="00930A5C"/>
    <w:rsid w:val="0093181C"/>
    <w:rsid w:val="009344CE"/>
    <w:rsid w:val="009349DC"/>
    <w:rsid w:val="009353BF"/>
    <w:rsid w:val="00936884"/>
    <w:rsid w:val="00937DDD"/>
    <w:rsid w:val="00937EA6"/>
    <w:rsid w:val="009401ED"/>
    <w:rsid w:val="00940EDC"/>
    <w:rsid w:val="00941A22"/>
    <w:rsid w:val="00941AD4"/>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8A6"/>
    <w:rsid w:val="00972C5F"/>
    <w:rsid w:val="0097401E"/>
    <w:rsid w:val="00974F0A"/>
    <w:rsid w:val="00974F8E"/>
    <w:rsid w:val="00974FC1"/>
    <w:rsid w:val="00975079"/>
    <w:rsid w:val="009755B9"/>
    <w:rsid w:val="009766C0"/>
    <w:rsid w:val="00976B00"/>
    <w:rsid w:val="00976B73"/>
    <w:rsid w:val="00977346"/>
    <w:rsid w:val="0098378B"/>
    <w:rsid w:val="0098388D"/>
    <w:rsid w:val="00983CD0"/>
    <w:rsid w:val="009858BF"/>
    <w:rsid w:val="009867F7"/>
    <w:rsid w:val="009871DA"/>
    <w:rsid w:val="0099093C"/>
    <w:rsid w:val="0099219C"/>
    <w:rsid w:val="00992576"/>
    <w:rsid w:val="00992A92"/>
    <w:rsid w:val="0099343E"/>
    <w:rsid w:val="009939ED"/>
    <w:rsid w:val="009947C7"/>
    <w:rsid w:val="0099510D"/>
    <w:rsid w:val="00995E70"/>
    <w:rsid w:val="00996823"/>
    <w:rsid w:val="00996855"/>
    <w:rsid w:val="00997EC4"/>
    <w:rsid w:val="009A0876"/>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2AA8"/>
    <w:rsid w:val="009C2C2B"/>
    <w:rsid w:val="009C2E97"/>
    <w:rsid w:val="009C33B3"/>
    <w:rsid w:val="009C35CD"/>
    <w:rsid w:val="009C42B7"/>
    <w:rsid w:val="009C437E"/>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1C67"/>
    <w:rsid w:val="00A01CC5"/>
    <w:rsid w:val="00A021C1"/>
    <w:rsid w:val="00A03DA7"/>
    <w:rsid w:val="00A04812"/>
    <w:rsid w:val="00A04C36"/>
    <w:rsid w:val="00A05A21"/>
    <w:rsid w:val="00A05BE1"/>
    <w:rsid w:val="00A0643B"/>
    <w:rsid w:val="00A10993"/>
    <w:rsid w:val="00A12625"/>
    <w:rsid w:val="00A12B69"/>
    <w:rsid w:val="00A13408"/>
    <w:rsid w:val="00A13EF4"/>
    <w:rsid w:val="00A14091"/>
    <w:rsid w:val="00A15B53"/>
    <w:rsid w:val="00A15D9F"/>
    <w:rsid w:val="00A16210"/>
    <w:rsid w:val="00A17185"/>
    <w:rsid w:val="00A17B0F"/>
    <w:rsid w:val="00A20460"/>
    <w:rsid w:val="00A205CE"/>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5B4"/>
    <w:rsid w:val="00A54ACC"/>
    <w:rsid w:val="00A55AA8"/>
    <w:rsid w:val="00A55E59"/>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8B7"/>
    <w:rsid w:val="00A71B7F"/>
    <w:rsid w:val="00A726A3"/>
    <w:rsid w:val="00A72EC4"/>
    <w:rsid w:val="00A72F6D"/>
    <w:rsid w:val="00A72F90"/>
    <w:rsid w:val="00A73158"/>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223D"/>
    <w:rsid w:val="00AB3627"/>
    <w:rsid w:val="00AB4205"/>
    <w:rsid w:val="00AB4672"/>
    <w:rsid w:val="00AB4688"/>
    <w:rsid w:val="00AB5B24"/>
    <w:rsid w:val="00AB5DE8"/>
    <w:rsid w:val="00AB5FEB"/>
    <w:rsid w:val="00AB60C8"/>
    <w:rsid w:val="00AB7629"/>
    <w:rsid w:val="00AB786D"/>
    <w:rsid w:val="00AB7A64"/>
    <w:rsid w:val="00AC0F28"/>
    <w:rsid w:val="00AC1037"/>
    <w:rsid w:val="00AC148D"/>
    <w:rsid w:val="00AC255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4E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98"/>
    <w:rsid w:val="00B258AD"/>
    <w:rsid w:val="00B25D91"/>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131"/>
    <w:rsid w:val="00B4754B"/>
    <w:rsid w:val="00B50265"/>
    <w:rsid w:val="00B50BAC"/>
    <w:rsid w:val="00B5107D"/>
    <w:rsid w:val="00B51284"/>
    <w:rsid w:val="00B519C5"/>
    <w:rsid w:val="00B531C3"/>
    <w:rsid w:val="00B53A07"/>
    <w:rsid w:val="00B5466F"/>
    <w:rsid w:val="00B55126"/>
    <w:rsid w:val="00B5533E"/>
    <w:rsid w:val="00B555CA"/>
    <w:rsid w:val="00B55B05"/>
    <w:rsid w:val="00B573C7"/>
    <w:rsid w:val="00B575D6"/>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1F65"/>
    <w:rsid w:val="00B733AC"/>
    <w:rsid w:val="00B73FC9"/>
    <w:rsid w:val="00B742A1"/>
    <w:rsid w:val="00B754DE"/>
    <w:rsid w:val="00B76806"/>
    <w:rsid w:val="00B83F84"/>
    <w:rsid w:val="00B84014"/>
    <w:rsid w:val="00B84A70"/>
    <w:rsid w:val="00B84DE6"/>
    <w:rsid w:val="00B84E55"/>
    <w:rsid w:val="00B864F5"/>
    <w:rsid w:val="00B86DE2"/>
    <w:rsid w:val="00B87A8B"/>
    <w:rsid w:val="00B87D27"/>
    <w:rsid w:val="00B87EC7"/>
    <w:rsid w:val="00B9038A"/>
    <w:rsid w:val="00B90B19"/>
    <w:rsid w:val="00B91592"/>
    <w:rsid w:val="00B91EC8"/>
    <w:rsid w:val="00B92181"/>
    <w:rsid w:val="00B92278"/>
    <w:rsid w:val="00B92D4F"/>
    <w:rsid w:val="00B93A32"/>
    <w:rsid w:val="00B94686"/>
    <w:rsid w:val="00B95841"/>
    <w:rsid w:val="00B96A91"/>
    <w:rsid w:val="00B9786C"/>
    <w:rsid w:val="00B97E68"/>
    <w:rsid w:val="00B97FA5"/>
    <w:rsid w:val="00BA0D2E"/>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0E9"/>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5AED"/>
    <w:rsid w:val="00BF7191"/>
    <w:rsid w:val="00BF7CA2"/>
    <w:rsid w:val="00C019AD"/>
    <w:rsid w:val="00C01A9E"/>
    <w:rsid w:val="00C01E44"/>
    <w:rsid w:val="00C02F78"/>
    <w:rsid w:val="00C04988"/>
    <w:rsid w:val="00C056A2"/>
    <w:rsid w:val="00C05CAA"/>
    <w:rsid w:val="00C0766D"/>
    <w:rsid w:val="00C07826"/>
    <w:rsid w:val="00C07BAF"/>
    <w:rsid w:val="00C1000A"/>
    <w:rsid w:val="00C109C7"/>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918"/>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6A8"/>
    <w:rsid w:val="00CB0F48"/>
    <w:rsid w:val="00CB1419"/>
    <w:rsid w:val="00CB166A"/>
    <w:rsid w:val="00CB1F7F"/>
    <w:rsid w:val="00CB1FE6"/>
    <w:rsid w:val="00CB4730"/>
    <w:rsid w:val="00CB54E5"/>
    <w:rsid w:val="00CB5515"/>
    <w:rsid w:val="00CB57D0"/>
    <w:rsid w:val="00CB5A80"/>
    <w:rsid w:val="00CB5D7B"/>
    <w:rsid w:val="00CB6774"/>
    <w:rsid w:val="00CB7830"/>
    <w:rsid w:val="00CC0CBE"/>
    <w:rsid w:val="00CC1612"/>
    <w:rsid w:val="00CC1804"/>
    <w:rsid w:val="00CC1ADD"/>
    <w:rsid w:val="00CC1BF7"/>
    <w:rsid w:val="00CC2070"/>
    <w:rsid w:val="00CC26AA"/>
    <w:rsid w:val="00CC2E0D"/>
    <w:rsid w:val="00CC3637"/>
    <w:rsid w:val="00CC3D0C"/>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D7277"/>
    <w:rsid w:val="00CE001B"/>
    <w:rsid w:val="00CE0D03"/>
    <w:rsid w:val="00CE1617"/>
    <w:rsid w:val="00CE1C00"/>
    <w:rsid w:val="00CE1F3D"/>
    <w:rsid w:val="00CE4680"/>
    <w:rsid w:val="00CE591C"/>
    <w:rsid w:val="00CE6ABD"/>
    <w:rsid w:val="00CE6D76"/>
    <w:rsid w:val="00CF03C9"/>
    <w:rsid w:val="00CF08B1"/>
    <w:rsid w:val="00CF0990"/>
    <w:rsid w:val="00CF14E4"/>
    <w:rsid w:val="00CF1AD6"/>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3F48"/>
    <w:rsid w:val="00D44736"/>
    <w:rsid w:val="00D45822"/>
    <w:rsid w:val="00D46A14"/>
    <w:rsid w:val="00D46A51"/>
    <w:rsid w:val="00D46DD5"/>
    <w:rsid w:val="00D472D6"/>
    <w:rsid w:val="00D474CE"/>
    <w:rsid w:val="00D502C5"/>
    <w:rsid w:val="00D5133B"/>
    <w:rsid w:val="00D51E4D"/>
    <w:rsid w:val="00D51E8E"/>
    <w:rsid w:val="00D522EA"/>
    <w:rsid w:val="00D52729"/>
    <w:rsid w:val="00D5382D"/>
    <w:rsid w:val="00D53EF1"/>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4AE1"/>
    <w:rsid w:val="00D651CA"/>
    <w:rsid w:val="00D652F7"/>
    <w:rsid w:val="00D65FAF"/>
    <w:rsid w:val="00D65FF5"/>
    <w:rsid w:val="00D661C8"/>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34AD"/>
    <w:rsid w:val="00DD3FD4"/>
    <w:rsid w:val="00DD58F5"/>
    <w:rsid w:val="00DD6A3D"/>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3FF6"/>
    <w:rsid w:val="00E05132"/>
    <w:rsid w:val="00E05938"/>
    <w:rsid w:val="00E05ACE"/>
    <w:rsid w:val="00E05D2E"/>
    <w:rsid w:val="00E06804"/>
    <w:rsid w:val="00E0707E"/>
    <w:rsid w:val="00E07D90"/>
    <w:rsid w:val="00E07D9B"/>
    <w:rsid w:val="00E106C2"/>
    <w:rsid w:val="00E11186"/>
    <w:rsid w:val="00E11DCC"/>
    <w:rsid w:val="00E14144"/>
    <w:rsid w:val="00E14F07"/>
    <w:rsid w:val="00E151DF"/>
    <w:rsid w:val="00E15584"/>
    <w:rsid w:val="00E15682"/>
    <w:rsid w:val="00E15A37"/>
    <w:rsid w:val="00E1668F"/>
    <w:rsid w:val="00E1710A"/>
    <w:rsid w:val="00E17989"/>
    <w:rsid w:val="00E17A2A"/>
    <w:rsid w:val="00E17D34"/>
    <w:rsid w:val="00E201E8"/>
    <w:rsid w:val="00E20C51"/>
    <w:rsid w:val="00E222E9"/>
    <w:rsid w:val="00E22AAB"/>
    <w:rsid w:val="00E2335D"/>
    <w:rsid w:val="00E2415E"/>
    <w:rsid w:val="00E2481B"/>
    <w:rsid w:val="00E276B2"/>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4E7"/>
    <w:rsid w:val="00E476A9"/>
    <w:rsid w:val="00E476DE"/>
    <w:rsid w:val="00E50863"/>
    <w:rsid w:val="00E50A55"/>
    <w:rsid w:val="00E52775"/>
    <w:rsid w:val="00E53B18"/>
    <w:rsid w:val="00E56707"/>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87DFD"/>
    <w:rsid w:val="00E91B87"/>
    <w:rsid w:val="00E92763"/>
    <w:rsid w:val="00E93596"/>
    <w:rsid w:val="00E93B6F"/>
    <w:rsid w:val="00E93BCF"/>
    <w:rsid w:val="00E9417F"/>
    <w:rsid w:val="00E95B48"/>
    <w:rsid w:val="00E960E0"/>
    <w:rsid w:val="00E97124"/>
    <w:rsid w:val="00EA0A21"/>
    <w:rsid w:val="00EA158B"/>
    <w:rsid w:val="00EA1A4B"/>
    <w:rsid w:val="00EA1AA1"/>
    <w:rsid w:val="00EA1E87"/>
    <w:rsid w:val="00EA328D"/>
    <w:rsid w:val="00EA44E9"/>
    <w:rsid w:val="00EA4868"/>
    <w:rsid w:val="00EA6022"/>
    <w:rsid w:val="00EA6C85"/>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37A"/>
    <w:rsid w:val="00EC45BC"/>
    <w:rsid w:val="00EC4774"/>
    <w:rsid w:val="00EC5EF6"/>
    <w:rsid w:val="00EC6042"/>
    <w:rsid w:val="00EC669F"/>
    <w:rsid w:val="00EC7751"/>
    <w:rsid w:val="00ED05F6"/>
    <w:rsid w:val="00ED2410"/>
    <w:rsid w:val="00ED3ADF"/>
    <w:rsid w:val="00ED52BC"/>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293"/>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2002"/>
    <w:rsid w:val="00F12D02"/>
    <w:rsid w:val="00F12FBB"/>
    <w:rsid w:val="00F130E3"/>
    <w:rsid w:val="00F13EEE"/>
    <w:rsid w:val="00F14C02"/>
    <w:rsid w:val="00F156F2"/>
    <w:rsid w:val="00F202B9"/>
    <w:rsid w:val="00F208A7"/>
    <w:rsid w:val="00F221E4"/>
    <w:rsid w:val="00F22A6D"/>
    <w:rsid w:val="00F22AE9"/>
    <w:rsid w:val="00F23389"/>
    <w:rsid w:val="00F2478A"/>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24B"/>
    <w:rsid w:val="00F5567F"/>
    <w:rsid w:val="00F56142"/>
    <w:rsid w:val="00F57412"/>
    <w:rsid w:val="00F60E85"/>
    <w:rsid w:val="00F6142D"/>
    <w:rsid w:val="00F6226B"/>
    <w:rsid w:val="00F62354"/>
    <w:rsid w:val="00F62963"/>
    <w:rsid w:val="00F62C06"/>
    <w:rsid w:val="00F63779"/>
    <w:rsid w:val="00F63BDE"/>
    <w:rsid w:val="00F64573"/>
    <w:rsid w:val="00F64EE8"/>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3E0"/>
    <w:rsid w:val="00FA1F06"/>
    <w:rsid w:val="00FA22A9"/>
    <w:rsid w:val="00FA23F7"/>
    <w:rsid w:val="00FA2E5B"/>
    <w:rsid w:val="00FA317D"/>
    <w:rsid w:val="00FA4E2D"/>
    <w:rsid w:val="00FA5CDA"/>
    <w:rsid w:val="00FA7701"/>
    <w:rsid w:val="00FB03A2"/>
    <w:rsid w:val="00FB04CD"/>
    <w:rsid w:val="00FB1776"/>
    <w:rsid w:val="00FB1943"/>
    <w:rsid w:val="00FB1CE2"/>
    <w:rsid w:val="00FB1E60"/>
    <w:rsid w:val="00FB2C5C"/>
    <w:rsid w:val="00FB3741"/>
    <w:rsid w:val="00FB5B35"/>
    <w:rsid w:val="00FB737F"/>
    <w:rsid w:val="00FC2A7D"/>
    <w:rsid w:val="00FC3E51"/>
    <w:rsid w:val="00FC48BB"/>
    <w:rsid w:val="00FC62E2"/>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942"/>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091CC4"/>
    <w:rsid w:val="010A099B"/>
    <w:rsid w:val="010D6029"/>
    <w:rsid w:val="01311D17"/>
    <w:rsid w:val="01457570"/>
    <w:rsid w:val="014C6B51"/>
    <w:rsid w:val="015A3B55"/>
    <w:rsid w:val="0179546C"/>
    <w:rsid w:val="017E6F26"/>
    <w:rsid w:val="018067FB"/>
    <w:rsid w:val="018835A5"/>
    <w:rsid w:val="018E53BB"/>
    <w:rsid w:val="01993D60"/>
    <w:rsid w:val="01AC3A93"/>
    <w:rsid w:val="01D60B10"/>
    <w:rsid w:val="01DE1773"/>
    <w:rsid w:val="01EF3980"/>
    <w:rsid w:val="01EF572E"/>
    <w:rsid w:val="01F86CD9"/>
    <w:rsid w:val="01FB40D3"/>
    <w:rsid w:val="02056D00"/>
    <w:rsid w:val="021A6C4F"/>
    <w:rsid w:val="0224362A"/>
    <w:rsid w:val="022A6766"/>
    <w:rsid w:val="02511F45"/>
    <w:rsid w:val="025B2DC4"/>
    <w:rsid w:val="025F4662"/>
    <w:rsid w:val="0261662C"/>
    <w:rsid w:val="02685C0C"/>
    <w:rsid w:val="027520D7"/>
    <w:rsid w:val="02866093"/>
    <w:rsid w:val="029A7D90"/>
    <w:rsid w:val="02BE3A7E"/>
    <w:rsid w:val="02E01C47"/>
    <w:rsid w:val="02ED1C6E"/>
    <w:rsid w:val="02FF3AD1"/>
    <w:rsid w:val="03217B69"/>
    <w:rsid w:val="03247659"/>
    <w:rsid w:val="032F2286"/>
    <w:rsid w:val="036F2FCB"/>
    <w:rsid w:val="037540F4"/>
    <w:rsid w:val="039C3694"/>
    <w:rsid w:val="03A013D6"/>
    <w:rsid w:val="03B60BF9"/>
    <w:rsid w:val="03C30C20"/>
    <w:rsid w:val="03CF75C5"/>
    <w:rsid w:val="03D64DF8"/>
    <w:rsid w:val="040D3755"/>
    <w:rsid w:val="040F20B8"/>
    <w:rsid w:val="04357D70"/>
    <w:rsid w:val="043A35D9"/>
    <w:rsid w:val="044D7027"/>
    <w:rsid w:val="0462668B"/>
    <w:rsid w:val="046E6DDE"/>
    <w:rsid w:val="04D56E5D"/>
    <w:rsid w:val="04E75EE4"/>
    <w:rsid w:val="050F2178"/>
    <w:rsid w:val="052102F4"/>
    <w:rsid w:val="052231ED"/>
    <w:rsid w:val="05287503"/>
    <w:rsid w:val="056D7096"/>
    <w:rsid w:val="057C377D"/>
    <w:rsid w:val="0591547A"/>
    <w:rsid w:val="05927A85"/>
    <w:rsid w:val="059C797B"/>
    <w:rsid w:val="05CA44E8"/>
    <w:rsid w:val="06310741"/>
    <w:rsid w:val="063B3638"/>
    <w:rsid w:val="0648365F"/>
    <w:rsid w:val="06545E4B"/>
    <w:rsid w:val="066F0F41"/>
    <w:rsid w:val="06920059"/>
    <w:rsid w:val="06BD5DFB"/>
    <w:rsid w:val="06C61153"/>
    <w:rsid w:val="070457D8"/>
    <w:rsid w:val="070E3322"/>
    <w:rsid w:val="07177C01"/>
    <w:rsid w:val="074840E6"/>
    <w:rsid w:val="07594A68"/>
    <w:rsid w:val="076F17EB"/>
    <w:rsid w:val="078057A6"/>
    <w:rsid w:val="07854B6B"/>
    <w:rsid w:val="07D258D6"/>
    <w:rsid w:val="07E01DA1"/>
    <w:rsid w:val="08031F33"/>
    <w:rsid w:val="08033CE1"/>
    <w:rsid w:val="081C45D4"/>
    <w:rsid w:val="084A7B62"/>
    <w:rsid w:val="084F33CB"/>
    <w:rsid w:val="084F6F27"/>
    <w:rsid w:val="086C5D2B"/>
    <w:rsid w:val="086E1AA3"/>
    <w:rsid w:val="08713341"/>
    <w:rsid w:val="08766BA9"/>
    <w:rsid w:val="0886344C"/>
    <w:rsid w:val="088E5CA1"/>
    <w:rsid w:val="08AF79C5"/>
    <w:rsid w:val="08C16076"/>
    <w:rsid w:val="08D51B22"/>
    <w:rsid w:val="08D833C0"/>
    <w:rsid w:val="08EC29C7"/>
    <w:rsid w:val="08F16230"/>
    <w:rsid w:val="08F301FA"/>
    <w:rsid w:val="08F875BE"/>
    <w:rsid w:val="08FC0E5C"/>
    <w:rsid w:val="090B5543"/>
    <w:rsid w:val="091645F9"/>
    <w:rsid w:val="09200946"/>
    <w:rsid w:val="09212671"/>
    <w:rsid w:val="093E76C7"/>
    <w:rsid w:val="09502F56"/>
    <w:rsid w:val="0972111F"/>
    <w:rsid w:val="097430E9"/>
    <w:rsid w:val="09903C9B"/>
    <w:rsid w:val="09C85397"/>
    <w:rsid w:val="09CA0BB9"/>
    <w:rsid w:val="09CF47C3"/>
    <w:rsid w:val="09D678FF"/>
    <w:rsid w:val="09D9119E"/>
    <w:rsid w:val="09ED69F7"/>
    <w:rsid w:val="0A155883"/>
    <w:rsid w:val="0A310FDA"/>
    <w:rsid w:val="0A856C30"/>
    <w:rsid w:val="0AA417AC"/>
    <w:rsid w:val="0ABA0FCF"/>
    <w:rsid w:val="0ACC0D02"/>
    <w:rsid w:val="0ACF318F"/>
    <w:rsid w:val="0ADB0F46"/>
    <w:rsid w:val="0AE03388"/>
    <w:rsid w:val="0AE4604C"/>
    <w:rsid w:val="0AE9430C"/>
    <w:rsid w:val="0B1A381C"/>
    <w:rsid w:val="0B224DC6"/>
    <w:rsid w:val="0B4E5BBB"/>
    <w:rsid w:val="0B61769D"/>
    <w:rsid w:val="0B633415"/>
    <w:rsid w:val="0B6C32B6"/>
    <w:rsid w:val="0B7F7B23"/>
    <w:rsid w:val="0B89469A"/>
    <w:rsid w:val="0B9A670B"/>
    <w:rsid w:val="0BAE0408"/>
    <w:rsid w:val="0BAE21B6"/>
    <w:rsid w:val="0BBF2615"/>
    <w:rsid w:val="0BE65DF4"/>
    <w:rsid w:val="0BF70001"/>
    <w:rsid w:val="0C030754"/>
    <w:rsid w:val="0C0F70F9"/>
    <w:rsid w:val="0C136E09"/>
    <w:rsid w:val="0C213FC1"/>
    <w:rsid w:val="0C2F32F7"/>
    <w:rsid w:val="0C3C77C2"/>
    <w:rsid w:val="0C41302A"/>
    <w:rsid w:val="0C430B50"/>
    <w:rsid w:val="0C5C7E64"/>
    <w:rsid w:val="0C6A2581"/>
    <w:rsid w:val="0C6A432F"/>
    <w:rsid w:val="0C6D3E1F"/>
    <w:rsid w:val="0C7B29E0"/>
    <w:rsid w:val="0C803B53"/>
    <w:rsid w:val="0C882A07"/>
    <w:rsid w:val="0C8E2259"/>
    <w:rsid w:val="0C9123B4"/>
    <w:rsid w:val="0C915D60"/>
    <w:rsid w:val="0C985340"/>
    <w:rsid w:val="0CA05FA3"/>
    <w:rsid w:val="0CA830A9"/>
    <w:rsid w:val="0CA97B4C"/>
    <w:rsid w:val="0CC55A09"/>
    <w:rsid w:val="0CC71781"/>
    <w:rsid w:val="0CCC6D98"/>
    <w:rsid w:val="0CCF0636"/>
    <w:rsid w:val="0CCF21C8"/>
    <w:rsid w:val="0CD03431"/>
    <w:rsid w:val="0CE265BB"/>
    <w:rsid w:val="0CE42333"/>
    <w:rsid w:val="0D006A41"/>
    <w:rsid w:val="0D0522AA"/>
    <w:rsid w:val="0D103128"/>
    <w:rsid w:val="0D1644B7"/>
    <w:rsid w:val="0D1F15BD"/>
    <w:rsid w:val="0D464D9C"/>
    <w:rsid w:val="0D504342"/>
    <w:rsid w:val="0D645222"/>
    <w:rsid w:val="0D6B65B1"/>
    <w:rsid w:val="0D6E42F3"/>
    <w:rsid w:val="0D705975"/>
    <w:rsid w:val="0D7A67F4"/>
    <w:rsid w:val="0D817B82"/>
    <w:rsid w:val="0D904269"/>
    <w:rsid w:val="0DDC125D"/>
    <w:rsid w:val="0DED5218"/>
    <w:rsid w:val="0DF26CD2"/>
    <w:rsid w:val="0E1C3D4F"/>
    <w:rsid w:val="0E1C78AB"/>
    <w:rsid w:val="0E2F5830"/>
    <w:rsid w:val="0E356BBF"/>
    <w:rsid w:val="0E41629B"/>
    <w:rsid w:val="0E43308A"/>
    <w:rsid w:val="0E4532A6"/>
    <w:rsid w:val="0E4A266A"/>
    <w:rsid w:val="0E4F7C80"/>
    <w:rsid w:val="0E572FD9"/>
    <w:rsid w:val="0E5E4367"/>
    <w:rsid w:val="0E6354DA"/>
    <w:rsid w:val="0E637D2C"/>
    <w:rsid w:val="0E6A6868"/>
    <w:rsid w:val="0E854C8B"/>
    <w:rsid w:val="0E941B37"/>
    <w:rsid w:val="0E990EFC"/>
    <w:rsid w:val="0EAC5768"/>
    <w:rsid w:val="0EAD2BF9"/>
    <w:rsid w:val="0EBF4B82"/>
    <w:rsid w:val="0ED818B2"/>
    <w:rsid w:val="0EE77EB9"/>
    <w:rsid w:val="0EF44384"/>
    <w:rsid w:val="0F20786F"/>
    <w:rsid w:val="0F2509E1"/>
    <w:rsid w:val="0F276507"/>
    <w:rsid w:val="0F2F1860"/>
    <w:rsid w:val="0F307AB2"/>
    <w:rsid w:val="0F490B74"/>
    <w:rsid w:val="0FC5047B"/>
    <w:rsid w:val="0FD0094D"/>
    <w:rsid w:val="0FD755EA"/>
    <w:rsid w:val="0FE268D2"/>
    <w:rsid w:val="0FFF1232"/>
    <w:rsid w:val="10044A9B"/>
    <w:rsid w:val="10101691"/>
    <w:rsid w:val="104650B3"/>
    <w:rsid w:val="10501A8E"/>
    <w:rsid w:val="10563548"/>
    <w:rsid w:val="1057106E"/>
    <w:rsid w:val="10741C20"/>
    <w:rsid w:val="107F4121"/>
    <w:rsid w:val="10881228"/>
    <w:rsid w:val="109953AF"/>
    <w:rsid w:val="10A047C3"/>
    <w:rsid w:val="10AD0C8E"/>
    <w:rsid w:val="10EA5A3E"/>
    <w:rsid w:val="110C1E59"/>
    <w:rsid w:val="111B6540"/>
    <w:rsid w:val="11203B56"/>
    <w:rsid w:val="113114B2"/>
    <w:rsid w:val="113118BF"/>
    <w:rsid w:val="1134315E"/>
    <w:rsid w:val="11366ED6"/>
    <w:rsid w:val="11535CDA"/>
    <w:rsid w:val="11603F53"/>
    <w:rsid w:val="11625F1D"/>
    <w:rsid w:val="11643A43"/>
    <w:rsid w:val="116C6D9B"/>
    <w:rsid w:val="117619C8"/>
    <w:rsid w:val="11895257"/>
    <w:rsid w:val="11943F45"/>
    <w:rsid w:val="11987B90"/>
    <w:rsid w:val="119B38D5"/>
    <w:rsid w:val="119F0F1F"/>
    <w:rsid w:val="11B00A36"/>
    <w:rsid w:val="11B869BE"/>
    <w:rsid w:val="11BD13A5"/>
    <w:rsid w:val="11D16BFE"/>
    <w:rsid w:val="11E20E0C"/>
    <w:rsid w:val="11F70688"/>
    <w:rsid w:val="11FC011F"/>
    <w:rsid w:val="1218482D"/>
    <w:rsid w:val="12296A3A"/>
    <w:rsid w:val="1232380F"/>
    <w:rsid w:val="12323B41"/>
    <w:rsid w:val="12394ECF"/>
    <w:rsid w:val="126B2BAF"/>
    <w:rsid w:val="127001C5"/>
    <w:rsid w:val="1275376E"/>
    <w:rsid w:val="1279351E"/>
    <w:rsid w:val="127B54E8"/>
    <w:rsid w:val="1283614B"/>
    <w:rsid w:val="12B10F0A"/>
    <w:rsid w:val="12BC165D"/>
    <w:rsid w:val="12BE53D5"/>
    <w:rsid w:val="12C8024F"/>
    <w:rsid w:val="12C86253"/>
    <w:rsid w:val="12D67209"/>
    <w:rsid w:val="12DE5A77"/>
    <w:rsid w:val="12EC0194"/>
    <w:rsid w:val="12ED5CBA"/>
    <w:rsid w:val="12F72695"/>
    <w:rsid w:val="12FC5EFD"/>
    <w:rsid w:val="130A061A"/>
    <w:rsid w:val="13117BFA"/>
    <w:rsid w:val="131D034D"/>
    <w:rsid w:val="13402EE3"/>
    <w:rsid w:val="134A0A16"/>
    <w:rsid w:val="134F427F"/>
    <w:rsid w:val="13767A5D"/>
    <w:rsid w:val="138844B0"/>
    <w:rsid w:val="139323BD"/>
    <w:rsid w:val="13A04ADA"/>
    <w:rsid w:val="13AE369B"/>
    <w:rsid w:val="13AE5449"/>
    <w:rsid w:val="13CF6872"/>
    <w:rsid w:val="13D12EE6"/>
    <w:rsid w:val="13FB7F63"/>
    <w:rsid w:val="13FD1F2D"/>
    <w:rsid w:val="1409068F"/>
    <w:rsid w:val="142C636E"/>
    <w:rsid w:val="14305E5E"/>
    <w:rsid w:val="14504752"/>
    <w:rsid w:val="14537D9F"/>
    <w:rsid w:val="14553B17"/>
    <w:rsid w:val="146A5814"/>
    <w:rsid w:val="146E4BD8"/>
    <w:rsid w:val="14755F67"/>
    <w:rsid w:val="147803AD"/>
    <w:rsid w:val="148F5D32"/>
    <w:rsid w:val="14902DA1"/>
    <w:rsid w:val="14983A03"/>
    <w:rsid w:val="14A34882"/>
    <w:rsid w:val="14B940A6"/>
    <w:rsid w:val="14CA0495"/>
    <w:rsid w:val="14D7277E"/>
    <w:rsid w:val="14ED01F3"/>
    <w:rsid w:val="14F72E20"/>
    <w:rsid w:val="14FB2910"/>
    <w:rsid w:val="151C4634"/>
    <w:rsid w:val="15205ED3"/>
    <w:rsid w:val="1537146E"/>
    <w:rsid w:val="156A53A0"/>
    <w:rsid w:val="158A3C94"/>
    <w:rsid w:val="15962639"/>
    <w:rsid w:val="15AE34DE"/>
    <w:rsid w:val="15D078F9"/>
    <w:rsid w:val="15E769F0"/>
    <w:rsid w:val="162B2D81"/>
    <w:rsid w:val="16421E79"/>
    <w:rsid w:val="16473933"/>
    <w:rsid w:val="166444E5"/>
    <w:rsid w:val="168E50BE"/>
    <w:rsid w:val="16AA639C"/>
    <w:rsid w:val="16AD3796"/>
    <w:rsid w:val="16B56AEF"/>
    <w:rsid w:val="16B70AB9"/>
    <w:rsid w:val="16C45831"/>
    <w:rsid w:val="16C54457"/>
    <w:rsid w:val="16E55626"/>
    <w:rsid w:val="1703785A"/>
    <w:rsid w:val="17177733"/>
    <w:rsid w:val="17263548"/>
    <w:rsid w:val="173F148A"/>
    <w:rsid w:val="173F6296"/>
    <w:rsid w:val="175B7696"/>
    <w:rsid w:val="175E5EA3"/>
    <w:rsid w:val="176651A7"/>
    <w:rsid w:val="1767603B"/>
    <w:rsid w:val="177B5642"/>
    <w:rsid w:val="17805F57"/>
    <w:rsid w:val="17887D5F"/>
    <w:rsid w:val="17974D1F"/>
    <w:rsid w:val="179901BE"/>
    <w:rsid w:val="17A133F8"/>
    <w:rsid w:val="17A50638"/>
    <w:rsid w:val="17C57205"/>
    <w:rsid w:val="17C63699"/>
    <w:rsid w:val="17E07B9B"/>
    <w:rsid w:val="17E458DD"/>
    <w:rsid w:val="17EA0A1A"/>
    <w:rsid w:val="17EE4066"/>
    <w:rsid w:val="181F6915"/>
    <w:rsid w:val="182B350C"/>
    <w:rsid w:val="182C4B8E"/>
    <w:rsid w:val="182E6B59"/>
    <w:rsid w:val="18455C50"/>
    <w:rsid w:val="18491BE4"/>
    <w:rsid w:val="18622CA6"/>
    <w:rsid w:val="18673E19"/>
    <w:rsid w:val="18767D02"/>
    <w:rsid w:val="1896025D"/>
    <w:rsid w:val="18972950"/>
    <w:rsid w:val="189A2440"/>
    <w:rsid w:val="18AF5EEB"/>
    <w:rsid w:val="18B51028"/>
    <w:rsid w:val="18C33745"/>
    <w:rsid w:val="18C474BD"/>
    <w:rsid w:val="18C8788D"/>
    <w:rsid w:val="18E41025"/>
    <w:rsid w:val="18E92A80"/>
    <w:rsid w:val="18F71640"/>
    <w:rsid w:val="191915B7"/>
    <w:rsid w:val="192F4936"/>
    <w:rsid w:val="19306900"/>
    <w:rsid w:val="19314B52"/>
    <w:rsid w:val="19434886"/>
    <w:rsid w:val="195720DF"/>
    <w:rsid w:val="19676326"/>
    <w:rsid w:val="197B401F"/>
    <w:rsid w:val="19960E59"/>
    <w:rsid w:val="19A215AC"/>
    <w:rsid w:val="19D76D7C"/>
    <w:rsid w:val="19DD25E4"/>
    <w:rsid w:val="19E7315B"/>
    <w:rsid w:val="19E82D37"/>
    <w:rsid w:val="1A004525"/>
    <w:rsid w:val="1A023DF9"/>
    <w:rsid w:val="1A0E0DD3"/>
    <w:rsid w:val="1A231FC1"/>
    <w:rsid w:val="1A372B28"/>
    <w:rsid w:val="1A404921"/>
    <w:rsid w:val="1A497C7A"/>
    <w:rsid w:val="1A501008"/>
    <w:rsid w:val="1A5F49D1"/>
    <w:rsid w:val="1A615F3A"/>
    <w:rsid w:val="1A646862"/>
    <w:rsid w:val="1A6579A6"/>
    <w:rsid w:val="1A736AA5"/>
    <w:rsid w:val="1A78055F"/>
    <w:rsid w:val="1A8E7D82"/>
    <w:rsid w:val="1A903AFB"/>
    <w:rsid w:val="1A907657"/>
    <w:rsid w:val="1AA44EB0"/>
    <w:rsid w:val="1AC217DA"/>
    <w:rsid w:val="1ACE017F"/>
    <w:rsid w:val="1AF04599"/>
    <w:rsid w:val="1B0B3181"/>
    <w:rsid w:val="1B0D0CA7"/>
    <w:rsid w:val="1B2D759B"/>
    <w:rsid w:val="1B2E0C1E"/>
    <w:rsid w:val="1B3B1CB8"/>
    <w:rsid w:val="1B3F2E2B"/>
    <w:rsid w:val="1B5C1C2F"/>
    <w:rsid w:val="1B762CF0"/>
    <w:rsid w:val="1B8B42C2"/>
    <w:rsid w:val="1BB9498B"/>
    <w:rsid w:val="1BCF41AF"/>
    <w:rsid w:val="1BD95F1A"/>
    <w:rsid w:val="1BEF2AA3"/>
    <w:rsid w:val="1BEF4851"/>
    <w:rsid w:val="1BF12377"/>
    <w:rsid w:val="1C2A5889"/>
    <w:rsid w:val="1C2F4C4D"/>
    <w:rsid w:val="1C314E69"/>
    <w:rsid w:val="1C47643B"/>
    <w:rsid w:val="1C540674"/>
    <w:rsid w:val="1C6F2165"/>
    <w:rsid w:val="1C994D2B"/>
    <w:rsid w:val="1CA268C5"/>
    <w:rsid w:val="1CC41839"/>
    <w:rsid w:val="1CDC4DD5"/>
    <w:rsid w:val="1CE343B6"/>
    <w:rsid w:val="1D047E88"/>
    <w:rsid w:val="1D083E1C"/>
    <w:rsid w:val="1D17405F"/>
    <w:rsid w:val="1D344C11"/>
    <w:rsid w:val="1D392227"/>
    <w:rsid w:val="1D3A7D4E"/>
    <w:rsid w:val="1D417C69"/>
    <w:rsid w:val="1D491D3F"/>
    <w:rsid w:val="1D5A03F0"/>
    <w:rsid w:val="1D5C5F16"/>
    <w:rsid w:val="1D76522A"/>
    <w:rsid w:val="1D86742D"/>
    <w:rsid w:val="1D990F18"/>
    <w:rsid w:val="1D992CC6"/>
    <w:rsid w:val="1DA77573"/>
    <w:rsid w:val="1DB95116"/>
    <w:rsid w:val="1DCD2970"/>
    <w:rsid w:val="1DD71A40"/>
    <w:rsid w:val="1DD737EE"/>
    <w:rsid w:val="1DEB1048"/>
    <w:rsid w:val="1DFB572F"/>
    <w:rsid w:val="1E1265D5"/>
    <w:rsid w:val="1E2F362A"/>
    <w:rsid w:val="1E37428D"/>
    <w:rsid w:val="1E4569AA"/>
    <w:rsid w:val="1E5E181A"/>
    <w:rsid w:val="1E6A21EE"/>
    <w:rsid w:val="1E7B23CC"/>
    <w:rsid w:val="1E933BB9"/>
    <w:rsid w:val="1EBB0A1A"/>
    <w:rsid w:val="1EC7766E"/>
    <w:rsid w:val="1EC91389"/>
    <w:rsid w:val="1ECF1DF3"/>
    <w:rsid w:val="1EE6343F"/>
    <w:rsid w:val="1F120F82"/>
    <w:rsid w:val="1F5350F7"/>
    <w:rsid w:val="1F62533A"/>
    <w:rsid w:val="1F642E60"/>
    <w:rsid w:val="1F78690B"/>
    <w:rsid w:val="1F843502"/>
    <w:rsid w:val="1F9574BD"/>
    <w:rsid w:val="1FAB0A8F"/>
    <w:rsid w:val="1FAE057F"/>
    <w:rsid w:val="1FB21E1D"/>
    <w:rsid w:val="1FBA1B38"/>
    <w:rsid w:val="1FC33368"/>
    <w:rsid w:val="1FC41B50"/>
    <w:rsid w:val="1FCA360B"/>
    <w:rsid w:val="1FD224BF"/>
    <w:rsid w:val="1FD60202"/>
    <w:rsid w:val="1FE87B7C"/>
    <w:rsid w:val="1FFE32B4"/>
    <w:rsid w:val="2007660D"/>
    <w:rsid w:val="200F101E"/>
    <w:rsid w:val="200F7270"/>
    <w:rsid w:val="201B5C14"/>
    <w:rsid w:val="20216FA3"/>
    <w:rsid w:val="20286583"/>
    <w:rsid w:val="2031368A"/>
    <w:rsid w:val="20346CD6"/>
    <w:rsid w:val="205E3D53"/>
    <w:rsid w:val="206C46C2"/>
    <w:rsid w:val="20710D0B"/>
    <w:rsid w:val="209D487B"/>
    <w:rsid w:val="20A92D44"/>
    <w:rsid w:val="20C75D9C"/>
    <w:rsid w:val="20D02EA3"/>
    <w:rsid w:val="20DF4EBD"/>
    <w:rsid w:val="20E26732"/>
    <w:rsid w:val="211A5A67"/>
    <w:rsid w:val="21294361"/>
    <w:rsid w:val="212E3725"/>
    <w:rsid w:val="21507B40"/>
    <w:rsid w:val="215313DE"/>
    <w:rsid w:val="21617F9F"/>
    <w:rsid w:val="216635A1"/>
    <w:rsid w:val="21920880"/>
    <w:rsid w:val="21A01B40"/>
    <w:rsid w:val="21B87493"/>
    <w:rsid w:val="21BA145D"/>
    <w:rsid w:val="21BA320B"/>
    <w:rsid w:val="21C66054"/>
    <w:rsid w:val="21C978F2"/>
    <w:rsid w:val="21CD1190"/>
    <w:rsid w:val="21D342CD"/>
    <w:rsid w:val="21D95D87"/>
    <w:rsid w:val="21E62252"/>
    <w:rsid w:val="21FC3824"/>
    <w:rsid w:val="221C2118"/>
    <w:rsid w:val="223E3E3C"/>
    <w:rsid w:val="224156DA"/>
    <w:rsid w:val="22513B6F"/>
    <w:rsid w:val="225B679C"/>
    <w:rsid w:val="226A3BBA"/>
    <w:rsid w:val="22717D6E"/>
    <w:rsid w:val="22965A26"/>
    <w:rsid w:val="229E0D7F"/>
    <w:rsid w:val="22A243CB"/>
    <w:rsid w:val="22A85759"/>
    <w:rsid w:val="22B57FB1"/>
    <w:rsid w:val="22C5455D"/>
    <w:rsid w:val="22C72083"/>
    <w:rsid w:val="22F4274D"/>
    <w:rsid w:val="22FE5379"/>
    <w:rsid w:val="230230BC"/>
    <w:rsid w:val="23045086"/>
    <w:rsid w:val="23261B0A"/>
    <w:rsid w:val="23294AEC"/>
    <w:rsid w:val="232C1EE7"/>
    <w:rsid w:val="23452FA8"/>
    <w:rsid w:val="235B27CC"/>
    <w:rsid w:val="2372058B"/>
    <w:rsid w:val="239A7798"/>
    <w:rsid w:val="23AD74CB"/>
    <w:rsid w:val="23E17175"/>
    <w:rsid w:val="23FA0464"/>
    <w:rsid w:val="23FE3883"/>
    <w:rsid w:val="241A4435"/>
    <w:rsid w:val="241E3F25"/>
    <w:rsid w:val="2423153B"/>
    <w:rsid w:val="24261A50"/>
    <w:rsid w:val="24373239"/>
    <w:rsid w:val="243E6375"/>
    <w:rsid w:val="24400E1F"/>
    <w:rsid w:val="244F40DF"/>
    <w:rsid w:val="24594F5D"/>
    <w:rsid w:val="246D4E18"/>
    <w:rsid w:val="247D51DF"/>
    <w:rsid w:val="248520D7"/>
    <w:rsid w:val="249C4E4A"/>
    <w:rsid w:val="24AF1021"/>
    <w:rsid w:val="24C0322E"/>
    <w:rsid w:val="24ED126A"/>
    <w:rsid w:val="252D7B95"/>
    <w:rsid w:val="25302162"/>
    <w:rsid w:val="2533755C"/>
    <w:rsid w:val="25341526"/>
    <w:rsid w:val="253908EB"/>
    <w:rsid w:val="253D662D"/>
    <w:rsid w:val="25401C79"/>
    <w:rsid w:val="256A4F48"/>
    <w:rsid w:val="257B7155"/>
    <w:rsid w:val="257F27A2"/>
    <w:rsid w:val="25826736"/>
    <w:rsid w:val="25951619"/>
    <w:rsid w:val="259B38D0"/>
    <w:rsid w:val="259C15A5"/>
    <w:rsid w:val="25CE197B"/>
    <w:rsid w:val="25CE6675"/>
    <w:rsid w:val="25D56865"/>
    <w:rsid w:val="25E116AE"/>
    <w:rsid w:val="25E44CFA"/>
    <w:rsid w:val="26025181"/>
    <w:rsid w:val="26192BF6"/>
    <w:rsid w:val="261E020C"/>
    <w:rsid w:val="26364541"/>
    <w:rsid w:val="2649357C"/>
    <w:rsid w:val="264C5EC6"/>
    <w:rsid w:val="266F2816"/>
    <w:rsid w:val="267E514F"/>
    <w:rsid w:val="267F67D1"/>
    <w:rsid w:val="268362C1"/>
    <w:rsid w:val="268907C4"/>
    <w:rsid w:val="269009DE"/>
    <w:rsid w:val="269915E2"/>
    <w:rsid w:val="26A1499A"/>
    <w:rsid w:val="26A34BB6"/>
    <w:rsid w:val="26A76454"/>
    <w:rsid w:val="26E03714"/>
    <w:rsid w:val="26ED7D9B"/>
    <w:rsid w:val="26EE4083"/>
    <w:rsid w:val="26FC6074"/>
    <w:rsid w:val="26FE003E"/>
    <w:rsid w:val="270E64D3"/>
    <w:rsid w:val="274214D2"/>
    <w:rsid w:val="2751016E"/>
    <w:rsid w:val="27703059"/>
    <w:rsid w:val="27906EE8"/>
    <w:rsid w:val="27914A0E"/>
    <w:rsid w:val="279A1B15"/>
    <w:rsid w:val="27A33524"/>
    <w:rsid w:val="27F54F9D"/>
    <w:rsid w:val="27FD02F5"/>
    <w:rsid w:val="27FE6547"/>
    <w:rsid w:val="282633A8"/>
    <w:rsid w:val="28335AC5"/>
    <w:rsid w:val="2838132E"/>
    <w:rsid w:val="2879797C"/>
    <w:rsid w:val="28897026"/>
    <w:rsid w:val="28996270"/>
    <w:rsid w:val="289B3D96"/>
    <w:rsid w:val="28A95D87"/>
    <w:rsid w:val="28AB1AFF"/>
    <w:rsid w:val="28AD5878"/>
    <w:rsid w:val="28E03E9F"/>
    <w:rsid w:val="28E55011"/>
    <w:rsid w:val="290D6316"/>
    <w:rsid w:val="290F02E0"/>
    <w:rsid w:val="291E22D1"/>
    <w:rsid w:val="29482BFC"/>
    <w:rsid w:val="294A1318"/>
    <w:rsid w:val="296A7AB0"/>
    <w:rsid w:val="296F0D7F"/>
    <w:rsid w:val="297B7724"/>
    <w:rsid w:val="298011DE"/>
    <w:rsid w:val="2996630C"/>
    <w:rsid w:val="29983A2E"/>
    <w:rsid w:val="2999695D"/>
    <w:rsid w:val="29A7676B"/>
    <w:rsid w:val="29AE18A7"/>
    <w:rsid w:val="29BD5F8E"/>
    <w:rsid w:val="29CE7FFA"/>
    <w:rsid w:val="29D357B2"/>
    <w:rsid w:val="29F37C02"/>
    <w:rsid w:val="29F70B17"/>
    <w:rsid w:val="29F80D74"/>
    <w:rsid w:val="2A07545B"/>
    <w:rsid w:val="2A2B739C"/>
    <w:rsid w:val="2A3224D8"/>
    <w:rsid w:val="2A353B5D"/>
    <w:rsid w:val="2A375D41"/>
    <w:rsid w:val="2A41096D"/>
    <w:rsid w:val="2A4E6560"/>
    <w:rsid w:val="2A510485"/>
    <w:rsid w:val="2A524929"/>
    <w:rsid w:val="2A834AE2"/>
    <w:rsid w:val="2A9C2048"/>
    <w:rsid w:val="2AFC6642"/>
    <w:rsid w:val="2B05199B"/>
    <w:rsid w:val="2B481888"/>
    <w:rsid w:val="2B4C1378"/>
    <w:rsid w:val="2B844FB6"/>
    <w:rsid w:val="2B88437A"/>
    <w:rsid w:val="2B960995"/>
    <w:rsid w:val="2BA80578"/>
    <w:rsid w:val="2BB807BB"/>
    <w:rsid w:val="2BB92785"/>
    <w:rsid w:val="2BC058C2"/>
    <w:rsid w:val="2C0C4FAB"/>
    <w:rsid w:val="2C0C6D59"/>
    <w:rsid w:val="2C4E1120"/>
    <w:rsid w:val="2C5C1A8E"/>
    <w:rsid w:val="2C723060"/>
    <w:rsid w:val="2C7F39CF"/>
    <w:rsid w:val="2C994A91"/>
    <w:rsid w:val="2CA174A1"/>
    <w:rsid w:val="2CA3146B"/>
    <w:rsid w:val="2CBA4A07"/>
    <w:rsid w:val="2CE46631"/>
    <w:rsid w:val="2CE92EF7"/>
    <w:rsid w:val="2CEC01B3"/>
    <w:rsid w:val="2D0363AE"/>
    <w:rsid w:val="2D047A30"/>
    <w:rsid w:val="2D3C71CA"/>
    <w:rsid w:val="2D4B38B1"/>
    <w:rsid w:val="2D4D2C4B"/>
    <w:rsid w:val="2D524C40"/>
    <w:rsid w:val="2D546C0A"/>
    <w:rsid w:val="2D7626DC"/>
    <w:rsid w:val="2D947006"/>
    <w:rsid w:val="2DAA05D8"/>
    <w:rsid w:val="2DAD00C8"/>
    <w:rsid w:val="2DB94CBF"/>
    <w:rsid w:val="2DCC49F2"/>
    <w:rsid w:val="2DF31F7F"/>
    <w:rsid w:val="2DFB2564"/>
    <w:rsid w:val="2DFB7085"/>
    <w:rsid w:val="2E0C4DEE"/>
    <w:rsid w:val="2E2465DC"/>
    <w:rsid w:val="2E2E2297"/>
    <w:rsid w:val="2E344345"/>
    <w:rsid w:val="2E422F06"/>
    <w:rsid w:val="2E484EC9"/>
    <w:rsid w:val="2E6E3CFB"/>
    <w:rsid w:val="2E8B274E"/>
    <w:rsid w:val="2E8D23D3"/>
    <w:rsid w:val="2ED35FEE"/>
    <w:rsid w:val="2EE30245"/>
    <w:rsid w:val="2F0977FE"/>
    <w:rsid w:val="2F11754B"/>
    <w:rsid w:val="2F126434"/>
    <w:rsid w:val="2F193C67"/>
    <w:rsid w:val="2F195A15"/>
    <w:rsid w:val="2F1E74CF"/>
    <w:rsid w:val="2F300FB0"/>
    <w:rsid w:val="2F364FDD"/>
    <w:rsid w:val="2F4A5B47"/>
    <w:rsid w:val="2F4B5DEA"/>
    <w:rsid w:val="2F4F58DB"/>
    <w:rsid w:val="2F566C69"/>
    <w:rsid w:val="2F6A2714"/>
    <w:rsid w:val="2F963509"/>
    <w:rsid w:val="2FA644F0"/>
    <w:rsid w:val="2FB13E9F"/>
    <w:rsid w:val="2FB614B6"/>
    <w:rsid w:val="2FCE2CA3"/>
    <w:rsid w:val="2FDB2CCA"/>
    <w:rsid w:val="2FE204FD"/>
    <w:rsid w:val="300C7328"/>
    <w:rsid w:val="301014CC"/>
    <w:rsid w:val="30136908"/>
    <w:rsid w:val="30197C97"/>
    <w:rsid w:val="30297EDA"/>
    <w:rsid w:val="302A3C52"/>
    <w:rsid w:val="30517430"/>
    <w:rsid w:val="30542A7D"/>
    <w:rsid w:val="30593677"/>
    <w:rsid w:val="30676C54"/>
    <w:rsid w:val="30874C00"/>
    <w:rsid w:val="309A2B85"/>
    <w:rsid w:val="30A47560"/>
    <w:rsid w:val="30C145B6"/>
    <w:rsid w:val="30E262DA"/>
    <w:rsid w:val="30E81B43"/>
    <w:rsid w:val="310E0E7D"/>
    <w:rsid w:val="31172428"/>
    <w:rsid w:val="311F12DD"/>
    <w:rsid w:val="312E32CE"/>
    <w:rsid w:val="313E5C07"/>
    <w:rsid w:val="314A45AB"/>
    <w:rsid w:val="31603DCF"/>
    <w:rsid w:val="318007A3"/>
    <w:rsid w:val="318B24CE"/>
    <w:rsid w:val="31A0241D"/>
    <w:rsid w:val="31A6555A"/>
    <w:rsid w:val="31AB01F8"/>
    <w:rsid w:val="31AF2660"/>
    <w:rsid w:val="31B61A2C"/>
    <w:rsid w:val="31D10829"/>
    <w:rsid w:val="31E7004C"/>
    <w:rsid w:val="31E83DC4"/>
    <w:rsid w:val="31EA5447"/>
    <w:rsid w:val="31F20885"/>
    <w:rsid w:val="3209173E"/>
    <w:rsid w:val="322F72FD"/>
    <w:rsid w:val="323D6A02"/>
    <w:rsid w:val="32472899"/>
    <w:rsid w:val="325F5E35"/>
    <w:rsid w:val="32A61CB5"/>
    <w:rsid w:val="32AD7620"/>
    <w:rsid w:val="32B83797"/>
    <w:rsid w:val="32CB5278"/>
    <w:rsid w:val="32DC7485"/>
    <w:rsid w:val="32E32BE5"/>
    <w:rsid w:val="32E550F0"/>
    <w:rsid w:val="32EF3C7F"/>
    <w:rsid w:val="32F742BF"/>
    <w:rsid w:val="3316362B"/>
    <w:rsid w:val="33196C24"/>
    <w:rsid w:val="3328091C"/>
    <w:rsid w:val="334749B2"/>
    <w:rsid w:val="335F00B6"/>
    <w:rsid w:val="33615BDC"/>
    <w:rsid w:val="33723946"/>
    <w:rsid w:val="337F42B4"/>
    <w:rsid w:val="337F6063"/>
    <w:rsid w:val="338E62A6"/>
    <w:rsid w:val="339A2E9C"/>
    <w:rsid w:val="33A04957"/>
    <w:rsid w:val="33A45AC9"/>
    <w:rsid w:val="33A67A93"/>
    <w:rsid w:val="33CF2B46"/>
    <w:rsid w:val="33D60378"/>
    <w:rsid w:val="33E505BB"/>
    <w:rsid w:val="33E6570C"/>
    <w:rsid w:val="33ED121E"/>
    <w:rsid w:val="33F64577"/>
    <w:rsid w:val="33FE7F3A"/>
    <w:rsid w:val="34076784"/>
    <w:rsid w:val="342310E4"/>
    <w:rsid w:val="34425A0E"/>
    <w:rsid w:val="34545741"/>
    <w:rsid w:val="345474EF"/>
    <w:rsid w:val="345B087E"/>
    <w:rsid w:val="345E211C"/>
    <w:rsid w:val="346911EC"/>
    <w:rsid w:val="346F257B"/>
    <w:rsid w:val="348A4CBF"/>
    <w:rsid w:val="349B3370"/>
    <w:rsid w:val="34A71D15"/>
    <w:rsid w:val="34B8182C"/>
    <w:rsid w:val="34C06933"/>
    <w:rsid w:val="34CA77B1"/>
    <w:rsid w:val="34D16D92"/>
    <w:rsid w:val="34D80120"/>
    <w:rsid w:val="34DF14AF"/>
    <w:rsid w:val="34F275A4"/>
    <w:rsid w:val="34F34F5A"/>
    <w:rsid w:val="352E7D40"/>
    <w:rsid w:val="3538471B"/>
    <w:rsid w:val="353A4937"/>
    <w:rsid w:val="35452190"/>
    <w:rsid w:val="357D65D2"/>
    <w:rsid w:val="357F234A"/>
    <w:rsid w:val="35B5220F"/>
    <w:rsid w:val="35C0308E"/>
    <w:rsid w:val="35C44201"/>
    <w:rsid w:val="35E03A6C"/>
    <w:rsid w:val="35F745D6"/>
    <w:rsid w:val="36107446"/>
    <w:rsid w:val="3619454C"/>
    <w:rsid w:val="3623361D"/>
    <w:rsid w:val="36256D58"/>
    <w:rsid w:val="36273AB2"/>
    <w:rsid w:val="36310899"/>
    <w:rsid w:val="36511F38"/>
    <w:rsid w:val="36566C1F"/>
    <w:rsid w:val="36674365"/>
    <w:rsid w:val="367E6AA5"/>
    <w:rsid w:val="36A77DAA"/>
    <w:rsid w:val="36AB3135"/>
    <w:rsid w:val="36B64491"/>
    <w:rsid w:val="36D16BD5"/>
    <w:rsid w:val="36E25286"/>
    <w:rsid w:val="36E763F9"/>
    <w:rsid w:val="36E903C3"/>
    <w:rsid w:val="37074CED"/>
    <w:rsid w:val="370A0339"/>
    <w:rsid w:val="370A4275"/>
    <w:rsid w:val="37272C99"/>
    <w:rsid w:val="373C745E"/>
    <w:rsid w:val="373E35FE"/>
    <w:rsid w:val="37490E61"/>
    <w:rsid w:val="374A4119"/>
    <w:rsid w:val="376F64B5"/>
    <w:rsid w:val="377B6281"/>
    <w:rsid w:val="377F2AD5"/>
    <w:rsid w:val="3795459A"/>
    <w:rsid w:val="37BD53AB"/>
    <w:rsid w:val="37F54B45"/>
    <w:rsid w:val="37FF59C4"/>
    <w:rsid w:val="38012C35"/>
    <w:rsid w:val="381B0A50"/>
    <w:rsid w:val="381D1FBD"/>
    <w:rsid w:val="382B0567"/>
    <w:rsid w:val="382D0FDF"/>
    <w:rsid w:val="382E45C3"/>
    <w:rsid w:val="38325D99"/>
    <w:rsid w:val="38327B47"/>
    <w:rsid w:val="384A30E3"/>
    <w:rsid w:val="38547ABE"/>
    <w:rsid w:val="386121DB"/>
    <w:rsid w:val="389E3BAB"/>
    <w:rsid w:val="38B16CBE"/>
    <w:rsid w:val="38B7004D"/>
    <w:rsid w:val="38B72CB1"/>
    <w:rsid w:val="38C20ECB"/>
    <w:rsid w:val="38CD7870"/>
    <w:rsid w:val="39092DF5"/>
    <w:rsid w:val="390A63CE"/>
    <w:rsid w:val="391D25A6"/>
    <w:rsid w:val="391F631E"/>
    <w:rsid w:val="39273424"/>
    <w:rsid w:val="39365415"/>
    <w:rsid w:val="394F0285"/>
    <w:rsid w:val="3951224F"/>
    <w:rsid w:val="39565AB7"/>
    <w:rsid w:val="395B007F"/>
    <w:rsid w:val="3962620A"/>
    <w:rsid w:val="39641F82"/>
    <w:rsid w:val="397D4DF2"/>
    <w:rsid w:val="3982065B"/>
    <w:rsid w:val="39893797"/>
    <w:rsid w:val="399F745E"/>
    <w:rsid w:val="39AB5068"/>
    <w:rsid w:val="39C6403A"/>
    <w:rsid w:val="39D215E2"/>
    <w:rsid w:val="39EA702F"/>
    <w:rsid w:val="39EF3F42"/>
    <w:rsid w:val="3A03179B"/>
    <w:rsid w:val="3A10210A"/>
    <w:rsid w:val="3A1F40FB"/>
    <w:rsid w:val="3A4B6C9E"/>
    <w:rsid w:val="3A4E4126"/>
    <w:rsid w:val="3A4F49E1"/>
    <w:rsid w:val="3A5B3385"/>
    <w:rsid w:val="3A6A7A6C"/>
    <w:rsid w:val="3A7461F5"/>
    <w:rsid w:val="3A8E2B60"/>
    <w:rsid w:val="3A975819"/>
    <w:rsid w:val="3AA36ADA"/>
    <w:rsid w:val="3AAA60BB"/>
    <w:rsid w:val="3AAC6C09"/>
    <w:rsid w:val="3AB50518"/>
    <w:rsid w:val="3AD2116E"/>
    <w:rsid w:val="3AD4138A"/>
    <w:rsid w:val="3ADB2718"/>
    <w:rsid w:val="3AF235BE"/>
    <w:rsid w:val="3B131EB2"/>
    <w:rsid w:val="3B1B2B15"/>
    <w:rsid w:val="3B201ED9"/>
    <w:rsid w:val="3B20637D"/>
    <w:rsid w:val="3B6E0E96"/>
    <w:rsid w:val="3BA35A50"/>
    <w:rsid w:val="3BA9752F"/>
    <w:rsid w:val="3BAE1BDB"/>
    <w:rsid w:val="3BC96A15"/>
    <w:rsid w:val="3BCB453B"/>
    <w:rsid w:val="3BD84ACB"/>
    <w:rsid w:val="3BEC625F"/>
    <w:rsid w:val="3BF84C04"/>
    <w:rsid w:val="3C1C4D96"/>
    <w:rsid w:val="3C237ED3"/>
    <w:rsid w:val="3C2D2B00"/>
    <w:rsid w:val="3C522566"/>
    <w:rsid w:val="3C5938F5"/>
    <w:rsid w:val="3C7B58AE"/>
    <w:rsid w:val="3C812E4B"/>
    <w:rsid w:val="3C8841DA"/>
    <w:rsid w:val="3CBC20D5"/>
    <w:rsid w:val="3CC05722"/>
    <w:rsid w:val="3CCD7E3F"/>
    <w:rsid w:val="3CD47022"/>
    <w:rsid w:val="3CD651DC"/>
    <w:rsid w:val="3CFB0E50"/>
    <w:rsid w:val="3D000214"/>
    <w:rsid w:val="3D154364"/>
    <w:rsid w:val="3D3B124C"/>
    <w:rsid w:val="3D3B56F0"/>
    <w:rsid w:val="3D417580"/>
    <w:rsid w:val="3D4D2D2E"/>
    <w:rsid w:val="3D54230E"/>
    <w:rsid w:val="3D664EE1"/>
    <w:rsid w:val="3D826E7B"/>
    <w:rsid w:val="3D85696B"/>
    <w:rsid w:val="3D894BDA"/>
    <w:rsid w:val="3DAB63D2"/>
    <w:rsid w:val="3DB120EA"/>
    <w:rsid w:val="3DBF00CF"/>
    <w:rsid w:val="3DC2196D"/>
    <w:rsid w:val="3DF32C6E"/>
    <w:rsid w:val="3DF80EEB"/>
    <w:rsid w:val="3E045AE2"/>
    <w:rsid w:val="3E155F41"/>
    <w:rsid w:val="3E32264F"/>
    <w:rsid w:val="3E391C30"/>
    <w:rsid w:val="3E7A5DA4"/>
    <w:rsid w:val="3E846C23"/>
    <w:rsid w:val="3EA941E9"/>
    <w:rsid w:val="3EAD0CC4"/>
    <w:rsid w:val="3EB56DDC"/>
    <w:rsid w:val="3EBA43F3"/>
    <w:rsid w:val="3EC7548D"/>
    <w:rsid w:val="3EC84D62"/>
    <w:rsid w:val="3EE20304"/>
    <w:rsid w:val="3EEB27FE"/>
    <w:rsid w:val="3F081602"/>
    <w:rsid w:val="3F0B2EA0"/>
    <w:rsid w:val="3F171845"/>
    <w:rsid w:val="3F31011D"/>
    <w:rsid w:val="3F3643C1"/>
    <w:rsid w:val="3F3B0C9D"/>
    <w:rsid w:val="3F3D74FE"/>
    <w:rsid w:val="3F454604"/>
    <w:rsid w:val="3F566811"/>
    <w:rsid w:val="3F5860E5"/>
    <w:rsid w:val="3F626F64"/>
    <w:rsid w:val="3F7A2500"/>
    <w:rsid w:val="3F7D3D9E"/>
    <w:rsid w:val="3F9115F7"/>
    <w:rsid w:val="3F954E4B"/>
    <w:rsid w:val="3F977902"/>
    <w:rsid w:val="3FE1257F"/>
    <w:rsid w:val="3FE536F1"/>
    <w:rsid w:val="400C0C7E"/>
    <w:rsid w:val="401A339B"/>
    <w:rsid w:val="402406BD"/>
    <w:rsid w:val="402C30CE"/>
    <w:rsid w:val="403163D9"/>
    <w:rsid w:val="40395D8D"/>
    <w:rsid w:val="40491ED2"/>
    <w:rsid w:val="404A69D8"/>
    <w:rsid w:val="404B17A6"/>
    <w:rsid w:val="404C551E"/>
    <w:rsid w:val="407D392A"/>
    <w:rsid w:val="409969B6"/>
    <w:rsid w:val="409E221E"/>
    <w:rsid w:val="40B27A77"/>
    <w:rsid w:val="40DA0D7C"/>
    <w:rsid w:val="40E63BC5"/>
    <w:rsid w:val="40ED6D01"/>
    <w:rsid w:val="40FE4A6B"/>
    <w:rsid w:val="41004C87"/>
    <w:rsid w:val="4101455B"/>
    <w:rsid w:val="410302D3"/>
    <w:rsid w:val="4116259D"/>
    <w:rsid w:val="41173D7E"/>
    <w:rsid w:val="412C5A7C"/>
    <w:rsid w:val="414D59F2"/>
    <w:rsid w:val="41586871"/>
    <w:rsid w:val="41650F8E"/>
    <w:rsid w:val="41790595"/>
    <w:rsid w:val="417D0650"/>
    <w:rsid w:val="41831414"/>
    <w:rsid w:val="418701FF"/>
    <w:rsid w:val="4189034B"/>
    <w:rsid w:val="41A575DC"/>
    <w:rsid w:val="41A76EB0"/>
    <w:rsid w:val="41AF2209"/>
    <w:rsid w:val="41AF3FB7"/>
    <w:rsid w:val="41C37A62"/>
    <w:rsid w:val="41DA54D8"/>
    <w:rsid w:val="41E2438C"/>
    <w:rsid w:val="41E2613A"/>
    <w:rsid w:val="41EF2605"/>
    <w:rsid w:val="41F57644"/>
    <w:rsid w:val="420460B1"/>
    <w:rsid w:val="42116A20"/>
    <w:rsid w:val="421A58D4"/>
    <w:rsid w:val="42254279"/>
    <w:rsid w:val="42332E3A"/>
    <w:rsid w:val="42350960"/>
    <w:rsid w:val="42532B34"/>
    <w:rsid w:val="426C3C56"/>
    <w:rsid w:val="42B07FE6"/>
    <w:rsid w:val="42BC4BDD"/>
    <w:rsid w:val="42C972FA"/>
    <w:rsid w:val="430F11B1"/>
    <w:rsid w:val="43282273"/>
    <w:rsid w:val="43305EF3"/>
    <w:rsid w:val="43454BD3"/>
    <w:rsid w:val="434A3F97"/>
    <w:rsid w:val="43542A2C"/>
    <w:rsid w:val="43572B58"/>
    <w:rsid w:val="43707776"/>
    <w:rsid w:val="438D1BEA"/>
    <w:rsid w:val="43923B90"/>
    <w:rsid w:val="43A648A2"/>
    <w:rsid w:val="43C024AB"/>
    <w:rsid w:val="43EA39CC"/>
    <w:rsid w:val="43F31768"/>
    <w:rsid w:val="43FD36FF"/>
    <w:rsid w:val="43FD725B"/>
    <w:rsid w:val="440525B4"/>
    <w:rsid w:val="44095C00"/>
    <w:rsid w:val="44412317"/>
    <w:rsid w:val="445E5735"/>
    <w:rsid w:val="446F427D"/>
    <w:rsid w:val="447A4D50"/>
    <w:rsid w:val="44871D79"/>
    <w:rsid w:val="448E4357"/>
    <w:rsid w:val="44C45FCB"/>
    <w:rsid w:val="44C47D79"/>
    <w:rsid w:val="44C71617"/>
    <w:rsid w:val="45085EB8"/>
    <w:rsid w:val="45156827"/>
    <w:rsid w:val="45554194"/>
    <w:rsid w:val="45603F46"/>
    <w:rsid w:val="4574354D"/>
    <w:rsid w:val="45763769"/>
    <w:rsid w:val="4577303D"/>
    <w:rsid w:val="45A6530F"/>
    <w:rsid w:val="45AA3413"/>
    <w:rsid w:val="45C269AF"/>
    <w:rsid w:val="45C67B21"/>
    <w:rsid w:val="45DC4B29"/>
    <w:rsid w:val="45E87A97"/>
    <w:rsid w:val="45ED3300"/>
    <w:rsid w:val="46004DE1"/>
    <w:rsid w:val="46024FFD"/>
    <w:rsid w:val="460B72B5"/>
    <w:rsid w:val="461F5BAF"/>
    <w:rsid w:val="462C207A"/>
    <w:rsid w:val="46325030"/>
    <w:rsid w:val="465507DF"/>
    <w:rsid w:val="468E4AE3"/>
    <w:rsid w:val="46935C55"/>
    <w:rsid w:val="46AE6F33"/>
    <w:rsid w:val="46B34549"/>
    <w:rsid w:val="46DF70EC"/>
    <w:rsid w:val="46E42955"/>
    <w:rsid w:val="46F10BCE"/>
    <w:rsid w:val="47013507"/>
    <w:rsid w:val="47060B1D"/>
    <w:rsid w:val="47264D1B"/>
    <w:rsid w:val="4732546E"/>
    <w:rsid w:val="473B2794"/>
    <w:rsid w:val="478F0B12"/>
    <w:rsid w:val="47A3011A"/>
    <w:rsid w:val="47AF6ABF"/>
    <w:rsid w:val="47B642F1"/>
    <w:rsid w:val="47B71E17"/>
    <w:rsid w:val="47C00CCC"/>
    <w:rsid w:val="47C06F1E"/>
    <w:rsid w:val="47C702AC"/>
    <w:rsid w:val="47EC1AC1"/>
    <w:rsid w:val="47EE4E68"/>
    <w:rsid w:val="47FD3438"/>
    <w:rsid w:val="48075876"/>
    <w:rsid w:val="4851401A"/>
    <w:rsid w:val="485A1B16"/>
    <w:rsid w:val="485D29BF"/>
    <w:rsid w:val="486362F5"/>
    <w:rsid w:val="48677399"/>
    <w:rsid w:val="487B1097"/>
    <w:rsid w:val="487B4BF3"/>
    <w:rsid w:val="488C6D1F"/>
    <w:rsid w:val="48CA7928"/>
    <w:rsid w:val="48CB5B7A"/>
    <w:rsid w:val="490C1CEF"/>
    <w:rsid w:val="491D5818"/>
    <w:rsid w:val="493C4382"/>
    <w:rsid w:val="493C6A78"/>
    <w:rsid w:val="49437E06"/>
    <w:rsid w:val="494476DB"/>
    <w:rsid w:val="495913D8"/>
    <w:rsid w:val="495D7467"/>
    <w:rsid w:val="49600E5B"/>
    <w:rsid w:val="496A2251"/>
    <w:rsid w:val="496D4E83"/>
    <w:rsid w:val="49751D40"/>
    <w:rsid w:val="499D2CBB"/>
    <w:rsid w:val="49A53676"/>
    <w:rsid w:val="49EC0CF9"/>
    <w:rsid w:val="49F42EAF"/>
    <w:rsid w:val="4A071AD2"/>
    <w:rsid w:val="4A161077"/>
    <w:rsid w:val="4A17094B"/>
    <w:rsid w:val="4A225C6E"/>
    <w:rsid w:val="4A253068"/>
    <w:rsid w:val="4A3D58E0"/>
    <w:rsid w:val="4A541B9F"/>
    <w:rsid w:val="4A657908"/>
    <w:rsid w:val="4A6C513B"/>
    <w:rsid w:val="4A6F4C2B"/>
    <w:rsid w:val="4A712751"/>
    <w:rsid w:val="4A7B3E41"/>
    <w:rsid w:val="4A895743"/>
    <w:rsid w:val="4AB0052C"/>
    <w:rsid w:val="4AC40AD3"/>
    <w:rsid w:val="4AD056CA"/>
    <w:rsid w:val="4AD8632C"/>
    <w:rsid w:val="4B0B4954"/>
    <w:rsid w:val="4B223A4B"/>
    <w:rsid w:val="4B317B57"/>
    <w:rsid w:val="4B3774F7"/>
    <w:rsid w:val="4B4B2FA2"/>
    <w:rsid w:val="4B5A4F93"/>
    <w:rsid w:val="4B78366B"/>
    <w:rsid w:val="4B797B0F"/>
    <w:rsid w:val="4B8A1D1C"/>
    <w:rsid w:val="4B8E2E8F"/>
    <w:rsid w:val="4BA803F5"/>
    <w:rsid w:val="4BB87F0C"/>
    <w:rsid w:val="4BBF201F"/>
    <w:rsid w:val="4BDF36EB"/>
    <w:rsid w:val="4BE1402D"/>
    <w:rsid w:val="4BE62CCB"/>
    <w:rsid w:val="4BF27A7E"/>
    <w:rsid w:val="4BF90C50"/>
    <w:rsid w:val="4BF947AC"/>
    <w:rsid w:val="4C12586E"/>
    <w:rsid w:val="4C20442F"/>
    <w:rsid w:val="4C547D8A"/>
    <w:rsid w:val="4C63256E"/>
    <w:rsid w:val="4C6A56AA"/>
    <w:rsid w:val="4C813629"/>
    <w:rsid w:val="4C8A7AFA"/>
    <w:rsid w:val="4CB16E35"/>
    <w:rsid w:val="4CBE1552"/>
    <w:rsid w:val="4CC823D1"/>
    <w:rsid w:val="4CCC1EC1"/>
    <w:rsid w:val="4CE30FB8"/>
    <w:rsid w:val="4CEE0089"/>
    <w:rsid w:val="4CFB27A6"/>
    <w:rsid w:val="4D221AE1"/>
    <w:rsid w:val="4D3B2BA3"/>
    <w:rsid w:val="4D41465D"/>
    <w:rsid w:val="4D4952BF"/>
    <w:rsid w:val="4D950505"/>
    <w:rsid w:val="4DA44BEC"/>
    <w:rsid w:val="4DC40DEA"/>
    <w:rsid w:val="4DCD7C9F"/>
    <w:rsid w:val="4E035DB6"/>
    <w:rsid w:val="4E0A531A"/>
    <w:rsid w:val="4E17716C"/>
    <w:rsid w:val="4E347D1E"/>
    <w:rsid w:val="4E850579"/>
    <w:rsid w:val="4E9764FE"/>
    <w:rsid w:val="4E9B5FEF"/>
    <w:rsid w:val="4EC90CCF"/>
    <w:rsid w:val="4EDE412D"/>
    <w:rsid w:val="4F0E4A13"/>
    <w:rsid w:val="4F196F13"/>
    <w:rsid w:val="4F1B712F"/>
    <w:rsid w:val="4F244236"/>
    <w:rsid w:val="4F29184C"/>
    <w:rsid w:val="4F304989"/>
    <w:rsid w:val="4F3A75B6"/>
    <w:rsid w:val="4F5368C9"/>
    <w:rsid w:val="4F5A06B9"/>
    <w:rsid w:val="4F5D14F6"/>
    <w:rsid w:val="4F6603AB"/>
    <w:rsid w:val="4F672375"/>
    <w:rsid w:val="4F7C5E20"/>
    <w:rsid w:val="4F7D56F4"/>
    <w:rsid w:val="4FB56C3C"/>
    <w:rsid w:val="4FBA4253"/>
    <w:rsid w:val="4FC6501F"/>
    <w:rsid w:val="4FCA3333"/>
    <w:rsid w:val="4FEC63D6"/>
    <w:rsid w:val="50033E4B"/>
    <w:rsid w:val="500947F2"/>
    <w:rsid w:val="501047BA"/>
    <w:rsid w:val="50202421"/>
    <w:rsid w:val="5032028D"/>
    <w:rsid w:val="503F72DC"/>
    <w:rsid w:val="506706A3"/>
    <w:rsid w:val="506863A4"/>
    <w:rsid w:val="506F328F"/>
    <w:rsid w:val="50827466"/>
    <w:rsid w:val="50962F12"/>
    <w:rsid w:val="50AA12A8"/>
    <w:rsid w:val="50AA42C7"/>
    <w:rsid w:val="50AC44E3"/>
    <w:rsid w:val="50AD3DB7"/>
    <w:rsid w:val="50BE4216"/>
    <w:rsid w:val="50DC644B"/>
    <w:rsid w:val="50E579F5"/>
    <w:rsid w:val="51121E6C"/>
    <w:rsid w:val="51234079"/>
    <w:rsid w:val="51271DBC"/>
    <w:rsid w:val="51387B25"/>
    <w:rsid w:val="51424ECF"/>
    <w:rsid w:val="514A5AAA"/>
    <w:rsid w:val="51510BE7"/>
    <w:rsid w:val="51550EA9"/>
    <w:rsid w:val="515D758B"/>
    <w:rsid w:val="51694182"/>
    <w:rsid w:val="5181771E"/>
    <w:rsid w:val="5187285A"/>
    <w:rsid w:val="519A542A"/>
    <w:rsid w:val="519C4558"/>
    <w:rsid w:val="51BD002A"/>
    <w:rsid w:val="51D535C6"/>
    <w:rsid w:val="51F003FF"/>
    <w:rsid w:val="520B5935"/>
    <w:rsid w:val="521D6D1B"/>
    <w:rsid w:val="52287B99"/>
    <w:rsid w:val="526A0F22"/>
    <w:rsid w:val="526F2DCB"/>
    <w:rsid w:val="52727066"/>
    <w:rsid w:val="527E1EAF"/>
    <w:rsid w:val="528B0128"/>
    <w:rsid w:val="52903990"/>
    <w:rsid w:val="52BB0A0D"/>
    <w:rsid w:val="52D90E94"/>
    <w:rsid w:val="52DB4C0C"/>
    <w:rsid w:val="52E06421"/>
    <w:rsid w:val="52ED493F"/>
    <w:rsid w:val="52FC2DD4"/>
    <w:rsid w:val="530D4FE1"/>
    <w:rsid w:val="532C190B"/>
    <w:rsid w:val="532D11DF"/>
    <w:rsid w:val="53397B84"/>
    <w:rsid w:val="534327B1"/>
    <w:rsid w:val="5345477B"/>
    <w:rsid w:val="538A6632"/>
    <w:rsid w:val="53915C12"/>
    <w:rsid w:val="53964FD7"/>
    <w:rsid w:val="53AF7E46"/>
    <w:rsid w:val="53C102A5"/>
    <w:rsid w:val="53C17DA1"/>
    <w:rsid w:val="53DD49B3"/>
    <w:rsid w:val="53DF697E"/>
    <w:rsid w:val="53EB5322"/>
    <w:rsid w:val="5408687A"/>
    <w:rsid w:val="541D1254"/>
    <w:rsid w:val="54554E92"/>
    <w:rsid w:val="545F7ABE"/>
    <w:rsid w:val="54680721"/>
    <w:rsid w:val="547A66A6"/>
    <w:rsid w:val="547F1F0F"/>
    <w:rsid w:val="54905ECA"/>
    <w:rsid w:val="5492579E"/>
    <w:rsid w:val="54992FD0"/>
    <w:rsid w:val="54A379AB"/>
    <w:rsid w:val="54AD4386"/>
    <w:rsid w:val="54B90F7D"/>
    <w:rsid w:val="54D933CD"/>
    <w:rsid w:val="54ED50CA"/>
    <w:rsid w:val="54F32D2F"/>
    <w:rsid w:val="551D59AF"/>
    <w:rsid w:val="55287EB0"/>
    <w:rsid w:val="552D3719"/>
    <w:rsid w:val="55427548"/>
    <w:rsid w:val="55554F0E"/>
    <w:rsid w:val="555B64D8"/>
    <w:rsid w:val="555C7B5A"/>
    <w:rsid w:val="5568585B"/>
    <w:rsid w:val="556C30E6"/>
    <w:rsid w:val="55717AA9"/>
    <w:rsid w:val="55766E6E"/>
    <w:rsid w:val="55766EAF"/>
    <w:rsid w:val="55945D94"/>
    <w:rsid w:val="559D264C"/>
    <w:rsid w:val="55B87A78"/>
    <w:rsid w:val="55C73B6D"/>
    <w:rsid w:val="55D83684"/>
    <w:rsid w:val="55E95892"/>
    <w:rsid w:val="55F04E72"/>
    <w:rsid w:val="55F77D8C"/>
    <w:rsid w:val="56064CB0"/>
    <w:rsid w:val="56150435"/>
    <w:rsid w:val="56156687"/>
    <w:rsid w:val="565D3B8A"/>
    <w:rsid w:val="56811F6E"/>
    <w:rsid w:val="569E667C"/>
    <w:rsid w:val="56AC763E"/>
    <w:rsid w:val="56D46542"/>
    <w:rsid w:val="56DA342C"/>
    <w:rsid w:val="56EF512A"/>
    <w:rsid w:val="56FA61B6"/>
    <w:rsid w:val="56FC7846"/>
    <w:rsid w:val="570F30D6"/>
    <w:rsid w:val="573C2A77"/>
    <w:rsid w:val="574B7E86"/>
    <w:rsid w:val="576378C6"/>
    <w:rsid w:val="577F4A6F"/>
    <w:rsid w:val="579F4F0A"/>
    <w:rsid w:val="57A852D8"/>
    <w:rsid w:val="57B222F1"/>
    <w:rsid w:val="57BC2B32"/>
    <w:rsid w:val="57BE68AA"/>
    <w:rsid w:val="57C06AC6"/>
    <w:rsid w:val="57E722A5"/>
    <w:rsid w:val="57F95B34"/>
    <w:rsid w:val="57FC0A89"/>
    <w:rsid w:val="58003366"/>
    <w:rsid w:val="58256929"/>
    <w:rsid w:val="5829466B"/>
    <w:rsid w:val="583D3C73"/>
    <w:rsid w:val="58426A50"/>
    <w:rsid w:val="586D2BCD"/>
    <w:rsid w:val="5886561A"/>
    <w:rsid w:val="589D2963"/>
    <w:rsid w:val="58AA3745"/>
    <w:rsid w:val="58BF6D7E"/>
    <w:rsid w:val="58D75E75"/>
    <w:rsid w:val="58DC348C"/>
    <w:rsid w:val="58F55C6B"/>
    <w:rsid w:val="58FC58DC"/>
    <w:rsid w:val="591E46C0"/>
    <w:rsid w:val="59313E2B"/>
    <w:rsid w:val="59372DB8"/>
    <w:rsid w:val="59462FFB"/>
    <w:rsid w:val="59657925"/>
    <w:rsid w:val="59722042"/>
    <w:rsid w:val="5996188C"/>
    <w:rsid w:val="5998713C"/>
    <w:rsid w:val="59A73A9A"/>
    <w:rsid w:val="59B368E2"/>
    <w:rsid w:val="59C56616"/>
    <w:rsid w:val="59D16D68"/>
    <w:rsid w:val="59E24AD2"/>
    <w:rsid w:val="59E7658C"/>
    <w:rsid w:val="59E92304"/>
    <w:rsid w:val="59F46E55"/>
    <w:rsid w:val="5A0F163F"/>
    <w:rsid w:val="5A160809"/>
    <w:rsid w:val="5A225816"/>
    <w:rsid w:val="5A2C21F1"/>
    <w:rsid w:val="5A2F1CE1"/>
    <w:rsid w:val="5A33532D"/>
    <w:rsid w:val="5A380B96"/>
    <w:rsid w:val="5A5A0B0C"/>
    <w:rsid w:val="5A5F02CF"/>
    <w:rsid w:val="5A715E56"/>
    <w:rsid w:val="5A8913F1"/>
    <w:rsid w:val="5A8D7133"/>
    <w:rsid w:val="5AA91A93"/>
    <w:rsid w:val="5ABA5A4E"/>
    <w:rsid w:val="5ACC00FF"/>
    <w:rsid w:val="5AD36B10"/>
    <w:rsid w:val="5AD76600"/>
    <w:rsid w:val="5AE12FDB"/>
    <w:rsid w:val="5AFD593B"/>
    <w:rsid w:val="5B2675A6"/>
    <w:rsid w:val="5B2C24EA"/>
    <w:rsid w:val="5B3F7D02"/>
    <w:rsid w:val="5B6A2FD1"/>
    <w:rsid w:val="5B751975"/>
    <w:rsid w:val="5B7B3430"/>
    <w:rsid w:val="5B914A01"/>
    <w:rsid w:val="5BA65FD3"/>
    <w:rsid w:val="5BAF6C35"/>
    <w:rsid w:val="5BCE7A03"/>
    <w:rsid w:val="5BD42B40"/>
    <w:rsid w:val="5BDF2BA2"/>
    <w:rsid w:val="5BE80399"/>
    <w:rsid w:val="5BF84A80"/>
    <w:rsid w:val="5C007491"/>
    <w:rsid w:val="5C1178F0"/>
    <w:rsid w:val="5C157672"/>
    <w:rsid w:val="5C182A2D"/>
    <w:rsid w:val="5C19332A"/>
    <w:rsid w:val="5C1949F7"/>
    <w:rsid w:val="5C225659"/>
    <w:rsid w:val="5C3F26AF"/>
    <w:rsid w:val="5C4001D5"/>
    <w:rsid w:val="5C5679F9"/>
    <w:rsid w:val="5C6E089F"/>
    <w:rsid w:val="5CC44962"/>
    <w:rsid w:val="5CDB3A5A"/>
    <w:rsid w:val="5CDC6150"/>
    <w:rsid w:val="5CE13766"/>
    <w:rsid w:val="5CE35294"/>
    <w:rsid w:val="5CE45005"/>
    <w:rsid w:val="5CE62B2B"/>
    <w:rsid w:val="5D015BB7"/>
    <w:rsid w:val="5D0D6309"/>
    <w:rsid w:val="5D1551BE"/>
    <w:rsid w:val="5D465377"/>
    <w:rsid w:val="5D487342"/>
    <w:rsid w:val="5D586BE4"/>
    <w:rsid w:val="5D5C4B9B"/>
    <w:rsid w:val="5D6121B1"/>
    <w:rsid w:val="5D656145"/>
    <w:rsid w:val="5D6677C8"/>
    <w:rsid w:val="5D79399F"/>
    <w:rsid w:val="5D924A61"/>
    <w:rsid w:val="5D9702C9"/>
    <w:rsid w:val="5DA402F0"/>
    <w:rsid w:val="5DAB78D0"/>
    <w:rsid w:val="5DB24AEC"/>
    <w:rsid w:val="5DB524FD"/>
    <w:rsid w:val="5DBF512A"/>
    <w:rsid w:val="5DCA244C"/>
    <w:rsid w:val="5DE80B25"/>
    <w:rsid w:val="5DF64FF0"/>
    <w:rsid w:val="5DFB2606"/>
    <w:rsid w:val="5DFB43B4"/>
    <w:rsid w:val="5E113BD7"/>
    <w:rsid w:val="5E190CDE"/>
    <w:rsid w:val="5E1E4546"/>
    <w:rsid w:val="5E23390B"/>
    <w:rsid w:val="5E252A8A"/>
    <w:rsid w:val="5E2733FB"/>
    <w:rsid w:val="5E435D5B"/>
    <w:rsid w:val="5E4A1D92"/>
    <w:rsid w:val="5E875C48"/>
    <w:rsid w:val="5E8A398A"/>
    <w:rsid w:val="5E912F6A"/>
    <w:rsid w:val="5E940365"/>
    <w:rsid w:val="5E9B16F3"/>
    <w:rsid w:val="5EAA5DDA"/>
    <w:rsid w:val="5EB17168"/>
    <w:rsid w:val="5EBD5B0D"/>
    <w:rsid w:val="5EC24ED2"/>
    <w:rsid w:val="5ED714F5"/>
    <w:rsid w:val="5F0D0843"/>
    <w:rsid w:val="5F1D035A"/>
    <w:rsid w:val="5F3C4C84"/>
    <w:rsid w:val="5F4B136B"/>
    <w:rsid w:val="5F750196"/>
    <w:rsid w:val="5F8108E9"/>
    <w:rsid w:val="5F8959EF"/>
    <w:rsid w:val="5F8D3732"/>
    <w:rsid w:val="5FB52C88"/>
    <w:rsid w:val="5FC51DA0"/>
    <w:rsid w:val="5FC52ECB"/>
    <w:rsid w:val="5FCF356B"/>
    <w:rsid w:val="5FE47241"/>
    <w:rsid w:val="5FED5F7E"/>
    <w:rsid w:val="5FEF59E3"/>
    <w:rsid w:val="60333096"/>
    <w:rsid w:val="6043282E"/>
    <w:rsid w:val="604B1057"/>
    <w:rsid w:val="607466A0"/>
    <w:rsid w:val="60795A64"/>
    <w:rsid w:val="60936B26"/>
    <w:rsid w:val="609D4491"/>
    <w:rsid w:val="60BB7E2A"/>
    <w:rsid w:val="60C211B9"/>
    <w:rsid w:val="60C244C1"/>
    <w:rsid w:val="60D333C6"/>
    <w:rsid w:val="60DB04CD"/>
    <w:rsid w:val="60DF1D6B"/>
    <w:rsid w:val="60E6759D"/>
    <w:rsid w:val="60F31CBA"/>
    <w:rsid w:val="60F670B5"/>
    <w:rsid w:val="60F8107F"/>
    <w:rsid w:val="6115578D"/>
    <w:rsid w:val="61163EA4"/>
    <w:rsid w:val="61214AFB"/>
    <w:rsid w:val="613227E3"/>
    <w:rsid w:val="614147D4"/>
    <w:rsid w:val="6146003C"/>
    <w:rsid w:val="614E5143"/>
    <w:rsid w:val="61504A17"/>
    <w:rsid w:val="61565DA5"/>
    <w:rsid w:val="616B7AA3"/>
    <w:rsid w:val="618F19E3"/>
    <w:rsid w:val="619C1A0A"/>
    <w:rsid w:val="61A92379"/>
    <w:rsid w:val="61AB60F1"/>
    <w:rsid w:val="61B9080E"/>
    <w:rsid w:val="61C55405"/>
    <w:rsid w:val="61C96577"/>
    <w:rsid w:val="61D70C94"/>
    <w:rsid w:val="61E0223F"/>
    <w:rsid w:val="620F4796"/>
    <w:rsid w:val="621C0D9D"/>
    <w:rsid w:val="62265778"/>
    <w:rsid w:val="623E0D13"/>
    <w:rsid w:val="6243457B"/>
    <w:rsid w:val="624B51DE"/>
    <w:rsid w:val="624C7D72"/>
    <w:rsid w:val="625E3163"/>
    <w:rsid w:val="62650996"/>
    <w:rsid w:val="627E7362"/>
    <w:rsid w:val="629E2D47"/>
    <w:rsid w:val="62AF1C11"/>
    <w:rsid w:val="62CF5E0F"/>
    <w:rsid w:val="62D11B87"/>
    <w:rsid w:val="62F7618C"/>
    <w:rsid w:val="62F87114"/>
    <w:rsid w:val="62FD472A"/>
    <w:rsid w:val="630E4B89"/>
    <w:rsid w:val="63147CC6"/>
    <w:rsid w:val="63576530"/>
    <w:rsid w:val="635B76A3"/>
    <w:rsid w:val="637D1A57"/>
    <w:rsid w:val="639037F0"/>
    <w:rsid w:val="63B079EF"/>
    <w:rsid w:val="63B374DF"/>
    <w:rsid w:val="63BD3EBA"/>
    <w:rsid w:val="63CF256B"/>
    <w:rsid w:val="63DA0F0F"/>
    <w:rsid w:val="63F57AF7"/>
    <w:rsid w:val="641461CF"/>
    <w:rsid w:val="64226C61"/>
    <w:rsid w:val="642A59F3"/>
    <w:rsid w:val="642A7893"/>
    <w:rsid w:val="64446389"/>
    <w:rsid w:val="644C3BBB"/>
    <w:rsid w:val="644D7933"/>
    <w:rsid w:val="6454481E"/>
    <w:rsid w:val="645E38EF"/>
    <w:rsid w:val="64616F3B"/>
    <w:rsid w:val="646764C4"/>
    <w:rsid w:val="648800ED"/>
    <w:rsid w:val="64AA756E"/>
    <w:rsid w:val="64AF7CA6"/>
    <w:rsid w:val="64B27796"/>
    <w:rsid w:val="64E53367"/>
    <w:rsid w:val="64E738E4"/>
    <w:rsid w:val="64F63B27"/>
    <w:rsid w:val="64F658D5"/>
    <w:rsid w:val="64F7149B"/>
    <w:rsid w:val="64FE478A"/>
    <w:rsid w:val="650C07C3"/>
    <w:rsid w:val="650F6997"/>
    <w:rsid w:val="65150451"/>
    <w:rsid w:val="65312DB1"/>
    <w:rsid w:val="65341687"/>
    <w:rsid w:val="65474383"/>
    <w:rsid w:val="65506B72"/>
    <w:rsid w:val="657617E2"/>
    <w:rsid w:val="65870C23"/>
    <w:rsid w:val="658E3D60"/>
    <w:rsid w:val="65AB4911"/>
    <w:rsid w:val="65AC2438"/>
    <w:rsid w:val="65D774B5"/>
    <w:rsid w:val="6609788A"/>
    <w:rsid w:val="661A3845"/>
    <w:rsid w:val="66212E26"/>
    <w:rsid w:val="662D5327"/>
    <w:rsid w:val="663B0366"/>
    <w:rsid w:val="66486604"/>
    <w:rsid w:val="66521231"/>
    <w:rsid w:val="66560D21"/>
    <w:rsid w:val="6659611C"/>
    <w:rsid w:val="666351EC"/>
    <w:rsid w:val="667C1E0A"/>
    <w:rsid w:val="668138C4"/>
    <w:rsid w:val="668B029F"/>
    <w:rsid w:val="668D04BB"/>
    <w:rsid w:val="66A80E51"/>
    <w:rsid w:val="66AD290B"/>
    <w:rsid w:val="66BA2932"/>
    <w:rsid w:val="66BB5028"/>
    <w:rsid w:val="66C6738F"/>
    <w:rsid w:val="66E83943"/>
    <w:rsid w:val="66EC6F90"/>
    <w:rsid w:val="66F10A4A"/>
    <w:rsid w:val="66FC2F4B"/>
    <w:rsid w:val="67073DC9"/>
    <w:rsid w:val="672229B1"/>
    <w:rsid w:val="67236729"/>
    <w:rsid w:val="6740552D"/>
    <w:rsid w:val="674175FB"/>
    <w:rsid w:val="674212A6"/>
    <w:rsid w:val="67542D87"/>
    <w:rsid w:val="677671A1"/>
    <w:rsid w:val="677D0530"/>
    <w:rsid w:val="678E6299"/>
    <w:rsid w:val="67955879"/>
    <w:rsid w:val="67AC4971"/>
    <w:rsid w:val="67BF46A4"/>
    <w:rsid w:val="67C27CF0"/>
    <w:rsid w:val="67FA56DC"/>
    <w:rsid w:val="68064081"/>
    <w:rsid w:val="68136EF6"/>
    <w:rsid w:val="68224C33"/>
    <w:rsid w:val="68232E85"/>
    <w:rsid w:val="682C2740"/>
    <w:rsid w:val="683464C5"/>
    <w:rsid w:val="685C0145"/>
    <w:rsid w:val="68694610"/>
    <w:rsid w:val="686B65DA"/>
    <w:rsid w:val="686D4100"/>
    <w:rsid w:val="68727968"/>
    <w:rsid w:val="687F5F15"/>
    <w:rsid w:val="689C2C37"/>
    <w:rsid w:val="68A51AEC"/>
    <w:rsid w:val="68AA0EB0"/>
    <w:rsid w:val="68B95597"/>
    <w:rsid w:val="68BC0BE4"/>
    <w:rsid w:val="68D221B5"/>
    <w:rsid w:val="68D91796"/>
    <w:rsid w:val="68F44821"/>
    <w:rsid w:val="69085BD7"/>
    <w:rsid w:val="693115D2"/>
    <w:rsid w:val="693370F8"/>
    <w:rsid w:val="693519B0"/>
    <w:rsid w:val="69472BA3"/>
    <w:rsid w:val="694E2184"/>
    <w:rsid w:val="69586B5E"/>
    <w:rsid w:val="697119CE"/>
    <w:rsid w:val="69850607"/>
    <w:rsid w:val="699A71FC"/>
    <w:rsid w:val="69B74EA2"/>
    <w:rsid w:val="69C26788"/>
    <w:rsid w:val="69DA3A17"/>
    <w:rsid w:val="69DF4B8A"/>
    <w:rsid w:val="69E0552B"/>
    <w:rsid w:val="69F820EF"/>
    <w:rsid w:val="6A222CC8"/>
    <w:rsid w:val="6A3A2708"/>
    <w:rsid w:val="6A535578"/>
    <w:rsid w:val="6A576E16"/>
    <w:rsid w:val="6A723C50"/>
    <w:rsid w:val="6A9811DC"/>
    <w:rsid w:val="6AD466B8"/>
    <w:rsid w:val="6AE6019A"/>
    <w:rsid w:val="6AEA7C8A"/>
    <w:rsid w:val="6AF97ECD"/>
    <w:rsid w:val="6AFC5C0F"/>
    <w:rsid w:val="6B036F9E"/>
    <w:rsid w:val="6B0A20DA"/>
    <w:rsid w:val="6B1271E1"/>
    <w:rsid w:val="6B2A277C"/>
    <w:rsid w:val="6B362ECF"/>
    <w:rsid w:val="6B3929BF"/>
    <w:rsid w:val="6B480E55"/>
    <w:rsid w:val="6B5415A7"/>
    <w:rsid w:val="6B5D66AE"/>
    <w:rsid w:val="6B60619E"/>
    <w:rsid w:val="6B6F1F3D"/>
    <w:rsid w:val="6B89476F"/>
    <w:rsid w:val="6BA50055"/>
    <w:rsid w:val="6BBB5183"/>
    <w:rsid w:val="6BC71D79"/>
    <w:rsid w:val="6BC95AF1"/>
    <w:rsid w:val="6BD10E4A"/>
    <w:rsid w:val="6BD123B5"/>
    <w:rsid w:val="6BD44496"/>
    <w:rsid w:val="6BD83F86"/>
    <w:rsid w:val="6BE91CF0"/>
    <w:rsid w:val="6BF84629"/>
    <w:rsid w:val="6C0F54CE"/>
    <w:rsid w:val="6C16685D"/>
    <w:rsid w:val="6C172D01"/>
    <w:rsid w:val="6C1F5711"/>
    <w:rsid w:val="6C240F7A"/>
    <w:rsid w:val="6C3C2767"/>
    <w:rsid w:val="6C502255"/>
    <w:rsid w:val="6C580C23"/>
    <w:rsid w:val="6C727F37"/>
    <w:rsid w:val="6C832144"/>
    <w:rsid w:val="6C8C4AAA"/>
    <w:rsid w:val="6C97174C"/>
    <w:rsid w:val="6C975BF0"/>
    <w:rsid w:val="6CBC11B2"/>
    <w:rsid w:val="6CBE317C"/>
    <w:rsid w:val="6CC22541"/>
    <w:rsid w:val="6CD52274"/>
    <w:rsid w:val="6CE07597"/>
    <w:rsid w:val="6CED5810"/>
    <w:rsid w:val="6D0843F7"/>
    <w:rsid w:val="6D110911"/>
    <w:rsid w:val="6D365409"/>
    <w:rsid w:val="6D3B2A1F"/>
    <w:rsid w:val="6D4B0788"/>
    <w:rsid w:val="6D5E670D"/>
    <w:rsid w:val="6D617FAC"/>
    <w:rsid w:val="6D635AD2"/>
    <w:rsid w:val="6D7101EF"/>
    <w:rsid w:val="6D725D15"/>
    <w:rsid w:val="6D766777"/>
    <w:rsid w:val="6D7970A3"/>
    <w:rsid w:val="6D7D3037"/>
    <w:rsid w:val="6D8223FC"/>
    <w:rsid w:val="6D853C9A"/>
    <w:rsid w:val="6D884FF4"/>
    <w:rsid w:val="6D9B170F"/>
    <w:rsid w:val="6DA700B4"/>
    <w:rsid w:val="6DB171F0"/>
    <w:rsid w:val="6DB91B96"/>
    <w:rsid w:val="6DC36570"/>
    <w:rsid w:val="6DC5678C"/>
    <w:rsid w:val="6DDB1B0C"/>
    <w:rsid w:val="6DEF7365"/>
    <w:rsid w:val="6DF42BCE"/>
    <w:rsid w:val="6DFA6436"/>
    <w:rsid w:val="6E1119D2"/>
    <w:rsid w:val="6E2B1331"/>
    <w:rsid w:val="6E7354E8"/>
    <w:rsid w:val="6E82642B"/>
    <w:rsid w:val="6EB365E5"/>
    <w:rsid w:val="6ED076BE"/>
    <w:rsid w:val="6EDC4137"/>
    <w:rsid w:val="6EE449F0"/>
    <w:rsid w:val="6EF16AEB"/>
    <w:rsid w:val="6EF2535F"/>
    <w:rsid w:val="6EF47C5F"/>
    <w:rsid w:val="6EF975A3"/>
    <w:rsid w:val="6F0B6421"/>
    <w:rsid w:val="6F12155D"/>
    <w:rsid w:val="6F137795"/>
    <w:rsid w:val="6F215C44"/>
    <w:rsid w:val="6F2A2D4B"/>
    <w:rsid w:val="6F377216"/>
    <w:rsid w:val="6F467459"/>
    <w:rsid w:val="6F4A519B"/>
    <w:rsid w:val="6F854425"/>
    <w:rsid w:val="6F857F81"/>
    <w:rsid w:val="6F8F0E00"/>
    <w:rsid w:val="6F984159"/>
    <w:rsid w:val="6F9957DB"/>
    <w:rsid w:val="6F9B3AFB"/>
    <w:rsid w:val="6FCC1F90"/>
    <w:rsid w:val="6FEF7CB2"/>
    <w:rsid w:val="6FFB46E7"/>
    <w:rsid w:val="7020414E"/>
    <w:rsid w:val="703674CE"/>
    <w:rsid w:val="7060279C"/>
    <w:rsid w:val="706F0D4A"/>
    <w:rsid w:val="70814BED"/>
    <w:rsid w:val="70950698"/>
    <w:rsid w:val="70B328CC"/>
    <w:rsid w:val="70DC62C7"/>
    <w:rsid w:val="70E909E4"/>
    <w:rsid w:val="70EE7DA8"/>
    <w:rsid w:val="710D46D2"/>
    <w:rsid w:val="71153587"/>
    <w:rsid w:val="711F7F62"/>
    <w:rsid w:val="71325C1A"/>
    <w:rsid w:val="713C6D66"/>
    <w:rsid w:val="713D663A"/>
    <w:rsid w:val="714B0D57"/>
    <w:rsid w:val="714D2D21"/>
    <w:rsid w:val="717958C4"/>
    <w:rsid w:val="718C6C32"/>
    <w:rsid w:val="718F3F64"/>
    <w:rsid w:val="71A87F57"/>
    <w:rsid w:val="71C54FAD"/>
    <w:rsid w:val="71CD3E62"/>
    <w:rsid w:val="71D76A8E"/>
    <w:rsid w:val="71DB20DB"/>
    <w:rsid w:val="71DE1BCB"/>
    <w:rsid w:val="71F51F18"/>
    <w:rsid w:val="721D6B97"/>
    <w:rsid w:val="722A12B4"/>
    <w:rsid w:val="72346FDB"/>
    <w:rsid w:val="723E08BB"/>
    <w:rsid w:val="724E4FA2"/>
    <w:rsid w:val="725B146D"/>
    <w:rsid w:val="725B4129"/>
    <w:rsid w:val="728269FA"/>
    <w:rsid w:val="72872262"/>
    <w:rsid w:val="729009F1"/>
    <w:rsid w:val="72A921D9"/>
    <w:rsid w:val="72C2329A"/>
    <w:rsid w:val="73142AD7"/>
    <w:rsid w:val="731955B0"/>
    <w:rsid w:val="732B52E4"/>
    <w:rsid w:val="732D105C"/>
    <w:rsid w:val="7346211D"/>
    <w:rsid w:val="73610D05"/>
    <w:rsid w:val="7366631C"/>
    <w:rsid w:val="737E18B7"/>
    <w:rsid w:val="73813156"/>
    <w:rsid w:val="73886292"/>
    <w:rsid w:val="73927111"/>
    <w:rsid w:val="73A27303"/>
    <w:rsid w:val="73A92359"/>
    <w:rsid w:val="73BB6668"/>
    <w:rsid w:val="73C3376E"/>
    <w:rsid w:val="73C80D84"/>
    <w:rsid w:val="73D43285"/>
    <w:rsid w:val="73D56FFD"/>
    <w:rsid w:val="73E67F53"/>
    <w:rsid w:val="73ED07EB"/>
    <w:rsid w:val="73ED2599"/>
    <w:rsid w:val="73EF00BF"/>
    <w:rsid w:val="741713C4"/>
    <w:rsid w:val="74263A0E"/>
    <w:rsid w:val="74367A9C"/>
    <w:rsid w:val="7439758C"/>
    <w:rsid w:val="7452064E"/>
    <w:rsid w:val="745443C6"/>
    <w:rsid w:val="746E5488"/>
    <w:rsid w:val="74890514"/>
    <w:rsid w:val="7496678D"/>
    <w:rsid w:val="74A013B9"/>
    <w:rsid w:val="74A638A4"/>
    <w:rsid w:val="74DD09CF"/>
    <w:rsid w:val="74F01AF1"/>
    <w:rsid w:val="74F52D04"/>
    <w:rsid w:val="752913AF"/>
    <w:rsid w:val="754461E9"/>
    <w:rsid w:val="75457105"/>
    <w:rsid w:val="754C32EF"/>
    <w:rsid w:val="75596138"/>
    <w:rsid w:val="755F7626"/>
    <w:rsid w:val="757F5473"/>
    <w:rsid w:val="758D193E"/>
    <w:rsid w:val="75963A07"/>
    <w:rsid w:val="75D572A1"/>
    <w:rsid w:val="75D86C46"/>
    <w:rsid w:val="75EF3317"/>
    <w:rsid w:val="76096D96"/>
    <w:rsid w:val="761738FD"/>
    <w:rsid w:val="762420BF"/>
    <w:rsid w:val="762D0A5C"/>
    <w:rsid w:val="76363C12"/>
    <w:rsid w:val="7653297D"/>
    <w:rsid w:val="76AE6010"/>
    <w:rsid w:val="76BF23ED"/>
    <w:rsid w:val="76C021E7"/>
    <w:rsid w:val="76C70E7F"/>
    <w:rsid w:val="770C2D36"/>
    <w:rsid w:val="77147E3D"/>
    <w:rsid w:val="773B5E8C"/>
    <w:rsid w:val="7750356B"/>
    <w:rsid w:val="775070C7"/>
    <w:rsid w:val="777A2396"/>
    <w:rsid w:val="779C230C"/>
    <w:rsid w:val="779F529C"/>
    <w:rsid w:val="77B04009"/>
    <w:rsid w:val="77B238DE"/>
    <w:rsid w:val="77C655DB"/>
    <w:rsid w:val="77D221D2"/>
    <w:rsid w:val="77D23F80"/>
    <w:rsid w:val="77D9530E"/>
    <w:rsid w:val="77DC6BAC"/>
    <w:rsid w:val="77ED700C"/>
    <w:rsid w:val="77FA5285"/>
    <w:rsid w:val="77FC724F"/>
    <w:rsid w:val="78153E6C"/>
    <w:rsid w:val="78216CB5"/>
    <w:rsid w:val="78232A2D"/>
    <w:rsid w:val="78450BF6"/>
    <w:rsid w:val="785B5D23"/>
    <w:rsid w:val="787B63C5"/>
    <w:rsid w:val="78874D6A"/>
    <w:rsid w:val="78882890"/>
    <w:rsid w:val="78911745"/>
    <w:rsid w:val="78A43B6E"/>
    <w:rsid w:val="78A91184"/>
    <w:rsid w:val="78C95383"/>
    <w:rsid w:val="79142376"/>
    <w:rsid w:val="791800B8"/>
    <w:rsid w:val="792A3948"/>
    <w:rsid w:val="79386064"/>
    <w:rsid w:val="793A1DDD"/>
    <w:rsid w:val="793C3418"/>
    <w:rsid w:val="79490272"/>
    <w:rsid w:val="794D6E35"/>
    <w:rsid w:val="79517126"/>
    <w:rsid w:val="79607369"/>
    <w:rsid w:val="79627585"/>
    <w:rsid w:val="79652BD2"/>
    <w:rsid w:val="79752E15"/>
    <w:rsid w:val="79986B03"/>
    <w:rsid w:val="79993AD1"/>
    <w:rsid w:val="799F7E92"/>
    <w:rsid w:val="79D00993"/>
    <w:rsid w:val="79D164E7"/>
    <w:rsid w:val="79D833A4"/>
    <w:rsid w:val="79E92285"/>
    <w:rsid w:val="79EB1329"/>
    <w:rsid w:val="79F00BDD"/>
    <w:rsid w:val="7A04260F"/>
    <w:rsid w:val="7A0A5C53"/>
    <w:rsid w:val="7A3B22B0"/>
    <w:rsid w:val="7A41363F"/>
    <w:rsid w:val="7A6C06BC"/>
    <w:rsid w:val="7A792DD8"/>
    <w:rsid w:val="7A794456"/>
    <w:rsid w:val="7AC202DC"/>
    <w:rsid w:val="7AC43368"/>
    <w:rsid w:val="7ACF0C4A"/>
    <w:rsid w:val="7AD1051F"/>
    <w:rsid w:val="7AEC7ADA"/>
    <w:rsid w:val="7AFB559C"/>
    <w:rsid w:val="7AFD57B8"/>
    <w:rsid w:val="7B034450"/>
    <w:rsid w:val="7B136D89"/>
    <w:rsid w:val="7B4909FD"/>
    <w:rsid w:val="7B515B18"/>
    <w:rsid w:val="7B670E83"/>
    <w:rsid w:val="7B6C46EB"/>
    <w:rsid w:val="7B7A6E08"/>
    <w:rsid w:val="7BD06A28"/>
    <w:rsid w:val="7BD1334B"/>
    <w:rsid w:val="7BDC361F"/>
    <w:rsid w:val="7C1A7CA3"/>
    <w:rsid w:val="7C2D3525"/>
    <w:rsid w:val="7C2F7BF3"/>
    <w:rsid w:val="7C541407"/>
    <w:rsid w:val="7C5B09E8"/>
    <w:rsid w:val="7C705B15"/>
    <w:rsid w:val="7C7A6994"/>
    <w:rsid w:val="7C80044E"/>
    <w:rsid w:val="7CA12173"/>
    <w:rsid w:val="7CBE4AD3"/>
    <w:rsid w:val="7CE81B50"/>
    <w:rsid w:val="7CFB2948"/>
    <w:rsid w:val="7CFC55FB"/>
    <w:rsid w:val="7D010F82"/>
    <w:rsid w:val="7D1110A6"/>
    <w:rsid w:val="7D172435"/>
    <w:rsid w:val="7D3D633F"/>
    <w:rsid w:val="7D407BDD"/>
    <w:rsid w:val="7D43322A"/>
    <w:rsid w:val="7D474AC8"/>
    <w:rsid w:val="7D6513F2"/>
    <w:rsid w:val="7D690EE2"/>
    <w:rsid w:val="7D6B2EAC"/>
    <w:rsid w:val="7D6D1596"/>
    <w:rsid w:val="7D7F0706"/>
    <w:rsid w:val="7D823D52"/>
    <w:rsid w:val="7D893333"/>
    <w:rsid w:val="7D9677FD"/>
    <w:rsid w:val="7DEF0220"/>
    <w:rsid w:val="7DFD5ACF"/>
    <w:rsid w:val="7E1A21DD"/>
    <w:rsid w:val="7E2766A8"/>
    <w:rsid w:val="7E3037AE"/>
    <w:rsid w:val="7E331708"/>
    <w:rsid w:val="7E350DC4"/>
    <w:rsid w:val="7E723DC7"/>
    <w:rsid w:val="7E77762F"/>
    <w:rsid w:val="7E927FC5"/>
    <w:rsid w:val="7EA6220D"/>
    <w:rsid w:val="7EAF6DC9"/>
    <w:rsid w:val="7EB75C7D"/>
    <w:rsid w:val="7EBE34B2"/>
    <w:rsid w:val="7EC00FD6"/>
    <w:rsid w:val="7EC30AC6"/>
    <w:rsid w:val="7ECF2FC7"/>
    <w:rsid w:val="7ED00AED"/>
    <w:rsid w:val="7EF42A2E"/>
    <w:rsid w:val="7EF742CC"/>
    <w:rsid w:val="7EF743D8"/>
    <w:rsid w:val="7EFC23B7"/>
    <w:rsid w:val="7F0013D2"/>
    <w:rsid w:val="7F080287"/>
    <w:rsid w:val="7F10538E"/>
    <w:rsid w:val="7F272E03"/>
    <w:rsid w:val="7F475253"/>
    <w:rsid w:val="7F710522"/>
    <w:rsid w:val="7F8C2C66"/>
    <w:rsid w:val="7F8F09A8"/>
    <w:rsid w:val="7F9367D1"/>
    <w:rsid w:val="7F985AAF"/>
    <w:rsid w:val="7F9A1827"/>
    <w:rsid w:val="7F9E1D90"/>
    <w:rsid w:val="7FC05006"/>
    <w:rsid w:val="7FE707E4"/>
    <w:rsid w:val="7FF4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2"/>
    <w:qFormat/>
    <w:uiPriority w:val="0"/>
    <w:pPr>
      <w:keepNext/>
      <w:jc w:val="center"/>
      <w:outlineLvl w:val="3"/>
    </w:pPr>
    <w:rPr>
      <w:rFonts w:eastAsia="新宋体"/>
      <w:kern w:val="0"/>
      <w:sz w:val="30"/>
      <w:szCs w:val="21"/>
    </w:rPr>
  </w:style>
  <w:style w:type="paragraph" w:styleId="6">
    <w:name w:val="heading 5"/>
    <w:basedOn w:val="1"/>
    <w:next w:val="1"/>
    <w:link w:val="43"/>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44"/>
    <w:qFormat/>
    <w:uiPriority w:val="0"/>
    <w:pPr>
      <w:keepNext/>
      <w:jc w:val="center"/>
      <w:outlineLvl w:val="5"/>
    </w:pPr>
    <w:rPr>
      <w:b/>
      <w:kern w:val="0"/>
      <w:sz w:val="44"/>
      <w:szCs w:val="20"/>
    </w:rPr>
  </w:style>
  <w:style w:type="paragraph" w:styleId="9">
    <w:name w:val="heading 7"/>
    <w:basedOn w:val="1"/>
    <w:next w:val="1"/>
    <w:link w:val="46"/>
    <w:qFormat/>
    <w:uiPriority w:val="0"/>
    <w:pPr>
      <w:keepNext/>
      <w:keepLines/>
      <w:spacing w:before="240" w:after="64" w:line="320" w:lineRule="auto"/>
      <w:outlineLvl w:val="6"/>
    </w:pPr>
    <w:rPr>
      <w:b/>
      <w:bCs/>
      <w:kern w:val="0"/>
      <w:sz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kern w:val="0"/>
      <w:sz w:val="24"/>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5"/>
    <w:qFormat/>
    <w:uiPriority w:val="0"/>
    <w:pPr>
      <w:ind w:firstLine="420"/>
    </w:pPr>
    <w:rPr>
      <w:kern w:val="0"/>
      <w:sz w:val="20"/>
      <w:szCs w:val="20"/>
    </w:rPr>
  </w:style>
  <w:style w:type="paragraph" w:styleId="12">
    <w:name w:val="Document Map"/>
    <w:basedOn w:val="1"/>
    <w:link w:val="49"/>
    <w:semiHidden/>
    <w:qFormat/>
    <w:uiPriority w:val="0"/>
    <w:pPr>
      <w:shd w:val="clear" w:color="auto" w:fill="000080"/>
    </w:pPr>
    <w:rPr>
      <w:kern w:val="0"/>
      <w:sz w:val="20"/>
    </w:rPr>
  </w:style>
  <w:style w:type="paragraph" w:styleId="13">
    <w:name w:val="annotation text"/>
    <w:basedOn w:val="1"/>
    <w:qFormat/>
    <w:uiPriority w:val="0"/>
    <w:pPr>
      <w:jc w:val="left"/>
    </w:pPr>
    <w:rPr>
      <w:rFonts w:ascii="Calibri" w:hAnsi="Calibri"/>
      <w:szCs w:val="20"/>
    </w:rPr>
  </w:style>
  <w:style w:type="paragraph" w:styleId="14">
    <w:name w:val="Body Text 3"/>
    <w:basedOn w:val="1"/>
    <w:link w:val="50"/>
    <w:qFormat/>
    <w:uiPriority w:val="0"/>
    <w:pPr>
      <w:spacing w:after="120"/>
    </w:pPr>
    <w:rPr>
      <w:kern w:val="0"/>
      <w:sz w:val="16"/>
      <w:szCs w:val="16"/>
    </w:rPr>
  </w:style>
  <w:style w:type="paragraph" w:styleId="15">
    <w:name w:val="Body Text"/>
    <w:basedOn w:val="1"/>
    <w:next w:val="1"/>
    <w:link w:val="51"/>
    <w:qFormat/>
    <w:uiPriority w:val="0"/>
    <w:rPr>
      <w:rFonts w:ascii="仿宋_GB2312" w:eastAsia="仿宋_GB2312"/>
      <w:kern w:val="0"/>
      <w:sz w:val="24"/>
      <w:szCs w:val="20"/>
    </w:rPr>
  </w:style>
  <w:style w:type="paragraph" w:styleId="16">
    <w:name w:val="Body Text Indent"/>
    <w:basedOn w:val="1"/>
    <w:next w:val="17"/>
    <w:link w:val="52"/>
    <w:qFormat/>
    <w:uiPriority w:val="0"/>
    <w:pPr>
      <w:ind w:left="765"/>
    </w:pPr>
    <w:rPr>
      <w:rFonts w:ascii="仿宋_GB2312" w:eastAsia="仿宋_GB2312"/>
      <w:kern w:val="0"/>
      <w:sz w:val="28"/>
      <w:szCs w:val="20"/>
    </w:rPr>
  </w:style>
  <w:style w:type="paragraph" w:styleId="17">
    <w:name w:val="envelope return"/>
    <w:basedOn w:val="1"/>
    <w:unhideWhenUsed/>
    <w:qFormat/>
    <w:uiPriority w:val="99"/>
    <w:pPr>
      <w:snapToGrid w:val="0"/>
    </w:pPr>
    <w:rPr>
      <w:rFonts w:ascii="Arial" w:hAnsi="Arial"/>
    </w:rPr>
  </w:style>
  <w:style w:type="paragraph" w:styleId="18">
    <w:name w:val="Plain Text"/>
    <w:basedOn w:val="1"/>
    <w:link w:val="53"/>
    <w:qFormat/>
    <w:uiPriority w:val="0"/>
    <w:rPr>
      <w:rFonts w:ascii="宋体" w:hAnsi="Courier New"/>
      <w:kern w:val="0"/>
      <w:sz w:val="20"/>
      <w:szCs w:val="21"/>
    </w:rPr>
  </w:style>
  <w:style w:type="paragraph" w:styleId="19">
    <w:name w:val="Date"/>
    <w:basedOn w:val="1"/>
    <w:next w:val="1"/>
    <w:link w:val="54"/>
    <w:qFormat/>
    <w:uiPriority w:val="0"/>
    <w:rPr>
      <w:kern w:val="0"/>
      <w:sz w:val="24"/>
      <w:szCs w:val="20"/>
    </w:rPr>
  </w:style>
  <w:style w:type="paragraph" w:styleId="20">
    <w:name w:val="Body Text Indent 2"/>
    <w:basedOn w:val="1"/>
    <w:link w:val="55"/>
    <w:qFormat/>
    <w:uiPriority w:val="0"/>
    <w:pPr>
      <w:spacing w:line="500" w:lineRule="exact"/>
      <w:ind w:firstLine="560" w:firstLineChars="200"/>
    </w:pPr>
    <w:rPr>
      <w:rFonts w:eastAsia="仿宋_GB2312"/>
      <w:kern w:val="0"/>
      <w:sz w:val="28"/>
      <w:szCs w:val="20"/>
    </w:rPr>
  </w:style>
  <w:style w:type="paragraph" w:styleId="21">
    <w:name w:val="Balloon Text"/>
    <w:basedOn w:val="1"/>
    <w:link w:val="56"/>
    <w:semiHidden/>
    <w:qFormat/>
    <w:uiPriority w:val="0"/>
    <w:rPr>
      <w:kern w:val="0"/>
      <w:sz w:val="18"/>
      <w:szCs w:val="18"/>
    </w:rPr>
  </w:style>
  <w:style w:type="paragraph" w:styleId="22">
    <w:name w:val="footer"/>
    <w:basedOn w:val="1"/>
    <w:link w:val="57"/>
    <w:qFormat/>
    <w:uiPriority w:val="99"/>
    <w:pPr>
      <w:tabs>
        <w:tab w:val="center" w:pos="4153"/>
        <w:tab w:val="right" w:pos="8306"/>
      </w:tabs>
      <w:snapToGrid w:val="0"/>
      <w:jc w:val="left"/>
    </w:pPr>
    <w:rPr>
      <w:kern w:val="0"/>
      <w:sz w:val="18"/>
      <w:szCs w:val="20"/>
    </w:rPr>
  </w:style>
  <w:style w:type="paragraph" w:styleId="23">
    <w:name w:val="header"/>
    <w:basedOn w:val="1"/>
    <w:link w:val="58"/>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semiHidden/>
    <w:qFormat/>
    <w:uiPriority w:val="0"/>
    <w:rPr>
      <w:sz w:val="24"/>
    </w:rPr>
  </w:style>
  <w:style w:type="paragraph" w:styleId="25">
    <w:name w:val="List"/>
    <w:basedOn w:val="1"/>
    <w:qFormat/>
    <w:uiPriority w:val="0"/>
    <w:pPr>
      <w:ind w:left="200" w:hanging="200" w:hangingChars="200"/>
    </w:pPr>
  </w:style>
  <w:style w:type="paragraph" w:styleId="26">
    <w:name w:val="Body Text Indent 3"/>
    <w:basedOn w:val="1"/>
    <w:link w:val="59"/>
    <w:qFormat/>
    <w:uiPriority w:val="0"/>
    <w:pPr>
      <w:spacing w:after="120"/>
      <w:ind w:left="420" w:leftChars="200"/>
    </w:pPr>
    <w:rPr>
      <w:kern w:val="0"/>
      <w:sz w:val="16"/>
      <w:szCs w:val="16"/>
    </w:rPr>
  </w:style>
  <w:style w:type="paragraph" w:styleId="27">
    <w:name w:val="Body Text 2"/>
    <w:basedOn w:val="1"/>
    <w:link w:val="60"/>
    <w:qFormat/>
    <w:uiPriority w:val="0"/>
    <w:pPr>
      <w:snapToGrid w:val="0"/>
    </w:pPr>
    <w:rPr>
      <w:b/>
      <w:bCs/>
      <w:kern w:val="0"/>
      <w:sz w:val="18"/>
    </w:rPr>
  </w:style>
  <w:style w:type="paragraph" w:styleId="2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9">
    <w:name w:val="Body Text First Indent"/>
    <w:basedOn w:val="15"/>
    <w:link w:val="61"/>
    <w:qFormat/>
    <w:uiPriority w:val="0"/>
    <w:pPr>
      <w:spacing w:after="120"/>
      <w:ind w:firstLine="420" w:firstLineChars="100"/>
    </w:pPr>
    <w:rPr>
      <w:rFonts w:ascii="Times New Roman" w:eastAsia="宋体"/>
      <w:szCs w:val="24"/>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paragraph" w:customStyle="1" w:styleId="37">
    <w:name w:val="*正文"/>
    <w:basedOn w:val="1"/>
    <w:qFormat/>
    <w:uiPriority w:val="99"/>
    <w:pPr>
      <w:snapToGrid w:val="0"/>
      <w:spacing w:line="360" w:lineRule="auto"/>
      <w:ind w:firstLine="482"/>
    </w:pPr>
    <w:rPr>
      <w:rFonts w:eastAsia="仿宋_GB2312"/>
      <w:sz w:val="28"/>
    </w:rPr>
  </w:style>
  <w:style w:type="paragraph" w:customStyle="1" w:styleId="38">
    <w:name w:val="正文1"/>
    <w:basedOn w:val="1"/>
    <w:next w:val="1"/>
    <w:qFormat/>
    <w:uiPriority w:val="0"/>
    <w:pPr>
      <w:ind w:firstLine="540"/>
    </w:pPr>
    <w:rPr>
      <w:szCs w:val="20"/>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Arial" w:hAnsi="Arial" w:eastAsia="黑体" w:cs="Times New Roman"/>
      <w:b/>
      <w:bCs/>
      <w:sz w:val="32"/>
      <w:szCs w:val="32"/>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Times New Roman" w:hAnsi="Times New Roman" w:eastAsia="新宋体" w:cs="Times New Roman"/>
      <w:sz w:val="30"/>
      <w:szCs w:val="21"/>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Times New Roman" w:hAnsi="Times New Roman" w:eastAsia="宋体" w:cs="Times New Roman"/>
      <w:b/>
      <w:sz w:val="44"/>
      <w:szCs w:val="20"/>
    </w:rPr>
  </w:style>
  <w:style w:type="character" w:customStyle="1" w:styleId="45">
    <w:name w:val="正文缩进 字符"/>
    <w:link w:val="8"/>
    <w:qFormat/>
    <w:uiPriority w:val="0"/>
    <w:rPr>
      <w:rFonts w:ascii="Times New Roman" w:hAnsi="Times New Roman" w:eastAsia="宋体" w:cs="Times New Roman"/>
      <w:kern w:val="0"/>
      <w:sz w:val="20"/>
      <w:szCs w:val="20"/>
    </w:rPr>
  </w:style>
  <w:style w:type="character" w:customStyle="1" w:styleId="46">
    <w:name w:val="标题 7 字符"/>
    <w:link w:val="9"/>
    <w:qFormat/>
    <w:uiPriority w:val="0"/>
    <w:rPr>
      <w:rFonts w:ascii="Times New Roman" w:hAnsi="Times New Roman" w:eastAsia="宋体" w:cs="Times New Roman"/>
      <w:b/>
      <w:bCs/>
      <w:sz w:val="24"/>
      <w:szCs w:val="24"/>
    </w:rPr>
  </w:style>
  <w:style w:type="character" w:customStyle="1" w:styleId="47">
    <w:name w:val="标题 8 字符"/>
    <w:link w:val="10"/>
    <w:qFormat/>
    <w:uiPriority w:val="0"/>
    <w:rPr>
      <w:rFonts w:ascii="Arial" w:hAnsi="Arial" w:eastAsia="黑体" w:cs="Times New Roman"/>
      <w:sz w:val="24"/>
      <w:szCs w:val="24"/>
    </w:rPr>
  </w:style>
  <w:style w:type="character" w:customStyle="1" w:styleId="48">
    <w:name w:val="标题 9 字符"/>
    <w:link w:val="11"/>
    <w:qFormat/>
    <w:uiPriority w:val="0"/>
    <w:rPr>
      <w:rFonts w:ascii="Arial" w:hAnsi="Arial" w:eastAsia="黑体" w:cs="Times New Roman"/>
      <w:sz w:val="24"/>
      <w:szCs w:val="21"/>
    </w:rPr>
  </w:style>
  <w:style w:type="character" w:customStyle="1" w:styleId="49">
    <w:name w:val="文档结构图 字符"/>
    <w:link w:val="12"/>
    <w:semiHidden/>
    <w:qFormat/>
    <w:uiPriority w:val="0"/>
    <w:rPr>
      <w:szCs w:val="24"/>
      <w:shd w:val="clear" w:color="auto" w:fill="000080"/>
    </w:rPr>
  </w:style>
  <w:style w:type="character" w:customStyle="1" w:styleId="50">
    <w:name w:val="正文文本 3 字符"/>
    <w:link w:val="14"/>
    <w:qFormat/>
    <w:uiPriority w:val="0"/>
    <w:rPr>
      <w:rFonts w:ascii="Times New Roman" w:hAnsi="Times New Roman" w:eastAsia="宋体" w:cs="Times New Roman"/>
      <w:sz w:val="16"/>
      <w:szCs w:val="16"/>
    </w:rPr>
  </w:style>
  <w:style w:type="character" w:customStyle="1" w:styleId="51">
    <w:name w:val="正文文本 字符"/>
    <w:link w:val="15"/>
    <w:qFormat/>
    <w:uiPriority w:val="0"/>
    <w:rPr>
      <w:rFonts w:ascii="仿宋_GB2312" w:hAnsi="Times New Roman" w:eastAsia="仿宋_GB2312" w:cs="Times New Roman"/>
      <w:sz w:val="24"/>
      <w:szCs w:val="20"/>
    </w:rPr>
  </w:style>
  <w:style w:type="character" w:customStyle="1" w:styleId="52">
    <w:name w:val="正文文本缩进 字符"/>
    <w:link w:val="16"/>
    <w:qFormat/>
    <w:uiPriority w:val="0"/>
    <w:rPr>
      <w:rFonts w:ascii="仿宋_GB2312" w:hAnsi="Times New Roman" w:eastAsia="仿宋_GB2312" w:cs="Times New Roman"/>
      <w:sz w:val="28"/>
      <w:szCs w:val="20"/>
    </w:rPr>
  </w:style>
  <w:style w:type="character" w:customStyle="1" w:styleId="53">
    <w:name w:val="纯文本 字符"/>
    <w:link w:val="18"/>
    <w:qFormat/>
    <w:uiPriority w:val="0"/>
    <w:rPr>
      <w:rFonts w:ascii="宋体" w:hAnsi="Courier New" w:eastAsia="宋体" w:cs="Courier New"/>
      <w:szCs w:val="21"/>
    </w:rPr>
  </w:style>
  <w:style w:type="character" w:customStyle="1" w:styleId="54">
    <w:name w:val="日期 字符"/>
    <w:link w:val="19"/>
    <w:qFormat/>
    <w:uiPriority w:val="0"/>
    <w:rPr>
      <w:rFonts w:ascii="Times New Roman" w:hAnsi="Times New Roman" w:eastAsia="宋体" w:cs="Times New Roman"/>
      <w:sz w:val="24"/>
      <w:szCs w:val="20"/>
    </w:rPr>
  </w:style>
  <w:style w:type="character" w:customStyle="1" w:styleId="55">
    <w:name w:val="正文文本缩进 2 字符"/>
    <w:link w:val="20"/>
    <w:qFormat/>
    <w:uiPriority w:val="0"/>
    <w:rPr>
      <w:rFonts w:ascii="Times New Roman" w:hAnsi="Times New Roman" w:eastAsia="仿宋_GB2312" w:cs="Times New Roman"/>
      <w:sz w:val="28"/>
      <w:szCs w:val="20"/>
    </w:rPr>
  </w:style>
  <w:style w:type="character" w:customStyle="1" w:styleId="56">
    <w:name w:val="批注框文本 字符"/>
    <w:link w:val="21"/>
    <w:semiHidden/>
    <w:qFormat/>
    <w:uiPriority w:val="0"/>
    <w:rPr>
      <w:sz w:val="18"/>
      <w:szCs w:val="18"/>
    </w:rPr>
  </w:style>
  <w:style w:type="character" w:customStyle="1" w:styleId="57">
    <w:name w:val="页脚 字符"/>
    <w:link w:val="22"/>
    <w:qFormat/>
    <w:uiPriority w:val="99"/>
    <w:rPr>
      <w:rFonts w:ascii="Times New Roman" w:hAnsi="Times New Roman" w:eastAsia="宋体" w:cs="Times New Roman"/>
      <w:sz w:val="18"/>
      <w:szCs w:val="20"/>
    </w:rPr>
  </w:style>
  <w:style w:type="character" w:customStyle="1" w:styleId="58">
    <w:name w:val="页眉 字符"/>
    <w:link w:val="23"/>
    <w:qFormat/>
    <w:uiPriority w:val="0"/>
    <w:rPr>
      <w:rFonts w:ascii="Times New Roman" w:hAnsi="Times New Roman" w:eastAsia="宋体" w:cs="Times New Roman"/>
      <w:sz w:val="18"/>
      <w:szCs w:val="18"/>
    </w:rPr>
  </w:style>
  <w:style w:type="character" w:customStyle="1" w:styleId="59">
    <w:name w:val="正文文本缩进 3 字符"/>
    <w:link w:val="26"/>
    <w:qFormat/>
    <w:uiPriority w:val="0"/>
    <w:rPr>
      <w:rFonts w:ascii="Times New Roman" w:hAnsi="Times New Roman" w:eastAsia="宋体" w:cs="Times New Roman"/>
      <w:sz w:val="16"/>
      <w:szCs w:val="16"/>
    </w:rPr>
  </w:style>
  <w:style w:type="character" w:customStyle="1" w:styleId="60">
    <w:name w:val="正文文本 2 字符"/>
    <w:link w:val="27"/>
    <w:qFormat/>
    <w:uiPriority w:val="0"/>
    <w:rPr>
      <w:rFonts w:ascii="Times New Roman" w:hAnsi="Times New Roman" w:eastAsia="宋体" w:cs="Times New Roman"/>
      <w:b/>
      <w:bCs/>
      <w:sz w:val="18"/>
      <w:szCs w:val="24"/>
    </w:rPr>
  </w:style>
  <w:style w:type="character" w:customStyle="1" w:styleId="61">
    <w:name w:val="正文文本首行缩进 字符"/>
    <w:link w:val="29"/>
    <w:qFormat/>
    <w:uiPriority w:val="0"/>
    <w:rPr>
      <w:rFonts w:ascii="Times New Roman" w:hAnsi="Times New Roman" w:eastAsia="宋体" w:cs="Times New Roman"/>
      <w:sz w:val="24"/>
      <w:szCs w:val="24"/>
    </w:rPr>
  </w:style>
  <w:style w:type="paragraph" w:customStyle="1" w:styleId="62">
    <w:name w:val="目录 71"/>
    <w:basedOn w:val="1"/>
    <w:next w:val="1"/>
    <w:qFormat/>
    <w:uiPriority w:val="0"/>
    <w:pPr>
      <w:ind w:left="2520"/>
    </w:pPr>
    <w:rPr>
      <w:rFonts w:ascii="Calibri"/>
    </w:rPr>
  </w:style>
  <w:style w:type="character" w:customStyle="1" w:styleId="63">
    <w:name w:val="列表段落 字符1"/>
    <w:link w:val="64"/>
    <w:qFormat/>
    <w:locked/>
    <w:uiPriority w:val="99"/>
  </w:style>
  <w:style w:type="paragraph" w:styleId="64">
    <w:name w:val="List Paragraph"/>
    <w:basedOn w:val="1"/>
    <w:link w:val="63"/>
    <w:qFormat/>
    <w:uiPriority w:val="99"/>
    <w:pPr>
      <w:ind w:firstLine="420" w:firstLineChars="200"/>
    </w:pPr>
    <w:rPr>
      <w:kern w:val="0"/>
      <w:sz w:val="20"/>
      <w:szCs w:val="20"/>
    </w:rPr>
  </w:style>
  <w:style w:type="character" w:customStyle="1" w:styleId="65">
    <w:name w:val="文档结构图 Char1"/>
    <w:semiHidden/>
    <w:qFormat/>
    <w:uiPriority w:val="99"/>
    <w:rPr>
      <w:rFonts w:ascii="宋体" w:hAnsi="Times New Roman" w:eastAsia="宋体" w:cs="Times New Roman"/>
      <w:sz w:val="18"/>
      <w:szCs w:val="18"/>
    </w:rPr>
  </w:style>
  <w:style w:type="character" w:customStyle="1" w:styleId="66">
    <w:name w:val="普通正文 Char"/>
    <w:link w:val="67"/>
    <w:qFormat/>
    <w:uiPriority w:val="0"/>
    <w:rPr>
      <w:rFonts w:ascii="Arial" w:hAnsi="Arial"/>
      <w:sz w:val="24"/>
      <w:szCs w:val="24"/>
    </w:rPr>
  </w:style>
  <w:style w:type="paragraph" w:customStyle="1" w:styleId="67">
    <w:name w:val="普通正文"/>
    <w:basedOn w:val="1"/>
    <w:link w:val="66"/>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8">
    <w:name w:val="FA正文 Char"/>
    <w:link w:val="69"/>
    <w:qFormat/>
    <w:uiPriority w:val="0"/>
    <w:rPr>
      <w:rFonts w:ascii="宋体" w:hAnsi="宋体" w:eastAsia="宋体" w:cs="Times New Roman"/>
      <w:sz w:val="28"/>
      <w:szCs w:val="28"/>
    </w:rPr>
  </w:style>
  <w:style w:type="paragraph" w:customStyle="1" w:styleId="69">
    <w:name w:val="FA正文"/>
    <w:basedOn w:val="1"/>
    <w:link w:val="68"/>
    <w:qFormat/>
    <w:uiPriority w:val="0"/>
    <w:pPr>
      <w:tabs>
        <w:tab w:val="left" w:pos="3375"/>
      </w:tabs>
      <w:spacing w:line="440" w:lineRule="atLeast"/>
      <w:ind w:firstLine="538" w:firstLineChars="192"/>
    </w:pPr>
    <w:rPr>
      <w:rFonts w:ascii="宋体" w:hAnsi="宋体"/>
      <w:kern w:val="0"/>
      <w:sz w:val="28"/>
      <w:szCs w:val="28"/>
    </w:rPr>
  </w:style>
  <w:style w:type="character" w:customStyle="1" w:styleId="70">
    <w:name w:val="正文缩进2格 Char"/>
    <w:link w:val="71"/>
    <w:qFormat/>
    <w:uiPriority w:val="0"/>
    <w:rPr>
      <w:rFonts w:ascii="仿宋_GB2312" w:hAnsi="宋体" w:eastAsia="仿宋_GB2312" w:cs="Times New Roman"/>
      <w:sz w:val="31"/>
      <w:szCs w:val="28"/>
    </w:rPr>
  </w:style>
  <w:style w:type="paragraph" w:customStyle="1" w:styleId="71">
    <w:name w:val="正文缩进2格"/>
    <w:basedOn w:val="1"/>
    <w:link w:val="70"/>
    <w:qFormat/>
    <w:uiPriority w:val="0"/>
    <w:pPr>
      <w:spacing w:line="600" w:lineRule="exact"/>
      <w:ind w:firstLine="639" w:firstLineChars="206"/>
    </w:pPr>
    <w:rPr>
      <w:rFonts w:ascii="仿宋_GB2312" w:hAnsi="宋体" w:eastAsia="仿宋_GB2312"/>
      <w:kern w:val="0"/>
      <w:sz w:val="31"/>
      <w:szCs w:val="28"/>
    </w:rPr>
  </w:style>
  <w:style w:type="character" w:customStyle="1" w:styleId="72">
    <w:name w:val="cn_text1"/>
    <w:qFormat/>
    <w:uiPriority w:val="0"/>
    <w:rPr>
      <w:rFonts w:hint="default" w:ascii="ˎ̥" w:hAnsi="ˎ̥"/>
      <w:color w:val="003399"/>
      <w:spacing w:val="15"/>
      <w:sz w:val="18"/>
      <w:szCs w:val="18"/>
    </w:rPr>
  </w:style>
  <w:style w:type="character" w:customStyle="1" w:styleId="73">
    <w:name w:val="ssss Char"/>
    <w:qFormat/>
    <w:uiPriority w:val="0"/>
    <w:rPr>
      <w:rFonts w:eastAsia="宋体"/>
      <w:kern w:val="2"/>
      <w:sz w:val="24"/>
      <w:szCs w:val="24"/>
      <w:lang w:val="en-US" w:eastAsia="zh-CN" w:bidi="ar-SA"/>
    </w:rPr>
  </w:style>
  <w:style w:type="character" w:customStyle="1" w:styleId="74">
    <w:name w:val="ssss Char1"/>
    <w:link w:val="75"/>
    <w:qFormat/>
    <w:uiPriority w:val="0"/>
    <w:rPr>
      <w:rFonts w:ascii="Times New Roman" w:hAnsi="Times New Roman" w:eastAsia="宋体" w:cs="Times New Roman"/>
      <w:sz w:val="24"/>
      <w:szCs w:val="24"/>
    </w:rPr>
  </w:style>
  <w:style w:type="paragraph" w:customStyle="1" w:styleId="75">
    <w:name w:val="ssss"/>
    <w:basedOn w:val="1"/>
    <w:link w:val="74"/>
    <w:qFormat/>
    <w:uiPriority w:val="0"/>
    <w:pPr>
      <w:spacing w:line="360" w:lineRule="auto"/>
      <w:ind w:firstLine="480" w:firstLineChars="200"/>
    </w:pPr>
    <w:rPr>
      <w:kern w:val="0"/>
      <w:sz w:val="24"/>
    </w:rPr>
  </w:style>
  <w:style w:type="character" w:customStyle="1" w:styleId="76">
    <w:name w:val="标题 4 Char1"/>
    <w:qFormat/>
    <w:uiPriority w:val="0"/>
    <w:rPr>
      <w:rFonts w:ascii="Arial" w:hAnsi="Arial" w:eastAsia="黑体"/>
      <w:b/>
      <w:bCs/>
      <w:kern w:val="2"/>
      <w:sz w:val="28"/>
      <w:szCs w:val="28"/>
      <w:lang w:val="en-US" w:eastAsia="zh-CN" w:bidi="ar-SA"/>
    </w:rPr>
  </w:style>
  <w:style w:type="character" w:customStyle="1" w:styleId="77">
    <w:name w:val="列表段落 字符"/>
    <w:qFormat/>
    <w:uiPriority w:val="34"/>
    <w:rPr>
      <w:rFonts w:ascii="Calibri" w:hAnsi="Calibri"/>
      <w:kern w:val="2"/>
      <w:sz w:val="21"/>
      <w:szCs w:val="22"/>
    </w:rPr>
  </w:style>
  <w:style w:type="character" w:customStyle="1" w:styleId="78">
    <w:name w:val="批注框文本 Char1"/>
    <w:semiHidden/>
    <w:qFormat/>
    <w:uiPriority w:val="99"/>
    <w:rPr>
      <w:rFonts w:ascii="Times New Roman" w:hAnsi="Times New Roman" w:eastAsia="宋体" w:cs="Times New Roman"/>
      <w:sz w:val="18"/>
      <w:szCs w:val="18"/>
    </w:rPr>
  </w:style>
  <w:style w:type="character" w:customStyle="1" w:styleId="79">
    <w:name w:val="样式 ssss + 宋体 五号1 Char"/>
    <w:link w:val="80"/>
    <w:qFormat/>
    <w:uiPriority w:val="0"/>
    <w:rPr>
      <w:rFonts w:ascii="宋体" w:hAnsi="宋体" w:eastAsia="宋体" w:cs="Times New Roman"/>
      <w:sz w:val="24"/>
      <w:szCs w:val="24"/>
    </w:rPr>
  </w:style>
  <w:style w:type="paragraph" w:customStyle="1" w:styleId="80">
    <w:name w:val="样式 ssss + 宋体 五号1"/>
    <w:basedOn w:val="75"/>
    <w:link w:val="79"/>
    <w:qFormat/>
    <w:uiPriority w:val="0"/>
    <w:rPr>
      <w:rFonts w:ascii="宋体" w:hAnsi="宋体"/>
    </w:rPr>
  </w:style>
  <w:style w:type="character" w:customStyle="1" w:styleId="81">
    <w:name w:val="point_normal1"/>
    <w:qFormat/>
    <w:uiPriority w:val="0"/>
    <w:rPr>
      <w:rFonts w:hint="default" w:ascii="Arial" w:hAnsi="Arial" w:cs="Arial"/>
      <w:sz w:val="16"/>
      <w:szCs w:val="16"/>
    </w:rPr>
  </w:style>
  <w:style w:type="paragraph" w:customStyle="1" w:styleId="82">
    <w:name w:val="样式 正文文本缩进 3 + 四号"/>
    <w:basedOn w:val="26"/>
    <w:qFormat/>
    <w:uiPriority w:val="0"/>
    <w:pPr>
      <w:spacing w:after="0" w:line="360" w:lineRule="auto"/>
      <w:ind w:left="0" w:leftChars="0" w:firstLine="437"/>
    </w:pPr>
    <w:rPr>
      <w:sz w:val="24"/>
      <w:szCs w:val="21"/>
    </w:rPr>
  </w:style>
  <w:style w:type="paragraph" w:customStyle="1" w:styleId="8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85">
    <w:name w:val="Char Char Char Char"/>
    <w:basedOn w:val="1"/>
    <w:qFormat/>
    <w:uiPriority w:val="0"/>
    <w:rPr>
      <w:rFonts w:ascii="Tahoma" w:hAnsi="Tahoma"/>
      <w:sz w:val="24"/>
      <w:szCs w:val="20"/>
    </w:rPr>
  </w:style>
  <w:style w:type="paragraph" w:customStyle="1" w:styleId="86">
    <w:name w:val="Char Char Char Char Char Char Char Char Char Char Char Char Char"/>
    <w:basedOn w:val="1"/>
    <w:qFormat/>
    <w:uiPriority w:val="0"/>
  </w:style>
  <w:style w:type="paragraph" w:customStyle="1" w:styleId="87">
    <w:name w:val="表格正文"/>
    <w:basedOn w:val="1"/>
    <w:qFormat/>
    <w:uiPriority w:val="0"/>
    <w:pPr>
      <w:spacing w:line="360" w:lineRule="auto"/>
      <w:jc w:val="left"/>
    </w:pPr>
    <w:rPr>
      <w:rFonts w:ascii="Calibri" w:hAnsi="Calibri"/>
      <w:color w:val="000000"/>
      <w:szCs w:val="28"/>
    </w:rPr>
  </w:style>
  <w:style w:type="paragraph" w:customStyle="1" w:styleId="88">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9">
    <w:name w:val="Char Char Char Char1"/>
    <w:basedOn w:val="1"/>
    <w:qFormat/>
    <w:uiPriority w:val="0"/>
    <w:rPr>
      <w:rFonts w:ascii="Tahoma" w:hAnsi="Tahoma"/>
      <w:sz w:val="24"/>
      <w:szCs w:val="20"/>
    </w:rPr>
  </w:style>
  <w:style w:type="paragraph" w:customStyle="1" w:styleId="90">
    <w:name w:val="Char Char Char"/>
    <w:basedOn w:val="1"/>
    <w:qFormat/>
    <w:uiPriority w:val="0"/>
    <w:rPr>
      <w:rFonts w:ascii="Tahoma" w:hAnsi="Tahoma"/>
      <w:sz w:val="24"/>
      <w:szCs w:val="20"/>
    </w:rPr>
  </w:style>
  <w:style w:type="paragraph" w:customStyle="1" w:styleId="91">
    <w:name w:val="标题-----3"/>
    <w:basedOn w:val="4"/>
    <w:qFormat/>
    <w:uiPriority w:val="0"/>
    <w:pPr>
      <w:spacing w:before="0" w:after="0" w:line="240" w:lineRule="auto"/>
      <w:outlineLvl w:val="0"/>
    </w:pPr>
    <w:rPr>
      <w:rFonts w:ascii="宋体" w:hAnsi="宋体"/>
      <w:b w:val="0"/>
      <w:bCs w:val="0"/>
      <w:sz w:val="28"/>
      <w:szCs w:val="28"/>
    </w:rPr>
  </w:style>
  <w:style w:type="paragraph" w:customStyle="1" w:styleId="92">
    <w:name w:val="样式 ssss + 居中"/>
    <w:basedOn w:val="75"/>
    <w:qFormat/>
    <w:uiPriority w:val="0"/>
    <w:pPr>
      <w:jc w:val="center"/>
    </w:pPr>
    <w:rPr>
      <w:rFonts w:cs="宋体"/>
      <w:szCs w:val="20"/>
    </w:rPr>
  </w:style>
  <w:style w:type="paragraph" w:customStyle="1" w:styleId="93">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94">
    <w:name w:val="样式 样式 ssss + 宋体 五号 + 首行缩进:  2 字符"/>
    <w:basedOn w:val="95"/>
    <w:qFormat/>
    <w:uiPriority w:val="0"/>
    <w:pPr>
      <w:ind w:firstLine="480"/>
    </w:pPr>
  </w:style>
  <w:style w:type="paragraph" w:customStyle="1" w:styleId="95">
    <w:name w:val="样式 ssss + 宋体 五号"/>
    <w:basedOn w:val="75"/>
    <w:qFormat/>
    <w:uiPriority w:val="0"/>
    <w:pPr>
      <w:ind w:firstLine="420"/>
    </w:pPr>
    <w:rPr>
      <w:rFonts w:ascii="宋体" w:hAnsi="宋体" w:cs="宋体"/>
      <w:szCs w:val="20"/>
    </w:rPr>
  </w:style>
  <w:style w:type="paragraph" w:customStyle="1" w:styleId="96">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w:basedOn w:val="1"/>
    <w:qFormat/>
    <w:uiPriority w:val="0"/>
    <w:rPr>
      <w:rFonts w:ascii="Tahoma" w:hAnsi="Tahoma"/>
      <w:sz w:val="24"/>
      <w:szCs w:val="20"/>
    </w:rPr>
  </w:style>
  <w:style w:type="paragraph" w:customStyle="1" w:styleId="9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99">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1"/>
    <w:basedOn w:val="1"/>
    <w:qFormat/>
    <w:uiPriority w:val="0"/>
    <w:rPr>
      <w:sz w:val="24"/>
    </w:rPr>
  </w:style>
  <w:style w:type="paragraph" w:customStyle="1" w:styleId="102">
    <w:name w:val="表格"/>
    <w:basedOn w:val="1"/>
    <w:qFormat/>
    <w:uiPriority w:val="0"/>
    <w:rPr>
      <w:rFonts w:ascii="Arial" w:hAnsi="Arial"/>
      <w:sz w:val="24"/>
    </w:rPr>
  </w:style>
  <w:style w:type="paragraph" w:customStyle="1" w:styleId="103">
    <w:name w:val="正文样式1"/>
    <w:basedOn w:val="1"/>
    <w:qFormat/>
    <w:uiPriority w:val="0"/>
    <w:pPr>
      <w:spacing w:before="120" w:after="120" w:line="360" w:lineRule="auto"/>
      <w:ind w:firstLine="480" w:firstLineChars="200"/>
    </w:pPr>
    <w:rPr>
      <w:sz w:val="24"/>
      <w:szCs w:val="20"/>
    </w:rPr>
  </w:style>
  <w:style w:type="paragraph" w:customStyle="1" w:styleId="10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Char Char Char Char Char Char Char Char Char Char"/>
    <w:basedOn w:val="1"/>
    <w:qFormat/>
    <w:uiPriority w:val="0"/>
    <w:rPr>
      <w:rFonts w:ascii="Tahoma" w:hAnsi="Tahoma"/>
      <w:sz w:val="24"/>
      <w:szCs w:val="20"/>
    </w:rPr>
  </w:style>
  <w:style w:type="paragraph" w:customStyle="1" w:styleId="106">
    <w:name w:val="Char1"/>
    <w:basedOn w:val="1"/>
    <w:qFormat/>
    <w:uiPriority w:val="0"/>
    <w:pPr>
      <w:tabs>
        <w:tab w:val="left" w:pos="360"/>
      </w:tabs>
    </w:pPr>
    <w:rPr>
      <w:sz w:val="24"/>
    </w:rPr>
  </w:style>
  <w:style w:type="paragraph" w:customStyle="1" w:styleId="10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8">
    <w:name w:val="Header2"/>
    <w:basedOn w:val="1"/>
    <w:qFormat/>
    <w:uiPriority w:val="0"/>
    <w:pPr>
      <w:numPr>
        <w:ilvl w:val="0"/>
        <w:numId w:val="1"/>
      </w:numPr>
    </w:pPr>
  </w:style>
  <w:style w:type="paragraph" w:customStyle="1" w:styleId="109">
    <w:name w:val="Char Char 字元 字元 字元 Char Char Char Char"/>
    <w:basedOn w:val="1"/>
    <w:qFormat/>
    <w:uiPriority w:val="0"/>
    <w:pPr>
      <w:adjustRightInd w:val="0"/>
      <w:spacing w:line="360" w:lineRule="auto"/>
    </w:pPr>
    <w:rPr>
      <w:kern w:val="0"/>
      <w:sz w:val="24"/>
      <w:szCs w:val="20"/>
    </w:rPr>
  </w:style>
  <w:style w:type="paragraph" w:customStyle="1" w:styleId="110">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3">
    <w:name w:val="网格型1"/>
    <w:basedOn w:val="3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font41"/>
    <w:basedOn w:val="32"/>
    <w:qFormat/>
    <w:uiPriority w:val="0"/>
    <w:rPr>
      <w:rFonts w:hint="default" w:ascii="Times New Roman" w:hAnsi="Times New Roman" w:cs="Times New Roman"/>
      <w:color w:val="000000"/>
      <w:sz w:val="18"/>
      <w:szCs w:val="18"/>
      <w:u w:val="none"/>
    </w:rPr>
  </w:style>
  <w:style w:type="character" w:customStyle="1" w:styleId="115">
    <w:name w:val="font31"/>
    <w:basedOn w:val="32"/>
    <w:qFormat/>
    <w:uiPriority w:val="0"/>
    <w:rPr>
      <w:rFonts w:hint="eastAsia" w:ascii="仿宋" w:hAnsi="仿宋" w:eastAsia="仿宋" w:cs="仿宋"/>
      <w:color w:val="000000"/>
      <w:sz w:val="21"/>
      <w:szCs w:val="21"/>
      <w:u w:val="none"/>
    </w:rPr>
  </w:style>
  <w:style w:type="paragraph" w:customStyle="1" w:styleId="11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首行缩进 211"/>
    <w:basedOn w:val="16"/>
    <w:unhideWhenUsed/>
    <w:qFormat/>
    <w:uiPriority w:val="99"/>
    <w:pPr>
      <w:ind w:firstLine="200" w:firstLineChars="200"/>
    </w:pPr>
  </w:style>
  <w:style w:type="paragraph" w:customStyle="1" w:styleId="118">
    <w:name w:val="段"/>
    <w:next w:val="1"/>
    <w:qFormat/>
    <w:uiPriority w:val="99"/>
    <w:pPr>
      <w:autoSpaceDE w:val="0"/>
      <w:autoSpaceDN w:val="0"/>
      <w:spacing w:line="360" w:lineRule="auto"/>
      <w:ind w:firstLine="360" w:firstLineChars="200"/>
      <w:jc w:val="both"/>
    </w:pPr>
    <w:rPr>
      <w:rFonts w:ascii="Calibri" w:hAnsi="Calibri" w:eastAsia="宋体" w:cs="Times New Roman"/>
      <w:kern w:val="2"/>
      <w:sz w:val="24"/>
      <w:szCs w:val="24"/>
      <w:lang w:val="en-US" w:eastAsia="zh-CN" w:bidi="ar-SA"/>
    </w:rPr>
  </w:style>
  <w:style w:type="paragraph" w:customStyle="1" w:styleId="119">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120">
    <w:name w:val="_Style 3"/>
    <w:basedOn w:val="1"/>
    <w:next w:val="1"/>
    <w:qFormat/>
    <w:uiPriority w:val="34"/>
    <w:pPr>
      <w:ind w:left="420" w:firstLine="3748"/>
    </w:pPr>
  </w:style>
  <w:style w:type="character" w:customStyle="1" w:styleId="121">
    <w:name w:val="NormalCharacter"/>
    <w:qFormat/>
    <w:uiPriority w:val="99"/>
  </w:style>
  <w:style w:type="paragraph" w:customStyle="1" w:styleId="122">
    <w:name w:val="Normal_19"/>
    <w:qFormat/>
    <w:uiPriority w:val="0"/>
    <w:rPr>
      <w:rFonts w:ascii="Times New Roman" w:hAnsi="Times New Roman" w:eastAsia="Times New Roman" w:cs="Times New Roman"/>
      <w:sz w:val="24"/>
      <w:szCs w:val="24"/>
      <w:lang w:val="en-US" w:eastAsia="zh-CN" w:bidi="ar-SA"/>
    </w:rPr>
  </w:style>
  <w:style w:type="character" w:customStyle="1" w:styleId="123">
    <w:name w:val="contractReviewCommentRevision_4cb48f3c31ed4183b343a620717447d2"/>
    <w:basedOn w:val="32"/>
    <w:qFormat/>
    <w:uiPriority w:val="0"/>
  </w:style>
  <w:style w:type="character" w:customStyle="1" w:styleId="124">
    <w:name w:val="alpha_contract_review_append_comment_4cb48f3c31ed4183b343a620717447d2"/>
    <w:basedOn w:val="32"/>
    <w:qFormat/>
    <w:uiPriority w:val="0"/>
  </w:style>
  <w:style w:type="character" w:customStyle="1" w:styleId="125">
    <w:name w:val="contractReviewCommentRevision_54a377f7e5da40198f528c1f7ff02d95"/>
    <w:basedOn w:val="32"/>
    <w:qFormat/>
    <w:uiPriority w:val="0"/>
  </w:style>
  <w:style w:type="character" w:customStyle="1" w:styleId="126">
    <w:name w:val="alpha_contract_review_append_comment_54a377f7e5da40198f528c1f7ff02d95"/>
    <w:basedOn w:val="32"/>
    <w:qFormat/>
    <w:uiPriority w:val="0"/>
  </w:style>
  <w:style w:type="character" w:customStyle="1" w:styleId="127">
    <w:name w:val="contractReviewCommentRevision_4ed2e25aca214bf499d989c9b1198932"/>
    <w:basedOn w:val="32"/>
    <w:qFormat/>
    <w:uiPriority w:val="0"/>
  </w:style>
  <w:style w:type="character" w:customStyle="1" w:styleId="128">
    <w:name w:val="alpha_contract_review_append_comment_4ed2e25aca214bf499d989c9b1198932"/>
    <w:basedOn w:val="32"/>
    <w:qFormat/>
    <w:uiPriority w:val="0"/>
  </w:style>
  <w:style w:type="character" w:customStyle="1" w:styleId="129">
    <w:name w:val="contractReviewCommentRevision_d117282a3e424d4b92d787e88123f090"/>
    <w:basedOn w:val="32"/>
    <w:qFormat/>
    <w:uiPriority w:val="0"/>
  </w:style>
  <w:style w:type="character" w:customStyle="1" w:styleId="130">
    <w:name w:val="alpha_contract_review_append_comment_d117282a3e424d4b92d787e88123f090"/>
    <w:basedOn w:val="32"/>
    <w:qFormat/>
    <w:uiPriority w:val="0"/>
  </w:style>
  <w:style w:type="character" w:customStyle="1" w:styleId="131">
    <w:name w:val="contractReviewCommentRevision_1b47fc28a9204488bd6f0e79fd2e1665"/>
    <w:basedOn w:val="32"/>
    <w:qFormat/>
    <w:uiPriority w:val="0"/>
  </w:style>
  <w:style w:type="character" w:customStyle="1" w:styleId="132">
    <w:name w:val="alpha_contract_review_append_comment_1b47fc28a9204488bd6f0e79fd2e1665"/>
    <w:basedOn w:val="32"/>
    <w:qFormat/>
    <w:uiPriority w:val="0"/>
  </w:style>
  <w:style w:type="character" w:customStyle="1" w:styleId="133">
    <w:name w:val="contractReviewCommentRevision_8acab379355f415281b8efd26a706158"/>
    <w:basedOn w:val="32"/>
    <w:qFormat/>
    <w:uiPriority w:val="0"/>
  </w:style>
  <w:style w:type="character" w:customStyle="1" w:styleId="134">
    <w:name w:val="alpha_contract_review_append_comment_8acab379355f415281b8efd26a706158"/>
    <w:basedOn w:val="32"/>
    <w:qFormat/>
    <w:uiPriority w:val="0"/>
  </w:style>
  <w:style w:type="character" w:customStyle="1" w:styleId="135">
    <w:name w:val="alpha_contract_review_append_comment_bc710d59c0d14e909ceda58851ff4241"/>
    <w:basedOn w:val="32"/>
    <w:qFormat/>
    <w:uiPriority w:val="0"/>
  </w:style>
  <w:style w:type="character" w:customStyle="1" w:styleId="136">
    <w:name w:val="contractReviewCommentRevision_f5925578d1e64efc8e1b525301b66ed2"/>
    <w:basedOn w:val="32"/>
    <w:qFormat/>
    <w:uiPriority w:val="0"/>
  </w:style>
  <w:style w:type="character" w:customStyle="1" w:styleId="137">
    <w:name w:val="alpha_contract_review_append_comment_f5925578d1e64efc8e1b525301b66ed2"/>
    <w:basedOn w:val="32"/>
    <w:qFormat/>
    <w:uiPriority w:val="0"/>
  </w:style>
  <w:style w:type="character" w:customStyle="1" w:styleId="138">
    <w:name w:val="contractReviewCommentRevision_8515b617a56e4e41814913ff00ac21a8"/>
    <w:basedOn w:val="32"/>
    <w:qFormat/>
    <w:uiPriority w:val="0"/>
  </w:style>
  <w:style w:type="character" w:customStyle="1" w:styleId="139">
    <w:name w:val="alpha_contract_review_append_comment_8515b617a56e4e41814913ff00ac21a8"/>
    <w:basedOn w:val="32"/>
    <w:qFormat/>
    <w:uiPriority w:val="0"/>
  </w:style>
  <w:style w:type="character" w:customStyle="1" w:styleId="140">
    <w:name w:val="contractReviewCommentRevision_4a1259dc0ac24d8c8a665e21f0802a1f"/>
    <w:basedOn w:val="32"/>
    <w:qFormat/>
    <w:uiPriority w:val="0"/>
  </w:style>
  <w:style w:type="character" w:customStyle="1" w:styleId="141">
    <w:name w:val="alpha_contract_review_append_comment_4a1259dc0ac24d8c8a665e21f0802a1f"/>
    <w:basedOn w:val="32"/>
    <w:qFormat/>
    <w:uiPriority w:val="0"/>
  </w:style>
  <w:style w:type="character" w:customStyle="1" w:styleId="142">
    <w:name w:val="contractReviewCommentRevision_81976d17d298449ea3f2d88ded2996ea"/>
    <w:basedOn w:val="32"/>
    <w:qFormat/>
    <w:uiPriority w:val="0"/>
  </w:style>
  <w:style w:type="character" w:customStyle="1" w:styleId="143">
    <w:name w:val="alpha_contract_review_append_comment_81976d17d298449ea3f2d88ded2996ea"/>
    <w:basedOn w:val="32"/>
    <w:qFormat/>
    <w:uiPriority w:val="0"/>
  </w:style>
  <w:style w:type="character" w:customStyle="1" w:styleId="144">
    <w:name w:val="alpha_contract_review_append_comment_fcb36d9180cf4dab8f79c694a8822dd5"/>
    <w:basedOn w:val="32"/>
    <w:qFormat/>
    <w:uiPriority w:val="0"/>
  </w:style>
  <w:style w:type="character" w:customStyle="1" w:styleId="145">
    <w:name w:val="contractReviewCommentRevision_6614b02df14d49aea5e8a1cdbe3f9217"/>
    <w:basedOn w:val="32"/>
    <w:qFormat/>
    <w:uiPriority w:val="0"/>
  </w:style>
  <w:style w:type="character" w:customStyle="1" w:styleId="146">
    <w:name w:val="alpha_contract_review_append_comment_6614b02df14d49aea5e8a1cdbe3f9217"/>
    <w:basedOn w:val="32"/>
    <w:qFormat/>
    <w:uiPriority w:val="0"/>
  </w:style>
  <w:style w:type="character" w:customStyle="1" w:styleId="147">
    <w:name w:val="alpha_contract_review_append_comment_ac5605536e044b34b0fb641b6a37cfe3"/>
    <w:basedOn w:val="32"/>
    <w:qFormat/>
    <w:uiPriority w:val="0"/>
  </w:style>
  <w:style w:type="character" w:customStyle="1" w:styleId="148">
    <w:name w:val="contractReviewCommentRevision_3a7ea64764e449be9ad11307f87bbd0a"/>
    <w:basedOn w:val="32"/>
    <w:qFormat/>
    <w:uiPriority w:val="0"/>
  </w:style>
  <w:style w:type="character" w:customStyle="1" w:styleId="149">
    <w:name w:val="alpha_contract_review_append_comment_3a7ea64764e449be9ad11307f87bbd0a"/>
    <w:basedOn w:val="32"/>
    <w:qFormat/>
    <w:uiPriority w:val="0"/>
  </w:style>
  <w:style w:type="character" w:customStyle="1" w:styleId="150">
    <w:name w:val="contractReviewCommentRevision_edebbc8d11d347a4b3c4f1c343ef0c6c"/>
    <w:basedOn w:val="32"/>
    <w:qFormat/>
    <w:uiPriority w:val="0"/>
  </w:style>
  <w:style w:type="character" w:customStyle="1" w:styleId="151">
    <w:name w:val="alpha_contract_review_append_comment_edebbc8d11d347a4b3c4f1c343ef0c6c"/>
    <w:basedOn w:val="32"/>
    <w:qFormat/>
    <w:uiPriority w:val="0"/>
  </w:style>
  <w:style w:type="character" w:customStyle="1" w:styleId="152">
    <w:name w:val="alpha_contract_review_append_comment_c4584c90d87840c8a4d8efd884f8ab8d"/>
    <w:basedOn w:val="32"/>
    <w:qFormat/>
    <w:uiPriority w:val="0"/>
  </w:style>
  <w:style w:type="character" w:customStyle="1" w:styleId="153">
    <w:name w:val="contractReviewCommentRevision_3322d975d30646868ea5a9dfe0a6c461"/>
    <w:basedOn w:val="32"/>
    <w:qFormat/>
    <w:uiPriority w:val="0"/>
  </w:style>
  <w:style w:type="character" w:customStyle="1" w:styleId="154">
    <w:name w:val="alpha_contract_review_append_comment_3322d975d30646868ea5a9dfe0a6c461"/>
    <w:basedOn w:val="32"/>
    <w:qFormat/>
    <w:uiPriority w:val="0"/>
  </w:style>
  <w:style w:type="character" w:customStyle="1" w:styleId="155">
    <w:name w:val="contractReviewCommentRevision_f3f7618b73aa43aaa95cb918424a4b77"/>
    <w:basedOn w:val="32"/>
    <w:qFormat/>
    <w:uiPriority w:val="0"/>
  </w:style>
  <w:style w:type="character" w:customStyle="1" w:styleId="156">
    <w:name w:val="alpha_contract_review_append_comment_f3f7618b73aa43aaa95cb918424a4b77"/>
    <w:basedOn w:val="32"/>
    <w:qFormat/>
    <w:uiPriority w:val="0"/>
  </w:style>
  <w:style w:type="character" w:customStyle="1" w:styleId="157">
    <w:name w:val="contractReviewCommentRevision_644777e8e6f24f9486129f474da9c6f4"/>
    <w:basedOn w:val="32"/>
    <w:qFormat/>
    <w:uiPriority w:val="0"/>
  </w:style>
  <w:style w:type="character" w:customStyle="1" w:styleId="158">
    <w:name w:val="alpha_contract_review_append_comment_644777e8e6f24f9486129f474da9c6f4"/>
    <w:basedOn w:val="32"/>
    <w:qFormat/>
    <w:uiPriority w:val="0"/>
  </w:style>
  <w:style w:type="character" w:customStyle="1" w:styleId="159">
    <w:name w:val="contractReviewCommentRevision_779a681387e64179b97748e4ffd34ace"/>
    <w:basedOn w:val="32"/>
    <w:qFormat/>
    <w:uiPriority w:val="0"/>
  </w:style>
  <w:style w:type="character" w:customStyle="1" w:styleId="160">
    <w:name w:val="alpha_contract_review_append_comment_779a681387e64179b97748e4ffd34ace"/>
    <w:basedOn w:val="32"/>
    <w:qFormat/>
    <w:uiPriority w:val="0"/>
  </w:style>
  <w:style w:type="character" w:customStyle="1" w:styleId="161">
    <w:name w:val="contractReviewCommentRevision_88d47cba411644c6aa8b4ebda36bd8dd"/>
    <w:basedOn w:val="32"/>
    <w:qFormat/>
    <w:uiPriority w:val="0"/>
  </w:style>
  <w:style w:type="character" w:customStyle="1" w:styleId="162">
    <w:name w:val="alpha_contract_review_append_comment_88d47cba411644c6aa8b4ebda36bd8dd"/>
    <w:basedOn w:val="32"/>
    <w:qFormat/>
    <w:uiPriority w:val="0"/>
  </w:style>
  <w:style w:type="character" w:customStyle="1" w:styleId="163">
    <w:name w:val="contractReviewCommentRevision_71e5a382c6ca48688c0e8491a9e72f38"/>
    <w:basedOn w:val="32"/>
    <w:qFormat/>
    <w:uiPriority w:val="0"/>
  </w:style>
  <w:style w:type="character" w:customStyle="1" w:styleId="164">
    <w:name w:val="alpha_contract_review_append_comment_71e5a382c6ca48688c0e8491a9e72f38"/>
    <w:basedOn w:val="32"/>
    <w:qFormat/>
    <w:uiPriority w:val="0"/>
  </w:style>
  <w:style w:type="character" w:customStyle="1" w:styleId="165">
    <w:name w:val="contractReviewCommentRevision_5d234ad645494ce0bd07711e8bbac2b9"/>
    <w:basedOn w:val="32"/>
    <w:qFormat/>
    <w:uiPriority w:val="0"/>
  </w:style>
  <w:style w:type="character" w:customStyle="1" w:styleId="166">
    <w:name w:val="alpha_contract_review_append_comment_5d234ad645494ce0bd07711e8bbac2b9"/>
    <w:basedOn w:val="32"/>
    <w:qFormat/>
    <w:uiPriority w:val="0"/>
  </w:style>
  <w:style w:type="character" w:customStyle="1" w:styleId="167">
    <w:name w:val="alpha_contract_review_append_comment_dc9479a6dd114f72ab4dfaaff35bfb77"/>
    <w:basedOn w:val="32"/>
    <w:qFormat/>
    <w:uiPriority w:val="0"/>
  </w:style>
  <w:style w:type="character" w:customStyle="1" w:styleId="168">
    <w:name w:val="contractReviewCommentRevision_e8f8837e25e8447289b5a33b1b39f2d2"/>
    <w:basedOn w:val="32"/>
    <w:qFormat/>
    <w:uiPriority w:val="0"/>
  </w:style>
  <w:style w:type="character" w:customStyle="1" w:styleId="169">
    <w:name w:val="alpha_contract_review_append_comment_e8f8837e25e8447289b5a33b1b39f2d2"/>
    <w:basedOn w:val="32"/>
    <w:qFormat/>
    <w:uiPriority w:val="0"/>
  </w:style>
  <w:style w:type="character" w:customStyle="1" w:styleId="170">
    <w:name w:val="contractReviewCommentRevision_aac23afcb116475da6efa7968c53f6ad"/>
    <w:basedOn w:val="32"/>
    <w:qFormat/>
    <w:uiPriority w:val="0"/>
  </w:style>
  <w:style w:type="character" w:customStyle="1" w:styleId="171">
    <w:name w:val="alpha_contract_review_append_comment_aac23afcb116475da6efa7968c53f6ad"/>
    <w:basedOn w:val="32"/>
    <w:qFormat/>
    <w:uiPriority w:val="0"/>
  </w:style>
  <w:style w:type="character" w:customStyle="1" w:styleId="172">
    <w:name w:val="alpha_contract_review_append_comment_f8bb87109ffc4a379b6ec7d7fbaab2b9"/>
    <w:basedOn w:val="32"/>
    <w:qFormat/>
    <w:uiPriority w:val="0"/>
  </w:style>
  <w:style w:type="character" w:customStyle="1" w:styleId="173">
    <w:name w:val="contractReviewCommentRevision_d100b63740a84f9d9295e4639580f982"/>
    <w:basedOn w:val="32"/>
    <w:qFormat/>
    <w:uiPriority w:val="0"/>
  </w:style>
  <w:style w:type="character" w:customStyle="1" w:styleId="174">
    <w:name w:val="alpha_contract_review_append_comment_d100b63740a84f9d9295e4639580f982"/>
    <w:basedOn w:val="32"/>
    <w:qFormat/>
    <w:uiPriority w:val="0"/>
  </w:style>
  <w:style w:type="character" w:customStyle="1" w:styleId="175">
    <w:name w:val="contractReviewCommentRevision_92e608e51d124238a88462a332f900a6"/>
    <w:basedOn w:val="32"/>
    <w:qFormat/>
    <w:uiPriority w:val="0"/>
  </w:style>
  <w:style w:type="character" w:customStyle="1" w:styleId="176">
    <w:name w:val="alpha_contract_review_append_comment_92e608e51d124238a88462a332f900a6"/>
    <w:basedOn w:val="32"/>
    <w:qFormat/>
    <w:uiPriority w:val="0"/>
  </w:style>
  <w:style w:type="character" w:customStyle="1" w:styleId="177">
    <w:name w:val="contractReviewCommentRevision_4f9806a3766a428f95ed0417ab4ecd8b"/>
    <w:basedOn w:val="32"/>
    <w:qFormat/>
    <w:uiPriority w:val="0"/>
  </w:style>
  <w:style w:type="character" w:customStyle="1" w:styleId="178">
    <w:name w:val="alpha_contract_review_append_comment_4f9806a3766a428f95ed0417ab4ecd8b"/>
    <w:basedOn w:val="32"/>
    <w:qFormat/>
    <w:uiPriority w:val="0"/>
  </w:style>
  <w:style w:type="character" w:customStyle="1" w:styleId="179">
    <w:name w:val="contractReviewCommentRevision_220db4e19b6e4d7cb4edadb63ea218cc"/>
    <w:basedOn w:val="32"/>
    <w:qFormat/>
    <w:uiPriority w:val="0"/>
  </w:style>
  <w:style w:type="character" w:customStyle="1" w:styleId="180">
    <w:name w:val="alpha_contract_review_append_comment_220db4e19b6e4d7cb4edadb63ea218cc"/>
    <w:basedOn w:val="32"/>
    <w:qFormat/>
    <w:uiPriority w:val="0"/>
  </w:style>
  <w:style w:type="character" w:customStyle="1" w:styleId="181">
    <w:name w:val="alpha_contract_review_append_comment_0d3c29c0ace74707925d75f7f8880aa1"/>
    <w:basedOn w:val="32"/>
    <w:qFormat/>
    <w:uiPriority w:val="0"/>
  </w:style>
  <w:style w:type="character" w:customStyle="1" w:styleId="182">
    <w:name w:val="contractReviewCommentRevision_d38b7aef4bb14619a8ce44876a0c859e"/>
    <w:basedOn w:val="32"/>
    <w:qFormat/>
    <w:uiPriority w:val="0"/>
  </w:style>
  <w:style w:type="character" w:customStyle="1" w:styleId="183">
    <w:name w:val="alpha_contract_review_append_comment_d38b7aef4bb14619a8ce44876a0c859e"/>
    <w:basedOn w:val="32"/>
    <w:qFormat/>
    <w:uiPriority w:val="0"/>
  </w:style>
  <w:style w:type="character" w:customStyle="1" w:styleId="184">
    <w:name w:val="contractReviewCommentRevision_e08f7b96b9bd4bb8b965acbde9058f90"/>
    <w:basedOn w:val="32"/>
    <w:qFormat/>
    <w:uiPriority w:val="0"/>
  </w:style>
  <w:style w:type="character" w:customStyle="1" w:styleId="185">
    <w:name w:val="alpha_contract_review_append_comment_e08f7b96b9bd4bb8b965acbde9058f90"/>
    <w:basedOn w:val="32"/>
    <w:qFormat/>
    <w:uiPriority w:val="0"/>
  </w:style>
  <w:style w:type="character" w:customStyle="1" w:styleId="186">
    <w:name w:val="alpha_contract_review_append_comment_bf3ad21e3f824fa6a3eef28394c6f45f"/>
    <w:basedOn w:val="32"/>
    <w:qFormat/>
    <w:uiPriority w:val="0"/>
  </w:style>
  <w:style w:type="character" w:customStyle="1" w:styleId="187">
    <w:name w:val="contractReviewCommentRevision_3538e8ae99624b9d897da7985e3e3ed9"/>
    <w:basedOn w:val="32"/>
    <w:qFormat/>
    <w:uiPriority w:val="0"/>
  </w:style>
  <w:style w:type="character" w:customStyle="1" w:styleId="188">
    <w:name w:val="alpha_contract_review_append_comment_3538e8ae99624b9d897da7985e3e3ed9"/>
    <w:basedOn w:val="32"/>
    <w:qFormat/>
    <w:uiPriority w:val="0"/>
  </w:style>
  <w:style w:type="character" w:customStyle="1" w:styleId="189">
    <w:name w:val="contractReviewCommentRevision_f4305562f12c40b68f454e1d87e687dd"/>
    <w:basedOn w:val="32"/>
    <w:qFormat/>
    <w:uiPriority w:val="0"/>
  </w:style>
  <w:style w:type="character" w:customStyle="1" w:styleId="190">
    <w:name w:val="alpha_contract_review_append_comment_f4305562f12c40b68f454e1d87e687dd"/>
    <w:basedOn w:val="32"/>
    <w:qFormat/>
    <w:uiPriority w:val="0"/>
  </w:style>
  <w:style w:type="character" w:customStyle="1" w:styleId="191">
    <w:name w:val="alpha_contract_review_append_comment_4701bcc2e18c46b0898884eade5e8f06"/>
    <w:basedOn w:val="3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10119</Words>
  <Characters>10673</Characters>
  <Lines>209</Lines>
  <Paragraphs>59</Paragraphs>
  <TotalTime>12</TotalTime>
  <ScaleCrop>false</ScaleCrop>
  <LinksUpToDate>false</LinksUpToDate>
  <CharactersWithSpaces>10911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2024-09-11T09:31:00Z</dcterms:created>
  <dc:creator>User</dc:creator>
  <cp:lastModifiedBy>流浪海南</cp:lastModifiedBy>
  <cp:lastPrinted>2025-07-03T03:21:00Z</cp:lastPrinted>
  <dcterms:modified xsi:type="dcterms:W3CDTF">2025-07-21T07:32:59Z</dcterms:modified>
  <dc:title>南通市Ⅹ项目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309618F6F5744A2B8C0A96A4DAD3FABC_13</vt:lpwstr>
  </property>
  <property fmtid="{D5CDD505-2E9C-101B-9397-08002B2CF9AE}" pid="4" name="KSOTemplateDocerSaveRecord">
    <vt:lpwstr>eyJoZGlkIjoiY2Q1MWYyZTY5NGU2NzdkMWM1NjNkNjJiNjk2YmQwNzEiLCJ1c2VySWQiOiI0NTUyNTUxNjEifQ==</vt:lpwstr>
  </property>
</Properties>
</file>