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CBB37">
      <w:pPr>
        <w:pStyle w:val="6"/>
        <w:widowControl/>
        <w:shd w:val="clear" w:color="auto" w:fill="FFFFFF"/>
        <w:spacing w:beforeAutospacing="0" w:afterAutospacing="0" w:line="430" w:lineRule="exact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启东中学新校区非机动车充电桩采购项目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市场询价公告</w:t>
      </w:r>
    </w:p>
    <w:p w14:paraId="29470280">
      <w:pPr>
        <w:pStyle w:val="7"/>
      </w:pPr>
    </w:p>
    <w:p w14:paraId="250602D8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江苏大雅置业有限公司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的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启东中学新校区非机动车充电桩采购项目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即将实施，现就本项目进行市场询价调研。</w:t>
      </w:r>
    </w:p>
    <w:p w14:paraId="34B81D96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一、采购内容及要求</w:t>
      </w:r>
    </w:p>
    <w:p w14:paraId="3E4CD59F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详见附件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一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。</w:t>
      </w:r>
    </w:p>
    <w:p w14:paraId="2F7F35E4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二、询价约定事项：</w:t>
      </w:r>
    </w:p>
    <w:p w14:paraId="1650BF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73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1.报价费用说明：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本项目采用全费用综合单价报价方式，报价包括但不限于全部设备（含辅材、零部件）、备品备件、包装、运输、装卸、安装（地面修复至原样、垃圾清运等）、调试、培训、质保售后、税金、利润等本项目所有可能涉及的所有费用。请各供应商在报价时充分考虑各种因素，投标单价在项目实施期间，不因市场价格波动和其他各种风险因素影响而变动，最终按实际安装数量结算。</w:t>
      </w:r>
    </w:p>
    <w:p w14:paraId="474A3F6B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2.质保要求：项目要求整体质保叁年，本项目所有货物必须提供叁年上门服务及全免费质保等售后服务，若原厂质保期高于供应商承诺质保期的，按原厂质保期计算。</w:t>
      </w:r>
    </w:p>
    <w:p w14:paraId="40BD9792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3.售后服务要求：在质保期内，成交供应商应免费维修所有设备。在免费质保期内，供方在接到用户单位电话通知后，须在5小时之内上门服务，一般问题24小时内解决，最长不超过48小时解决问题。质保期内，同一商品、同一质量问题连续二次维修仍无法正常使用，供方须无条件给予更换零部件或退货。</w:t>
      </w:r>
    </w:p>
    <w:p w14:paraId="267772DB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4.供货与安装周期：接采购单位的书面通知后30日内完成供货、安装、调试并经采购单位验收合格。</w:t>
      </w:r>
    </w:p>
    <w:p w14:paraId="544462C2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.市场询价报价单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和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营业执照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等材料（加盖报价单位公章）后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于202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hd w:val="clear" w:color="auto" w:fill="FFFFFF"/>
        </w:rPr>
        <w:t>日17: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0前，送或寄（以邮戳为准）至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启东市汇龙镇万豪花园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29幢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，或以PDF格式文件通过电子邮件方式发送到邮箱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fgyjszx@163.com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，联系人：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徐慧慧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，联系电话：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0513-83357789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。</w:t>
      </w:r>
    </w:p>
    <w:p w14:paraId="6FE77161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.其他：（1）请报价单位认真核算、如实报价，如发现虚假报价的，该单位今后将记入采购单位黑名单；（2）本次报价仅作为市场调研用，因此价格仅供参考；（3）本次调研询价不接收质疑函，只接收对本项目的建议。</w:t>
      </w:r>
    </w:p>
    <w:p w14:paraId="5C1BE12F">
      <w:pPr>
        <w:pStyle w:val="6"/>
        <w:widowControl/>
        <w:shd w:val="clear" w:color="auto" w:fill="FFFFFF"/>
        <w:spacing w:beforeAutospacing="0" w:afterAutospacing="0" w:line="430" w:lineRule="exact"/>
        <w:ind w:firstLine="3120" w:firstLineChars="1300"/>
        <w:rPr>
          <w:rFonts w:ascii="宋体" w:hAnsi="宋体" w:eastAsia="宋体" w:cs="宋体"/>
          <w:color w:val="333333"/>
          <w:shd w:val="clear" w:color="auto" w:fill="FFFFFF"/>
        </w:rPr>
      </w:pPr>
    </w:p>
    <w:p w14:paraId="36F35FCA">
      <w:pPr>
        <w:pStyle w:val="6"/>
        <w:widowControl/>
        <w:shd w:val="clear" w:color="auto" w:fill="FFFFFF"/>
        <w:spacing w:beforeAutospacing="0" w:afterAutospacing="0" w:line="430" w:lineRule="exact"/>
        <w:ind w:firstLine="4560" w:firstLineChars="1900"/>
        <w:jc w:val="right"/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江苏大雅置业有限公司</w:t>
      </w:r>
    </w:p>
    <w:p w14:paraId="795567E9">
      <w:pPr>
        <w:pStyle w:val="6"/>
        <w:widowControl/>
        <w:shd w:val="clear" w:color="auto" w:fill="FFFFFF"/>
        <w:spacing w:beforeAutospacing="0" w:afterAutospacing="0" w:line="430" w:lineRule="exact"/>
        <w:ind w:left="3780" w:leftChars="1800" w:firstLine="1920" w:firstLineChars="800"/>
        <w:jc w:val="right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18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日</w:t>
      </w:r>
    </w:p>
    <w:p w14:paraId="311AF2C2">
      <w:pPr>
        <w:spacing w:line="450" w:lineRule="exact"/>
        <w:rPr>
          <w:rFonts w:ascii="宋体" w:hAnsi="宋体" w:eastAsia="宋体" w:cs="宋体"/>
          <w:sz w:val="24"/>
        </w:rPr>
      </w:pPr>
    </w:p>
    <w:p w14:paraId="11853DD2">
      <w:pPr>
        <w:spacing w:line="450" w:lineRule="exact"/>
        <w:rPr>
          <w:rFonts w:ascii="宋体" w:hAnsi="宋体" w:eastAsia="宋体" w:cs="宋体"/>
        </w:rPr>
      </w:pPr>
    </w:p>
    <w:p w14:paraId="4DF4341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716393A6">
      <w:pPr>
        <w:spacing w:line="45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附件一：</w:t>
      </w:r>
    </w:p>
    <w:p w14:paraId="7E0A80CE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启东中学新校区非机动车充电桩采购项目</w:t>
      </w:r>
    </w:p>
    <w:p w14:paraId="41074635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市场询价报价单</w:t>
      </w:r>
    </w:p>
    <w:p w14:paraId="7AD36EFE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9"/>
        <w:tblpPr w:leftFromText="180" w:rightFromText="180" w:vertAnchor="text" w:horzAnchor="page" w:tblpX="959" w:tblpY="222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60"/>
        <w:gridCol w:w="2708"/>
        <w:gridCol w:w="880"/>
        <w:gridCol w:w="1194"/>
        <w:gridCol w:w="1551"/>
        <w:gridCol w:w="1054"/>
        <w:gridCol w:w="1291"/>
      </w:tblGrid>
      <w:tr w14:paraId="5F32D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FDE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EB0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945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参数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26C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88B8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3C7BF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全费用综合单价（元）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25F5A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合价（元）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8D90E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品牌</w:t>
            </w:r>
          </w:p>
        </w:tc>
      </w:tr>
      <w:tr w14:paraId="112D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9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20F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电缆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115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WDZ-YJY-5x10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AA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0A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ED1C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4F52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32D24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1BE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AED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B27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电缆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27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WDZ-YJY-3x4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C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FE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148.1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B7E3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A3F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41BF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11F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CE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39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电缆头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688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WDZ-YJY-5x10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电缆头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62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A6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7EDE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E46D0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CF1E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430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23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30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电缆头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8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WDZ-YJY-3x4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电缆头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893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13F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BBF8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4508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A94D5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F3D5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4B9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70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配线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87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WDZ-BYJ-2.5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AC5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80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592.4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2058D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382E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2ED9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26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75E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BF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配电箱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7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WAP-CD1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含限流式电气防火保护器、基础及配套箱内元器件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）户外型,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  <w:lang w:val="en-US" w:eastAsia="zh-CN"/>
              </w:rPr>
              <w:t>304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不锈钢箱体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防水等级IP65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63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220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925D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15099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23E4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62F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F247C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D00F5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电动车智能充电装置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C0C6B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4.3寸段式液晶屏，可立柱、挂壁式安装，可同时充10辆电瓶车。</w:t>
            </w:r>
          </w:p>
          <w:p w14:paraId="1A1C731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输入/输出电压 ：AC220V/50HZ</w:t>
            </w:r>
          </w:p>
          <w:p w14:paraId="0E530C3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输出端口数：10</w:t>
            </w:r>
          </w:p>
          <w:p w14:paraId="4696310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输入电流 ：25A</w:t>
            </w:r>
          </w:p>
          <w:p w14:paraId="0D38C1C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额定输出功率:4400W</w:t>
            </w:r>
          </w:p>
          <w:p w14:paraId="2933D95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待机功率:3W</w:t>
            </w:r>
          </w:p>
          <w:p w14:paraId="4739690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防护等级:IP65</w:t>
            </w:r>
          </w:p>
          <w:p w14:paraId="2FFF476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支付方式:刷卡/扫码（微信/支付宝/翼支付）</w:t>
            </w:r>
          </w:p>
          <w:p w14:paraId="1F2E394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产品材质：ABS+PC，注塑一体成型</w:t>
            </w:r>
          </w:p>
          <w:p w14:paraId="378994DE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其他：限流防火保护功能过载保护、短路保护、漏电保护(30mA，瞬动)、充满自动断电、定时断电、充电故障报警及自动断电、功率监测、高温报警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40D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CD3A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0E2B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921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1B0F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FC7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F22F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AB3170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电动自行车充电插座cd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0BAD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安全型防护插座,10A,IP65,随充电设备支架安装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CB79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77528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E9EF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3076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F5D5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37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63F0E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9BF21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配管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A343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RC50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9D1A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m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C99F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0EE8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B925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0B31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49D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2B33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053DE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配管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5414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RC40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2515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43CD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3638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E616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34CA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074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DDA2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A886A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配管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189C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RC25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73E1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7DC9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98E4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9DDEF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1497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626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C36D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B0657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配管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DE28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RC20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FFA4C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3E2E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12.5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B5C7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06A5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ABA5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258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1CF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D86C9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线槽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22707E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MR-75x50 阻燃等级B1级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1E2E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9189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8F89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F417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AC4C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08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C1E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BD1E9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其他零星项目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215E7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挖填土、支架、埋地管道防腐、电气火灾报警线路等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FDB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A3054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2C79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B664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95F7B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8F0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C32B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1304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手提式干粉灭火器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86A66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5Kg磷酸氨盐干粉灭火器MF/ABC5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9B8C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4ACE5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4749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BEA9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30E5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10A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F57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E128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手提式干粉灭火器箱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8F05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灭火器箱（可放置2个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MF/ABC5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灭火器）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760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FD7A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C6C8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8DA7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AA4E6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D120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1C755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合计：大写：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；小写：                        元。</w:t>
            </w:r>
          </w:p>
        </w:tc>
      </w:tr>
      <w:tr w14:paraId="37A0A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7185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所有报价小数点后最多保留二位有效数字（四舍五入），含   %增值税专用发票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。</w:t>
            </w:r>
          </w:p>
        </w:tc>
      </w:tr>
      <w:tr w14:paraId="001BE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A81797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参考品牌：</w:t>
            </w:r>
          </w:p>
          <w:p w14:paraId="49B40D1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电线电缆：远东、江南、上上、无锡黄浦、宝胜科技（宝胜）；</w:t>
            </w:r>
          </w:p>
          <w:p w14:paraId="2A6B9DF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配电箱：正泰，德力西，上科，上海人民电器、南通美通（统美）；箱内主要元器件：正泰、德力西、上海人民电气（上海上联）、施耐德、ABB、欧普；</w:t>
            </w:r>
          </w:p>
          <w:p w14:paraId="4D9520C5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3、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配管：江苏国强、天津友发、上海劳动、唐山正元</w:t>
            </w:r>
          </w:p>
        </w:tc>
      </w:tr>
    </w:tbl>
    <w:p w14:paraId="19F2D83A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报价单位（盖章）：           </w:t>
      </w:r>
    </w:p>
    <w:p w14:paraId="76D58EE2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联系人：        </w:t>
      </w:r>
    </w:p>
    <w:p w14:paraId="5C336A4B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联系电话：</w:t>
      </w:r>
    </w:p>
    <w:p w14:paraId="25C83CBF">
      <w:pPr>
        <w:spacing w:line="220" w:lineRule="atLeast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Theme="majorEastAsia" w:hAnsiTheme="majorEastAsia" w:eastAsiaTheme="majorEastAsia"/>
          <w:sz w:val="28"/>
          <w:szCs w:val="28"/>
        </w:rPr>
        <w:t>日期：</w:t>
      </w:r>
    </w:p>
    <w:sectPr>
      <w:footerReference r:id="rId3" w:type="default"/>
      <w:pgSz w:w="11906" w:h="16838"/>
      <w:pgMar w:top="1440" w:right="991" w:bottom="993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20E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88F65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8F65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WVlNjA5ZjBkM2MwZDZmYTRhZGQ3MTU0NWM5MWYifQ=="/>
  </w:docVars>
  <w:rsids>
    <w:rsidRoot w:val="00C735D2"/>
    <w:rsid w:val="00021FDC"/>
    <w:rsid w:val="000378DC"/>
    <w:rsid w:val="000503AC"/>
    <w:rsid w:val="00051FCB"/>
    <w:rsid w:val="000545B1"/>
    <w:rsid w:val="000768C6"/>
    <w:rsid w:val="00094830"/>
    <w:rsid w:val="000A6DE0"/>
    <w:rsid w:val="001212D0"/>
    <w:rsid w:val="001509EE"/>
    <w:rsid w:val="00166A0E"/>
    <w:rsid w:val="001765D8"/>
    <w:rsid w:val="001A1E61"/>
    <w:rsid w:val="001B347F"/>
    <w:rsid w:val="001C1BDB"/>
    <w:rsid w:val="001D4569"/>
    <w:rsid w:val="001E1BBD"/>
    <w:rsid w:val="001F51D1"/>
    <w:rsid w:val="00214411"/>
    <w:rsid w:val="00220756"/>
    <w:rsid w:val="00232ED0"/>
    <w:rsid w:val="002906B8"/>
    <w:rsid w:val="002955C3"/>
    <w:rsid w:val="0029799C"/>
    <w:rsid w:val="002A2DCB"/>
    <w:rsid w:val="002D0616"/>
    <w:rsid w:val="002E4DF7"/>
    <w:rsid w:val="002F5FFC"/>
    <w:rsid w:val="003128C4"/>
    <w:rsid w:val="00313570"/>
    <w:rsid w:val="00386A0B"/>
    <w:rsid w:val="00391DD0"/>
    <w:rsid w:val="003933FF"/>
    <w:rsid w:val="003E6907"/>
    <w:rsid w:val="004073AE"/>
    <w:rsid w:val="004A259C"/>
    <w:rsid w:val="004B071F"/>
    <w:rsid w:val="004C5F85"/>
    <w:rsid w:val="004D6616"/>
    <w:rsid w:val="00514AE0"/>
    <w:rsid w:val="00583E44"/>
    <w:rsid w:val="00594784"/>
    <w:rsid w:val="005C3E61"/>
    <w:rsid w:val="005F3580"/>
    <w:rsid w:val="00635039"/>
    <w:rsid w:val="006520C4"/>
    <w:rsid w:val="0065277D"/>
    <w:rsid w:val="0067711E"/>
    <w:rsid w:val="0068338E"/>
    <w:rsid w:val="00693E73"/>
    <w:rsid w:val="006D4FA2"/>
    <w:rsid w:val="007229A7"/>
    <w:rsid w:val="00723712"/>
    <w:rsid w:val="007713DE"/>
    <w:rsid w:val="007A56EB"/>
    <w:rsid w:val="007F1834"/>
    <w:rsid w:val="007F7935"/>
    <w:rsid w:val="00815171"/>
    <w:rsid w:val="008631C2"/>
    <w:rsid w:val="008816F6"/>
    <w:rsid w:val="008978A5"/>
    <w:rsid w:val="008C6631"/>
    <w:rsid w:val="008D3829"/>
    <w:rsid w:val="008E59CD"/>
    <w:rsid w:val="008F3EF6"/>
    <w:rsid w:val="008F4DFC"/>
    <w:rsid w:val="00925A10"/>
    <w:rsid w:val="009446C6"/>
    <w:rsid w:val="009546B2"/>
    <w:rsid w:val="009836B0"/>
    <w:rsid w:val="00996048"/>
    <w:rsid w:val="009C5ACD"/>
    <w:rsid w:val="009C7481"/>
    <w:rsid w:val="00A050F5"/>
    <w:rsid w:val="00A14F55"/>
    <w:rsid w:val="00A20E08"/>
    <w:rsid w:val="00A477E6"/>
    <w:rsid w:val="00A90812"/>
    <w:rsid w:val="00AA0B82"/>
    <w:rsid w:val="00AA296C"/>
    <w:rsid w:val="00AA59D2"/>
    <w:rsid w:val="00AB23AE"/>
    <w:rsid w:val="00AB47AE"/>
    <w:rsid w:val="00AC75CC"/>
    <w:rsid w:val="00AD7912"/>
    <w:rsid w:val="00AD7D19"/>
    <w:rsid w:val="00B26B29"/>
    <w:rsid w:val="00B5252B"/>
    <w:rsid w:val="00B870F2"/>
    <w:rsid w:val="00C43252"/>
    <w:rsid w:val="00C735D2"/>
    <w:rsid w:val="00CA5B1E"/>
    <w:rsid w:val="00CB2BCB"/>
    <w:rsid w:val="00CD1779"/>
    <w:rsid w:val="00D11C3B"/>
    <w:rsid w:val="00D271F3"/>
    <w:rsid w:val="00D3705B"/>
    <w:rsid w:val="00D53648"/>
    <w:rsid w:val="00D751FA"/>
    <w:rsid w:val="00D8314F"/>
    <w:rsid w:val="00D9295E"/>
    <w:rsid w:val="00DA63FB"/>
    <w:rsid w:val="00E03E9C"/>
    <w:rsid w:val="00E31546"/>
    <w:rsid w:val="00E571F7"/>
    <w:rsid w:val="00E57836"/>
    <w:rsid w:val="00E607C8"/>
    <w:rsid w:val="00E738C1"/>
    <w:rsid w:val="00E966A9"/>
    <w:rsid w:val="00EA6066"/>
    <w:rsid w:val="00EC049E"/>
    <w:rsid w:val="00EE04B7"/>
    <w:rsid w:val="00EF214F"/>
    <w:rsid w:val="00F22852"/>
    <w:rsid w:val="00F26D77"/>
    <w:rsid w:val="00F30364"/>
    <w:rsid w:val="00F47BF2"/>
    <w:rsid w:val="00F55023"/>
    <w:rsid w:val="00F74614"/>
    <w:rsid w:val="00F81887"/>
    <w:rsid w:val="00F84CE3"/>
    <w:rsid w:val="00FD0D54"/>
    <w:rsid w:val="00FD6960"/>
    <w:rsid w:val="00FF4551"/>
    <w:rsid w:val="048851AE"/>
    <w:rsid w:val="05921217"/>
    <w:rsid w:val="06AF2C81"/>
    <w:rsid w:val="0E374416"/>
    <w:rsid w:val="101C3B92"/>
    <w:rsid w:val="115232CF"/>
    <w:rsid w:val="12A63806"/>
    <w:rsid w:val="15BD4ED6"/>
    <w:rsid w:val="18DF023A"/>
    <w:rsid w:val="196D36E7"/>
    <w:rsid w:val="1E0C276D"/>
    <w:rsid w:val="1E384531"/>
    <w:rsid w:val="21F00AD9"/>
    <w:rsid w:val="276F6717"/>
    <w:rsid w:val="277C392C"/>
    <w:rsid w:val="2AED4ACE"/>
    <w:rsid w:val="2DD65C89"/>
    <w:rsid w:val="310A5C20"/>
    <w:rsid w:val="345B40F9"/>
    <w:rsid w:val="34F3660C"/>
    <w:rsid w:val="367A457A"/>
    <w:rsid w:val="4F0876EB"/>
    <w:rsid w:val="5248373C"/>
    <w:rsid w:val="52FC1CAF"/>
    <w:rsid w:val="58F76333"/>
    <w:rsid w:val="5A3C3428"/>
    <w:rsid w:val="5BF30E42"/>
    <w:rsid w:val="5C0B58A6"/>
    <w:rsid w:val="5C7110F5"/>
    <w:rsid w:val="5C997B0E"/>
    <w:rsid w:val="61A347AE"/>
    <w:rsid w:val="61AC19DF"/>
    <w:rsid w:val="63ED6FCB"/>
    <w:rsid w:val="67400FBC"/>
    <w:rsid w:val="71325CF4"/>
    <w:rsid w:val="720065EF"/>
    <w:rsid w:val="73A85679"/>
    <w:rsid w:val="73C81A6A"/>
    <w:rsid w:val="754B38E1"/>
    <w:rsid w:val="75C874D5"/>
    <w:rsid w:val="77E83622"/>
    <w:rsid w:val="7C433E60"/>
    <w:rsid w:val="7CD56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next w:val="7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*正文"/>
    <w:basedOn w:val="1"/>
    <w:qFormat/>
    <w:uiPriority w:val="0"/>
    <w:rPr>
      <w:rFonts w:ascii="宋体" w:hAnsi="宋体"/>
      <w:kern w:val="0"/>
    </w:rPr>
  </w:style>
  <w:style w:type="paragraph" w:styleId="8">
    <w:name w:val="Body Text First Indent"/>
    <w:basedOn w:val="2"/>
    <w:link w:val="14"/>
    <w:qFormat/>
    <w:uiPriority w:val="0"/>
    <w:pPr>
      <w:ind w:firstLine="420" w:firstLineChars="100"/>
    </w:pPr>
    <w:rPr>
      <w:rFonts w:asciiTheme="minorHAnsi" w:hAnsiTheme="minorHAnsi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No Spacing"/>
    <w:qFormat/>
    <w:uiPriority w:val="1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3">
    <w:name w:val="正文文本 Char"/>
    <w:basedOn w:val="11"/>
    <w:link w:val="2"/>
    <w:qFormat/>
    <w:uiPriority w:val="0"/>
    <w:rPr>
      <w:rFonts w:eastAsiaTheme="minorEastAsia" w:cstheme="minorBidi"/>
      <w:kern w:val="2"/>
      <w:sz w:val="21"/>
    </w:rPr>
  </w:style>
  <w:style w:type="character" w:customStyle="1" w:styleId="14">
    <w:name w:val="正文首行缩进 Char"/>
    <w:basedOn w:val="13"/>
    <w:link w:val="8"/>
    <w:qFormat/>
    <w:uiPriority w:val="0"/>
  </w:style>
  <w:style w:type="character" w:customStyle="1" w:styleId="15">
    <w:name w:val="批注框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1397</Words>
  <Characters>1617</Characters>
  <Lines>2</Lines>
  <Paragraphs>4</Paragraphs>
  <TotalTime>0</TotalTime>
  <ScaleCrop>false</ScaleCrop>
  <LinksUpToDate>false</LinksUpToDate>
  <CharactersWithSpaces>1705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2023-05-17T06:56:00Z</dcterms:created>
  <dc:creator>Administrator</dc:creator>
  <cp:lastModifiedBy>钱玲</cp:lastModifiedBy>
  <dcterms:modified xsi:type="dcterms:W3CDTF">2026-05-17T05:51:43Z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20AF527934F7404B8B8C294206853AC2_13</vt:lpwstr>
  </property>
  <property fmtid="{D5CDD505-2E9C-101B-9397-08002B2CF9AE}" pid="4" name="KSOTemplateDocerSaveRecord">
    <vt:lpwstr>eyJoZGlkIjoiY2Q0NGE5YTE1MjdkNDdjNzA4ZjcwMzQ5ZTViMmJmOTEiLCJ1c2VySWQiOiIzMDY1NTYwNTMifQ==</vt:lpwstr>
  </property>
</Properties>
</file>