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57" w:rightChars="-27"/>
        <w:jc w:val="center"/>
        <w:textAlignment w:val="auto"/>
        <w:rPr>
          <w:rFonts w:hint="eastAsia" w:ascii="宋体" w:hAnsi="宋体" w:eastAsia="宋体"/>
          <w:b/>
          <w:sz w:val="32"/>
          <w:szCs w:val="32"/>
          <w:shd w:val="clear" w:color="auto" w:fill="FFFFFF"/>
        </w:rPr>
      </w:pPr>
      <w:r>
        <w:rPr>
          <w:rFonts w:hint="eastAsia" w:ascii="宋体" w:hAnsi="宋体" w:eastAsia="宋体"/>
          <w:b/>
          <w:sz w:val="32"/>
          <w:szCs w:val="32"/>
          <w:shd w:val="clear" w:color="auto" w:fill="FFFFFF"/>
        </w:rPr>
        <w:t>无人机侦测反制指挥车采购项目</w:t>
      </w:r>
    </w:p>
    <w:p>
      <w:pPr>
        <w:adjustRightInd w:val="0"/>
        <w:snapToGrid w:val="0"/>
        <w:spacing w:line="360" w:lineRule="auto"/>
        <w:ind w:right="-57" w:rightChars="-27"/>
        <w:jc w:val="center"/>
        <w:textAlignment w:val="auto"/>
        <w:rPr>
          <w:rFonts w:ascii="宋体" w:hAnsi="宋体" w:eastAsia="宋体"/>
          <w:b/>
          <w:sz w:val="32"/>
          <w:szCs w:val="32"/>
          <w:shd w:val="clear" w:color="auto" w:fill="FFFFFF"/>
        </w:rPr>
      </w:pPr>
      <w:r>
        <w:rPr>
          <w:rFonts w:hint="eastAsia" w:ascii="宋体" w:hAnsi="宋体" w:eastAsia="宋体"/>
          <w:b/>
          <w:sz w:val="32"/>
          <w:szCs w:val="32"/>
          <w:shd w:val="clear" w:color="auto" w:fill="FFFFFF"/>
        </w:rPr>
        <w:t>市场询价公告</w:t>
      </w:r>
    </w:p>
    <w:p>
      <w:pPr>
        <w:adjustRightInd w:val="0"/>
        <w:snapToGrid w:val="0"/>
        <w:spacing w:line="500" w:lineRule="exact"/>
        <w:ind w:right="-57" w:rightChars="-27" w:firstLine="566" w:firstLineChars="236"/>
        <w:jc w:val="left"/>
        <w:textAlignment w:val="auto"/>
        <w:rPr>
          <w:rStyle w:val="7"/>
          <w:rFonts w:hint="eastAsia" w:ascii="宋体" w:hAnsi="宋体" w:eastAsia="宋体" w:cs="仿宋"/>
          <w:kern w:val="0"/>
          <w:sz w:val="24"/>
          <w:szCs w:val="24"/>
        </w:rPr>
      </w:pPr>
      <w:r>
        <w:rPr>
          <w:rStyle w:val="7"/>
          <w:rFonts w:hint="eastAsia" w:ascii="宋体" w:hAnsi="宋体" w:eastAsia="宋体" w:cs="仿宋"/>
          <w:kern w:val="0"/>
          <w:sz w:val="24"/>
          <w:szCs w:val="24"/>
        </w:rPr>
        <w:t>无人机侦测反制指挥车采购项目即将实施，现就本项目服务采购需求进行市场询价调研。</w:t>
      </w:r>
    </w:p>
    <w:p>
      <w:pPr>
        <w:numPr>
          <w:ilvl w:val="0"/>
          <w:numId w:val="1"/>
        </w:numPr>
        <w:adjustRightInd w:val="0"/>
        <w:snapToGrid w:val="0"/>
        <w:spacing w:line="500" w:lineRule="exact"/>
        <w:ind w:right="-57" w:rightChars="-27" w:firstLine="550" w:firstLineChars="236"/>
        <w:jc w:val="left"/>
        <w:textAlignment w:val="auto"/>
        <w:rPr>
          <w:rFonts w:hint="eastAsia" w:ascii="宋体" w:hAnsi="宋体" w:cs="宋体"/>
          <w:b/>
          <w:spacing w:val="-4"/>
          <w:sz w:val="24"/>
          <w:szCs w:val="24"/>
        </w:rPr>
      </w:pPr>
      <w:r>
        <w:rPr>
          <w:rFonts w:hint="eastAsia" w:ascii="宋体" w:hAnsi="宋体" w:cs="宋体"/>
          <w:b/>
          <w:spacing w:val="-4"/>
          <w:sz w:val="24"/>
          <w:szCs w:val="24"/>
        </w:rPr>
        <w:t>项目需求：</w:t>
      </w:r>
    </w:p>
    <w:p>
      <w:pPr>
        <w:numPr>
          <w:ilvl w:val="0"/>
          <w:numId w:val="0"/>
        </w:numPr>
        <w:adjustRightInd w:val="0"/>
        <w:snapToGrid w:val="0"/>
        <w:spacing w:line="500" w:lineRule="exact"/>
        <w:ind w:right="-57" w:rightChars="-27"/>
        <w:jc w:val="center"/>
        <w:textAlignment w:val="auto"/>
        <w:rPr>
          <w:rFonts w:hint="default" w:ascii="宋体" w:hAnsi="宋体" w:eastAsia="宋体" w:cs="宋体"/>
          <w:b/>
          <w:spacing w:val="-4"/>
          <w:sz w:val="24"/>
          <w:szCs w:val="24"/>
          <w:lang w:val="en-US" w:eastAsia="zh-CN"/>
        </w:rPr>
      </w:pPr>
      <w:r>
        <w:rPr>
          <w:rFonts w:hint="eastAsia" w:ascii="宋体" w:hAnsi="宋体" w:cs="宋体"/>
          <w:b/>
          <w:spacing w:val="-4"/>
          <w:sz w:val="24"/>
          <w:szCs w:val="24"/>
          <w:lang w:val="en-US" w:eastAsia="zh-CN"/>
        </w:rPr>
        <w:t>采购需求一览表</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9"/>
        <w:gridCol w:w="950"/>
        <w:gridCol w:w="1171"/>
        <w:gridCol w:w="7640"/>
        <w:gridCol w:w="595"/>
        <w:gridCol w:w="2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15"/>
                <w:szCs w:val="15"/>
                <w:highlight w:val="none"/>
                <w:u w:val="none"/>
              </w:rPr>
            </w:pPr>
            <w:r>
              <w:rPr>
                <w:rFonts w:hint="eastAsia" w:asciiTheme="minorEastAsia" w:hAnsiTheme="minorEastAsia" w:eastAsiaTheme="minorEastAsia" w:cstheme="minorEastAsia"/>
                <w:b/>
                <w:bCs/>
                <w:i w:val="0"/>
                <w:iCs w:val="0"/>
                <w:color w:val="auto"/>
                <w:kern w:val="0"/>
                <w:sz w:val="15"/>
                <w:szCs w:val="15"/>
                <w:highlight w:val="none"/>
                <w:u w:val="none"/>
                <w:lang w:val="en-US" w:eastAsia="zh-CN" w:bidi="ar"/>
              </w:rPr>
              <w:t>序列</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15"/>
                <w:szCs w:val="15"/>
                <w:highlight w:val="none"/>
                <w:u w:val="none"/>
              </w:rPr>
            </w:pPr>
            <w:r>
              <w:rPr>
                <w:rFonts w:hint="eastAsia" w:asciiTheme="minorEastAsia" w:hAnsiTheme="minorEastAsia" w:eastAsiaTheme="minorEastAsia" w:cstheme="minorEastAsia"/>
                <w:b/>
                <w:bCs/>
                <w:i w:val="0"/>
                <w:iCs w:val="0"/>
                <w:color w:val="auto"/>
                <w:kern w:val="0"/>
                <w:sz w:val="15"/>
                <w:szCs w:val="15"/>
                <w:highlight w:val="none"/>
                <w:u w:val="none"/>
                <w:lang w:val="en-US" w:eastAsia="zh-CN" w:bidi="ar"/>
              </w:rPr>
              <w:t>系统类别</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15"/>
                <w:szCs w:val="15"/>
                <w:highlight w:val="none"/>
                <w:u w:val="none"/>
              </w:rPr>
            </w:pPr>
            <w:r>
              <w:rPr>
                <w:rFonts w:hint="eastAsia" w:asciiTheme="minorEastAsia" w:hAnsiTheme="minorEastAsia" w:eastAsiaTheme="minorEastAsia" w:cstheme="minorEastAsia"/>
                <w:b/>
                <w:bCs/>
                <w:i w:val="0"/>
                <w:iCs w:val="0"/>
                <w:color w:val="auto"/>
                <w:kern w:val="0"/>
                <w:sz w:val="15"/>
                <w:szCs w:val="15"/>
                <w:highlight w:val="none"/>
                <w:u w:val="none"/>
                <w:lang w:val="en-US" w:eastAsia="zh-CN" w:bidi="ar"/>
              </w:rPr>
              <w:t>名称</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15"/>
                <w:szCs w:val="15"/>
                <w:highlight w:val="none"/>
                <w:u w:val="none"/>
              </w:rPr>
            </w:pPr>
            <w:r>
              <w:rPr>
                <w:rFonts w:hint="eastAsia" w:asciiTheme="minorEastAsia" w:hAnsiTheme="minorEastAsia" w:eastAsiaTheme="minorEastAsia" w:cstheme="minorEastAsia"/>
                <w:b/>
                <w:bCs/>
                <w:i w:val="0"/>
                <w:iCs w:val="0"/>
                <w:color w:val="auto"/>
                <w:kern w:val="0"/>
                <w:sz w:val="15"/>
                <w:szCs w:val="15"/>
                <w:highlight w:val="none"/>
                <w:u w:val="none"/>
                <w:lang w:val="en-US" w:eastAsia="zh-CN" w:bidi="ar"/>
              </w:rPr>
              <w:t>技术规格/功能描述</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15"/>
                <w:szCs w:val="15"/>
                <w:highlight w:val="none"/>
                <w:u w:val="none"/>
              </w:rPr>
            </w:pPr>
            <w:r>
              <w:rPr>
                <w:rFonts w:hint="eastAsia" w:asciiTheme="minorEastAsia" w:hAnsiTheme="minorEastAsia" w:eastAsiaTheme="minorEastAsia" w:cstheme="minorEastAsia"/>
                <w:b/>
                <w:bCs/>
                <w:i w:val="0"/>
                <w:iCs w:val="0"/>
                <w:color w:val="auto"/>
                <w:kern w:val="0"/>
                <w:sz w:val="15"/>
                <w:szCs w:val="15"/>
                <w:highlight w:val="none"/>
                <w:u w:val="none"/>
                <w:lang w:val="en-US" w:eastAsia="zh-CN" w:bidi="ar"/>
              </w:rPr>
              <w:t>数量</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15"/>
                <w:szCs w:val="15"/>
                <w:highlight w:val="none"/>
                <w:u w:val="none"/>
              </w:rPr>
            </w:pPr>
            <w:r>
              <w:rPr>
                <w:rFonts w:hint="eastAsia" w:asciiTheme="minorEastAsia" w:hAnsiTheme="minorEastAsia" w:eastAsiaTheme="minorEastAsia" w:cstheme="minorEastAsia"/>
                <w:b/>
                <w:bCs/>
                <w:i w:val="0"/>
                <w:iCs w:val="0"/>
                <w:color w:val="auto"/>
                <w:kern w:val="0"/>
                <w:sz w:val="15"/>
                <w:szCs w:val="15"/>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汽车</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汽车</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柴油自动长轴高顶，2.3T，后双胎，外形尺寸：5998*2164*2775</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1辆</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侦测反制设备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侦测反制设备</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外观和机械结构：外观应整洁，表面应无锈蚀、霉斑、污渍、镀涂层剥落及明显的划痕、毛刺文字、符号、标志和各种显示应清晰;结构件与控制件应完整、无机械损伤。开关、按键、旋钮的操作应灵活可靠、无阻滞、零部件应紧固无松动，设备电源保险装置应放置正面板，使于更换。</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2、天线数量应≥12个</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3、天线安装方式：应能装配全向或定向干扰天线。</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4、探测频谱范围：设备支持探测300MHz-6000MHz内的无线信号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5、瞬时带宽：探测瞬时带宽应≥60MHz</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6、重点频段：设备应能探测识别重点工作频段为433MHz、840MHz、900MHz、915MHz、933MHz、1.2GHz、1.4GHz、2.4GHz、5.2GHz、5.8GHz的无人机信号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7、探测灵敏度：探测灵敏度≤-105dBm（2.4、5.8）</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8、探测定位距离：设备能探测并定位无人机的距离应≥5km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9、探测高度：1000m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10、探测时间：设备从启动探测至发现无人机所需的时间应≤5s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11、探测角度：水平方向：360°，俯仰方向：-90°-+90°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12、测向精度：设备对无人机的测向误差应≤5°（RMS）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13、定位精度：设备对无人机的定位误差应≤10m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14、高度精度：设备对无人机的飞行高度的定位误差应≤10m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15、飞手精度：设备探测到的经纬度坐标与飞手（遥控器）实际经纬度坐标的距离误差应≤10m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16、移动目标跟踪：能对飞行速度≥20m/s的无人机进行探测及定位，并能在电子地图上实时显示该无人机的飞行轨迹</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17、探测成功率：在无明显遮挡、无明显电磁干扰的条件下，探测成功率≥90%。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18、多目标识别功能：设备应能同时探测并识别无人机的数量应≥35架，应能探测并识别无人机遥控器的数量应不少于10个</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19、轨迹跟踪：能同时显示的无人机轨迹数量应≥10条；能同时显示的遥控器（飞手）轨迹数量应≥10条</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20、跳频目标跟踪：应能对跳频无人机进行跟踪定位，无人机切换工作频段后，应能识别为同一架无人机，并在电子地图上通过同一轨迹标识，能同时跟踪跳频目标的数量应≥10架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21、无源探测：设备应为无源探测，在探测状态下，不主动发射无线信号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22、定位方式：设备应能通过报文解析方式对无人机、遥控器（飞手）进行单站定位</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23、探测功能：应能探测显示无人机的工作频率、品牌型号、方位、距离、经纬度、飞行高度、飞行速度等信息，并能在电子地图上显示入侵角度，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瀑布图、标识图和飞行轨迹，应具有遥控器（飞手）探测定位功能，应能在定位列表显示遥控器（飞手）经纬度、距离、方位等信息，并能在电子地图上显示标识图标。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24、单站定位机型：应能对大疆（包括御2、御3、御Mini、御Pro、御Air2、Avata、FPV、Air3、Mini3、M300等型号）、道通、Parrot品牌的无人机进行单站定位</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25、精准识别：设备应能探测、识别、区分多架同品牌、同型号、同频段的不同架次无人机，并能分别显示各无人机的电子指纹ID</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26、同一无人机入侵识别功能:一定时间内，设备多次探测识别到同一架次无人机入侵时，应能自动融合为一条信息，对识别到的同一架无人机的多次入侵行为，设备应能自动整合该无人机的入侵信息，且多条记录中的无人机电子指纹ID应相同</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27、组网功能:设备应能与其他探测设备组网后通过AOA或TDOA方式对无人机进行探测定位</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28、记录存储:应能存储系统日志的时间应≥365天</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29、干扰功能:具有驱离和迫降反制功能，应能通过信号干扰方式干扰无人机的图传链路、飞控链路及导航信号，驱离无人机或使无人机迫降。设备应能对穿越机、DIY无人机进行干扰。</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30、干扰角度:设备的干扰角度应满足:水平方向:360°;俯仰方向:-90°~+90。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31、干扰成功率:在无明显遮挡、无明显电磁干扰的条件下，干扰成功率应≥99%。(干扰成功率=干扰成功次数/总干扰次数x100%)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32、精准打击功能:应能对指定无人机进行精准打击，使指定无人机返航，且应不影响干扰范围内同一型号、同一工作频段、同一方位其他无人机的正常飞行。</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33、诱骗距离:设备的诱骗距离应≤1000m。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34、诱骗角度:水平方向：0-360°，垂直方向：0-90°。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35、诱骗响应时间:在无明显遮挡、无明显电磁干扰的条件下，从启动诱骗至遥控器显示无人机导航卫星数量为0所需的时间应≤3s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36、诱骗功能:诱骗数量:设备应能同时诱骗的无人机数量≥10架。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37、诱骗模式:设备应可生成特定仿真卫星导航信号，控制无人机目标的定位坐标，对目标进行驱离、迫降。应具有迫降模式或驱离模式两种。</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38、诱骗机型:能对大疆御2、道通EVO Nano+、道通EVO MAX4T等型号的无人机进行诱骗。</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39、诱骗发射频段：GPS：1575.42MHz±1.023MHz；</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GLONASS：1602.0MHz+N*0.5625MHz+0.511MHz，N取-7~6之间的整数；</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设备应能通过后台配置手动开启或关闭任意导航信号发射。</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40、工作温度：为-20℃-+50℃。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41、防护等级：IP66。</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42、系统功能：易操作性 提供清晰、简洁、友好的中文人机交互界面，操作应简便、灵活、易学易用，便于管理和维护。</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43、电子地图：系统管理平台具备电子地图功能，应支持加载谷歌、高德地图，应能切换显示卫星地图、二维地图或3D模式地图，支持地图测距、测向功能，应能在电子地图上标识接入设备所在位置，并能查看经纬度信息。</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44、探测结果显示："应能显示探测到的无人机型号、频段、电子指纹ID（机身序列号）及设备工作状态（配合探测设备）。当探测设备具备定位功能时，系统管理平台应能显示探测到的无人机、飞手（遥控器）经纬度信息，</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45、并能生成二维码。手机扫描该二维码时，可跳转至第三方地图app（如高德地图）并在地图上显示该位置。"</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46、轨迹跟踪：当探测设备具备定位功能时，系统管理平台应能实时显示探测的无人机飞行轨迹，能一键清除飞行轨迹。</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47、区域防控：能通过系统管理平台在电子地图上圈定、框选或自定义多边形区域设置预警、防御范围。</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48、白（黑）名单功能:应能通过系统管理平台将探测设备探测到的无人机加入白名单，探测到白名单内的无人机应不触发系统报警提示。</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49、无线信号显示:能显示探测设备探测到的无线信号频谱图、频点和通信标准，能以图表的形式显示环境信号状态。</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50、频谱记录功能:能记录并保存探测设备探测到的无人机频谱信号。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51、语言设置:能设置系统语言，支持设置简体中文、英文、法文、俄文等语言。</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52、ADS-B显示:应能在电子地图上表示探测设备接收到的周边民航飞机飞行位置。</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53、无人机标注功能:应能探测到的无人机进行自定义信息备注。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54、机型库添加:能添加探测到的未知Wi-Fi无人机、遥控器到机型库。</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55、未知信号学习识别:具有未知无线信号学习识别能力，能对未知无线信号进行探测、学习及报警。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56、模拟训练:系统接入仿真无人机信号后，系统管理平台应能显示仿真目标的报警信息，且在无人值守模式下应能联动干扰设备发射干扰信号。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57、报警记录及回放：能记录探测到的无人机发现时间、持续时间、机型、电子指纹ID（机身序列号）、工作频段、飞行轨迹等信息，同时应能将报警记录存储至接入设备，并能进行查看、导出等操作。</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58、统计功能：能统计入侵无人机的品牌型号、统计并显示入侵无人机的架次、架数、入侵总时长、单次最长时长、每次平均时长等信息以及入侵无人机的事件趋势，能对定位到的无人机飞行轨迹记录进行回放，回放进度条可拖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59、在线升级：应能通过安装包实现系统管理平台升级。</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60、权限管理：应具有分级权限操作功能，不同账号的系统操作权限不同。</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远程控制：能通过系统管理平台远程查看已接入设备运行状态和探测结果信息，架设VPN服务器后，应能通过后台远程进行参数配置、设备升级、复位、状态查询等操作。</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侦测反制平台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侦测反制平台</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电子地图：系统管理平台具备电子地图功能，应支持加载谷歌、高德地图，应能切换显示卫星地图、二维地图或3D模式地图，支持地图测距、测向功能，应能在电子地图上标识接入设备所在位置，并能查看经纬度信息。</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探测结果显示：应能显示探测到的无人机型号、频段、电子指纹ID（机身序列号）及设备工作状态（配合探测设备）。当探测设备具备定位功能时，系统管理平台应能显示探测到的无人机、飞手（遥控器）经纬度信息，并能生成二维码。手机扫描该二维码时，可跳转至第三方地图app（如高德地图）并在地图上显示该位置。</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3.轨迹跟踪：当探测设备具备定位功能时，系统管理平台应能实时显示探测的无人机飞行轨迹，能一键清除飞行轨迹。</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4.区域防控：能通过系统管理平台在电子地图上圈定、框选或自定义多边形区域设置预警、防御范围。</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5.白（黑）名单功能：应能通过系统管理平台将探测设备探测到的无人机加入白名单，探测到白名单内的无人机应不触发系统报警提示。</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6.无线信号显示：能显示探测设备探测到的无线信号频谱图、频点和通信标准，能以图表的形式显示环境信号状态。</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7.频谱记录功能：能记录并保存探测设备探测到的无人机频谱信号。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8.语言设置：能设置系统语言，支持设置简体中文、英文、法文、俄文等语言。</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9.ADS-B显示：应能在电子地图上表示探测设备接收到的周边民航飞机飞行位置，信息刷新时间≤5s。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10.无人机标注功能：应能探测到的无人机进行自定义信息备注。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11.支持机型库：具有无人机机型库，库内应存有无人机特征信号，机型库内的品牌数量应≥50种，机型应≥190种，应包含以下无人机品牌机型：3DR Robotics、433M、4DRC、AEE、ANXIANGDONGLI、CFLY、DIY（含图传及数传）、DRONE、E SKY、Ehang、FEILUN、FEIPAI玉麒麟、FPV、FEIMA、futaba、GDU、GOPRO、GPS、HIKVISION、HITEC、HOLYSTONE、INS54、JJRC、JOUAV、Laumox、MJX_bug3、MMC、SENTRY、SIRC、Skydio2、Splash、TOYS-sky、UPAIR、WEILI、YABOOT、YUNEEC、巴阳、畅天游、澄星、大工、大华、道通、富斯、昊翔、大疆、飞米、哈博森、华科尔、科卫泰、科比特、美嘉欣、派诺特、云科、司马、睿思凯、世纪、兽、行摄途、优迪、臻迪品牌无人机。</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12.机型库添加：能添加探测到的未知Wi-Fi无人机、遥控器到机型库。</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13.未知信号学习识别：具有未知无线信号学习识别能力，能对未知无线信号进行探测、学习机报警。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14.无人值守：具有无人值守功能，在无人值守模式下，探测设备侦测、识别到非白名单内的无人机进入防御区域后，系统管理平台应 能发出报警并联动干扰设备自动发射干扰信号。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15.模拟训练：系统接入仿真无人机信号后，系统管理平台应能显示仿真目标的报警信息，且在无人值守模式下应能联动干扰设备发射干扰信号。</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16.报警记录及回放：能记录探测到的无人机发现时间、持续时间、机型、电子指纹ID（机身序列号）、工作频段、飞行轨迹等信息，同时应能将报警记录存储至接入设备，并能进行查看、导出等操作。</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17.统计功能：能统计入侵无人机的品牌型号、统计并显示入侵无人机的架次、架数、入侵总时长、单次最长时长、每次平均时长等信息以及入侵无人机的事件趋势，能对定位到的无人机飞行轨迹记录进行回放，回放进度条可拖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18.接口协议：能提供接口协议文件并能接入第三方综合指挥平台。</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19.在线升级：应能通过安装包实现系统管理平台升级。</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20.权限管理：应具有分级权限操作功能，不同账号的系统操作权限不同。</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21.远程控制：能通过系统管理平台远程查看已接入设备运行状态和探测结果信息，架设VPN服务器后，应能通过后台远程进行参数配置、设备升级、复位、状态查询等操作。</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22.模块自检结果显示功能：接入设备后，系统管理平台应能显示设备模块的自检结果，并进行实时状态监控。</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23.接入功能：系统后期应支持接入无线电探测设备、光电设备、导航诱骗设备、干扰设备等。通过有线或无线等方式接入多台（≥2台）设备，并对已接入设备进行设备管理和数据管理。同时应能显示多台探测设备的探测结果。</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24.易操作性：提供清晰、简洁、友好的中文人机交互界面，操作应简便、灵活、易学易用，便于管理和维护。</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9" w:hRule="atLeast"/>
        </w:trPr>
        <w:tc>
          <w:tcPr>
            <w:tcW w:w="45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无人机机库套装</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机库+飞机</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1.尺寸：小于等于640mmx745mmx770mm（舱盖闭合）</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2.重量：设备重量小于等于60kg（不包含飞行器）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3.最大输入功率：设备最大输入功率小于等于1000W</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4.工作环境温度：设备工作温度范围不小于-30°C 至 50° C</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5.IP防护等级：机场设备具备不低于IP56的防护等级</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6.IP防护等级：飞行器具备不低于IP55防护等级</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7.最大抗风速度：不小于12 m/s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8.最大作业半径：设备理想情况最大作业半径不小于10公里</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9.RTK 基站定位精准度："设备所含RTK基站定位精度：水平精度小于等于1 cm+1 ppm（RMS）垂直精度小于等于2 cm+1 ppm（RMS）"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10.输出电压：设备充电输出电压大于等于35V</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11.充电耗时：设备最短作业间隔小于等于27min</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12.天线：天线数量大于等于9天线</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13.空调类型：设备内置压缩机空调</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14.机舱电池容量：设备内置备用电池，续航时间大于等于4小时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15.4G 接入：设备支持通过增强图传模块实现4G网络接入</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16.传感器：设备内置风速、雨量、温度、湿度、水浸等传感器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17.监控：支持双摄监控，可监控控舱内和舱外情况</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18.分辨率：设备配备监控相机视频分辨率不低于1080P，且具备补光能力</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19.防雷接口：设备供电口防雷能力不小于20KA，以太网口防雷能力不小于10KA</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20.软件支持：设备支持大疆行业 App（配合安卓手机进行大疆机场的部署和调试）</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21.边缘计算：设备支持外接交换机进行数据通信</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22.裸机重量：飞行器裸机重量小于1850 克</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23.最大起飞重量：最大起飞重量不小于2090 克</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24.尺寸：小于等于380mmx420mmx230mm（不含桨叶）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25.轴距：对角线轴距小于 500 毫米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26.最大水平飞行速度：不低于 15 米/秒</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27.最长飞行时间：不低于50 分钟</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28.定位悬停精度："无人机支持RTK定位，在 RTK 正常工作时飞行器悬停精度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29.水平≤ ±0.1m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30.垂直≤ ±0.1m"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31.夜航灯：飞行器集成夜航灯</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32.感知系统类型：机身支持全向双目视觉系统</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33.相机类型：具有长焦可见光、广角可见光和红外热成像相机</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34.广角相机CMOS：相机CMOS不低于1/1.3 英寸</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35.广角相机像素：具备广角相机，有效像素不低于4800万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36.长焦相机CMOS：具备长焦相机，相机CMOS不低于 1/1.5 英寸</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37.长焦相机像素：像素数不低于4800万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38.红外传感器分辨率：不低于640*512</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39.红外传感器帧率：不低于30Hz</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40.红外热成像相机变焦倍数：支持不低于28倍数码变焦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41.稳定系统：具备三轴机械增稳云台（俯仰、横滚、平移）</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可见光相机视频：可见光相机支持4k30p视频录制</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包含：机库+飞机*1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喊话器*1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探照灯*1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机身险+100万三者险一年*1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5"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控制平台</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1.一站式无人机任务管理平台，全面、实时的态势感知，实现团队信高效聚合、处理与同步。</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2.包含：2.5维基础地图，自带全球高程信息，让平面地图立体化。实用的地理信息，使任务规划更合理。</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3.支持：一键全景，实时回传</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4.支持：远端建图、支持可见光和红外建图，无论白天还是黑夜，都可高效获取任务区域内最新的影像数据。通过可见光建图，单架次即可获取1.5平方公里的清晰地理影像。</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5.支持：实时直播，支持多路无人机低延时高清画面直播，实时了解一线动态，即时掌控全局。</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支持：航线规划及管理，基于模型，可在电脑端绘制复杂航线，拍摄成果实时“预览”，提供‘所见即所得“的沉浸式绘制体验，让航线飞行更安全，拍摄成果更准确。绘制完成的航线文件自动同步到遥控器，高效作业。</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1个</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455"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喊话器</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1.重量：90 克（不含支架）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2.尺寸：长 73 毫米，宽 70 毫米，高 47 毫米（不含支架）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3.最大功率：15 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4.最大响度：在 1 米处可达 114 分贝（114dB@1m）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5.有效广播距离：300 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6.广播方式：实时喊话（支持回声啸叫抑制）、录音喊话、媒体导入（支持边传边播）、文字转语音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7.工作环境温度：-20℃ 至 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8.安装方式：快拆手拧螺丝</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防护等级：IP55</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1个</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5"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探照灯</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1.重量：91 克（不含支架）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2.尺寸：长 79 毫米，宽 164 毫米，高 28 毫米（不含支架）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3.最大功率：32 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4.照度：4.3±0.2 lux @ 100 米，17±0.2 lux @ 50 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5.有效照明角度：23°（10% 相对照度）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6.有效照明面积：1300 平方米 @ 100 米（10% 相对照度，普通模式）</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7.2200 平方米 @ 100 米（10% 相对照度，广视野模式）</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8.工作方式：常亮、爆闪</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9.云台结构设计范围：俯仰：-140° 至 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10.云台可控转动范围：俯仰：-90° 至 35°</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11.云台最大控制转速（俯仰）：120°/s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12.云台对齐精度：±0.1°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13.工作环境温度：-20℃ 至 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14.安装方式：快拆手拧螺丝</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防护等级：IP55</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1个</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保险</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机身险一年和100万三者险一年</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1项</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45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5"/>
                <w:szCs w:val="15"/>
                <w:highlight w:val="none"/>
                <w:u w:val="none"/>
                <w:lang w:val="en-US" w:eastAsia="zh-CN" w:bidi="ar"/>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无人机套装</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飞机</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1.尺寸（长×宽×高）：长 307.0 毫米，宽 387.5 毫米，高 149.毫米（展开，不包含桨叶）长 260.6 毫米，宽 113.7 毫米，高 138.4 毫米（折叠）</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2.对角线电机轴距：438.8  mm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3.重量（含电池）：1219 克</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4.最大起飞重量：1420 克</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5.最大上升/下降速度：10 米/秒</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6.最大下降速度：8 m/s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7.最大水平飞行速度：21 m/s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8.最大飞行海拔高度：6000 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9.最大可承受风速：起飞降落阶段最大可承受风速为12 m/s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10.最大飞行时间：49min</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11.工作环境温度 ：-10℃ 至 40℃（无太阳辐射）</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12.视觉障碍物感知范围：全向双目视觉系统，辅以机身底部三维红外传感器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13.激光模块：测量范围：正入射量程：1800 米（1 Hz）@20% 反射率目标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14.长焦相机：镜像传感器1/1.5 英寸 CMOS，有效像素 4800 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15.中长焦相机：镜像传感器1/1.3 英寸 CMOS，有效像素 4800万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16.广角相机：镜像传感器1/1.3 英寸 CMOS，有效像素 4800 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17.红外相机：测温方式：点测温、区域测温，分辨率：640×512</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近红外补光灯：FOV5.7°±0.3</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包含：飞机*1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电池*3</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遥控器*1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桌面充电器*1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充电管家*1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64G内存卡*1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喊话器*1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探照灯*1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机身险+100万三者险一年*1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45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电池</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1.容量：6741 毫安时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2.电池类型：Li-ion 4S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3.化学体系：LiNiMnCoO2</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4.充电环境温度：5℃ 至 40℃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5.最大充电功率：207 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6、配备集中式充电装置，可对电池统一管理</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3个</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遥控器</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1.工作频率*：2.4000-2.4835 GHz；5.150-5.250 GHz；5.725-5.850 GHz</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2.等效全向辐射功率（EIRP）：</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2.4 GHz：&lt; 33 dBm（FCC）；&lt; 20 dBm（CE/SRRC/MIC）</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5.1 GHz：&lt; 23 dBm（FCC/CE）</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5.8 GHz：&lt; 33 dBm（FCC）；&lt; 14 dBm（CE）；&lt; 30 dBm（SRRC）</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3.Wi-Fi:</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协议：802.11 a/b/g/n/ac/ax</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工作频率*：2.4000-2.4835 GHz；5.150-5.250 GHz；5.725-5.850 GHz</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等效全向辐射功率（EIRP）：</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2.4 GHz：&lt; 26 dBm（FCC）；&lt; 20 dBm（CE/SRRC/MIC）</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5.1 GHz：&lt; 26 dBm（FCC）；&lt; 23 dBm（CE/SRRC/MIC）</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5.8 GHz：&lt; 26 dBm（FCC/SRRC）；&lt; 14 dBm（CE）</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4.蓝牙:</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协议：蓝牙 5.2</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工作频率：2.4000-2.4835 GHz</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等效全向辐射功率（EIRP）：&lt; 10 dBm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5.通用: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型号：TKPL2</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内置电池：锂离子电池（6500 毫安时 @ 7.2 伏），化学体系：镍钴铝酸锂</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充电方式：推荐使用最大功率 100 瓦的 USB-C 快充充电器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额定功耗：12.5 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GNSS：GPS+Galileo+BeiDou</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视频输出接口：HDMI A 型</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工作环境温度：-20℃ 至 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存放环境温度：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-30℃ 至 45℃（一个月内）</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-30℃ 至 35℃（大于一个月小于三个月）</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6.-30℃ 至 30℃（大于三个月小于一年）</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充电环境温度：5℃ 至 40℃</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1个</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455"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喊话器</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1.重量：90 克（不含支架）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2.尺寸：长 73 毫米，宽 70 毫米，高 47 毫米（不含支架）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3.最大功率：15 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4.最大响度：在 1 米处可达 114 分贝（114dB@1m）</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5.有效广播距离：300 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6.广播方式：实时喊话（支持回声啸叫抑制）、录音喊话、媒体导入（支持边传边播）、文字转语音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7.工作环境温度：-20℃ 至 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8.安装方式：快拆手拧螺丝</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防护等级：IP55</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1个</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5"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探照灯</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1.重量：91 克（不含支架）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2.尺寸：长 79 毫米，宽 164 毫米，高 28 毫米（不含支架）</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3.最大功率：32 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4.照度：4.3±0.2 lux @ 100 米，17±0.2 lux @ 50 米*</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5.有效照明角度：23°（10% 相对照度）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6.有效照明面积：1300 平方米 @ 100 米（10% 相对照度，普通模式）</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7.2200 平方米 @ 100 米（10% 相对照度，广视野模式）</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8.工作方式：常亮、爆闪</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9.云台结构设计范围：俯仰：-140° 至 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10.云台可控转动范围：俯仰：-90° 至 35°</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11.云台最大控制转速（俯仰）：120°/s</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12.云台对齐精度：±0.1°</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13.工作环境温度：-20℃ 至 50℃</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14.安装方式：快拆手拧螺丝</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防护等级：IP55</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1个</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5"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保险</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机身险一年和100万三者险一年</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auto"/>
                <w:sz w:val="15"/>
                <w:szCs w:val="15"/>
                <w:highlight w:val="none"/>
                <w:u w:val="none"/>
                <w:lang w:val="en-US" w:eastAsia="zh-CN"/>
              </w:rPr>
            </w:pPr>
            <w:r>
              <w:rPr>
                <w:rFonts w:hint="eastAsia" w:asciiTheme="minorEastAsia" w:hAnsiTheme="minorEastAsia" w:cstheme="minorEastAsia"/>
                <w:i w:val="0"/>
                <w:iCs w:val="0"/>
                <w:color w:val="auto"/>
                <w:sz w:val="15"/>
                <w:szCs w:val="15"/>
                <w:highlight w:val="none"/>
                <w:u w:val="none"/>
                <w:lang w:val="en-US" w:eastAsia="zh-CN"/>
              </w:rPr>
              <w:t>1项</w:t>
            </w: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无人机操控平台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1.一站式无人机任务管理平台，全面、实时的态势感知，实现团队信高效聚合、处理与同步。</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2.包含：2.5维基础地图，自带全球高程信息，让平面地图立体化。实用的地理信息，使任务规划更合理。</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3.支持：一键全景，实时回传</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4.支持：远端建图、支持可见光和红外建图，无论白天还是黑夜，都可高效获取任务区域内最新的影像数据。通过可见光建图，单架次即可获取1.5平方公里的清晰地理影像。</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5.支持：实时直播，支持多路无人机低延时高清画面直播，实时了解一线动态，即时掌控全局。</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支持：航线规划及管理，基于模型，可在电脑端绘制复杂航线，拍摄成果实时“预览”，提供‘所见即所得“的沉浸式绘制体验，让航线飞行更安全，拍摄成果更准确。绘制完成的航线文件自动同步到遥控器，高效作业。</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2年</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项目数量：不限</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在线设备数量：不限</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视频直播：2000分钟/月（当月直播分钟数未使用完仅可延至下个月，直播消耗根据所有观众观看时长累计计算。）</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存储空间：500GB（有效期内500GB空间，容量使用完后不可继续上传）</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建图数量：3000张/月（当月未使用完的建图图片数量仅可延至下月使用，模型重建与实时建图共享张数额度）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3"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无线智能单兵</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无线智能单兵</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1、具备 1*HDMI 接口和 1*Type_C 接口，可通过 USB 或 HDMI 接口接入视频源采集设备，如手机（USB 转HDMI）、穿戴摄像机、纽扣摄像机等 USB 接口类视频设备和无人机、DV 等 HDMI 接口类视频设备；</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2、支持 WIFI、蓝牙、4G/5G 全网通、支持适配接入无人机、外设定位上传；</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3、支持双 SIM 卡，4G/5G 全网通，可根据网络带宽切换运营商网络，保证视频流畅传输</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4、IP53 防护，1 米抗跌落，可靠性高，适用各种严酷恶劣执法环境；</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 支持 GB/T28181-2016 国标协议，上联平台实现实时图传、精准定位、语音对讲等功能；</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7、视频： 编码格式： H.264 High Profile &amp; H.265</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视频分辨率： 支持 4K、1920×1080、1280×720 视频源接入</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双码流： 支持</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8、工作时长：≥4小时，支持快充。</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9、需接入市视频图像平台</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用于图像传输到图像网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8</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车内骨架加强与隔音隔热改装</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拆除原车内饰，车内进行预埋以及加强处理，车顶平台固定点加强、隔断安装点加强、机柜及座椅固定点预埋加强，内饰与外蒙皮之间填充止震板、隔音隔热棉。</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9</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前后舱隔断</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车内驾驶舱舱与操作控制舱设置隔断，使用钢制骨架制作，隔断双面使用木板打底，表面使用皮革包覆，上部安装一块42寸大屏,下部安装三块21寸高清显示屏。</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10</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操作席控制台</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控制台台面为实木材质，台面下方设置设备机柜,用于安装工控机、交换机、音视频矩阵、操作键盘等设备</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11</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不锈钢车顶平台</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不锈钢材质，四周挡板按照车顶弧度切割，间隙均匀，美观大方，平台底部使用花纹铝板铺设，底部预埋倒伏机构底座、设备安装底座，尽量做到线不外露。</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12</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限高警示系统</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车辆限高警示系统，当车辆无法正常通过限高区域时，会自动报警</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13</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内饰改装</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地板铺设航空铝印花复合地板，操作台台面为实木桌面，整车车窗贴膜，操作舱内部全部包覆处理，改装后简洁大方</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1台</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14</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车载冰箱</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立式车载冷藏冰箱</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1台</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15</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会议座椅</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奔驰商务车原装座椅,会议桌两侧各两套,指挥席一套.</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16</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会议桌</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钢制骨架,实木桌面,两侧折叠</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1台</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倒伏机构</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倒伏机构</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1、用于控制无人机天线的倒伏；</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2.电源：DV12V；</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 xml:space="preserve">3.承重：不小于 10KG；          </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4.倒下或者升起时间：小于 20S。  电动、手动双动力倒伏机构，包含电机、驱动器、控制系统，按照历正反制主机设计安装位置、蘑菇头天线安装位置。</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18</w:t>
            </w:r>
          </w:p>
        </w:tc>
        <w:tc>
          <w:tcPr>
            <w:tcW w:w="3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供配电系统</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移动电源</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电池容量：5度</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输出功率：3500W</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充电形式：快充</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电池类型：磷酸铁锂电池</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多接口输出：AC220V、USB、Type-c、点烟器等</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保护功能：充电过流过压、短路保护、过载保护、欠压保护等</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1台</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19</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配电系统</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1.电涌保护器；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2.重合闸漏电保护器/自动复位防雷保护器；</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3.含接触器、断路器、开关、指示灯等器件。一体式配电箱，含配电盘、漏电保护开关、5孔插座、双电池管理器、电磁开关、控制面板等</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20</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车载发电机</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车载分体式发电机，安装与车辆底部，额定功率：3kw，输出电压：AC220V</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21</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外接电源</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新能源汽车专用电源插座、插头，带5米延长线</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22</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控制面板</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安装在显示屏下方,安装有电源开关,高清视频输入输出接口,电源接口,倒伏机构控制开关及指示灯等</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23</w:t>
            </w:r>
          </w:p>
        </w:tc>
        <w:tc>
          <w:tcPr>
            <w:tcW w:w="3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通信显控系统</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液晶显示器</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1.屏幕尺寸：42 英寸；</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2.屏幕数量：1 台 ；</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3.分辨率：2K 超高清 ；</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4.背光源：LED；</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5.扬声器：内置（1 个）；</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6.接口：支持 HDMI 等接口。</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24</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液晶显示器</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1.屏幕尺寸：21 英寸；</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2.分辨率：2K 超高清 ；</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3.背光源：LED；</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4.扬声器：内置（1 个）；</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5.接口：支持 HDMI 等接口。</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3台</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25</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工控机</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I7 处理器，32G 内存，1T 硬盘， 独显。</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2台</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26</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5G 无线路由器</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1.内置 2 路 5G 全网通模块，双模在线；</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2.自由切换，也可以带宽叠加；</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3.同时支持 2.4G、5.8G；</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4.双 SSID-WiFi 接入；</w:t>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5.支持 VPN。</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2台</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27</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交换机</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华为16口机架式千兆交换机,</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2台</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28</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外接接口盒</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含：网线接口2个，光纤接口2个，HDMI输入1个，HDMI输出1个</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1套</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29</w:t>
            </w:r>
          </w:p>
        </w:tc>
        <w:tc>
          <w:tcPr>
            <w:tcW w:w="3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视频矩阵</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Style w:val="11"/>
                <w:rFonts w:hint="eastAsia" w:asciiTheme="minorEastAsia" w:hAnsiTheme="minorEastAsia" w:eastAsiaTheme="minorEastAsia" w:cstheme="minorEastAsia"/>
                <w:color w:val="auto"/>
                <w:sz w:val="15"/>
                <w:szCs w:val="15"/>
                <w:highlight w:val="none"/>
                <w:lang w:val="en-US" w:eastAsia="zh-CN" w:bidi="ar"/>
              </w:rPr>
              <w:t>1.输入、输出接口：HDMI-19 接口；</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2.带宽：6.25G(-3db)；</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3.输入标准：满足 DVI1.0 标准 HDMI1.4 标准；</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4.输出标准：满足 DVI1.0 标准 HDMI1.4 标准；</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5.信噪比(S/N)：75dB；</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6.信号强度：T.M.D.S+/-0.4Vpp，最小 T.M.D.S2.9V；</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7.数据传输率：6.25GbitsX3；</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8.位时钟抖动：&lt;0.15Tbit；</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9.增益误差：±0.1dB；</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10.传输距离：建议最大输出距离小于 15 米；</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1"/>
                <w:rFonts w:hint="eastAsia" w:asciiTheme="minorEastAsia" w:hAnsiTheme="minorEastAsia" w:eastAsiaTheme="minorEastAsia" w:cstheme="minorEastAsia"/>
                <w:color w:val="auto"/>
                <w:sz w:val="15"/>
                <w:szCs w:val="15"/>
                <w:highlight w:val="none"/>
                <w:lang w:val="en-US" w:eastAsia="zh-CN" w:bidi="ar"/>
              </w:rPr>
              <w:t>11.切换速度：小于 100ns。</w:t>
            </w:r>
            <w:r>
              <w:rPr>
                <w:rStyle w:val="11"/>
                <w:rFonts w:hint="eastAsia" w:asciiTheme="minorEastAsia" w:hAnsiTheme="minorEastAsia" w:eastAsiaTheme="minorEastAsia" w:cstheme="minorEastAsia"/>
                <w:color w:val="auto"/>
                <w:sz w:val="15"/>
                <w:szCs w:val="15"/>
                <w:highlight w:val="none"/>
                <w:lang w:val="en-US" w:eastAsia="zh-CN" w:bidi="ar"/>
              </w:rPr>
              <w:br w:type="textWrapping"/>
            </w:r>
            <w:r>
              <w:rPr>
                <w:rStyle w:val="13"/>
                <w:rFonts w:hint="eastAsia" w:asciiTheme="minorEastAsia" w:hAnsiTheme="minorEastAsia" w:eastAsiaTheme="minorEastAsia" w:cstheme="minorEastAsia"/>
                <w:color w:val="auto"/>
                <w:sz w:val="15"/>
                <w:szCs w:val="15"/>
                <w:highlight w:val="none"/>
                <w:lang w:val="en-US" w:eastAsia="zh-CN" w:bidi="ar"/>
              </w:rPr>
              <w:t>12.8进8出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1台</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其他</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耗材</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标准件、电线、网线等电料</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1批</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31</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改装费</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工时费,系统集成,管理费等</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1批</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32</w:t>
            </w: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15"/>
                <w:szCs w:val="15"/>
                <w:highlight w:val="none"/>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公告费</w:t>
            </w:r>
          </w:p>
        </w:tc>
        <w:tc>
          <w:tcPr>
            <w:tcW w:w="2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新车公告检测费</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5"/>
                <w:szCs w:val="15"/>
                <w:highlight w:val="none"/>
                <w:u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1辆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auto"/>
                <w:sz w:val="15"/>
                <w:szCs w:val="15"/>
                <w:highlight w:val="none"/>
                <w:u w:val="none"/>
              </w:rPr>
            </w:pPr>
          </w:p>
        </w:tc>
      </w:tr>
    </w:tbl>
    <w:p>
      <w:pPr>
        <w:pStyle w:val="2"/>
        <w:rPr>
          <w:rFonts w:hint="eastAsia"/>
          <w:lang w:val="en-US" w:eastAsia="zh-CN"/>
        </w:rPr>
        <w:sectPr>
          <w:footerReference r:id="rId3" w:type="default"/>
          <w:pgSz w:w="16838" w:h="11906" w:orient="landscape"/>
          <w:pgMar w:top="1800" w:right="1440" w:bottom="1800" w:left="1440" w:header="851" w:footer="992" w:gutter="0"/>
          <w:cols w:space="720" w:num="1"/>
          <w:docGrid w:type="lines" w:linePitch="312" w:charSpace="0"/>
        </w:sectPr>
      </w:pPr>
    </w:p>
    <w:p>
      <w:pPr>
        <w:numPr>
          <w:ilvl w:val="0"/>
          <w:numId w:val="0"/>
        </w:numPr>
        <w:adjustRightInd w:val="0"/>
        <w:snapToGrid w:val="0"/>
        <w:spacing w:line="480" w:lineRule="exact"/>
        <w:ind w:left="0" w:leftChars="0" w:right="-57" w:rightChars="-27" w:firstLine="547" w:firstLineChars="228"/>
        <w:jc w:val="left"/>
        <w:textAlignment w:val="auto"/>
        <w:rPr>
          <w:rStyle w:val="7"/>
          <w:rFonts w:hint="eastAsia" w:ascii="宋体" w:hAnsi="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2.质量要求：所有货物（包括零配件）均需经过厂家出厂质量检测并为原装正品，且完全符合国家质量标准，国家无相关标准的需满足行业标准。</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3.</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供货期：合同签订后30个日历天内供货至现场并安装调试完毕。</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4.</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质保、售后服务要求：</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①本项目所有货物必须提供三年上门服务及全免费质保等售后服务；在三年免费保修期内，成交供应商在接到用户单位电话维修通知后，8 小时响应，24小时之内修复，成交供应商需建立故障报修记录，维修人员到达现场后，首先进行故障诊断，明确故障原因和解决方案。对于简单故障，现场及时修复；对于需要返厂维修的设备，供应商负责运输和维修，并承担相关费用，维修完成后及时送回</w:t>
      </w: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采购单位</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并调试合格。如需更换货物或送修，必须在72小时内提供备用货物，并在7个工作日内负责维修完毕。如成交供应商在接到</w:t>
      </w: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采购单位</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通知后 8小时内未实质性响应，采购单位可另行委托他人修理，所需费用由成交供应商承担，在剩余尾款内扣除；保修期内，同一商品、同一质量问题连续两次维修仍无法正常使用，成交供应商应无条件给予全套更新。</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②在设备的生产、运输、装卸、安装等过程中出现的安全问题，均由成交供应商承担。</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③成交供应商应保证设备在进行安装和调试的过程中，对损坏或有缺陷的设备及零部件进行免费更换。</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④项目投入使用后，在质保期内如遇设备故障，且在短时间内难以修复的，成交供应商有义务提供备品备件，以维持中标项目的正常运行，待故障设备修复后换回。</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5.</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交货、安装地点：按采购人要求。</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6.</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定期巡检与维护：</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①巡检计划：每季度安排一次现场巡检，由成交供应商技术人员对设备进行全面检查，包括设备运行状态、电池性能、飞控参数等，及时发现潜在问题并进行维护保养。</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②巡检内容：清洁设备表面，检查连接部件是否松动，测试电池续航能力，校准飞控系统参数，更新设备固件，确保设备始终处于最佳工作状态。同时，收集</w:t>
      </w: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采购单位</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的使用反馈，根据需求提供技术升级建议。</w:t>
      </w:r>
    </w:p>
    <w:p>
      <w:pPr>
        <w:adjustRightInd w:val="0"/>
        <w:snapToGrid w:val="0"/>
        <w:spacing w:line="480" w:lineRule="exact"/>
        <w:ind w:right="-57" w:rightChars="-27" w:firstLine="566" w:firstLineChars="236"/>
        <w:jc w:val="left"/>
        <w:textAlignment w:val="auto"/>
        <w:rPr>
          <w:rStyle w:val="7"/>
          <w:rFonts w:hint="eastAsia" w:ascii="宋体" w:hAnsi="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7.技术支持与培训</w:t>
      </w:r>
    </w:p>
    <w:p>
      <w:pPr>
        <w:adjustRightInd w:val="0"/>
        <w:snapToGrid w:val="0"/>
        <w:spacing w:line="480" w:lineRule="exact"/>
        <w:ind w:right="-57" w:rightChars="-27" w:firstLine="566" w:firstLineChars="236"/>
        <w:jc w:val="left"/>
        <w:textAlignment w:val="auto"/>
        <w:rPr>
          <w:rStyle w:val="7"/>
          <w:rFonts w:hint="eastAsia" w:ascii="宋体" w:hAnsi="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①远程技术支持：通过电话、微信、远程桌面等方式，为采购单位提供实时技术咨询和指导，解决采购单位在设备使用中遇到的技术问题。定期举办线上技术交流会议，分享设备使用技巧和行业最新动态。</w:t>
      </w:r>
    </w:p>
    <w:p>
      <w:pPr>
        <w:adjustRightInd w:val="0"/>
        <w:snapToGrid w:val="0"/>
        <w:spacing w:line="480" w:lineRule="exact"/>
        <w:ind w:right="-57" w:rightChars="-27" w:firstLine="566" w:firstLineChars="236"/>
        <w:jc w:val="left"/>
        <w:textAlignment w:val="auto"/>
        <w:rPr>
          <w:rStyle w:val="7"/>
          <w:rFonts w:hint="eastAsia" w:ascii="宋体" w:hAnsi="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②终身培训服务：质保期外，成交供应商继续为采购单位提供设备操作和维护培训，培训内容根据设备更新和行业需求及时调整，确保采购单位能够持续掌握最新技术。培训方式包括现场培训、线上课程等，培训费用给予优惠。</w:t>
      </w:r>
    </w:p>
    <w:p>
      <w:pPr>
        <w:adjustRightInd w:val="0"/>
        <w:snapToGrid w:val="0"/>
        <w:spacing w:line="480" w:lineRule="exact"/>
        <w:ind w:right="-57" w:rightChars="-27" w:firstLine="566" w:firstLineChars="236"/>
        <w:jc w:val="left"/>
        <w:textAlignment w:val="auto"/>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8.</w:t>
      </w:r>
      <w:r>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t>约定事项：</w:t>
      </w:r>
    </w:p>
    <w:p>
      <w:pPr>
        <w:adjustRightInd w:val="0"/>
        <w:snapToGrid w:val="0"/>
        <w:spacing w:line="480" w:lineRule="exact"/>
        <w:ind w:right="-57" w:rightChars="-27" w:firstLine="566" w:firstLineChars="236"/>
        <w:jc w:val="left"/>
        <w:textAlignment w:val="auto"/>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t>①成交供应商保证其提供的设备中所有预装和本项目安装的软件为具有合法版权或使用权的正版软件。成交供应商供货至现场后，须经采购人验收合格后方可安装。采购单位将组织验收小组根据招标公告和供应商报价文件对供应商所供货物进行进行验收。如验收时发现有参数偏离且未在报价文件中说明的，视为验收不合格。</w:t>
      </w:r>
    </w:p>
    <w:p>
      <w:pPr>
        <w:adjustRightInd w:val="0"/>
        <w:snapToGrid w:val="0"/>
        <w:spacing w:line="480" w:lineRule="exact"/>
        <w:ind w:right="-57" w:rightChars="-27" w:firstLine="566" w:firstLineChars="236"/>
        <w:jc w:val="left"/>
        <w:textAlignment w:val="auto"/>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t>②在采购单位收到供应商提供的产品后，由启东市市场监督管理局组织抽样检验，如在抽检过程中供应商不能到场配合的，将视采购单位为其委托单位配合抽检，并在相关文书签字确认。市管局认为有必要的情况下，可采取公证抽样取证办法。在抽检过程中所破坏的货物，由供应商补全，费用不再追加。</w:t>
      </w:r>
      <w:r>
        <w:rPr>
          <w:rStyle w:val="7"/>
          <w:rFonts w:hint="default" w:ascii="宋体" w:hAnsi="宋体" w:eastAsia="宋体" w:cs="仿宋"/>
          <w:b w:val="0"/>
          <w:bCs w:val="0"/>
          <w:color w:val="000000" w:themeColor="text1"/>
          <w:kern w:val="0"/>
          <w:sz w:val="24"/>
          <w:szCs w:val="24"/>
          <w:highlight w:val="none"/>
          <w:lang w:val="en-US" w:eastAsia="zh-CN"/>
          <w14:textFill>
            <w14:solidFill>
              <w14:schemeClr w14:val="tx1"/>
            </w14:solidFill>
          </w14:textFill>
        </w:rPr>
        <w:t>如启东市市场监督管理局不参与本项目验收，则由采购单位(使用单位)检验或验收。</w:t>
      </w:r>
    </w:p>
    <w:p>
      <w:pPr>
        <w:adjustRightInd w:val="0"/>
        <w:snapToGrid w:val="0"/>
        <w:spacing w:line="480" w:lineRule="exact"/>
        <w:ind w:right="-57" w:rightChars="-27" w:firstLine="566" w:firstLineChars="236"/>
        <w:jc w:val="left"/>
        <w:textAlignment w:val="auto"/>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t>③采购单位在收到成交供应商提交的书面项目验收申请后7个工作日内，将组织验收小组根据招标公告和供应商报价文件对供应商所供货物进行验收。如验收时发现所供货物的数量、技术参数等与招标公告不一致，采购单位将根据启东市市场监督管理局等部门的意见，向成交供应商签发整改通知书。成交供应商在收到整改通知书后七日内必须按要求整改，如再次不符合要求或逾期，采购人将视作项目整体验收不合格，终止合同履行，履约保证金不予退还并报相关部门进行处理。必要时，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pPr>
        <w:adjustRightInd w:val="0"/>
        <w:snapToGrid w:val="0"/>
        <w:spacing w:line="480" w:lineRule="exact"/>
        <w:ind w:right="-57" w:rightChars="-27" w:firstLine="566" w:firstLineChars="236"/>
        <w:jc w:val="left"/>
        <w:textAlignment w:val="auto"/>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t>④成交供应商不能按规定的时间完成供货安装的，采购单位按成交价＊0.5%/天从履约保证金中扣除违约金。</w:t>
      </w:r>
    </w:p>
    <w:p>
      <w:pPr>
        <w:adjustRightInd w:val="0"/>
        <w:snapToGrid w:val="0"/>
        <w:spacing w:line="480" w:lineRule="exact"/>
        <w:ind w:right="-57" w:rightChars="-27" w:firstLine="566" w:firstLineChars="236"/>
        <w:jc w:val="left"/>
        <w:textAlignment w:val="auto"/>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default" w:ascii="宋体" w:hAnsi="宋体" w:eastAsia="宋体" w:cs="仿宋"/>
          <w:color w:val="000000" w:themeColor="text1"/>
          <w:kern w:val="0"/>
          <w:sz w:val="24"/>
          <w:szCs w:val="24"/>
          <w:highlight w:val="none"/>
          <w:lang w:val="en-US" w:eastAsia="zh-CN"/>
          <w14:textFill>
            <w14:solidFill>
              <w14:schemeClr w14:val="tx1"/>
            </w14:solidFill>
          </w14:textFill>
        </w:rPr>
        <w:t>⑤项目验收通过后，成交供应商须按照采购单位的要求，将所有货物按照采购单位指定的标准，做好二维码的张贴等工作，同时将所有资产录入资产管理系统中。此项工作作为整体验收的一个部分。</w:t>
      </w:r>
    </w:p>
    <w:p>
      <w:pPr>
        <w:numPr>
          <w:ilvl w:val="0"/>
          <w:numId w:val="1"/>
        </w:numPr>
        <w:adjustRightInd w:val="0"/>
        <w:snapToGrid w:val="0"/>
        <w:spacing w:line="480" w:lineRule="exact"/>
        <w:ind w:left="0" w:leftChars="0" w:right="-57" w:rightChars="-27" w:firstLine="569" w:firstLineChars="236"/>
        <w:jc w:val="left"/>
        <w:textAlignment w:val="auto"/>
        <w:rPr>
          <w:rStyle w:val="7"/>
          <w:rFonts w:hint="eastAsia" w:ascii="宋体" w:hAnsi="宋体" w:eastAsia="宋体" w:cs="仿宋"/>
          <w:b/>
          <w:bCs/>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b/>
          <w:bCs/>
          <w:color w:val="000000" w:themeColor="text1"/>
          <w:kern w:val="0"/>
          <w:sz w:val="24"/>
          <w:szCs w:val="24"/>
          <w:highlight w:val="none"/>
          <w:lang w:val="en-US" w:eastAsia="zh-CN"/>
          <w14:textFill>
            <w14:solidFill>
              <w14:schemeClr w14:val="tx1"/>
            </w14:solidFill>
          </w14:textFill>
        </w:rPr>
        <w:t>投标报价</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报价供应商应按照本招标公告的要求编制投标文件，投标文件应对本招标文件提出的要求和条件作出实质性响应。否则，按照不响应处理。报价应招标文件所确定的招标范围内的所有</w:t>
      </w: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设备费、平台维护</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费、包装费、运杂费、上下力费、保险费、安装费、调试费、检测、验收的相关费用、采购方操作人员培训费、设备的搬运费用及搬运、</w:t>
      </w:r>
      <w:r>
        <w:rPr>
          <w:rStyle w:val="7"/>
          <w:rFonts w:hint="eastAsia" w:ascii="宋体" w:hAnsi="宋体" w:cs="仿宋" w:eastAsiaTheme="minorEastAsia"/>
          <w:color w:val="000000" w:themeColor="text1"/>
          <w:kern w:val="0"/>
          <w:sz w:val="24"/>
          <w:szCs w:val="24"/>
          <w:highlight w:val="none"/>
          <w:lang w:val="en-US" w:eastAsia="zh-CN"/>
          <w14:textFill>
            <w14:solidFill>
              <w14:schemeClr w14:val="tx1"/>
            </w14:solidFill>
          </w14:textFill>
        </w:rPr>
        <w:t>基础建设费（如有）、</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安装过程中投标人认为需要的其它费用等，直至交付买方使用所需要的各种费用总和。在安装、调试、验收过程中，如发现有漏项、缺件，卖方应无条件、无偿补齐，所发生的一切费用，视为已包含在投标人的投标报价之中，且并不因此而影响交付买方使用的时间。</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成交供应商必须满足所有功能要求，有义务保证采购人系统的完整性，部分连接运行配件未在招标书中明示的，投标人应在投标时予以补充，如项目实施过程中因缺少设备、配件或服务导致采购人系统无法正常运行，成交供应商须承诺免费提供；除采购人明确提出的变更外，本项目不再增加任何费用；投标人必须提供所有项目相关费用的报价列表，报价风险由其自行承担。同时投标人所报的综合单价在合同实施期间不因市场变化因素而变动。</w:t>
      </w:r>
    </w:p>
    <w:p>
      <w:pPr>
        <w:adjustRightInd w:val="0"/>
        <w:snapToGrid w:val="0"/>
        <w:spacing w:line="480" w:lineRule="exact"/>
        <w:ind w:right="-57" w:rightChars="-27" w:firstLine="569" w:firstLineChars="236"/>
        <w:jc w:val="left"/>
        <w:textAlignment w:val="auto"/>
        <w:rPr>
          <w:rStyle w:val="7"/>
          <w:rFonts w:hint="eastAsia" w:ascii="宋体" w:hAnsi="宋体" w:eastAsia="宋体" w:cs="仿宋"/>
          <w:color w:val="000000" w:themeColor="text1"/>
          <w:kern w:val="0"/>
          <w:sz w:val="24"/>
          <w:szCs w:val="24"/>
          <w:highlight w:val="none"/>
          <w14:textFill>
            <w14:solidFill>
              <w14:schemeClr w14:val="tx1"/>
            </w14:solidFill>
          </w14:textFill>
        </w:rPr>
      </w:pPr>
      <w:r>
        <w:rPr>
          <w:rStyle w:val="7"/>
          <w:rFonts w:hint="eastAsia" w:ascii="宋体" w:hAnsi="宋体" w:eastAsia="宋体" w:cs="仿宋"/>
          <w:b/>
          <w:bCs/>
          <w:color w:val="000000" w:themeColor="text1"/>
          <w:kern w:val="0"/>
          <w:sz w:val="24"/>
          <w:szCs w:val="24"/>
          <w:highlight w:val="none"/>
          <w:lang w:val="en-US" w:eastAsia="zh-CN"/>
          <w14:textFill>
            <w14:solidFill>
              <w14:schemeClr w14:val="tx1"/>
            </w14:solidFill>
          </w14:textFill>
        </w:rPr>
        <w:t>三、付款方式：</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所有设备完成供货，通过启东市市场监督管理局检测，完成安装调试并经采购单位验收合格后，凭启东市市场监督管理局出具的告知书（如有）和采购单位验收合格单等相关证明材料，付至合同价的90%；余款从验收合格之日算起至服务期（三年）满，无质量问题后一次性付清。</w:t>
      </w:r>
    </w:p>
    <w:p>
      <w:pPr>
        <w:numPr>
          <w:ilvl w:val="0"/>
          <w:numId w:val="0"/>
        </w:numPr>
        <w:adjustRightInd w:val="0"/>
        <w:snapToGrid w:val="0"/>
        <w:spacing w:line="480" w:lineRule="exact"/>
        <w:ind w:right="-57" w:rightChars="-27" w:firstLine="482" w:firstLineChars="200"/>
        <w:jc w:val="left"/>
        <w:textAlignment w:val="auto"/>
        <w:rPr>
          <w:rStyle w:val="7"/>
          <w:rFonts w:hint="eastAsia" w:ascii="宋体" w:hAnsi="宋体" w:eastAsia="宋体" w:cs="仿宋"/>
          <w:b/>
          <w:bCs/>
          <w:color w:val="000000" w:themeColor="text1"/>
          <w:kern w:val="0"/>
          <w:sz w:val="24"/>
          <w:szCs w:val="24"/>
          <w:highlight w:val="none"/>
          <w14:textFill>
            <w14:solidFill>
              <w14:schemeClr w14:val="tx1"/>
            </w14:solidFill>
          </w14:textFill>
        </w:rPr>
      </w:pPr>
      <w:r>
        <w:rPr>
          <w:rStyle w:val="7"/>
          <w:rFonts w:hint="eastAsia" w:ascii="宋体" w:hAnsi="宋体" w:cs="仿宋"/>
          <w:b/>
          <w:bCs/>
          <w:color w:val="000000" w:themeColor="text1"/>
          <w:kern w:val="0"/>
          <w:sz w:val="24"/>
          <w:szCs w:val="24"/>
          <w:highlight w:val="none"/>
          <w:lang w:val="en-US" w:eastAsia="zh-CN"/>
          <w14:textFill>
            <w14:solidFill>
              <w14:schemeClr w14:val="tx1"/>
            </w14:solidFill>
          </w14:textFill>
        </w:rPr>
        <w:t>四</w:t>
      </w:r>
      <w:r>
        <w:rPr>
          <w:rStyle w:val="7"/>
          <w:rFonts w:hint="eastAsia" w:ascii="宋体" w:hAnsi="宋体" w:eastAsia="宋体" w:cs="仿宋"/>
          <w:b/>
          <w:bCs/>
          <w:color w:val="000000" w:themeColor="text1"/>
          <w:kern w:val="0"/>
          <w:sz w:val="24"/>
          <w:szCs w:val="24"/>
          <w:highlight w:val="none"/>
          <w:lang w:val="en-US" w:eastAsia="zh-CN"/>
          <w14:textFill>
            <w14:solidFill>
              <w14:schemeClr w14:val="tx1"/>
            </w14:solidFill>
          </w14:textFill>
        </w:rPr>
        <w:t>、</w:t>
      </w:r>
      <w:r>
        <w:rPr>
          <w:rStyle w:val="7"/>
          <w:rFonts w:hint="eastAsia" w:ascii="宋体" w:hAnsi="宋体" w:eastAsia="宋体" w:cs="仿宋"/>
          <w:b/>
          <w:bCs/>
          <w:color w:val="000000" w:themeColor="text1"/>
          <w:kern w:val="0"/>
          <w:sz w:val="24"/>
          <w:szCs w:val="24"/>
          <w:highlight w:val="none"/>
          <w14:textFill>
            <w14:solidFill>
              <w14:schemeClr w14:val="tx1"/>
            </w14:solidFill>
          </w14:textFill>
        </w:rPr>
        <w:t>约定事项：</w:t>
      </w:r>
    </w:p>
    <w:p>
      <w:pPr>
        <w:adjustRightInd w:val="0"/>
        <w:snapToGrid w:val="0"/>
        <w:spacing w:line="480" w:lineRule="exact"/>
        <w:ind w:right="-57" w:rightChars="-27" w:firstLine="566" w:firstLineChars="236"/>
        <w:jc w:val="left"/>
        <w:textAlignment w:val="auto"/>
        <w:rPr>
          <w:rStyle w:val="7"/>
          <w:rFonts w:ascii="宋体" w:hAnsi="宋体" w:eastAsia="宋体" w:cs="仿宋"/>
          <w:color w:val="000000" w:themeColor="text1"/>
          <w:kern w:val="0"/>
          <w:sz w:val="24"/>
          <w:szCs w:val="24"/>
          <w:highlight w:val="none"/>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1</w:t>
      </w:r>
      <w:r>
        <w:rPr>
          <w:rStyle w:val="7"/>
          <w:rFonts w:hint="eastAsia" w:ascii="宋体" w:hAnsi="宋体" w:eastAsia="宋体" w:cs="仿宋"/>
          <w:color w:val="000000" w:themeColor="text1"/>
          <w:kern w:val="0"/>
          <w:sz w:val="24"/>
          <w:szCs w:val="24"/>
          <w:highlight w:val="none"/>
          <w14:textFill>
            <w14:solidFill>
              <w14:schemeClr w14:val="tx1"/>
            </w14:solidFill>
          </w14:textFill>
        </w:rPr>
        <w:t>.市场询价表及相关材料于202</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6</w:t>
      </w:r>
      <w:r>
        <w:rPr>
          <w:rStyle w:val="7"/>
          <w:rFonts w:hint="eastAsia" w:ascii="宋体" w:hAnsi="宋体" w:eastAsia="宋体" w:cs="仿宋"/>
          <w:color w:val="000000" w:themeColor="text1"/>
          <w:kern w:val="0"/>
          <w:sz w:val="24"/>
          <w:szCs w:val="24"/>
          <w:highlight w:val="none"/>
          <w14:textFill>
            <w14:solidFill>
              <w14:schemeClr w14:val="tx1"/>
            </w14:solidFill>
          </w14:textFill>
        </w:rPr>
        <w:t>年</w:t>
      </w: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 xml:space="preserve">  2</w:t>
      </w:r>
      <w:r>
        <w:rPr>
          <w:rStyle w:val="7"/>
          <w:rFonts w:hint="eastAsia" w:ascii="宋体" w:hAnsi="宋体" w:eastAsia="宋体" w:cs="仿宋"/>
          <w:color w:val="000000" w:themeColor="text1"/>
          <w:kern w:val="0"/>
          <w:sz w:val="24"/>
          <w:szCs w:val="24"/>
          <w:highlight w:val="none"/>
          <w14:textFill>
            <w14:solidFill>
              <w14:schemeClr w14:val="tx1"/>
            </w14:solidFill>
          </w14:textFill>
        </w:rPr>
        <w:t>月</w:t>
      </w:r>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 xml:space="preserve">  </w:t>
      </w:r>
      <w:bookmarkStart w:id="0" w:name="_GoBack"/>
      <w:bookmarkEnd w:id="0"/>
      <w:r>
        <w:rPr>
          <w:rStyle w:val="7"/>
          <w:rFonts w:hint="eastAsia" w:ascii="宋体" w:hAnsi="宋体" w:cs="仿宋"/>
          <w:color w:val="000000" w:themeColor="text1"/>
          <w:kern w:val="0"/>
          <w:sz w:val="24"/>
          <w:szCs w:val="24"/>
          <w:highlight w:val="none"/>
          <w:lang w:val="en-US" w:eastAsia="zh-CN"/>
          <w14:textFill>
            <w14:solidFill>
              <w14:schemeClr w14:val="tx1"/>
            </w14:solidFill>
          </w14:textFill>
        </w:rPr>
        <w:t>4</w:t>
      </w:r>
      <w:r>
        <w:rPr>
          <w:rStyle w:val="7"/>
          <w:rFonts w:hint="eastAsia" w:ascii="宋体" w:hAnsi="宋体" w:eastAsia="宋体" w:cs="仿宋"/>
          <w:color w:val="000000" w:themeColor="text1"/>
          <w:kern w:val="0"/>
          <w:sz w:val="24"/>
          <w:szCs w:val="24"/>
          <w:highlight w:val="none"/>
          <w14:textFill>
            <w14:solidFill>
              <w14:schemeClr w14:val="tx1"/>
            </w14:solidFill>
          </w14:textFill>
        </w:rPr>
        <w:t>日17:00前，送或寄（以邮戳为准）。送或寄的地址为：</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启东市林洋路377号皇冠假日酒店501室</w:t>
      </w:r>
      <w:r>
        <w:rPr>
          <w:rStyle w:val="7"/>
          <w:rFonts w:hint="eastAsia" w:ascii="宋体" w:hAnsi="宋体" w:eastAsia="宋体" w:cs="仿宋"/>
          <w:color w:val="000000" w:themeColor="text1"/>
          <w:kern w:val="0"/>
          <w:sz w:val="24"/>
          <w:szCs w:val="24"/>
          <w:highlight w:val="none"/>
          <w14:textFill>
            <w14:solidFill>
              <w14:schemeClr w14:val="tx1"/>
            </w14:solidFill>
          </w14:textFill>
        </w:rPr>
        <w:t>，联系人：</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顾工</w:t>
      </w:r>
      <w:r>
        <w:rPr>
          <w:rStyle w:val="7"/>
          <w:rFonts w:hint="eastAsia" w:ascii="宋体" w:hAnsi="宋体" w:eastAsia="宋体" w:cs="仿宋"/>
          <w:color w:val="000000" w:themeColor="text1"/>
          <w:kern w:val="0"/>
          <w:sz w:val="24"/>
          <w:szCs w:val="24"/>
          <w:highlight w:val="none"/>
          <w14:textFill>
            <w14:solidFill>
              <w14:schemeClr w14:val="tx1"/>
            </w14:solidFill>
          </w14:textFill>
        </w:rPr>
        <w:t>，联系电话：</w:t>
      </w: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0513-83109381，邮箱：484304952@qq.com</w:t>
      </w:r>
      <w:r>
        <w:rPr>
          <w:rStyle w:val="7"/>
          <w:rFonts w:hint="eastAsia" w:ascii="宋体" w:hAnsi="宋体" w:eastAsia="宋体" w:cs="仿宋"/>
          <w:color w:val="000000" w:themeColor="text1"/>
          <w:kern w:val="0"/>
          <w:sz w:val="24"/>
          <w:szCs w:val="24"/>
          <w:highlight w:val="none"/>
          <w14:textFill>
            <w14:solidFill>
              <w14:schemeClr w14:val="tx1"/>
            </w14:solidFill>
          </w14:textFill>
        </w:rPr>
        <w:t>。</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2.报价单位须提供营业执照。</w:t>
      </w:r>
    </w:p>
    <w:p>
      <w:pPr>
        <w:adjustRightInd w:val="0"/>
        <w:snapToGrid w:val="0"/>
        <w:spacing w:line="480" w:lineRule="exact"/>
        <w:ind w:right="-57" w:rightChars="-27" w:firstLine="566" w:firstLineChars="236"/>
        <w:jc w:val="left"/>
        <w:textAlignment w:val="auto"/>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pPr>
      <w:r>
        <w:rPr>
          <w:rStyle w:val="7"/>
          <w:rFonts w:hint="eastAsia" w:ascii="宋体" w:hAnsi="宋体" w:eastAsia="宋体" w:cs="仿宋"/>
          <w:color w:val="000000" w:themeColor="text1"/>
          <w:kern w:val="0"/>
          <w:sz w:val="24"/>
          <w:szCs w:val="24"/>
          <w:highlight w:val="none"/>
          <w:lang w:val="en-US" w:eastAsia="zh-CN"/>
          <w14:textFill>
            <w14:solidFill>
              <w14:schemeClr w14:val="tx1"/>
            </w14:solidFill>
          </w14:textFill>
        </w:rPr>
        <w:t>3.其他：（1）请报价单位认真核算、如实报价；（2）本次报价仅作为市场调研用，因此价格仅供参考；（3）本次调研询价不接收质疑函，只接收对本项目的建议。</w:t>
      </w:r>
    </w:p>
    <w:p>
      <w:pPr>
        <w:widowControl w:val="0"/>
        <w:adjustRightInd w:val="0"/>
        <w:snapToGrid w:val="0"/>
        <w:spacing w:line="480" w:lineRule="exact"/>
        <w:ind w:right="-97"/>
        <w:jc w:val="right"/>
        <w:textAlignment w:val="auto"/>
        <w:rPr>
          <w:rFonts w:hint="eastAsia" w:ascii="宋体" w:hAnsi="宋体" w:cs="Courier New"/>
          <w:color w:val="000000" w:themeColor="text1"/>
          <w:sz w:val="24"/>
          <w:szCs w:val="24"/>
          <w:highlight w:val="none"/>
          <w14:textFill>
            <w14:solidFill>
              <w14:schemeClr w14:val="tx1"/>
            </w14:solidFill>
          </w14:textFill>
        </w:rPr>
      </w:pPr>
    </w:p>
    <w:p>
      <w:pPr>
        <w:widowControl w:val="0"/>
        <w:adjustRightInd w:val="0"/>
        <w:snapToGrid w:val="0"/>
        <w:spacing w:line="480" w:lineRule="exact"/>
        <w:ind w:right="-97"/>
        <w:jc w:val="right"/>
        <w:textAlignment w:val="auto"/>
        <w:rPr>
          <w:rFonts w:hint="eastAsia"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南通晟飞智能科技有限公司</w:t>
      </w:r>
    </w:p>
    <w:p>
      <w:pPr>
        <w:widowControl w:val="0"/>
        <w:adjustRightInd w:val="0"/>
        <w:snapToGrid w:val="0"/>
        <w:spacing w:line="480" w:lineRule="exact"/>
        <w:ind w:right="-97"/>
        <w:jc w:val="right"/>
        <w:textAlignment w:val="auto"/>
        <w:rPr>
          <w:rFonts w:ascii="宋体" w:hAnsi="宋体" w:cs="Courier New"/>
          <w:color w:val="000000" w:themeColor="text1"/>
          <w:sz w:val="24"/>
          <w:szCs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宋体" w:hAnsi="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hint="eastAsia" w:ascii="宋体" w:hAnsi="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1 </w:t>
      </w:r>
      <w:r>
        <w:rPr>
          <w:rFonts w:hint="eastAsia" w:ascii="宋体" w:hAnsi="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30 </w:t>
      </w:r>
      <w:r>
        <w:rPr>
          <w:rFonts w:hint="eastAsia" w:ascii="宋体" w:hAnsi="宋体" w:cs="Courier New"/>
          <w:color w:val="000000" w:themeColor="text1"/>
          <w:sz w:val="24"/>
          <w:szCs w:val="24"/>
          <w:highlight w:val="none"/>
          <w14:textFill>
            <w14:solidFill>
              <w14:schemeClr w14:val="tx1"/>
            </w14:solidFill>
          </w14:textFill>
        </w:rPr>
        <w:t>日</w:t>
      </w:r>
    </w:p>
    <w:p>
      <w:pPr>
        <w:spacing w:line="440" w:lineRule="exact"/>
        <w:ind w:right="-57" w:rightChars="-27"/>
        <w:jc w:val="center"/>
        <w:textAlignment w:val="auto"/>
        <w:rPr>
          <w:rFonts w:hint="eastAsia" w:ascii="宋体" w:hAnsi="宋体"/>
          <w:b/>
          <w:bCs/>
          <w:sz w:val="30"/>
          <w:szCs w:val="30"/>
        </w:rPr>
      </w:pPr>
      <w:r>
        <w:rPr>
          <w:rFonts w:hint="eastAsia" w:ascii="宋体" w:hAnsi="宋体"/>
          <w:b/>
          <w:bCs/>
          <w:sz w:val="30"/>
          <w:szCs w:val="30"/>
        </w:rPr>
        <w:t>无人机侦测反制指挥车采购项目</w:t>
      </w:r>
    </w:p>
    <w:p>
      <w:pPr>
        <w:spacing w:line="440" w:lineRule="exact"/>
        <w:ind w:right="-57" w:rightChars="-27"/>
        <w:jc w:val="center"/>
        <w:textAlignment w:val="auto"/>
        <w:rPr>
          <w:rFonts w:ascii="宋体" w:hAnsi="宋体"/>
          <w:b/>
          <w:bCs/>
          <w:sz w:val="30"/>
          <w:szCs w:val="30"/>
        </w:rPr>
      </w:pPr>
      <w:r>
        <w:rPr>
          <w:rFonts w:hint="eastAsia" w:ascii="宋体" w:hAnsi="宋体"/>
          <w:b/>
          <w:bCs/>
          <w:sz w:val="30"/>
          <w:szCs w:val="30"/>
        </w:rPr>
        <w:t>报价表</w:t>
      </w:r>
    </w:p>
    <w:p>
      <w:pPr>
        <w:pStyle w:val="8"/>
        <w:jc w:val="both"/>
        <w:rPr>
          <w:rFonts w:ascii="宋体" w:hAnsi="宋体" w:eastAsia="宋体" w:cs="宋体"/>
          <w:color w:val="auto"/>
          <w:shd w:val="clear" w:color="auto" w:fill="FFFFFF"/>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3383"/>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29" w:type="pct"/>
            <w:noWrap w:val="0"/>
            <w:vAlign w:val="center"/>
          </w:tcPr>
          <w:p>
            <w:pPr>
              <w:pStyle w:val="8"/>
              <w:jc w:val="center"/>
              <w:rPr>
                <w:rFonts w:hint="eastAsia" w:ascii="宋体" w:hAnsi="宋体" w:eastAsia="宋体" w:cs="宋体"/>
                <w:b/>
                <w:bCs/>
                <w:color w:val="auto"/>
                <w:shd w:val="clear" w:color="auto" w:fill="FFFFFF"/>
                <w:vertAlign w:val="baseline"/>
                <w:lang w:val="en-US" w:eastAsia="zh-CN"/>
              </w:rPr>
            </w:pPr>
            <w:r>
              <w:rPr>
                <w:rFonts w:hint="eastAsia" w:ascii="宋体" w:hAnsi="宋体" w:eastAsia="宋体" w:cs="宋体"/>
                <w:b/>
                <w:bCs/>
                <w:color w:val="auto"/>
                <w:shd w:val="clear" w:color="auto" w:fill="FFFFFF"/>
                <w:vertAlign w:val="baseline"/>
                <w:lang w:val="en-US" w:eastAsia="zh-CN"/>
              </w:rPr>
              <w:t>序号</w:t>
            </w:r>
          </w:p>
        </w:tc>
        <w:tc>
          <w:tcPr>
            <w:tcW w:w="1985" w:type="pct"/>
            <w:noWrap w:val="0"/>
            <w:vAlign w:val="center"/>
          </w:tcPr>
          <w:p>
            <w:pPr>
              <w:pStyle w:val="8"/>
              <w:jc w:val="center"/>
              <w:rPr>
                <w:rFonts w:hint="default" w:ascii="宋体" w:hAnsi="宋体" w:eastAsia="宋体" w:cs="宋体"/>
                <w:b/>
                <w:bCs/>
                <w:color w:val="auto"/>
                <w:shd w:val="clear" w:color="auto" w:fill="FFFFFF"/>
                <w:vertAlign w:val="baseline"/>
                <w:lang w:val="en-US" w:eastAsia="zh-CN"/>
              </w:rPr>
            </w:pPr>
            <w:r>
              <w:rPr>
                <w:rFonts w:hint="eastAsia" w:ascii="宋体" w:hAnsi="宋体" w:eastAsia="宋体" w:cs="宋体"/>
                <w:b/>
                <w:bCs/>
                <w:color w:val="auto"/>
                <w:shd w:val="clear" w:color="auto" w:fill="FFFFFF"/>
                <w:vertAlign w:val="baseline"/>
                <w:lang w:val="en-US" w:eastAsia="zh-CN"/>
              </w:rPr>
              <w:t>项目内容</w:t>
            </w:r>
          </w:p>
        </w:tc>
        <w:tc>
          <w:tcPr>
            <w:tcW w:w="2484" w:type="pct"/>
            <w:noWrap w:val="0"/>
            <w:vAlign w:val="center"/>
          </w:tcPr>
          <w:p>
            <w:pPr>
              <w:pStyle w:val="8"/>
              <w:jc w:val="center"/>
              <w:rPr>
                <w:rFonts w:hint="eastAsia" w:ascii="宋体" w:hAnsi="宋体" w:eastAsia="宋体" w:cs="宋体"/>
                <w:b/>
                <w:bCs/>
                <w:color w:val="auto"/>
                <w:shd w:val="clear" w:color="auto" w:fill="FFFFFF"/>
                <w:vertAlign w:val="baseline"/>
                <w:lang w:val="en-US" w:eastAsia="zh-CN"/>
              </w:rPr>
            </w:pPr>
            <w:r>
              <w:rPr>
                <w:rFonts w:hint="eastAsia" w:ascii="宋体" w:hAnsi="宋体" w:eastAsia="宋体" w:cs="宋体"/>
                <w:b/>
                <w:bCs/>
                <w:color w:val="auto"/>
                <w:shd w:val="clear" w:color="auto" w:fill="FFFFFF"/>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529" w:type="pct"/>
            <w:noWrap w:val="0"/>
            <w:vAlign w:val="center"/>
          </w:tcPr>
          <w:p>
            <w:pPr>
              <w:pStyle w:val="8"/>
              <w:jc w:val="center"/>
              <w:rPr>
                <w:rFonts w:hint="eastAsia" w:ascii="宋体" w:hAnsi="宋体" w:eastAsia="宋体" w:cs="宋体"/>
                <w:color w:val="auto"/>
                <w:shd w:val="clear" w:color="auto" w:fill="FFFFFF"/>
                <w:vertAlign w:val="baseline"/>
                <w:lang w:val="en-US" w:eastAsia="zh-CN"/>
              </w:rPr>
            </w:pPr>
            <w:r>
              <w:rPr>
                <w:rFonts w:hint="eastAsia" w:ascii="宋体" w:hAnsi="宋体" w:eastAsia="宋体" w:cs="宋体"/>
                <w:color w:val="auto"/>
                <w:shd w:val="clear" w:color="auto" w:fill="FFFFFF"/>
                <w:vertAlign w:val="baseline"/>
                <w:lang w:val="en-US" w:eastAsia="zh-CN"/>
              </w:rPr>
              <w:t>1</w:t>
            </w:r>
          </w:p>
        </w:tc>
        <w:tc>
          <w:tcPr>
            <w:tcW w:w="1985" w:type="pct"/>
            <w:noWrap w:val="0"/>
            <w:vAlign w:val="center"/>
          </w:tcPr>
          <w:p>
            <w:pPr>
              <w:pStyle w:val="8"/>
              <w:jc w:val="center"/>
              <w:rPr>
                <w:rFonts w:hint="default" w:ascii="宋体" w:hAnsi="宋体" w:eastAsia="宋体" w:cs="宋体"/>
                <w:color w:val="auto"/>
                <w:shd w:val="clear" w:color="auto" w:fill="FFFFFF"/>
                <w:vertAlign w:val="baseline"/>
                <w:lang w:val="en-US" w:eastAsia="zh-CN"/>
              </w:rPr>
            </w:pPr>
            <w:r>
              <w:rPr>
                <w:rFonts w:hint="default" w:ascii="宋体" w:hAnsi="宋体" w:eastAsia="宋体" w:cs="宋体"/>
                <w:color w:val="auto"/>
                <w:shd w:val="clear" w:color="auto" w:fill="FFFFFF"/>
                <w:vertAlign w:val="baseline"/>
                <w:lang w:val="en-US" w:eastAsia="zh-CN"/>
              </w:rPr>
              <w:t>无人机侦测反制指挥车采购项目</w:t>
            </w:r>
          </w:p>
        </w:tc>
        <w:tc>
          <w:tcPr>
            <w:tcW w:w="2484" w:type="pct"/>
            <w:noWrap w:val="0"/>
            <w:vAlign w:val="center"/>
          </w:tcPr>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shd w:val="clear" w:color="auto" w:fill="FFFFFF"/>
                <w:vertAlign w:val="baseline"/>
                <w:lang w:val="en-US" w:eastAsia="zh-CN"/>
              </w:rPr>
            </w:pPr>
            <w:r>
              <w:rPr>
                <w:rFonts w:hint="eastAsia" w:ascii="宋体" w:hAnsi="宋体" w:eastAsia="宋体" w:cs="宋体"/>
                <w:color w:val="auto"/>
                <w:shd w:val="clear" w:color="auto" w:fill="FFFFFF"/>
                <w:vertAlign w:val="baseline"/>
                <w:lang w:val="en-US" w:eastAsia="zh-CN"/>
              </w:rPr>
              <w:t>大写：</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宋体" w:hAnsi="宋体" w:eastAsia="宋体" w:cs="宋体"/>
                <w:color w:val="auto"/>
                <w:shd w:val="clear" w:color="auto" w:fill="FFFFFF"/>
                <w:vertAlign w:val="baseline"/>
                <w:lang w:val="en-US" w:eastAsia="zh-CN"/>
              </w:rPr>
            </w:pPr>
            <w:r>
              <w:rPr>
                <w:rFonts w:hint="eastAsia" w:ascii="宋体" w:hAnsi="宋体" w:eastAsia="宋体" w:cs="宋体"/>
                <w:color w:val="auto"/>
                <w:shd w:val="clear" w:color="auto" w:fill="FFFFFF"/>
                <w:vertAlign w:val="baseline"/>
                <w:lang w:val="en-US" w:eastAsia="zh-CN"/>
              </w:rPr>
              <w:t>小写：</w:t>
            </w:r>
          </w:p>
        </w:tc>
      </w:tr>
    </w:tbl>
    <w:p>
      <w:pPr>
        <w:widowControl w:val="0"/>
        <w:snapToGrid w:val="0"/>
        <w:spacing w:line="500" w:lineRule="exact"/>
        <w:ind w:right="-97"/>
        <w:textAlignment w:val="auto"/>
        <w:rPr>
          <w:rFonts w:hint="default" w:ascii="宋体" w:hAnsi="宋体" w:eastAsia="宋体"/>
          <w:b/>
          <w:bCs/>
          <w:sz w:val="28"/>
          <w:szCs w:val="28"/>
          <w:lang w:val="en-US" w:eastAsia="zh-CN"/>
        </w:rPr>
      </w:pPr>
      <w:r>
        <w:rPr>
          <w:rFonts w:hint="eastAsia" w:ascii="宋体" w:hAnsi="宋体"/>
          <w:b/>
          <w:bCs/>
          <w:sz w:val="28"/>
          <w:szCs w:val="28"/>
          <w:lang w:val="en-US" w:eastAsia="zh-CN"/>
        </w:rPr>
        <w:t>注：请附报价表明细。</w:t>
      </w:r>
    </w:p>
    <w:p>
      <w:pPr>
        <w:widowControl w:val="0"/>
        <w:snapToGrid w:val="0"/>
        <w:spacing w:line="500" w:lineRule="exact"/>
        <w:ind w:right="-97"/>
        <w:textAlignment w:val="auto"/>
        <w:rPr>
          <w:rFonts w:hint="eastAsia" w:ascii="宋体" w:hAnsi="宋体"/>
          <w:sz w:val="28"/>
          <w:szCs w:val="28"/>
        </w:rPr>
      </w:pPr>
    </w:p>
    <w:p>
      <w:pPr>
        <w:widowControl w:val="0"/>
        <w:snapToGrid w:val="0"/>
        <w:spacing w:line="500" w:lineRule="exact"/>
        <w:ind w:right="-97"/>
        <w:textAlignment w:val="auto"/>
        <w:rPr>
          <w:rFonts w:ascii="宋体" w:hAnsi="宋体"/>
          <w:sz w:val="28"/>
          <w:szCs w:val="28"/>
        </w:rPr>
      </w:pPr>
      <w:r>
        <w:rPr>
          <w:rFonts w:hint="eastAsia" w:ascii="宋体" w:hAnsi="宋体"/>
          <w:sz w:val="28"/>
          <w:szCs w:val="28"/>
        </w:rPr>
        <w:t>报价人（盖章）：</w:t>
      </w:r>
    </w:p>
    <w:p>
      <w:pPr>
        <w:widowControl w:val="0"/>
        <w:snapToGrid w:val="0"/>
        <w:spacing w:line="500" w:lineRule="exact"/>
        <w:ind w:right="-97"/>
        <w:textAlignment w:val="auto"/>
        <w:rPr>
          <w:rFonts w:ascii="宋体" w:hAnsi="宋体"/>
          <w:sz w:val="28"/>
          <w:szCs w:val="28"/>
        </w:rPr>
      </w:pPr>
      <w:r>
        <w:rPr>
          <w:rFonts w:hint="eastAsia" w:ascii="宋体" w:hAnsi="宋体"/>
          <w:sz w:val="28"/>
          <w:szCs w:val="28"/>
        </w:rPr>
        <w:t>联系人：</w:t>
      </w:r>
    </w:p>
    <w:p>
      <w:pPr>
        <w:widowControl w:val="0"/>
        <w:snapToGrid w:val="0"/>
        <w:spacing w:line="500" w:lineRule="exact"/>
        <w:ind w:right="-97"/>
        <w:textAlignment w:val="auto"/>
        <w:rPr>
          <w:rFonts w:ascii="宋体" w:hAnsi="宋体"/>
          <w:sz w:val="28"/>
          <w:szCs w:val="28"/>
        </w:rPr>
      </w:pPr>
      <w:r>
        <w:rPr>
          <w:rFonts w:hint="eastAsia" w:ascii="宋体" w:hAnsi="宋体"/>
          <w:sz w:val="28"/>
          <w:szCs w:val="28"/>
        </w:rPr>
        <w:t>联系方式：</w:t>
      </w:r>
    </w:p>
    <w:p>
      <w:pPr>
        <w:pStyle w:val="9"/>
        <w:ind w:right="-97" w:firstLine="0" w:firstLineChars="0"/>
      </w:pPr>
      <w:r>
        <w:rPr>
          <w:rFonts w:hint="eastAsia" w:ascii="宋体" w:hAnsi="宋体"/>
          <w:sz w:val="28"/>
          <w:szCs w:val="28"/>
        </w:rPr>
        <w:t>日期：     年    月   日</w:t>
      </w:r>
    </w:p>
    <w:p/>
    <w:p>
      <w:pPr>
        <w:pStyle w:val="9"/>
        <w:ind w:right="-97" w:firstLine="0" w:firstLineChars="0"/>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DADA6"/>
    <w:multiLevelType w:val="singleLevel"/>
    <w:tmpl w:val="D58DAD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76ED7A62"/>
    <w:rsid w:val="00972E9E"/>
    <w:rsid w:val="01363F3B"/>
    <w:rsid w:val="01AB1086"/>
    <w:rsid w:val="034A3564"/>
    <w:rsid w:val="03655DEA"/>
    <w:rsid w:val="03993BA4"/>
    <w:rsid w:val="048B7787"/>
    <w:rsid w:val="06C21663"/>
    <w:rsid w:val="080D4B60"/>
    <w:rsid w:val="082F4AD6"/>
    <w:rsid w:val="08CB4946"/>
    <w:rsid w:val="0ABB6AF5"/>
    <w:rsid w:val="0AF838A6"/>
    <w:rsid w:val="0BCD4D32"/>
    <w:rsid w:val="0E032C8D"/>
    <w:rsid w:val="0FC63535"/>
    <w:rsid w:val="10A2678D"/>
    <w:rsid w:val="10A73DA4"/>
    <w:rsid w:val="11511F61"/>
    <w:rsid w:val="124675EC"/>
    <w:rsid w:val="13AF3F9D"/>
    <w:rsid w:val="14665D24"/>
    <w:rsid w:val="14D00968"/>
    <w:rsid w:val="15DF7B3C"/>
    <w:rsid w:val="166C4E41"/>
    <w:rsid w:val="17962190"/>
    <w:rsid w:val="18266C21"/>
    <w:rsid w:val="19346AA8"/>
    <w:rsid w:val="1BA01B1B"/>
    <w:rsid w:val="1BC81072"/>
    <w:rsid w:val="1C1D5257"/>
    <w:rsid w:val="1D76522A"/>
    <w:rsid w:val="1E911BEF"/>
    <w:rsid w:val="25F5515A"/>
    <w:rsid w:val="25FB38F6"/>
    <w:rsid w:val="269C7383"/>
    <w:rsid w:val="27DD40F7"/>
    <w:rsid w:val="28697739"/>
    <w:rsid w:val="2AA35184"/>
    <w:rsid w:val="2CF25F4F"/>
    <w:rsid w:val="2D04395D"/>
    <w:rsid w:val="2F7964B4"/>
    <w:rsid w:val="30F06C49"/>
    <w:rsid w:val="3115588C"/>
    <w:rsid w:val="32AA2E28"/>
    <w:rsid w:val="336D4581"/>
    <w:rsid w:val="33B10912"/>
    <w:rsid w:val="34C56129"/>
    <w:rsid w:val="35F40F8A"/>
    <w:rsid w:val="36A337EF"/>
    <w:rsid w:val="36AA1648"/>
    <w:rsid w:val="37333505"/>
    <w:rsid w:val="376165F4"/>
    <w:rsid w:val="37EC6872"/>
    <w:rsid w:val="3A422957"/>
    <w:rsid w:val="3BAD2186"/>
    <w:rsid w:val="3BE71373"/>
    <w:rsid w:val="3CCD42E3"/>
    <w:rsid w:val="3CEE2AEC"/>
    <w:rsid w:val="3D4A5933"/>
    <w:rsid w:val="3DC456E6"/>
    <w:rsid w:val="3DF53AF1"/>
    <w:rsid w:val="3FE14CD5"/>
    <w:rsid w:val="41175B2C"/>
    <w:rsid w:val="41AD023F"/>
    <w:rsid w:val="427C033D"/>
    <w:rsid w:val="449A71A0"/>
    <w:rsid w:val="44F3240C"/>
    <w:rsid w:val="45BD1AB1"/>
    <w:rsid w:val="45F51441"/>
    <w:rsid w:val="46A74554"/>
    <w:rsid w:val="46D71FE6"/>
    <w:rsid w:val="483D231C"/>
    <w:rsid w:val="492C4DD3"/>
    <w:rsid w:val="4A676737"/>
    <w:rsid w:val="4B1B446B"/>
    <w:rsid w:val="4B3519D1"/>
    <w:rsid w:val="4C9D1F42"/>
    <w:rsid w:val="4D153868"/>
    <w:rsid w:val="4D77007F"/>
    <w:rsid w:val="4F622668"/>
    <w:rsid w:val="5031471C"/>
    <w:rsid w:val="50947199"/>
    <w:rsid w:val="509B4084"/>
    <w:rsid w:val="51DF61F2"/>
    <w:rsid w:val="526C4F83"/>
    <w:rsid w:val="54295E4B"/>
    <w:rsid w:val="54352A41"/>
    <w:rsid w:val="55304E07"/>
    <w:rsid w:val="554967A4"/>
    <w:rsid w:val="555965DF"/>
    <w:rsid w:val="55C4407D"/>
    <w:rsid w:val="578E03C5"/>
    <w:rsid w:val="57A04676"/>
    <w:rsid w:val="57DA7B88"/>
    <w:rsid w:val="58DF2F7C"/>
    <w:rsid w:val="5A902780"/>
    <w:rsid w:val="5D3C099D"/>
    <w:rsid w:val="5D685981"/>
    <w:rsid w:val="5D8A5BAC"/>
    <w:rsid w:val="5E2913B0"/>
    <w:rsid w:val="5F27742B"/>
    <w:rsid w:val="60932419"/>
    <w:rsid w:val="60F17CF0"/>
    <w:rsid w:val="61113EEE"/>
    <w:rsid w:val="61BA6334"/>
    <w:rsid w:val="61C80487"/>
    <w:rsid w:val="62DB5668"/>
    <w:rsid w:val="63CB65D6"/>
    <w:rsid w:val="648053BF"/>
    <w:rsid w:val="64F41B5D"/>
    <w:rsid w:val="652555E7"/>
    <w:rsid w:val="66325157"/>
    <w:rsid w:val="664A1A2C"/>
    <w:rsid w:val="67EB7247"/>
    <w:rsid w:val="684734A4"/>
    <w:rsid w:val="6A25736F"/>
    <w:rsid w:val="6BAF4A30"/>
    <w:rsid w:val="6C8B0FF9"/>
    <w:rsid w:val="6D995997"/>
    <w:rsid w:val="6E1F40EF"/>
    <w:rsid w:val="6E1F7C4B"/>
    <w:rsid w:val="6E6B2E90"/>
    <w:rsid w:val="6F453775"/>
    <w:rsid w:val="71080E6A"/>
    <w:rsid w:val="722C6761"/>
    <w:rsid w:val="72F86CBC"/>
    <w:rsid w:val="73027B3B"/>
    <w:rsid w:val="731C0BFD"/>
    <w:rsid w:val="7429310C"/>
    <w:rsid w:val="754D68B1"/>
    <w:rsid w:val="760140DA"/>
    <w:rsid w:val="76ED7A62"/>
    <w:rsid w:val="773329B9"/>
    <w:rsid w:val="774150D6"/>
    <w:rsid w:val="791F31F5"/>
    <w:rsid w:val="7A9F4612"/>
    <w:rsid w:val="7B6F1AE6"/>
    <w:rsid w:val="7BEE6EAE"/>
    <w:rsid w:val="7D906276"/>
    <w:rsid w:val="7E4234E1"/>
    <w:rsid w:val="7E527BC8"/>
    <w:rsid w:val="7EFC7B34"/>
    <w:rsid w:val="7F17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cs="宋体"/>
      <w:b/>
      <w:bCs/>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qFormat/>
    <w:uiPriority w:val="99"/>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List Paragraph"/>
    <w:basedOn w:val="1"/>
    <w:autoRedefine/>
    <w:qFormat/>
    <w:uiPriority w:val="99"/>
    <w:pPr>
      <w:ind w:firstLine="420" w:firstLineChars="200"/>
    </w:pPr>
    <w:rPr>
      <w:kern w:val="0"/>
      <w:sz w:val="20"/>
      <w:szCs w:val="20"/>
    </w:rPr>
  </w:style>
  <w:style w:type="character" w:customStyle="1" w:styleId="10">
    <w:name w:val="font31"/>
    <w:basedOn w:val="6"/>
    <w:qFormat/>
    <w:uiPriority w:val="0"/>
    <w:rPr>
      <w:rFonts w:hint="eastAsia" w:ascii="宋体" w:hAnsi="宋体" w:eastAsia="宋体" w:cs="宋体"/>
      <w:b/>
      <w:bCs/>
      <w:color w:val="E54C5E"/>
      <w:sz w:val="18"/>
      <w:szCs w:val="18"/>
      <w:u w:val="none"/>
    </w:rPr>
  </w:style>
  <w:style w:type="character" w:customStyle="1" w:styleId="11">
    <w:name w:val="font21"/>
    <w:basedOn w:val="6"/>
    <w:autoRedefine/>
    <w:qFormat/>
    <w:uiPriority w:val="0"/>
    <w:rPr>
      <w:rFonts w:hint="eastAsia" w:ascii="宋体" w:hAnsi="宋体" w:eastAsia="宋体" w:cs="宋体"/>
      <w:color w:val="000000"/>
      <w:sz w:val="18"/>
      <w:szCs w:val="18"/>
      <w:u w:val="none"/>
    </w:rPr>
  </w:style>
  <w:style w:type="character" w:customStyle="1" w:styleId="12">
    <w:name w:val="font41"/>
    <w:basedOn w:val="6"/>
    <w:qFormat/>
    <w:uiPriority w:val="0"/>
    <w:rPr>
      <w:rFonts w:hint="eastAsia" w:ascii="宋体" w:hAnsi="宋体" w:eastAsia="宋体" w:cs="宋体"/>
      <w:color w:val="FF0000"/>
      <w:sz w:val="18"/>
      <w:szCs w:val="18"/>
      <w:u w:val="none"/>
    </w:rPr>
  </w:style>
  <w:style w:type="character" w:customStyle="1" w:styleId="13">
    <w:name w:val="font51"/>
    <w:basedOn w:val="6"/>
    <w:qFormat/>
    <w:uiPriority w:val="0"/>
    <w:rPr>
      <w:rFonts w:hint="eastAsia" w:ascii="宋体" w:hAnsi="宋体" w:eastAsia="宋体" w:cs="宋体"/>
      <w:color w:val="E54C5E"/>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12200</Words>
  <Characters>14093</Characters>
  <Lines>0</Lines>
  <Paragraphs>0</Paragraphs>
  <TotalTime>14</TotalTime>
  <ScaleCrop>false</ScaleCrop>
  <LinksUpToDate>false</LinksUpToDate>
  <CharactersWithSpaces>14434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2026-01-29T06:08:00Z</dcterms:created>
  <dc:creator>Ugly Betty</dc:creator>
  <cp:lastModifiedBy>微微</cp:lastModifiedBy>
  <dcterms:modified xsi:type="dcterms:W3CDTF">2026-01-30T09:43:45Z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C5839DC2297B4A5E8148067087A8A926_11</vt:lpwstr>
  </property>
  <property fmtid="{D5CDD505-2E9C-101B-9397-08002B2CF9AE}" pid="4" name="KSOTemplateDocerSaveRecord">
    <vt:lpwstr>eyJoZGlkIjoiZDUzMzlmYzRjZWUzY2RiZDI2ZThlZmRiNGIzNTI2MjUiLCJ1c2VySWQiOiI0ODc5MjUyOTMifQ==</vt:lpwstr>
  </property>
</Properties>
</file>