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宋体" w:hAnsi="宋体"/>
        </w:rPr>
      </w:pPr>
      <w:bookmarkStart w:id="0" w:name="OLE_LINK1"/>
    </w:p>
    <w:p>
      <w:pPr>
        <w:autoSpaceDE w:val="0"/>
        <w:autoSpaceDN w:val="0"/>
        <w:adjustRightInd w:val="0"/>
        <w:spacing w:line="1000" w:lineRule="exact"/>
        <w:jc w:val="center"/>
        <w:rPr>
          <w:rFonts w:hint="eastAsia" w:ascii="宋体" w:hAnsi="宋体"/>
          <w:b/>
          <w:bCs/>
          <w:sz w:val="96"/>
          <w:szCs w:val="96"/>
        </w:rPr>
      </w:pPr>
    </w:p>
    <w:p>
      <w:pPr>
        <w:autoSpaceDE w:val="0"/>
        <w:autoSpaceDN w:val="0"/>
        <w:adjustRightInd w:val="0"/>
        <w:spacing w:line="1000" w:lineRule="exact"/>
        <w:jc w:val="center"/>
        <w:rPr>
          <w:rFonts w:hint="eastAsia" w:ascii="宋体" w:hAnsi="宋体"/>
          <w:b/>
          <w:bCs/>
          <w:sz w:val="96"/>
          <w:szCs w:val="96"/>
          <w:lang w:val="zh-CN"/>
        </w:rPr>
      </w:pPr>
      <w:r>
        <w:rPr>
          <w:rFonts w:hint="eastAsia" w:ascii="宋体" w:hAnsi="宋体"/>
          <w:b/>
          <w:bCs/>
          <w:sz w:val="96"/>
          <w:szCs w:val="96"/>
        </w:rPr>
        <w:t>国企采购</w:t>
      </w:r>
      <w:r>
        <w:rPr>
          <w:rFonts w:hint="eastAsia" w:ascii="宋体" w:hAnsi="宋体"/>
          <w:b/>
          <w:bCs/>
          <w:sz w:val="96"/>
          <w:szCs w:val="96"/>
          <w:lang w:val="en-US" w:eastAsia="zh-CN"/>
        </w:rPr>
        <w:t>询价</w:t>
      </w:r>
      <w:r>
        <w:rPr>
          <w:rFonts w:hint="eastAsia" w:ascii="宋体" w:hAnsi="宋体"/>
          <w:b/>
          <w:bCs/>
          <w:sz w:val="96"/>
          <w:szCs w:val="96"/>
          <w:lang w:val="zh-CN"/>
        </w:rPr>
        <w:t>文件</w:t>
      </w:r>
    </w:p>
    <w:p>
      <w:pPr>
        <w:spacing w:line="500" w:lineRule="exact"/>
        <w:ind w:left="1810" w:leftChars="860" w:hanging="4" w:hangingChars="1"/>
        <w:jc w:val="left"/>
        <w:rPr>
          <w:rFonts w:hint="eastAsia" w:ascii="宋体" w:hAnsi="宋体"/>
          <w:b/>
          <w:kern w:val="0"/>
          <w:sz w:val="36"/>
          <w:szCs w:val="36"/>
        </w:rPr>
      </w:pPr>
    </w:p>
    <w:p>
      <w:pPr>
        <w:spacing w:line="500" w:lineRule="exact"/>
        <w:ind w:left="1810" w:leftChars="860" w:hanging="4" w:hangingChars="1"/>
        <w:jc w:val="left"/>
        <w:rPr>
          <w:rFonts w:hint="eastAsia" w:ascii="宋体" w:hAnsi="宋体"/>
          <w:b/>
          <w:kern w:val="0"/>
          <w:sz w:val="36"/>
          <w:szCs w:val="36"/>
        </w:rPr>
      </w:pPr>
    </w:p>
    <w:p>
      <w:pPr>
        <w:pStyle w:val="9"/>
        <w:rPr>
          <w:rFonts w:hint="eastAsia"/>
        </w:rPr>
      </w:pPr>
    </w:p>
    <w:p>
      <w:pPr>
        <w:rPr>
          <w:rFonts w:hint="eastAsia"/>
        </w:rPr>
      </w:pPr>
    </w:p>
    <w:p>
      <w:pPr>
        <w:pStyle w:val="44"/>
        <w:rPr>
          <w:rFonts w:hint="eastAsia"/>
        </w:rPr>
      </w:pPr>
    </w:p>
    <w:p>
      <w:pPr>
        <w:pStyle w:val="18"/>
        <w:widowControl/>
        <w:spacing w:line="360" w:lineRule="auto"/>
        <w:ind w:left="2159" w:leftChars="171" w:hanging="1800" w:hangingChars="500"/>
        <w:rPr>
          <w:rFonts w:hint="eastAsia" w:ascii="宋体" w:hAnsi="宋体" w:eastAsia="宋体"/>
          <w:sz w:val="36"/>
          <w:szCs w:val="36"/>
          <w:lang w:eastAsia="zh-CN"/>
        </w:rPr>
      </w:pPr>
      <w:r>
        <w:rPr>
          <w:rFonts w:hint="eastAsia" w:ascii="宋体" w:hAnsi="宋体"/>
          <w:sz w:val="36"/>
          <w:szCs w:val="36"/>
        </w:rPr>
        <w:t>项目名称：</w:t>
      </w:r>
      <w:r>
        <w:rPr>
          <w:rFonts w:hint="eastAsia"/>
          <w:sz w:val="36"/>
          <w:szCs w:val="36"/>
          <w:lang w:eastAsia="zh-CN"/>
        </w:rPr>
        <w:t>南通港吕四港区吕四作业区西港池港口支持系统工程岸电采购项目</w:t>
      </w:r>
    </w:p>
    <w:p>
      <w:pPr>
        <w:keepNext/>
        <w:keepLines/>
        <w:autoSpaceDE w:val="0"/>
        <w:autoSpaceDN w:val="0"/>
        <w:adjustRightInd w:val="0"/>
        <w:spacing w:before="260" w:after="260" w:line="600" w:lineRule="exact"/>
        <w:ind w:left="2884" w:leftChars="516" w:right="210" w:hanging="1800" w:hangingChars="500"/>
        <w:outlineLvl w:val="0"/>
        <w:rPr>
          <w:rFonts w:hint="eastAsia" w:ascii="宋体" w:hAnsi="宋体"/>
          <w:sz w:val="36"/>
          <w:szCs w:val="36"/>
        </w:rPr>
      </w:pPr>
    </w:p>
    <w:p>
      <w:pPr>
        <w:pStyle w:val="9"/>
        <w:rPr>
          <w:rFonts w:hint="eastAsia" w:ascii="宋体" w:hAnsi="宋体"/>
          <w:b/>
          <w:sz w:val="36"/>
        </w:rPr>
      </w:pPr>
    </w:p>
    <w:p>
      <w:pPr>
        <w:pStyle w:val="9"/>
        <w:rPr>
          <w:rFonts w:hint="eastAsia" w:ascii="宋体" w:hAnsi="宋体"/>
          <w:b/>
          <w:sz w:val="36"/>
        </w:rPr>
      </w:pPr>
    </w:p>
    <w:p>
      <w:pPr>
        <w:rPr>
          <w:rFonts w:hint="eastAsia" w:ascii="宋体" w:hAnsi="宋体"/>
          <w:b/>
          <w:sz w:val="36"/>
        </w:rPr>
      </w:pPr>
    </w:p>
    <w:p>
      <w:pPr>
        <w:pStyle w:val="9"/>
        <w:rPr>
          <w:rFonts w:hint="eastAsia" w:ascii="宋体" w:hAnsi="宋体"/>
          <w:b/>
          <w:sz w:val="36"/>
        </w:rPr>
      </w:pPr>
    </w:p>
    <w:p>
      <w:pPr>
        <w:rPr>
          <w:rFonts w:hint="eastAsia" w:ascii="宋体" w:hAnsi="宋体"/>
          <w:b/>
          <w:sz w:val="36"/>
        </w:rPr>
      </w:pPr>
    </w:p>
    <w:p>
      <w:pPr>
        <w:pStyle w:val="9"/>
        <w:rPr>
          <w:rFonts w:hint="eastAsia"/>
        </w:rPr>
      </w:pPr>
    </w:p>
    <w:p>
      <w:pPr>
        <w:pStyle w:val="9"/>
        <w:rPr>
          <w:rFonts w:hint="eastAsia" w:ascii="宋体" w:hAnsi="宋体"/>
          <w:b/>
          <w:sz w:val="36"/>
        </w:rPr>
      </w:pPr>
    </w:p>
    <w:p>
      <w:pPr>
        <w:pStyle w:val="2"/>
        <w:ind w:left="0" w:leftChars="0" w:firstLine="0" w:firstLineChars="0"/>
        <w:rPr>
          <w:rFonts w:hint="eastAsia" w:ascii="宋体" w:hAnsi="宋体"/>
          <w:sz w:val="32"/>
        </w:rPr>
      </w:pPr>
      <w:bookmarkStart w:id="1" w:name="OLE_LINK8"/>
    </w:p>
    <w:bookmarkEnd w:id="1"/>
    <w:p>
      <w:pPr>
        <w:pStyle w:val="9"/>
        <w:rPr>
          <w:rFonts w:hint="eastAsia" w:ascii="宋体" w:hAnsi="宋体"/>
        </w:rPr>
      </w:pPr>
    </w:p>
    <w:p>
      <w:pPr>
        <w:spacing w:line="500" w:lineRule="exact"/>
        <w:jc w:val="center"/>
        <w:rPr>
          <w:rFonts w:hint="eastAsia" w:ascii="宋体" w:hAnsi="宋体" w:eastAsia="宋体"/>
          <w:b/>
          <w:sz w:val="36"/>
          <w:szCs w:val="36"/>
          <w:lang w:eastAsia="zh-CN"/>
        </w:rPr>
      </w:pPr>
      <w:r>
        <w:rPr>
          <w:rFonts w:hint="eastAsia" w:ascii="宋体" w:hAnsi="宋体"/>
          <w:b/>
          <w:sz w:val="36"/>
          <w:szCs w:val="36"/>
        </w:rPr>
        <w:tab/>
      </w:r>
      <w:r>
        <w:rPr>
          <w:rFonts w:hint="eastAsia" w:ascii="宋体" w:hAnsi="宋体"/>
          <w:b/>
          <w:sz w:val="36"/>
          <w:szCs w:val="36"/>
          <w:lang w:eastAsia="zh-CN"/>
        </w:rPr>
        <w:t>江苏吕四港集团有限公司</w:t>
      </w:r>
    </w:p>
    <w:p>
      <w:pPr>
        <w:spacing w:line="500" w:lineRule="exact"/>
        <w:jc w:val="center"/>
        <w:rPr>
          <w:rFonts w:hint="default" w:ascii="宋体" w:hAnsi="宋体" w:eastAsia="宋体"/>
          <w:b/>
          <w:sz w:val="36"/>
          <w:szCs w:val="36"/>
          <w:lang w:val="en-US" w:eastAsia="zh-CN"/>
        </w:rPr>
      </w:pPr>
      <w:r>
        <w:rPr>
          <w:rFonts w:hint="eastAsia" w:ascii="宋体" w:hAnsi="宋体"/>
          <w:b/>
          <w:sz w:val="36"/>
          <w:szCs w:val="36"/>
        </w:rPr>
        <w:t>二〇二三</w:t>
      </w:r>
      <w:r>
        <w:rPr>
          <w:rFonts w:hint="eastAsia" w:ascii="宋体" w:hAnsi="宋体"/>
          <w:b/>
          <w:sz w:val="36"/>
          <w:szCs w:val="36"/>
          <w:highlight w:val="none"/>
        </w:rPr>
        <w:t>年</w:t>
      </w:r>
      <w:r>
        <w:rPr>
          <w:rFonts w:hint="eastAsia" w:ascii="宋体" w:hAnsi="宋体"/>
          <w:b/>
          <w:sz w:val="36"/>
          <w:szCs w:val="36"/>
          <w:highlight w:val="none"/>
          <w:lang w:val="en-US" w:eastAsia="zh-CN"/>
        </w:rPr>
        <w:t>八</w:t>
      </w:r>
      <w:r>
        <w:rPr>
          <w:rFonts w:hint="eastAsia" w:ascii="宋体" w:hAnsi="宋体"/>
          <w:b/>
          <w:sz w:val="36"/>
          <w:szCs w:val="36"/>
          <w:highlight w:val="none"/>
        </w:rPr>
        <w:t>月</w:t>
      </w:r>
      <w:r>
        <w:rPr>
          <w:rFonts w:hint="eastAsia" w:ascii="宋体" w:hAnsi="宋体"/>
          <w:b/>
          <w:sz w:val="36"/>
          <w:szCs w:val="36"/>
          <w:highlight w:val="none"/>
          <w:lang w:val="en-US" w:eastAsia="zh-CN"/>
        </w:rPr>
        <w:t>三十日</w:t>
      </w:r>
    </w:p>
    <w:p>
      <w:pPr>
        <w:adjustRightInd w:val="0"/>
        <w:snapToGrid w:val="0"/>
        <w:ind w:left="-158" w:leftChars="-75"/>
        <w:rPr>
          <w:rFonts w:hint="eastAsia" w:ascii="宋体" w:hAnsi="宋体"/>
          <w:b/>
          <w:snapToGrid w:val="0"/>
          <w:sz w:val="26"/>
          <w:szCs w:val="28"/>
          <w:u w:val="single"/>
        </w:rPr>
      </w:pPr>
      <w:r>
        <w:rPr>
          <w:rFonts w:hint="eastAsia" w:ascii="宋体" w:hAnsi="宋体"/>
          <w:b/>
          <w:snapToGrid w:val="0"/>
          <w:sz w:val="26"/>
          <w:szCs w:val="28"/>
          <w:u w:val="single"/>
        </w:rPr>
        <w:t xml:space="preserve">                                                                    </w:t>
      </w:r>
    </w:p>
    <w:p>
      <w:pPr>
        <w:adjustRightInd w:val="0"/>
        <w:snapToGrid w:val="0"/>
        <w:ind w:firstLine="723" w:firstLineChars="300"/>
        <w:rPr>
          <w:rFonts w:hint="eastAsia" w:ascii="宋体" w:hAnsi="宋体"/>
          <w:b/>
          <w:snapToGrid w:val="0"/>
          <w:sz w:val="24"/>
          <w:szCs w:val="28"/>
        </w:rPr>
      </w:pPr>
      <w:r>
        <w:rPr>
          <w:rFonts w:hint="eastAsia" w:ascii="宋体" w:hAnsi="宋体"/>
          <w:b/>
          <w:snapToGrid w:val="0"/>
          <w:sz w:val="24"/>
          <w:szCs w:val="28"/>
        </w:rPr>
        <w:t xml:space="preserve">地址: 启东市吕四港镇香堂路558号           邮政编码：226200 </w:t>
      </w:r>
    </w:p>
    <w:p>
      <w:pPr>
        <w:adjustRightInd w:val="0"/>
        <w:snapToGrid w:val="0"/>
        <w:ind w:firstLine="723" w:firstLineChars="300"/>
        <w:rPr>
          <w:rFonts w:hint="eastAsia" w:ascii="宋体" w:hAnsi="宋体"/>
          <w:b/>
          <w:snapToGrid w:val="0"/>
          <w:sz w:val="24"/>
          <w:szCs w:val="28"/>
        </w:rPr>
      </w:pPr>
      <w:r>
        <w:rPr>
          <w:rFonts w:hint="eastAsia" w:ascii="宋体" w:hAnsi="宋体"/>
          <w:b/>
          <w:snapToGrid w:val="0"/>
          <w:sz w:val="24"/>
          <w:szCs w:val="28"/>
        </w:rPr>
        <w:t xml:space="preserve">启东市人民政府网                                                                          </w:t>
      </w:r>
    </w:p>
    <w:p>
      <w:pPr>
        <w:autoSpaceDE w:val="0"/>
        <w:autoSpaceDN w:val="0"/>
        <w:adjustRightInd w:val="0"/>
        <w:spacing w:line="360" w:lineRule="auto"/>
        <w:jc w:val="center"/>
        <w:outlineLvl w:val="0"/>
        <w:rPr>
          <w:rFonts w:hint="eastAsia" w:ascii="宋体" w:hAnsi="宋体"/>
          <w:b/>
          <w:bCs/>
          <w:sz w:val="44"/>
          <w:szCs w:val="44"/>
          <w:lang w:val="zh-CN"/>
        </w:rPr>
        <w:sectPr>
          <w:headerReference r:id="rId3" w:type="default"/>
          <w:pgSz w:w="11907" w:h="16839"/>
          <w:pgMar w:top="1134" w:right="1134" w:bottom="1134" w:left="1134" w:header="720" w:footer="720" w:gutter="0"/>
          <w:pgNumType w:start="1"/>
          <w:cols w:space="720" w:num="1"/>
          <w:docGrid w:linePitch="286" w:charSpace="0"/>
        </w:sectPr>
      </w:pPr>
    </w:p>
    <w:p>
      <w:pPr>
        <w:spacing w:line="500" w:lineRule="exact"/>
        <w:jc w:val="center"/>
        <w:rPr>
          <w:rFonts w:hint="eastAsia" w:asciiTheme="minorEastAsia" w:hAnsiTheme="minorEastAsia" w:eastAsiaTheme="minorEastAsia"/>
          <w:b/>
          <w:spacing w:val="-6"/>
          <w:sz w:val="36"/>
          <w:szCs w:val="36"/>
          <w:lang w:val="zh-TW" w:eastAsia="zh-CN"/>
        </w:rPr>
      </w:pPr>
      <w:r>
        <w:rPr>
          <w:rFonts w:hint="eastAsia" w:asciiTheme="minorEastAsia" w:hAnsiTheme="minorEastAsia" w:eastAsiaTheme="minorEastAsia"/>
          <w:b/>
          <w:spacing w:val="-6"/>
          <w:sz w:val="36"/>
          <w:szCs w:val="36"/>
          <w:lang w:val="zh-TW" w:eastAsia="zh-CN"/>
        </w:rPr>
        <w:t>南通港吕四港区吕四作业区西港池港口支持系统工程</w:t>
      </w:r>
    </w:p>
    <w:p>
      <w:pPr>
        <w:spacing w:line="500" w:lineRule="exact"/>
        <w:jc w:val="center"/>
        <w:rPr>
          <w:rFonts w:hint="eastAsia" w:asciiTheme="minorEastAsia" w:hAnsiTheme="minorEastAsia" w:eastAsiaTheme="minorEastAsia"/>
          <w:b/>
          <w:spacing w:val="-6"/>
          <w:sz w:val="36"/>
          <w:szCs w:val="36"/>
          <w:lang w:val="zh-TW" w:eastAsia="zh-CN"/>
        </w:rPr>
      </w:pPr>
      <w:r>
        <w:rPr>
          <w:rFonts w:hint="eastAsia" w:asciiTheme="minorEastAsia" w:hAnsiTheme="minorEastAsia" w:eastAsiaTheme="minorEastAsia"/>
          <w:b/>
          <w:spacing w:val="-6"/>
          <w:sz w:val="36"/>
          <w:szCs w:val="36"/>
          <w:lang w:val="zh-TW" w:eastAsia="zh-CN"/>
        </w:rPr>
        <w:t>岸电采购项目</w:t>
      </w:r>
    </w:p>
    <w:p>
      <w:pPr>
        <w:spacing w:line="50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询价公告</w:t>
      </w:r>
    </w:p>
    <w:p>
      <w:pPr>
        <w:snapToGrid w:val="0"/>
        <w:spacing w:line="500" w:lineRule="exact"/>
        <w:ind w:firstLine="560" w:firstLineChars="200"/>
        <w:rPr>
          <w:rFonts w:asciiTheme="minorEastAsia" w:hAnsiTheme="minorEastAsia" w:eastAsiaTheme="minorEastAsia"/>
          <w:sz w:val="28"/>
          <w:szCs w:val="28"/>
        </w:rPr>
      </w:pPr>
      <w:r>
        <w:rPr>
          <w:rFonts w:hint="eastAsia" w:ascii="宋体" w:hAnsi="宋体" w:cs="仿宋_GB2312"/>
          <w:sz w:val="28"/>
          <w:szCs w:val="28"/>
          <w:lang w:eastAsia="zh-CN"/>
        </w:rPr>
        <w:t>江苏吕四港集团有限公司</w:t>
      </w:r>
      <w:r>
        <w:rPr>
          <w:rFonts w:hint="eastAsia" w:ascii="宋体" w:hAnsi="宋体" w:cs="仿宋_GB2312"/>
          <w:sz w:val="28"/>
          <w:szCs w:val="28"/>
        </w:rPr>
        <w:t>根据启东市政府采购管理的有关规定，就</w:t>
      </w:r>
      <w:r>
        <w:rPr>
          <w:rFonts w:hint="eastAsia" w:ascii="宋体" w:hAnsi="宋体" w:cs="仿宋_GB2312"/>
          <w:sz w:val="28"/>
          <w:szCs w:val="28"/>
          <w:lang w:val="zh-TW" w:eastAsia="zh-CN"/>
        </w:rPr>
        <w:t>南通港吕四港区吕四作业区西港池港口支持系统工程岸电采购项目</w:t>
      </w:r>
      <w:r>
        <w:rPr>
          <w:rFonts w:hint="eastAsia" w:ascii="宋体" w:hAnsi="宋体" w:cs="仿宋_GB2312"/>
          <w:sz w:val="28"/>
          <w:szCs w:val="28"/>
        </w:rPr>
        <w:t>进行询价采购</w:t>
      </w:r>
      <w:r>
        <w:rPr>
          <w:rFonts w:hint="eastAsia" w:asciiTheme="minorEastAsia" w:hAnsiTheme="minorEastAsia" w:eastAsiaTheme="minorEastAsia"/>
          <w:sz w:val="28"/>
          <w:szCs w:val="28"/>
        </w:rPr>
        <w:t>。</w:t>
      </w:r>
    </w:p>
    <w:p>
      <w:pPr>
        <w:numPr>
          <w:ilvl w:val="0"/>
          <w:numId w:val="1"/>
        </w:numPr>
        <w:snapToGrid w:val="0"/>
        <w:spacing w:line="50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b/>
          <w:bCs/>
          <w:sz w:val="28"/>
          <w:szCs w:val="28"/>
        </w:rPr>
        <w:t>采购货物清单 (详细内容见下表)。</w:t>
      </w:r>
    </w:p>
    <w:tbl>
      <w:tblPr>
        <w:tblStyle w:val="20"/>
        <w:tblW w:w="5335" w:type="pct"/>
        <w:tblInd w:w="-198" w:type="dxa"/>
        <w:tblLayout w:type="autofit"/>
        <w:tblCellMar>
          <w:top w:w="0" w:type="dxa"/>
          <w:left w:w="108" w:type="dxa"/>
          <w:bottom w:w="0" w:type="dxa"/>
          <w:right w:w="108" w:type="dxa"/>
        </w:tblCellMar>
      </w:tblPr>
      <w:tblGrid>
        <w:gridCol w:w="869"/>
        <w:gridCol w:w="1507"/>
        <w:gridCol w:w="4317"/>
        <w:gridCol w:w="976"/>
        <w:gridCol w:w="1419"/>
      </w:tblGrid>
      <w:tr>
        <w:tblPrEx>
          <w:tblCellMar>
            <w:top w:w="0" w:type="dxa"/>
            <w:left w:w="108" w:type="dxa"/>
            <w:bottom w:w="0" w:type="dxa"/>
            <w:right w:w="108" w:type="dxa"/>
          </w:tblCellMar>
        </w:tblPrEx>
        <w:trPr>
          <w:trHeight w:val="312" w:hRule="atLeast"/>
        </w:trPr>
        <w:tc>
          <w:tcPr>
            <w:tcW w:w="478"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Arial"/>
                <w:color w:val="000000"/>
                <w:sz w:val="24"/>
                <w:szCs w:val="24"/>
              </w:rPr>
            </w:pPr>
            <w:r>
              <w:rPr>
                <w:rFonts w:hint="eastAsia" w:ascii="仿宋" w:hAnsi="仿宋" w:eastAsia="仿宋" w:cs="Arial"/>
                <w:color w:val="000000"/>
                <w:sz w:val="24"/>
                <w:szCs w:val="24"/>
              </w:rPr>
              <w:t>序号</w:t>
            </w:r>
          </w:p>
        </w:tc>
        <w:tc>
          <w:tcPr>
            <w:tcW w:w="829"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Arial"/>
                <w:color w:val="000000"/>
                <w:sz w:val="24"/>
                <w:szCs w:val="24"/>
              </w:rPr>
            </w:pPr>
            <w:r>
              <w:rPr>
                <w:rFonts w:hint="eastAsia" w:ascii="仿宋" w:hAnsi="仿宋" w:eastAsia="仿宋" w:cs="Arial"/>
                <w:color w:val="000000"/>
                <w:sz w:val="24"/>
                <w:szCs w:val="24"/>
                <w:lang w:val="en-US" w:eastAsia="zh-CN"/>
              </w:rPr>
              <w:t>设备</w:t>
            </w:r>
            <w:r>
              <w:rPr>
                <w:rFonts w:hint="eastAsia" w:ascii="仿宋" w:hAnsi="仿宋" w:eastAsia="仿宋" w:cs="Arial"/>
                <w:color w:val="000000"/>
                <w:sz w:val="24"/>
                <w:szCs w:val="24"/>
              </w:rPr>
              <w:t>名称</w:t>
            </w:r>
          </w:p>
        </w:tc>
        <w:tc>
          <w:tcPr>
            <w:tcW w:w="2374"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Arial"/>
                <w:color w:val="000000"/>
                <w:sz w:val="24"/>
                <w:szCs w:val="24"/>
                <w:lang w:val="en-US" w:eastAsia="zh-CN"/>
              </w:rPr>
            </w:pPr>
            <w:r>
              <w:rPr>
                <w:rFonts w:hint="eastAsia" w:ascii="仿宋" w:hAnsi="仿宋" w:eastAsia="仿宋" w:cs="Arial"/>
                <w:color w:val="000000"/>
                <w:sz w:val="24"/>
                <w:szCs w:val="24"/>
                <w:lang w:val="en-US" w:eastAsia="zh-CN"/>
              </w:rPr>
              <w:t>规格/参数</w:t>
            </w:r>
          </w:p>
        </w:tc>
        <w:tc>
          <w:tcPr>
            <w:tcW w:w="537"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Arial"/>
                <w:color w:val="000000"/>
                <w:sz w:val="24"/>
                <w:szCs w:val="24"/>
              </w:rPr>
            </w:pPr>
            <w:r>
              <w:rPr>
                <w:rFonts w:hint="eastAsia" w:ascii="仿宋" w:hAnsi="仿宋" w:eastAsia="仿宋" w:cs="Arial"/>
                <w:color w:val="000000"/>
                <w:sz w:val="24"/>
                <w:szCs w:val="24"/>
              </w:rPr>
              <w:t>单位</w:t>
            </w:r>
          </w:p>
        </w:tc>
        <w:tc>
          <w:tcPr>
            <w:tcW w:w="780"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Arial"/>
                <w:color w:val="000000"/>
                <w:sz w:val="24"/>
                <w:szCs w:val="24"/>
                <w:lang w:eastAsia="zh-CN"/>
              </w:rPr>
            </w:pPr>
            <w:r>
              <w:rPr>
                <w:rFonts w:hint="eastAsia" w:ascii="仿宋" w:hAnsi="仿宋" w:eastAsia="仿宋" w:cs="Arial"/>
                <w:color w:val="000000"/>
                <w:sz w:val="24"/>
                <w:szCs w:val="24"/>
                <w:lang w:val="en-US" w:eastAsia="zh-CN"/>
              </w:rPr>
              <w:t>数量</w:t>
            </w:r>
          </w:p>
        </w:tc>
      </w:tr>
      <w:tr>
        <w:tblPrEx>
          <w:tblCellMar>
            <w:top w:w="0" w:type="dxa"/>
            <w:left w:w="108" w:type="dxa"/>
            <w:bottom w:w="0" w:type="dxa"/>
            <w:right w:w="108" w:type="dxa"/>
          </w:tblCellMar>
        </w:tblPrEx>
        <w:trPr>
          <w:trHeight w:val="312"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仿宋" w:hAnsi="仿宋" w:eastAsia="仿宋" w:cs="Arial"/>
                <w:color w:val="000000"/>
                <w:sz w:val="24"/>
                <w:szCs w:val="24"/>
              </w:rPr>
            </w:pPr>
          </w:p>
        </w:tc>
        <w:tc>
          <w:tcPr>
            <w:tcW w:w="82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仿宋" w:hAnsi="仿宋" w:eastAsia="仿宋" w:cs="Arial"/>
                <w:color w:val="000000"/>
                <w:sz w:val="24"/>
                <w:szCs w:val="24"/>
              </w:rPr>
            </w:pPr>
          </w:p>
        </w:tc>
        <w:tc>
          <w:tcPr>
            <w:tcW w:w="237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仿宋" w:hAnsi="仿宋" w:eastAsia="仿宋" w:cs="Arial"/>
                <w:color w:val="000000"/>
                <w:sz w:val="24"/>
                <w:szCs w:val="24"/>
              </w:rPr>
            </w:pPr>
          </w:p>
        </w:tc>
        <w:tc>
          <w:tcPr>
            <w:tcW w:w="53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仿宋" w:hAnsi="仿宋" w:eastAsia="仿宋" w:cs="Arial"/>
                <w:color w:val="000000"/>
                <w:sz w:val="24"/>
                <w:szCs w:val="24"/>
              </w:rPr>
            </w:pPr>
          </w:p>
        </w:tc>
        <w:tc>
          <w:tcPr>
            <w:tcW w:w="78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仿宋" w:hAnsi="仿宋" w:eastAsia="仿宋" w:cs="Arial"/>
                <w:color w:val="000000"/>
                <w:sz w:val="24"/>
                <w:szCs w:val="24"/>
              </w:rPr>
            </w:pPr>
          </w:p>
        </w:tc>
      </w:tr>
      <w:tr>
        <w:tblPrEx>
          <w:tblCellMar>
            <w:top w:w="0" w:type="dxa"/>
            <w:left w:w="108" w:type="dxa"/>
            <w:bottom w:w="0" w:type="dxa"/>
            <w:right w:w="108" w:type="dxa"/>
          </w:tblCellMar>
        </w:tblPrEx>
        <w:trPr>
          <w:trHeight w:val="312"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仿宋" w:hAnsi="仿宋" w:eastAsia="仿宋" w:cs="Arial"/>
                <w:color w:val="000000"/>
                <w:sz w:val="24"/>
                <w:szCs w:val="24"/>
              </w:rPr>
            </w:pPr>
          </w:p>
        </w:tc>
        <w:tc>
          <w:tcPr>
            <w:tcW w:w="82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仿宋" w:hAnsi="仿宋" w:eastAsia="仿宋" w:cs="Arial"/>
                <w:color w:val="000000"/>
                <w:sz w:val="24"/>
                <w:szCs w:val="24"/>
              </w:rPr>
            </w:pPr>
          </w:p>
        </w:tc>
        <w:tc>
          <w:tcPr>
            <w:tcW w:w="237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仿宋" w:hAnsi="仿宋" w:eastAsia="仿宋" w:cs="Arial"/>
                <w:color w:val="000000"/>
                <w:sz w:val="24"/>
                <w:szCs w:val="24"/>
              </w:rPr>
            </w:pPr>
          </w:p>
        </w:tc>
        <w:tc>
          <w:tcPr>
            <w:tcW w:w="53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仿宋" w:hAnsi="仿宋" w:eastAsia="仿宋" w:cs="Arial"/>
                <w:color w:val="000000"/>
                <w:sz w:val="24"/>
                <w:szCs w:val="24"/>
              </w:rPr>
            </w:pPr>
          </w:p>
        </w:tc>
        <w:tc>
          <w:tcPr>
            <w:tcW w:w="78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仿宋" w:hAnsi="仿宋" w:eastAsia="仿宋" w:cs="Arial"/>
                <w:color w:val="000000"/>
                <w:sz w:val="24"/>
                <w:szCs w:val="24"/>
              </w:rPr>
            </w:pPr>
          </w:p>
        </w:tc>
      </w:tr>
      <w:tr>
        <w:tblPrEx>
          <w:tblCellMar>
            <w:top w:w="0" w:type="dxa"/>
            <w:left w:w="108" w:type="dxa"/>
            <w:bottom w:w="0" w:type="dxa"/>
            <w:right w:w="108" w:type="dxa"/>
          </w:tblCellMar>
        </w:tblPrEx>
        <w:trPr>
          <w:trHeight w:val="850" w:hRule="atLeast"/>
        </w:trPr>
        <w:tc>
          <w:tcPr>
            <w:tcW w:w="478"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829"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智能一体式四枪岸电桩</w:t>
            </w:r>
          </w:p>
        </w:tc>
        <w:tc>
          <w:tcPr>
            <w:tcW w:w="2374" w:type="pct"/>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1个125A岸电连接器接口，满足GBT11918.5-2020规范要求； </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1个63A岸电连接器接口，满足GBT11918.5-2020规范要求；</w:t>
            </w:r>
          </w:p>
          <w:p>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1个63A（三相五线）220/380V插座；1个63A(三相四线)380V插座。</w:t>
            </w:r>
          </w:p>
        </w:tc>
        <w:tc>
          <w:tcPr>
            <w:tcW w:w="537"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套</w:t>
            </w:r>
          </w:p>
        </w:tc>
        <w:tc>
          <w:tcPr>
            <w:tcW w:w="780"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w:t>
            </w:r>
          </w:p>
        </w:tc>
      </w:tr>
      <w:tr>
        <w:tblPrEx>
          <w:tblCellMar>
            <w:top w:w="0" w:type="dxa"/>
            <w:left w:w="108" w:type="dxa"/>
            <w:bottom w:w="0" w:type="dxa"/>
            <w:right w:w="108" w:type="dxa"/>
          </w:tblCellMar>
        </w:tblPrEx>
        <w:trPr>
          <w:trHeight w:val="850" w:hRule="atLeast"/>
        </w:trPr>
        <w:tc>
          <w:tcPr>
            <w:tcW w:w="478"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p>
        </w:tc>
        <w:tc>
          <w:tcPr>
            <w:tcW w:w="829"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南通交运平台对接</w:t>
            </w:r>
          </w:p>
        </w:tc>
        <w:tc>
          <w:tcPr>
            <w:tcW w:w="2374"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2"/>
                <w:sz w:val="24"/>
                <w:szCs w:val="24"/>
                <w:lang w:val="en-US" w:eastAsia="zh-CN" w:bidi="ar-SA"/>
              </w:rPr>
            </w:pPr>
          </w:p>
        </w:tc>
        <w:tc>
          <w:tcPr>
            <w:tcW w:w="537"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项</w:t>
            </w:r>
          </w:p>
        </w:tc>
        <w:tc>
          <w:tcPr>
            <w:tcW w:w="780"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r>
      <w:tr>
        <w:tblPrEx>
          <w:tblCellMar>
            <w:top w:w="0" w:type="dxa"/>
            <w:left w:w="108" w:type="dxa"/>
            <w:bottom w:w="0" w:type="dxa"/>
            <w:right w:w="108" w:type="dxa"/>
          </w:tblCellMar>
        </w:tblPrEx>
        <w:trPr>
          <w:trHeight w:val="850" w:hRule="atLeast"/>
        </w:trPr>
        <w:tc>
          <w:tcPr>
            <w:tcW w:w="478"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p>
        </w:tc>
        <w:tc>
          <w:tcPr>
            <w:tcW w:w="829"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南通海事和船E行平台对接</w:t>
            </w:r>
          </w:p>
        </w:tc>
        <w:tc>
          <w:tcPr>
            <w:tcW w:w="2374"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2"/>
                <w:sz w:val="24"/>
                <w:szCs w:val="24"/>
                <w:lang w:val="en-US" w:eastAsia="zh-CN" w:bidi="ar-SA"/>
              </w:rPr>
            </w:pPr>
          </w:p>
        </w:tc>
        <w:tc>
          <w:tcPr>
            <w:tcW w:w="537"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项</w:t>
            </w:r>
          </w:p>
        </w:tc>
        <w:tc>
          <w:tcPr>
            <w:tcW w:w="780"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r>
    </w:tbl>
    <w:p>
      <w:pPr>
        <w:snapToGrid w:val="0"/>
        <w:spacing w:line="500" w:lineRule="exact"/>
        <w:rPr>
          <w:rFonts w:asciiTheme="minorEastAsia" w:hAnsiTheme="minorEastAsia" w:eastAsiaTheme="minorEastAsia"/>
          <w:b/>
          <w:sz w:val="28"/>
        </w:rPr>
      </w:pPr>
      <w:r>
        <w:rPr>
          <w:rFonts w:hint="eastAsia" w:asciiTheme="minorEastAsia" w:hAnsiTheme="minorEastAsia" w:eastAsiaTheme="minorEastAsia"/>
          <w:b/>
          <w:sz w:val="28"/>
        </w:rPr>
        <w:t>二、本项目的最高限价为贰拾玖万柒仟捌佰肆拾元（￥</w:t>
      </w:r>
      <w:r>
        <w:rPr>
          <w:rFonts w:hint="eastAsia" w:asciiTheme="minorEastAsia" w:hAnsiTheme="minorEastAsia" w:eastAsiaTheme="minorEastAsia"/>
          <w:b/>
          <w:sz w:val="28"/>
          <w:lang w:val="en-US" w:eastAsia="zh-CN"/>
        </w:rPr>
        <w:t>297840.00</w:t>
      </w:r>
      <w:r>
        <w:rPr>
          <w:rFonts w:hint="eastAsia" w:asciiTheme="minorEastAsia" w:hAnsiTheme="minorEastAsia" w:eastAsiaTheme="minorEastAsia"/>
          <w:b/>
          <w:sz w:val="28"/>
        </w:rPr>
        <w:t>元），报价超过最高限价的为无效报价。</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b/>
          <w:sz w:val="28"/>
        </w:rPr>
        <w:t>三、供应商资格要求</w:t>
      </w:r>
    </w:p>
    <w:p>
      <w:pPr>
        <w:snapToGrid w:val="0"/>
        <w:spacing w:line="500" w:lineRule="exact"/>
        <w:ind w:firstLine="280" w:firstLineChars="100"/>
        <w:rPr>
          <w:rFonts w:asciiTheme="minorEastAsia" w:hAnsiTheme="minorEastAsia" w:eastAsiaTheme="minorEastAsia"/>
          <w:sz w:val="28"/>
        </w:rPr>
      </w:pPr>
      <w:r>
        <w:rPr>
          <w:rFonts w:hint="eastAsia" w:asciiTheme="minorEastAsia" w:hAnsiTheme="minorEastAsia" w:eastAsiaTheme="minorEastAsia"/>
          <w:sz w:val="28"/>
        </w:rPr>
        <w:t>1.符合《中华人民共和国政府采购法》第二十二条的规定；</w:t>
      </w:r>
    </w:p>
    <w:p>
      <w:pPr>
        <w:snapToGrid w:val="0"/>
        <w:spacing w:line="500" w:lineRule="exact"/>
        <w:ind w:firstLine="280" w:firstLineChars="100"/>
        <w:rPr>
          <w:rFonts w:asciiTheme="minorEastAsia" w:hAnsiTheme="minorEastAsia" w:eastAsiaTheme="minorEastAsia"/>
          <w:sz w:val="28"/>
        </w:rPr>
      </w:pPr>
      <w:r>
        <w:rPr>
          <w:rFonts w:hint="eastAsia" w:asciiTheme="minorEastAsia" w:hAnsiTheme="minorEastAsia" w:eastAsiaTheme="minorEastAsia"/>
          <w:sz w:val="28"/>
        </w:rPr>
        <w:t>2.投标供应商持有效营业执照；</w:t>
      </w:r>
    </w:p>
    <w:p>
      <w:pPr>
        <w:snapToGrid w:val="0"/>
        <w:spacing w:line="500" w:lineRule="exact"/>
        <w:ind w:firstLine="280" w:firstLineChars="100"/>
        <w:rPr>
          <w:rFonts w:asciiTheme="minorEastAsia" w:hAnsiTheme="minorEastAsia" w:eastAsiaTheme="minorEastAsia"/>
          <w:sz w:val="28"/>
        </w:rPr>
      </w:pPr>
      <w:r>
        <w:rPr>
          <w:rFonts w:hint="eastAsia" w:asciiTheme="minorEastAsia" w:hAnsiTheme="minorEastAsia" w:eastAsiaTheme="minorEastAsia"/>
          <w:sz w:val="28"/>
        </w:rPr>
        <w:t>3.本项目招标不接受联合体投标。</w:t>
      </w:r>
    </w:p>
    <w:p>
      <w:pPr>
        <w:snapToGrid w:val="0"/>
        <w:spacing w:line="500" w:lineRule="exact"/>
        <w:rPr>
          <w:rFonts w:asciiTheme="minorEastAsia" w:hAnsiTheme="minorEastAsia" w:eastAsiaTheme="minorEastAsia"/>
          <w:b/>
          <w:sz w:val="28"/>
        </w:rPr>
      </w:pPr>
      <w:r>
        <w:rPr>
          <w:rFonts w:hint="eastAsia" w:asciiTheme="minorEastAsia" w:hAnsiTheme="minorEastAsia" w:eastAsiaTheme="minorEastAsia"/>
          <w:b/>
          <w:sz w:val="28"/>
        </w:rPr>
        <w:t>四、报价注意事项</w:t>
      </w:r>
    </w:p>
    <w:p>
      <w:pPr>
        <w:tabs>
          <w:tab w:val="right" w:pos="9094"/>
        </w:tabs>
        <w:spacing w:line="500" w:lineRule="exact"/>
        <w:ind w:firstLine="560" w:firstLineChars="200"/>
        <w:rPr>
          <w:rFonts w:ascii="宋体" w:hAnsi="宋体" w:cs="宋体"/>
          <w:sz w:val="28"/>
          <w:szCs w:val="28"/>
        </w:rPr>
      </w:pPr>
      <w:r>
        <w:rPr>
          <w:rFonts w:hint="eastAsia" w:asciiTheme="minorEastAsia" w:hAnsiTheme="minorEastAsia" w:eastAsiaTheme="minorEastAsia"/>
          <w:sz w:val="28"/>
          <w:szCs w:val="28"/>
        </w:rPr>
        <w:t>1.</w:t>
      </w:r>
      <w:r>
        <w:rPr>
          <w:rFonts w:hint="eastAsia" w:ascii="宋体" w:hAnsi="宋体" w:cs="宋体"/>
          <w:sz w:val="28"/>
          <w:szCs w:val="28"/>
        </w:rPr>
        <w:t>供应商应按照本询价公告的要求编制报价文件，报价文件应对本询价公告提出的要求和条件作出实质性响应。否则，按照不响应处理。</w:t>
      </w:r>
      <w:r>
        <w:rPr>
          <w:rFonts w:hint="eastAsia" w:ascii="宋体" w:hAnsi="宋体" w:cs="宋体"/>
          <w:bCs/>
          <w:kern w:val="0"/>
          <w:sz w:val="28"/>
          <w:szCs w:val="28"/>
          <w:shd w:val="clear" w:color="auto" w:fill="FFFFFF"/>
        </w:rPr>
        <w:t>本项目采用固定总价报价方式，投标报价应包含本项目委托采购任务所需的一切费用，包括货物包装、运输、安装、检测、调试、保险、验收、售后服务与维保、维保期内的备品备件及相关劳务支出等工作所发生的全部费用以及投标人企业利润、税金和政策性文件规定及合同包含的所有风险、责任等一切费用。供应商报价时应充分考虑现场环境以及国家政策性调整等风险因素，在合同实施期间，合同价不随国家政策或法规、标准及市场因素的变化而进行调整，也不因实际服务周期的延长或缩短而调整。</w:t>
      </w:r>
    </w:p>
    <w:p>
      <w:pPr>
        <w:snapToGrid w:val="0"/>
        <w:spacing w:line="500" w:lineRule="exact"/>
        <w:ind w:firstLine="560"/>
        <w:rPr>
          <w:rFonts w:ascii="宋体" w:hAnsi="宋体" w:cs="宋体"/>
          <w:sz w:val="28"/>
          <w:szCs w:val="28"/>
        </w:rPr>
      </w:pPr>
      <w:r>
        <w:rPr>
          <w:rFonts w:hint="eastAsia" w:ascii="宋体" w:hAnsi="宋体" w:cs="宋体"/>
          <w:sz w:val="28"/>
          <w:szCs w:val="28"/>
        </w:rPr>
        <w:t>2.供应商应详细阅读询价文件的全部内容，供应商对询价文件有疑问或异议的，请在递交报价文件3日前以书面形式（加盖单位公章）递交至采购单位。</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sz w:val="28"/>
        </w:rPr>
        <w:t xml:space="preserve">    有关技术及需求问题，请与采购单位联系。</w:t>
      </w:r>
    </w:p>
    <w:p>
      <w:pPr>
        <w:snapToGrid w:val="0"/>
        <w:spacing w:line="500" w:lineRule="exact"/>
        <w:rPr>
          <w:rFonts w:hint="eastAsia" w:asciiTheme="minorEastAsia" w:hAnsiTheme="minorEastAsia" w:eastAsiaTheme="minorEastAsia"/>
          <w:sz w:val="28"/>
          <w:lang w:eastAsia="zh-CN"/>
        </w:rPr>
      </w:pPr>
      <w:r>
        <w:rPr>
          <w:rFonts w:hint="eastAsia" w:asciiTheme="minorEastAsia" w:hAnsiTheme="minorEastAsia" w:eastAsiaTheme="minorEastAsia"/>
          <w:sz w:val="28"/>
        </w:rPr>
        <w:t xml:space="preserve">    采 购 人：</w:t>
      </w:r>
      <w:r>
        <w:rPr>
          <w:rFonts w:hint="eastAsia" w:asciiTheme="minorEastAsia" w:hAnsiTheme="minorEastAsia" w:eastAsiaTheme="minorEastAsia"/>
          <w:sz w:val="28"/>
          <w:lang w:eastAsia="zh-CN"/>
        </w:rPr>
        <w:t>江苏吕四港集团有限公司</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sz w:val="28"/>
        </w:rPr>
        <w:t xml:space="preserve">    地    址：启东市吕四港镇香堂路558号</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sz w:val="28"/>
        </w:rPr>
        <w:t xml:space="preserve">    联 系 人：杨丹</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sz w:val="28"/>
        </w:rPr>
        <w:t xml:space="preserve">    联系电话：</w:t>
      </w:r>
      <w:r>
        <w:rPr>
          <w:rFonts w:asciiTheme="minorEastAsia" w:hAnsiTheme="minorEastAsia" w:eastAsiaTheme="minorEastAsia"/>
          <w:sz w:val="28"/>
        </w:rPr>
        <w:t>0513-83902719</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sz w:val="28"/>
        </w:rPr>
        <w:t xml:space="preserve">    采购代理机构：江苏本源工程项目管理有限公司</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sz w:val="28"/>
        </w:rPr>
        <w:t xml:space="preserve">    地   址：启东市和平南路306号三楼</w:t>
      </w:r>
    </w:p>
    <w:p>
      <w:pPr>
        <w:snapToGrid w:val="0"/>
        <w:spacing w:line="500" w:lineRule="exact"/>
        <w:rPr>
          <w:rFonts w:hint="eastAsia" w:asciiTheme="minorEastAsia" w:hAnsiTheme="minorEastAsia" w:eastAsiaTheme="minorEastAsia"/>
          <w:sz w:val="28"/>
          <w:lang w:eastAsia="zh-CN"/>
        </w:rPr>
      </w:pPr>
      <w:r>
        <w:rPr>
          <w:rFonts w:hint="eastAsia" w:asciiTheme="minorEastAsia" w:hAnsiTheme="minorEastAsia" w:eastAsiaTheme="minorEastAsia"/>
          <w:sz w:val="28"/>
        </w:rPr>
        <w:t xml:space="preserve">    联系人：</w:t>
      </w:r>
      <w:r>
        <w:rPr>
          <w:rFonts w:hint="eastAsia" w:asciiTheme="minorEastAsia" w:hAnsiTheme="minorEastAsia" w:eastAsiaTheme="minorEastAsia"/>
          <w:sz w:val="28"/>
          <w:lang w:eastAsia="zh-CN"/>
        </w:rPr>
        <w:t>杨欣婷</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sz w:val="28"/>
        </w:rPr>
        <w:t xml:space="preserve">    联系方法：</w:t>
      </w:r>
      <w:r>
        <w:rPr>
          <w:rFonts w:hint="eastAsia" w:ascii="宋体" w:hAnsi="宋体"/>
          <w:sz w:val="28"/>
          <w:szCs w:val="28"/>
        </w:rPr>
        <w:t>0513-83351266</w:t>
      </w:r>
    </w:p>
    <w:p>
      <w:pPr>
        <w:snapToGrid w:val="0"/>
        <w:spacing w:line="500" w:lineRule="exact"/>
        <w:ind w:firstLine="560" w:firstLineChars="200"/>
        <w:rPr>
          <w:rFonts w:hint="eastAsia" w:asciiTheme="minorEastAsia" w:hAnsiTheme="minorEastAsia" w:eastAsiaTheme="minorEastAsia"/>
          <w:b/>
          <w:bCs/>
          <w:sz w:val="28"/>
        </w:rPr>
      </w:pPr>
      <w:r>
        <w:rPr>
          <w:rFonts w:hint="eastAsia" w:asciiTheme="minorEastAsia" w:hAnsiTheme="minorEastAsia" w:eastAsiaTheme="minorEastAsia"/>
          <w:b/>
          <w:bCs/>
          <w:sz w:val="28"/>
          <w:lang w:val="en-US" w:eastAsia="zh-CN"/>
        </w:rPr>
        <w:t>3.</w:t>
      </w:r>
      <w:r>
        <w:rPr>
          <w:rFonts w:hint="eastAsia" w:asciiTheme="minorEastAsia" w:hAnsiTheme="minorEastAsia" w:eastAsiaTheme="minorEastAsia"/>
          <w:b/>
          <w:bCs/>
          <w:sz w:val="28"/>
        </w:rPr>
        <w:t>报价文件构成</w:t>
      </w:r>
    </w:p>
    <w:p>
      <w:pPr>
        <w:pStyle w:val="18"/>
        <w:spacing w:before="0" w:beforeAutospacing="0" w:after="0" w:afterAutospacing="0" w:line="500" w:lineRule="exact"/>
        <w:ind w:firstLine="560" w:firstLineChars="200"/>
        <w:jc w:val="both"/>
        <w:rPr>
          <w:bCs/>
          <w:sz w:val="28"/>
          <w:szCs w:val="28"/>
          <w:shd w:val="clear" w:color="auto" w:fill="FFFFFF"/>
        </w:rPr>
      </w:pPr>
      <w:r>
        <w:rPr>
          <w:rFonts w:hint="eastAsia"/>
          <w:bCs/>
          <w:sz w:val="28"/>
          <w:szCs w:val="28"/>
          <w:shd w:val="clear" w:color="auto" w:fill="FFFFFF"/>
        </w:rPr>
        <w:t>（1）报价表：报价表必须按提供的报价样表格式填写（格式见附件一），所有涉及报价的页面均须加盖报价单位公章，否则视为无效报价；如有其他情况需要说明的，可附页说明。所有页面均须加盖报价单位公章，否则视为无效报价；</w:t>
      </w:r>
    </w:p>
    <w:p>
      <w:pPr>
        <w:pStyle w:val="18"/>
        <w:spacing w:before="0" w:beforeAutospacing="0" w:after="0" w:afterAutospacing="0" w:line="500" w:lineRule="exact"/>
        <w:ind w:firstLine="560" w:firstLineChars="200"/>
        <w:jc w:val="both"/>
        <w:rPr>
          <w:bCs/>
          <w:sz w:val="28"/>
          <w:szCs w:val="28"/>
          <w:shd w:val="clear" w:color="auto" w:fill="FFFFFF"/>
        </w:rPr>
      </w:pPr>
      <w:r>
        <w:rPr>
          <w:rFonts w:hint="eastAsia"/>
          <w:bCs/>
          <w:sz w:val="28"/>
          <w:szCs w:val="28"/>
          <w:shd w:val="clear" w:color="auto" w:fill="FFFFFF"/>
        </w:rPr>
        <w:t>（</w:t>
      </w:r>
      <w:r>
        <w:rPr>
          <w:rFonts w:hint="eastAsia"/>
          <w:bCs/>
          <w:sz w:val="28"/>
          <w:szCs w:val="28"/>
          <w:shd w:val="clear" w:color="auto" w:fill="FFFFFF"/>
          <w:lang w:val="en-US" w:eastAsia="zh-CN"/>
        </w:rPr>
        <w:t>2</w:t>
      </w:r>
      <w:r>
        <w:rPr>
          <w:rFonts w:hint="eastAsia"/>
          <w:bCs/>
          <w:sz w:val="28"/>
          <w:szCs w:val="28"/>
          <w:shd w:val="clear" w:color="auto" w:fill="FFFFFF"/>
        </w:rPr>
        <w:t>）报价承诺书（格式见附件</w:t>
      </w:r>
      <w:r>
        <w:rPr>
          <w:rFonts w:hint="eastAsia"/>
          <w:bCs/>
          <w:sz w:val="28"/>
          <w:szCs w:val="28"/>
          <w:shd w:val="clear" w:color="auto" w:fill="FFFFFF"/>
          <w:lang w:val="en-US" w:eastAsia="zh-CN"/>
        </w:rPr>
        <w:t>二</w:t>
      </w:r>
      <w:r>
        <w:rPr>
          <w:rFonts w:hint="eastAsia"/>
          <w:bCs/>
          <w:sz w:val="28"/>
          <w:szCs w:val="28"/>
          <w:shd w:val="clear" w:color="auto" w:fill="FFFFFF"/>
        </w:rPr>
        <w:t xml:space="preserve">）； </w:t>
      </w:r>
    </w:p>
    <w:p>
      <w:pPr>
        <w:pStyle w:val="18"/>
        <w:spacing w:before="0" w:beforeAutospacing="0" w:after="0" w:afterAutospacing="0" w:line="500" w:lineRule="exact"/>
        <w:ind w:firstLine="560" w:firstLineChars="200"/>
        <w:jc w:val="both"/>
        <w:rPr>
          <w:bCs/>
          <w:sz w:val="28"/>
          <w:szCs w:val="28"/>
          <w:shd w:val="clear" w:color="auto" w:fill="FFFFFF"/>
        </w:rPr>
      </w:pPr>
      <w:r>
        <w:rPr>
          <w:rFonts w:hint="eastAsia"/>
          <w:bCs/>
          <w:sz w:val="28"/>
          <w:szCs w:val="28"/>
          <w:shd w:val="clear" w:color="auto" w:fill="FFFFFF"/>
        </w:rPr>
        <w:t>（</w:t>
      </w:r>
      <w:r>
        <w:rPr>
          <w:rFonts w:hint="eastAsia"/>
          <w:bCs/>
          <w:sz w:val="28"/>
          <w:szCs w:val="28"/>
          <w:shd w:val="clear" w:color="auto" w:fill="FFFFFF"/>
          <w:lang w:val="en-US" w:eastAsia="zh-CN"/>
        </w:rPr>
        <w:t>3</w:t>
      </w:r>
      <w:r>
        <w:rPr>
          <w:rFonts w:hint="eastAsia"/>
          <w:bCs/>
          <w:sz w:val="28"/>
          <w:szCs w:val="28"/>
          <w:shd w:val="clear" w:color="auto" w:fill="FFFFFF"/>
        </w:rPr>
        <w:t>）法定代表人授权委托书及被授权人身份证复印件（法定代表人授权委托书按照附件</w:t>
      </w:r>
      <w:r>
        <w:rPr>
          <w:rFonts w:hint="eastAsia"/>
          <w:bCs/>
          <w:sz w:val="28"/>
          <w:szCs w:val="28"/>
          <w:shd w:val="clear" w:color="auto" w:fill="FFFFFF"/>
          <w:lang w:val="en-US" w:eastAsia="zh-CN"/>
        </w:rPr>
        <w:t>三</w:t>
      </w:r>
      <w:r>
        <w:rPr>
          <w:rFonts w:hint="eastAsia"/>
          <w:bCs/>
          <w:sz w:val="28"/>
          <w:szCs w:val="28"/>
          <w:shd w:val="clear" w:color="auto" w:fill="FFFFFF"/>
        </w:rPr>
        <w:t>格式填写，如法定代表人亲自参加的无须提供授权委托书）（加盖报价单位公章）；</w:t>
      </w:r>
    </w:p>
    <w:p>
      <w:pPr>
        <w:pStyle w:val="18"/>
        <w:spacing w:before="0" w:beforeAutospacing="0" w:after="0" w:afterAutospacing="0" w:line="500" w:lineRule="exact"/>
        <w:ind w:firstLine="560" w:firstLineChars="200"/>
        <w:jc w:val="both"/>
        <w:rPr>
          <w:bCs/>
          <w:sz w:val="28"/>
          <w:szCs w:val="28"/>
          <w:shd w:val="clear" w:color="auto" w:fill="FFFFFF"/>
        </w:rPr>
      </w:pPr>
      <w:r>
        <w:rPr>
          <w:rFonts w:hint="eastAsia"/>
          <w:bCs/>
          <w:sz w:val="28"/>
          <w:szCs w:val="28"/>
          <w:shd w:val="clear" w:color="auto" w:fill="FFFFFF"/>
        </w:rPr>
        <w:t>（</w:t>
      </w:r>
      <w:r>
        <w:rPr>
          <w:rFonts w:hint="eastAsia"/>
          <w:bCs/>
          <w:sz w:val="28"/>
          <w:szCs w:val="28"/>
          <w:shd w:val="clear" w:color="auto" w:fill="FFFFFF"/>
          <w:lang w:val="en-US" w:eastAsia="zh-CN"/>
        </w:rPr>
        <w:t>4</w:t>
      </w:r>
      <w:r>
        <w:rPr>
          <w:rFonts w:hint="eastAsia"/>
          <w:bCs/>
          <w:sz w:val="28"/>
          <w:szCs w:val="28"/>
          <w:shd w:val="clear" w:color="auto" w:fill="FFFFFF"/>
        </w:rPr>
        <w:t xml:space="preserve">）法定代表人身份证复印件（加盖报价单位公章）； </w:t>
      </w:r>
    </w:p>
    <w:p>
      <w:pPr>
        <w:pStyle w:val="18"/>
        <w:spacing w:before="0" w:beforeAutospacing="0" w:after="0" w:afterAutospacing="0" w:line="500" w:lineRule="exact"/>
        <w:ind w:firstLine="560" w:firstLineChars="200"/>
        <w:jc w:val="both"/>
        <w:rPr>
          <w:bCs/>
          <w:sz w:val="28"/>
          <w:szCs w:val="28"/>
          <w:shd w:val="clear" w:color="auto" w:fill="FFFFFF"/>
        </w:rPr>
      </w:pPr>
      <w:r>
        <w:rPr>
          <w:rFonts w:hint="eastAsia"/>
          <w:bCs/>
          <w:sz w:val="28"/>
          <w:szCs w:val="28"/>
          <w:shd w:val="clear" w:color="auto" w:fill="FFFFFF"/>
        </w:rPr>
        <w:t>（</w:t>
      </w:r>
      <w:r>
        <w:rPr>
          <w:rFonts w:hint="eastAsia"/>
          <w:bCs/>
          <w:sz w:val="28"/>
          <w:szCs w:val="28"/>
          <w:shd w:val="clear" w:color="auto" w:fill="FFFFFF"/>
          <w:lang w:val="en-US" w:eastAsia="zh-CN"/>
        </w:rPr>
        <w:t>5</w:t>
      </w:r>
      <w:r>
        <w:rPr>
          <w:rFonts w:hint="eastAsia"/>
          <w:bCs/>
          <w:sz w:val="28"/>
          <w:szCs w:val="28"/>
          <w:shd w:val="clear" w:color="auto" w:fill="FFFFFF"/>
        </w:rPr>
        <w:t>）有效的企业法人营业执照副本复印件（加盖报价单位公章）；</w:t>
      </w:r>
    </w:p>
    <w:p>
      <w:pPr>
        <w:pStyle w:val="18"/>
        <w:spacing w:before="0" w:beforeAutospacing="0" w:after="0" w:afterAutospacing="0" w:line="500" w:lineRule="exact"/>
        <w:ind w:firstLine="560" w:firstLineChars="200"/>
        <w:jc w:val="both"/>
        <w:rPr>
          <w:bCs/>
          <w:sz w:val="28"/>
          <w:szCs w:val="28"/>
          <w:shd w:val="clear" w:color="auto" w:fill="FFFFFF"/>
        </w:rPr>
      </w:pPr>
      <w:r>
        <w:rPr>
          <w:rFonts w:hint="eastAsia"/>
          <w:bCs/>
          <w:sz w:val="28"/>
          <w:szCs w:val="28"/>
          <w:shd w:val="clear" w:color="auto" w:fill="FFFFFF"/>
        </w:rPr>
        <w:t>（</w:t>
      </w:r>
      <w:r>
        <w:rPr>
          <w:rFonts w:hint="eastAsia"/>
          <w:bCs/>
          <w:sz w:val="28"/>
          <w:szCs w:val="28"/>
          <w:shd w:val="clear" w:color="auto" w:fill="FFFFFF"/>
          <w:lang w:val="en-US" w:eastAsia="zh-CN"/>
        </w:rPr>
        <w:t>6</w:t>
      </w:r>
      <w:r>
        <w:rPr>
          <w:rFonts w:hint="eastAsia"/>
          <w:bCs/>
          <w:sz w:val="28"/>
          <w:szCs w:val="28"/>
          <w:shd w:val="clear" w:color="auto" w:fill="FFFFFF"/>
        </w:rPr>
        <w:t>）投标供应商须提供参加政府采购活动前 3 年内在经营活动中没有重大违法记录和失信记录的书面声明（格式见附件</w:t>
      </w:r>
      <w:r>
        <w:rPr>
          <w:rFonts w:hint="eastAsia"/>
          <w:bCs/>
          <w:sz w:val="28"/>
          <w:szCs w:val="28"/>
          <w:shd w:val="clear" w:color="auto" w:fill="FFFFFF"/>
          <w:lang w:val="en-US" w:eastAsia="zh-CN"/>
        </w:rPr>
        <w:t>四</w:t>
      </w:r>
      <w:r>
        <w:rPr>
          <w:rFonts w:hint="eastAsia"/>
          <w:bCs/>
          <w:sz w:val="28"/>
          <w:szCs w:val="28"/>
          <w:shd w:val="clear" w:color="auto" w:fill="FFFFFF"/>
        </w:rPr>
        <w:t>）；</w:t>
      </w:r>
    </w:p>
    <w:p>
      <w:pPr>
        <w:snapToGrid w:val="0"/>
        <w:spacing w:line="500" w:lineRule="exact"/>
        <w:ind w:firstLine="560" w:firstLineChars="200"/>
        <w:rPr>
          <w:rFonts w:asciiTheme="minorEastAsia" w:hAnsiTheme="minorEastAsia" w:eastAsiaTheme="minorEastAsia"/>
          <w:bCs/>
          <w:sz w:val="28"/>
        </w:rPr>
      </w:pPr>
      <w:r>
        <w:rPr>
          <w:rFonts w:hint="eastAsia" w:asciiTheme="minorEastAsia" w:hAnsiTheme="minorEastAsia" w:eastAsiaTheme="minorEastAsia"/>
          <w:bCs/>
          <w:sz w:val="28"/>
        </w:rPr>
        <w:t>报价文件正本</w:t>
      </w:r>
      <w:r>
        <w:rPr>
          <w:rFonts w:hint="eastAsia" w:ascii="宋体" w:hAnsi="宋体" w:cs="宋体"/>
          <w:bCs/>
          <w:sz w:val="28"/>
          <w:szCs w:val="28"/>
          <w:shd w:val="clear" w:color="auto" w:fill="FFFFFF"/>
        </w:rPr>
        <w:t>壹</w:t>
      </w:r>
      <w:r>
        <w:rPr>
          <w:rFonts w:hint="eastAsia" w:asciiTheme="minorEastAsia" w:hAnsiTheme="minorEastAsia" w:eastAsiaTheme="minorEastAsia"/>
          <w:bCs/>
          <w:sz w:val="28"/>
        </w:rPr>
        <w:t>份、副本</w:t>
      </w:r>
      <w:r>
        <w:rPr>
          <w:rFonts w:hint="eastAsia" w:ascii="宋体" w:hAnsi="宋体" w:cs="宋体"/>
          <w:bCs/>
          <w:sz w:val="28"/>
          <w:szCs w:val="28"/>
          <w:shd w:val="clear" w:color="auto" w:fill="FFFFFF"/>
        </w:rPr>
        <w:t>壹</w:t>
      </w:r>
      <w:r>
        <w:rPr>
          <w:rFonts w:hint="eastAsia" w:asciiTheme="minorEastAsia" w:hAnsiTheme="minorEastAsia" w:eastAsiaTheme="minorEastAsia"/>
          <w:bCs/>
          <w:sz w:val="28"/>
        </w:rPr>
        <w:t>份。报价文件装订成册并密封，密封袋上标明：项目名称、报价单位名称。</w:t>
      </w:r>
    </w:p>
    <w:p>
      <w:pPr>
        <w:pStyle w:val="9"/>
        <w:spacing w:line="500" w:lineRule="exact"/>
      </w:pPr>
      <w:r>
        <w:rPr>
          <w:rFonts w:hint="eastAsia" w:ascii="宋体" w:hAnsi="宋体" w:eastAsia="宋体" w:cs="宋体"/>
          <w:b/>
          <w:shd w:val="clear" w:color="auto" w:fill="FFFFFF"/>
        </w:rPr>
        <w:t>注意：上述材料复印件均须加盖单位公章，否则将被视作无效报价文件。</w:t>
      </w:r>
    </w:p>
    <w:p>
      <w:pPr>
        <w:snapToGrid w:val="0"/>
        <w:spacing w:line="500" w:lineRule="exact"/>
        <w:rPr>
          <w:rFonts w:asciiTheme="minorEastAsia" w:hAnsiTheme="minorEastAsia" w:eastAsiaTheme="minorEastAsia"/>
          <w:b/>
          <w:bCs/>
          <w:sz w:val="28"/>
        </w:rPr>
      </w:pPr>
      <w:r>
        <w:rPr>
          <w:rFonts w:hint="eastAsia" w:asciiTheme="minorEastAsia" w:hAnsiTheme="minorEastAsia" w:eastAsiaTheme="minorEastAsia"/>
          <w:b/>
          <w:bCs/>
          <w:sz w:val="28"/>
        </w:rPr>
        <w:t xml:space="preserve">    4.纸质响应文件递交</w:t>
      </w:r>
    </w:p>
    <w:p>
      <w:pPr>
        <w:snapToGrid w:val="0"/>
        <w:spacing w:line="500" w:lineRule="exact"/>
        <w:ind w:firstLine="560" w:firstLineChars="200"/>
        <w:jc w:val="left"/>
        <w:rPr>
          <w:rFonts w:ascii="宋体" w:hAnsi="宋体" w:cs="仿宋_GB2312"/>
          <w:sz w:val="28"/>
          <w:szCs w:val="28"/>
          <w:highlight w:val="none"/>
        </w:rPr>
      </w:pPr>
      <w:r>
        <w:rPr>
          <w:rFonts w:hint="eastAsia" w:ascii="宋体" w:hAnsi="宋体" w:cs="仿宋_GB2312"/>
          <w:sz w:val="28"/>
          <w:szCs w:val="28"/>
        </w:rPr>
        <w:t>投标截止时间：</w:t>
      </w:r>
      <w:r>
        <w:rPr>
          <w:rFonts w:hint="eastAsia" w:ascii="宋体" w:hAnsi="宋体" w:cs="仿宋_GB2312"/>
          <w:sz w:val="28"/>
          <w:szCs w:val="28"/>
          <w:highlight w:val="none"/>
        </w:rPr>
        <w:t>2023年</w:t>
      </w:r>
      <w:r>
        <w:rPr>
          <w:rFonts w:hint="eastAsia" w:ascii="宋体" w:hAnsi="宋体" w:cs="仿宋_GB2312"/>
          <w:sz w:val="28"/>
          <w:szCs w:val="28"/>
          <w:highlight w:val="none"/>
          <w:lang w:val="en-US" w:eastAsia="zh-CN"/>
        </w:rPr>
        <w:t>9</w:t>
      </w:r>
      <w:r>
        <w:rPr>
          <w:rFonts w:hint="eastAsia" w:ascii="宋体" w:hAnsi="宋体" w:cs="仿宋_GB2312"/>
          <w:sz w:val="28"/>
          <w:szCs w:val="28"/>
          <w:highlight w:val="none"/>
        </w:rPr>
        <w:t>月</w:t>
      </w:r>
      <w:r>
        <w:rPr>
          <w:rFonts w:hint="eastAsia" w:ascii="宋体" w:hAnsi="宋体" w:cs="仿宋_GB2312"/>
          <w:sz w:val="28"/>
          <w:szCs w:val="28"/>
          <w:highlight w:val="none"/>
          <w:lang w:val="en-US" w:eastAsia="zh-CN"/>
        </w:rPr>
        <w:t>5</w:t>
      </w:r>
      <w:r>
        <w:rPr>
          <w:rFonts w:hint="eastAsia" w:ascii="宋体" w:hAnsi="宋体" w:cs="仿宋_GB2312"/>
          <w:sz w:val="28"/>
          <w:szCs w:val="28"/>
          <w:highlight w:val="none"/>
        </w:rPr>
        <w:t>日</w:t>
      </w:r>
      <w:r>
        <w:rPr>
          <w:rFonts w:hint="eastAsia" w:ascii="宋体" w:hAnsi="宋体" w:cs="仿宋_GB2312"/>
          <w:sz w:val="28"/>
          <w:szCs w:val="28"/>
          <w:highlight w:val="none"/>
          <w:lang w:val="en-US" w:eastAsia="zh-CN"/>
        </w:rPr>
        <w:t>9:00</w:t>
      </w:r>
      <w:r>
        <w:rPr>
          <w:rFonts w:hint="eastAsia" w:ascii="宋体" w:hAnsi="宋体" w:cs="仿宋_GB2312"/>
          <w:sz w:val="28"/>
          <w:szCs w:val="28"/>
          <w:highlight w:val="none"/>
        </w:rPr>
        <w:t>（北京时间）</w:t>
      </w:r>
    </w:p>
    <w:p>
      <w:pPr>
        <w:snapToGrid w:val="0"/>
        <w:spacing w:line="500" w:lineRule="exact"/>
        <w:ind w:firstLine="560" w:firstLineChars="200"/>
        <w:jc w:val="left"/>
        <w:rPr>
          <w:rFonts w:ascii="宋体" w:hAnsi="宋体" w:cs="仿宋_GB2312"/>
          <w:sz w:val="28"/>
          <w:szCs w:val="28"/>
        </w:rPr>
      </w:pPr>
      <w:r>
        <w:rPr>
          <w:rFonts w:hint="eastAsia" w:ascii="宋体" w:hAnsi="宋体" w:cs="仿宋_GB2312"/>
          <w:sz w:val="28"/>
          <w:szCs w:val="28"/>
          <w:highlight w:val="none"/>
        </w:rPr>
        <w:t>开标时间：2023年</w:t>
      </w:r>
      <w:r>
        <w:rPr>
          <w:rFonts w:hint="eastAsia" w:ascii="宋体" w:hAnsi="宋体" w:cs="仿宋_GB2312"/>
          <w:sz w:val="28"/>
          <w:szCs w:val="28"/>
          <w:highlight w:val="none"/>
          <w:lang w:val="en-US" w:eastAsia="zh-CN"/>
        </w:rPr>
        <w:t>9</w:t>
      </w:r>
      <w:r>
        <w:rPr>
          <w:rFonts w:hint="eastAsia" w:ascii="宋体" w:hAnsi="宋体" w:cs="仿宋_GB2312"/>
          <w:sz w:val="28"/>
          <w:szCs w:val="28"/>
          <w:highlight w:val="none"/>
        </w:rPr>
        <w:t>月</w:t>
      </w:r>
      <w:r>
        <w:rPr>
          <w:rFonts w:hint="eastAsia" w:ascii="宋体" w:hAnsi="宋体" w:cs="仿宋_GB2312"/>
          <w:sz w:val="28"/>
          <w:szCs w:val="28"/>
          <w:highlight w:val="none"/>
          <w:lang w:val="en-US" w:eastAsia="zh-CN"/>
        </w:rPr>
        <w:t>5</w:t>
      </w:r>
      <w:r>
        <w:rPr>
          <w:rFonts w:hint="eastAsia" w:ascii="宋体" w:hAnsi="宋体" w:cs="仿宋_GB2312"/>
          <w:sz w:val="28"/>
          <w:szCs w:val="28"/>
          <w:highlight w:val="none"/>
        </w:rPr>
        <w:t>日</w:t>
      </w:r>
      <w:r>
        <w:rPr>
          <w:rFonts w:hint="eastAsia" w:ascii="宋体" w:hAnsi="宋体" w:cs="仿宋_GB2312"/>
          <w:sz w:val="28"/>
          <w:szCs w:val="28"/>
          <w:highlight w:val="none"/>
          <w:lang w:val="en-US" w:eastAsia="zh-CN"/>
        </w:rPr>
        <w:t>9:00</w:t>
      </w:r>
      <w:r>
        <w:rPr>
          <w:rFonts w:hint="eastAsia" w:ascii="宋体" w:hAnsi="宋体" w:cs="仿宋_GB2312"/>
          <w:sz w:val="28"/>
          <w:szCs w:val="28"/>
          <w:highlight w:val="none"/>
        </w:rPr>
        <w:t>（北</w:t>
      </w:r>
      <w:r>
        <w:rPr>
          <w:rFonts w:hint="eastAsia" w:ascii="宋体" w:hAnsi="宋体" w:cs="仿宋_GB2312"/>
          <w:sz w:val="28"/>
          <w:szCs w:val="28"/>
        </w:rPr>
        <w:t>京时间）</w:t>
      </w:r>
    </w:p>
    <w:p>
      <w:pPr>
        <w:snapToGrid w:val="0"/>
        <w:spacing w:line="500" w:lineRule="exact"/>
        <w:ind w:firstLine="560" w:firstLineChars="200"/>
        <w:jc w:val="left"/>
        <w:rPr>
          <w:rFonts w:ascii="宋体" w:hAnsi="宋体" w:cs="仿宋_GB2312"/>
          <w:sz w:val="28"/>
          <w:szCs w:val="28"/>
        </w:rPr>
      </w:pPr>
      <w:r>
        <w:rPr>
          <w:rFonts w:hint="eastAsia" w:ascii="宋体" w:hAnsi="宋体" w:cs="仿宋_GB2312"/>
          <w:sz w:val="28"/>
          <w:szCs w:val="28"/>
        </w:rPr>
        <w:t>开标地点：启东市吕四港镇香堂路558号开标室</w:t>
      </w:r>
    </w:p>
    <w:p>
      <w:pPr>
        <w:snapToGrid w:val="0"/>
        <w:spacing w:line="500" w:lineRule="exact"/>
        <w:ind w:firstLine="560" w:firstLineChars="200"/>
        <w:jc w:val="left"/>
        <w:rPr>
          <w:rFonts w:ascii="宋体" w:hAnsi="宋体" w:cs="仿宋_GB2312"/>
          <w:sz w:val="28"/>
          <w:szCs w:val="28"/>
        </w:rPr>
      </w:pPr>
      <w:r>
        <w:rPr>
          <w:rFonts w:hint="eastAsia" w:ascii="宋体" w:hAnsi="宋体" w:cs="仿宋_GB2312"/>
          <w:sz w:val="28"/>
          <w:szCs w:val="28"/>
        </w:rPr>
        <w:t>纸质响应文件接收截止时间及接收地点：</w:t>
      </w:r>
    </w:p>
    <w:p>
      <w:pPr>
        <w:snapToGrid w:val="0"/>
        <w:spacing w:line="500" w:lineRule="exact"/>
        <w:ind w:firstLine="560" w:firstLineChars="200"/>
        <w:jc w:val="left"/>
        <w:rPr>
          <w:rFonts w:ascii="宋体" w:hAnsi="宋体" w:cs="仿宋_GB2312"/>
          <w:sz w:val="28"/>
          <w:szCs w:val="28"/>
        </w:rPr>
      </w:pPr>
      <w:r>
        <w:rPr>
          <w:rFonts w:hint="eastAsia" w:ascii="宋体" w:hAnsi="宋体" w:cs="仿宋_GB2312"/>
          <w:sz w:val="28"/>
          <w:szCs w:val="28"/>
        </w:rPr>
        <w:t>（1）本项目为不见面开标，供应商须在规定的纸质响应文件接收截止时间前将纸质响应文件邮寄（只接收顺丰）至规定接收地点。请各潜在供应商充分考虑天气、快递速度、路程等因素，不接受到付。未在规定时间内送达的响应文件将不予接收，后果由各潜在供应商自行承担。</w:t>
      </w:r>
    </w:p>
    <w:p>
      <w:pPr>
        <w:snapToGrid w:val="0"/>
        <w:spacing w:line="500" w:lineRule="exact"/>
        <w:ind w:firstLine="560" w:firstLineChars="200"/>
        <w:jc w:val="left"/>
        <w:rPr>
          <w:rFonts w:ascii="宋体" w:hAnsi="宋体" w:cs="仿宋_GB2312"/>
          <w:sz w:val="28"/>
          <w:szCs w:val="28"/>
        </w:rPr>
      </w:pPr>
      <w:r>
        <w:rPr>
          <w:rFonts w:hint="eastAsia" w:ascii="宋体" w:hAnsi="宋体" w:cs="仿宋_GB2312"/>
          <w:sz w:val="28"/>
          <w:szCs w:val="28"/>
        </w:rPr>
        <w:t>（2）纸质响应文件接收截止时间及接收地点：20</w:t>
      </w:r>
      <w:r>
        <w:rPr>
          <w:rFonts w:hint="eastAsia" w:ascii="宋体" w:hAnsi="宋体" w:cs="仿宋_GB2312"/>
          <w:sz w:val="28"/>
          <w:szCs w:val="28"/>
          <w:highlight w:val="none"/>
        </w:rPr>
        <w:t>23年</w:t>
      </w:r>
      <w:r>
        <w:rPr>
          <w:rFonts w:hint="eastAsia" w:ascii="宋体" w:hAnsi="宋体" w:cs="仿宋_GB2312"/>
          <w:sz w:val="28"/>
          <w:szCs w:val="28"/>
          <w:highlight w:val="none"/>
          <w:lang w:val="en-US" w:eastAsia="zh-CN"/>
        </w:rPr>
        <w:t>9</w:t>
      </w:r>
      <w:r>
        <w:rPr>
          <w:rFonts w:hint="eastAsia" w:ascii="宋体" w:hAnsi="宋体" w:cs="仿宋_GB2312"/>
          <w:sz w:val="28"/>
          <w:szCs w:val="28"/>
          <w:highlight w:val="none"/>
        </w:rPr>
        <w:t>月</w:t>
      </w:r>
      <w:r>
        <w:rPr>
          <w:rFonts w:hint="eastAsia" w:ascii="宋体" w:hAnsi="宋体" w:cs="仿宋_GB2312"/>
          <w:sz w:val="28"/>
          <w:szCs w:val="28"/>
          <w:highlight w:val="none"/>
          <w:lang w:val="en-US" w:eastAsia="zh-CN"/>
        </w:rPr>
        <w:t>5</w:t>
      </w:r>
      <w:r>
        <w:rPr>
          <w:rFonts w:hint="eastAsia" w:ascii="宋体" w:hAnsi="宋体" w:cs="仿宋_GB2312"/>
          <w:sz w:val="28"/>
          <w:szCs w:val="28"/>
          <w:highlight w:val="none"/>
        </w:rPr>
        <w:t>日</w:t>
      </w:r>
      <w:r>
        <w:rPr>
          <w:rFonts w:hint="eastAsia" w:ascii="宋体" w:hAnsi="宋体" w:cs="仿宋_GB2312"/>
          <w:sz w:val="28"/>
          <w:szCs w:val="28"/>
          <w:highlight w:val="none"/>
          <w:lang w:val="en-US" w:eastAsia="zh-CN"/>
        </w:rPr>
        <w:t>9:00</w:t>
      </w:r>
      <w:r>
        <w:rPr>
          <w:rFonts w:hint="eastAsia" w:ascii="宋体" w:hAnsi="宋体" w:cs="仿宋_GB2312"/>
          <w:sz w:val="28"/>
          <w:szCs w:val="28"/>
          <w:highlight w:val="none"/>
        </w:rPr>
        <w:t>前寄达（以送达签收时间为准），</w:t>
      </w:r>
      <w:r>
        <w:rPr>
          <w:rFonts w:hint="eastAsia" w:ascii="宋体" w:hAnsi="宋体" w:cs="仿宋_GB2312"/>
          <w:b/>
          <w:bCs/>
          <w:sz w:val="28"/>
          <w:szCs w:val="28"/>
          <w:highlight w:val="none"/>
        </w:rPr>
        <w:t>接收地点：启东市吕四港镇香堂路558号，接收联系人：杨丹，联系电话：</w:t>
      </w:r>
      <w:r>
        <w:rPr>
          <w:rFonts w:hint="eastAsia" w:ascii="宋体" w:hAnsi="宋体" w:cs="仿宋_GB2312"/>
          <w:b/>
          <w:bCs/>
          <w:sz w:val="28"/>
          <w:szCs w:val="28"/>
        </w:rPr>
        <w:t>18862813167</w:t>
      </w:r>
      <w:r>
        <w:rPr>
          <w:rFonts w:hint="eastAsia" w:ascii="宋体" w:hAnsi="宋体" w:cs="仿宋_GB2312"/>
          <w:sz w:val="28"/>
          <w:szCs w:val="28"/>
        </w:rPr>
        <w:t>。</w:t>
      </w:r>
    </w:p>
    <w:p>
      <w:pPr>
        <w:snapToGrid w:val="0"/>
        <w:spacing w:line="500" w:lineRule="exact"/>
        <w:ind w:firstLine="560" w:firstLineChars="200"/>
        <w:jc w:val="left"/>
        <w:rPr>
          <w:rFonts w:ascii="宋体" w:hAnsi="宋体" w:cs="仿宋_GB2312"/>
          <w:sz w:val="28"/>
          <w:szCs w:val="28"/>
        </w:rPr>
      </w:pPr>
      <w:r>
        <w:rPr>
          <w:rFonts w:hint="eastAsia" w:ascii="宋体" w:hAnsi="宋体" w:cs="仿宋_GB2312"/>
          <w:sz w:val="28"/>
          <w:szCs w:val="28"/>
        </w:rPr>
        <w:t>友情提醒：拒绝接收未按照询价文件要求密封的响应文件，拒绝接收在响应文件接收截止时间后寄达（以送达签收时间为准）的响应文件，上述情况各潜在供应商充分考虑相关因素，不得就此提出任何异议。</w:t>
      </w:r>
    </w:p>
    <w:p>
      <w:pPr>
        <w:snapToGrid w:val="0"/>
        <w:spacing w:line="500" w:lineRule="exact"/>
        <w:ind w:firstLine="560" w:firstLineChars="200"/>
      </w:pPr>
      <w:r>
        <w:rPr>
          <w:rFonts w:hint="eastAsia" w:asciiTheme="minorEastAsia" w:hAnsiTheme="minorEastAsia" w:eastAsiaTheme="minorEastAsia"/>
          <w:b/>
          <w:sz w:val="28"/>
        </w:rPr>
        <w:t>五、报价保证金：</w:t>
      </w:r>
      <w:r>
        <w:rPr>
          <w:rFonts w:hint="eastAsia" w:asciiTheme="minorEastAsia" w:hAnsiTheme="minorEastAsia" w:eastAsiaTheme="minorEastAsia"/>
          <w:sz w:val="28"/>
        </w:rPr>
        <w:t>根据省财政厅要求，免收投标保证金。</w:t>
      </w:r>
    </w:p>
    <w:p>
      <w:pPr>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b/>
          <w:sz w:val="28"/>
        </w:rPr>
        <w:t>六、商务部分要求</w:t>
      </w:r>
    </w:p>
    <w:p>
      <w:pPr>
        <w:snapToGrid w:val="0"/>
        <w:spacing w:line="500" w:lineRule="exact"/>
        <w:ind w:firstLine="560" w:firstLineChars="200"/>
        <w:rPr>
          <w:rFonts w:ascii="宋体" w:hAnsi="宋体" w:cs="宋体"/>
          <w:sz w:val="28"/>
          <w:szCs w:val="28"/>
        </w:rPr>
      </w:pPr>
      <w:r>
        <w:rPr>
          <w:rFonts w:hint="eastAsia" w:ascii="宋体" w:hAnsi="宋体" w:cs="宋体"/>
          <w:sz w:val="28"/>
          <w:szCs w:val="28"/>
        </w:rPr>
        <w:t>1、交货、安装地点：成交供应商应按照采购人的要求，在指定的位置交货、安装牢固，确保正常使用。</w:t>
      </w:r>
    </w:p>
    <w:p>
      <w:pPr>
        <w:snapToGrid w:val="0"/>
        <w:spacing w:line="500" w:lineRule="exact"/>
        <w:ind w:firstLine="560" w:firstLineChars="200"/>
        <w:rPr>
          <w:rFonts w:ascii="宋体" w:hAnsi="宋体" w:cs="宋体"/>
          <w:sz w:val="28"/>
          <w:szCs w:val="28"/>
        </w:rPr>
      </w:pPr>
      <w:r>
        <w:rPr>
          <w:rFonts w:hint="eastAsia" w:ascii="宋体" w:hAnsi="宋体" w:cs="宋体"/>
          <w:sz w:val="28"/>
          <w:szCs w:val="28"/>
        </w:rPr>
        <w:t>2、质保期：自验收合格之日算起2年。</w:t>
      </w:r>
    </w:p>
    <w:p>
      <w:pPr>
        <w:snapToGrid w:val="0"/>
        <w:spacing w:line="500" w:lineRule="exact"/>
        <w:ind w:firstLine="560" w:firstLineChars="200"/>
        <w:rPr>
          <w:rFonts w:ascii="宋体" w:hAnsi="宋体" w:cs="宋体"/>
          <w:sz w:val="28"/>
          <w:szCs w:val="28"/>
        </w:rPr>
      </w:pPr>
      <w:r>
        <w:rPr>
          <w:rFonts w:hint="eastAsia" w:ascii="宋体" w:hAnsi="宋体" w:cs="宋体"/>
          <w:sz w:val="28"/>
          <w:szCs w:val="28"/>
        </w:rPr>
        <w:t>3、质量要求：合格。产品必须是全新、未使用过的原装合格正品，完全符合采购文件规定的质量、规格和性能的要求，达到国家或行业规定的标准。</w:t>
      </w:r>
    </w:p>
    <w:p>
      <w:pPr>
        <w:snapToGrid w:val="0"/>
        <w:spacing w:line="500" w:lineRule="exact"/>
        <w:ind w:firstLine="560" w:firstLineChars="200"/>
        <w:rPr>
          <w:rFonts w:ascii="宋体" w:hAnsi="宋体" w:cs="宋体"/>
          <w:sz w:val="28"/>
          <w:szCs w:val="28"/>
        </w:rPr>
      </w:pPr>
      <w:r>
        <w:rPr>
          <w:rFonts w:hint="eastAsia" w:ascii="宋体" w:hAnsi="宋体" w:cs="宋体"/>
          <w:sz w:val="28"/>
          <w:szCs w:val="28"/>
        </w:rPr>
        <w:t>4、供货期：合同签订且接采购单位通知后35日内交货。</w:t>
      </w:r>
    </w:p>
    <w:p>
      <w:pPr>
        <w:snapToGrid w:val="0"/>
        <w:spacing w:line="500" w:lineRule="exact"/>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5、售后服务要求：提供24小时</w:t>
      </w:r>
      <w:r>
        <w:rPr>
          <w:rFonts w:hint="eastAsia" w:ascii="宋体" w:hAnsi="宋体" w:cs="宋体"/>
          <w:sz w:val="28"/>
          <w:szCs w:val="28"/>
        </w:rPr>
        <w:t>×</w:t>
      </w:r>
      <w:r>
        <w:rPr>
          <w:rFonts w:hint="eastAsia" w:ascii="宋体" w:hAnsi="宋体" w:cs="宋体"/>
          <w:sz w:val="28"/>
          <w:szCs w:val="28"/>
          <w:lang w:val="en-US" w:eastAsia="zh-CN"/>
        </w:rPr>
        <w:t>365天热线支持电话。在电话和远程网络无法解决问题的情况下，服务工程师应在6小时内到达现场响应。提供备件保障计划，保证质保期内及以后提供及时快捷的备件服务。提供免费的系统软件恢复和升级服务。</w:t>
      </w:r>
    </w:p>
    <w:p>
      <w:pPr>
        <w:snapToGrid w:val="0"/>
        <w:spacing w:line="500" w:lineRule="exact"/>
        <w:ind w:firstLine="560" w:firstLineChars="200"/>
        <w:rPr>
          <w:rFonts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、其他要求</w:t>
      </w:r>
    </w:p>
    <w:p>
      <w:pPr>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（1）中标人应考虑交货期间的材料等费用的上涨因素，中标后的总价不予调整。</w:t>
      </w:r>
    </w:p>
    <w:p>
      <w:pPr>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（2）投标人一旦中标，所提供的产品必须符合招标人对规格、型号的基本要求（详见技术规格书），如不符合要求，应无条件进行退货、换货，直至达到招标人的要求，并承担相应的损失和责任。</w:t>
      </w:r>
    </w:p>
    <w:p>
      <w:pPr>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（3）主要元器件建议品牌</w:t>
      </w:r>
    </w:p>
    <w:tbl>
      <w:tblPr>
        <w:tblStyle w:val="20"/>
        <w:tblW w:w="95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8"/>
        <w:gridCol w:w="2965"/>
        <w:gridCol w:w="4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638"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296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主要元器件</w:t>
            </w:r>
          </w:p>
        </w:tc>
        <w:tc>
          <w:tcPr>
            <w:tcW w:w="489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jc w:val="center"/>
        </w:trPr>
        <w:tc>
          <w:tcPr>
            <w:tcW w:w="163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kern w:val="2"/>
                <w:sz w:val="28"/>
                <w:szCs w:val="28"/>
                <w:lang w:val="en-US" w:eastAsia="zh-CN" w:bidi="ar-SA"/>
              </w:rPr>
            </w:pPr>
            <w:r>
              <w:rPr>
                <w:rFonts w:hint="eastAsia" w:ascii="仿宋" w:hAnsi="仿宋" w:eastAsia="仿宋" w:cs="仿宋"/>
                <w:i w:val="0"/>
                <w:iCs w:val="0"/>
                <w:color w:val="000000"/>
                <w:kern w:val="0"/>
                <w:sz w:val="28"/>
                <w:szCs w:val="28"/>
                <w:u w:val="none"/>
                <w:lang w:val="en-US" w:eastAsia="zh-CN" w:bidi="ar"/>
              </w:rPr>
              <w:t>主断路器</w:t>
            </w:r>
          </w:p>
        </w:tc>
        <w:tc>
          <w:tcPr>
            <w:tcW w:w="4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施耐德、ABB、西门子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63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2</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漏电保护开关</w:t>
            </w:r>
          </w:p>
        </w:tc>
        <w:tc>
          <w:tcPr>
            <w:tcW w:w="4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施耐德、ABB、西门子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63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3</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浪涌保护</w:t>
            </w:r>
          </w:p>
        </w:tc>
        <w:tc>
          <w:tcPr>
            <w:tcW w:w="4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正泰、上海人民、德力西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63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4</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电能表</w:t>
            </w:r>
          </w:p>
        </w:tc>
        <w:tc>
          <w:tcPr>
            <w:tcW w:w="4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安科瑞、正泰、威胜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1638" w:type="dxa"/>
            <w:tcBorders>
              <w:top w:val="single" w:color="000000" w:sz="4"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急停开关</w:t>
            </w:r>
          </w:p>
        </w:tc>
        <w:tc>
          <w:tcPr>
            <w:tcW w:w="4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正泰、蓝波、德力西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指示灯</w:t>
            </w: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正泰、三利、施耐德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接插件</w:t>
            </w: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正泰、上丰、健龙、康尼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进线电缆</w:t>
            </w: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上上、江南、中天、远东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9</w:t>
            </w:r>
          </w:p>
        </w:tc>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智能传输模块</w:t>
            </w: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南京紫薇云、四川码云、中天互联</w:t>
            </w:r>
          </w:p>
        </w:tc>
      </w:tr>
    </w:tbl>
    <w:p>
      <w:pPr>
        <w:snapToGrid w:val="0"/>
        <w:spacing w:line="500" w:lineRule="exact"/>
        <w:ind w:firstLine="560" w:firstLineChars="200"/>
        <w:rPr>
          <w:rFonts w:hint="eastAsia" w:cs="Times New Roman" w:asciiTheme="minorEastAsia" w:hAnsiTheme="minorEastAsia" w:eastAsiaTheme="minorEastAsia"/>
          <w:b/>
          <w:sz w:val="28"/>
        </w:rPr>
      </w:pPr>
      <w:r>
        <w:rPr>
          <w:rFonts w:hint="eastAsia" w:cs="Times New Roman" w:asciiTheme="minorEastAsia" w:hAnsiTheme="minorEastAsia" w:eastAsiaTheme="minorEastAsia"/>
          <w:b/>
          <w:sz w:val="28"/>
        </w:rPr>
        <w:t>七、合同的签订及注意事项</w:t>
      </w:r>
    </w:p>
    <w:p>
      <w:pPr>
        <w:snapToGrid w:val="0"/>
        <w:spacing w:line="5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1.成交结果将在启东市人民政府网予以公布，公示期为一个工作日，公示期内对成交结果没有异议的，将确定成交候选人为成交供应商。成交供应商须在中标（成交）通知书发出之日起十五日内与采购人签订合同。</w:t>
      </w:r>
    </w:p>
    <w:p>
      <w:pPr>
        <w:snapToGrid w:val="0"/>
        <w:spacing w:line="5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2.成交供应商因自身原因不能订立政府采购合同的，采购单位将取消其成交资格，同时相关主管部门将对成交供应商作以下处理：记入不良信誉，并按《政府采购法》有关规定，暂停其在启东市场的政府采购资格。</w:t>
      </w:r>
    </w:p>
    <w:p>
      <w:pPr>
        <w:snapToGrid w:val="0"/>
        <w:spacing w:line="5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3.成交供应商因自身原因不能履行政府采购合同的，采购单位将取消其成交资格，履约保证金不予退还，同时相关主管部门将对成交供应商作以下处理：记入不良信誉，并按《政府采购法》有关规定，暂停其在启东市场的政府采购资格。</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Theme="minorEastAsia" w:hAnsiTheme="minorEastAsia" w:eastAsiaTheme="minorEastAsia"/>
          <w:b/>
          <w:sz w:val="28"/>
        </w:rPr>
      </w:pPr>
      <w:r>
        <w:rPr>
          <w:rFonts w:hint="eastAsia" w:asciiTheme="minorEastAsia" w:hAnsiTheme="minorEastAsia" w:eastAsiaTheme="minorEastAsia"/>
          <w:b/>
          <w:sz w:val="28"/>
        </w:rPr>
        <w:t>八、成交原则</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Theme="minorEastAsia" w:hAnsiTheme="minorEastAsia" w:eastAsiaTheme="minorEastAsia"/>
          <w:sz w:val="28"/>
        </w:rPr>
      </w:pPr>
      <w:r>
        <w:rPr>
          <w:rFonts w:hint="eastAsia" w:asciiTheme="minorEastAsia" w:hAnsiTheme="minorEastAsia" w:eastAsiaTheme="minorEastAsia"/>
          <w:sz w:val="28"/>
        </w:rPr>
        <w:t>1.符合采购需求且报价最低者中标。</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Theme="minorEastAsia" w:hAnsiTheme="minorEastAsia" w:eastAsiaTheme="minorEastAsia"/>
          <w:sz w:val="28"/>
        </w:rPr>
      </w:pPr>
      <w:r>
        <w:rPr>
          <w:rFonts w:hint="eastAsia" w:asciiTheme="minorEastAsia" w:hAnsiTheme="minorEastAsia" w:eastAsiaTheme="minorEastAsia"/>
          <w:sz w:val="28"/>
        </w:rPr>
        <w:t>2.如报价相同的，则采购人通过抽签方式随机确定中标候选人。</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Theme="minorEastAsia" w:hAnsiTheme="minorEastAsia" w:eastAsiaTheme="minorEastAsia"/>
          <w:sz w:val="28"/>
        </w:rPr>
      </w:pPr>
      <w:r>
        <w:rPr>
          <w:rFonts w:hint="eastAsia" w:asciiTheme="minorEastAsia" w:hAnsiTheme="minorEastAsia" w:eastAsiaTheme="minorEastAsia"/>
          <w:sz w:val="28"/>
        </w:rPr>
        <w:t>3.当第一中标候选人放弃中标、因不可抗力不能履行合同、不按照招标文件要求提交履约保证金，或者被查实存在影响中标结果的违法行为等情形，不符合中标条件的，招标人将依法重新招标。</w:t>
      </w:r>
    </w:p>
    <w:p>
      <w:pPr>
        <w:snapToGrid w:val="0"/>
        <w:spacing w:line="500" w:lineRule="exact"/>
        <w:ind w:firstLine="560" w:firstLineChars="200"/>
        <w:rPr>
          <w:rFonts w:asciiTheme="minorEastAsia" w:hAnsiTheme="minorEastAsia" w:eastAsiaTheme="minorEastAsia"/>
          <w:b/>
          <w:sz w:val="28"/>
        </w:rPr>
      </w:pPr>
      <w:r>
        <w:rPr>
          <w:rFonts w:hint="eastAsia" w:asciiTheme="minorEastAsia" w:hAnsiTheme="minorEastAsia" w:eastAsiaTheme="minorEastAsia"/>
          <w:b/>
          <w:sz w:val="28"/>
        </w:rPr>
        <w:t>九、付款方式</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cs="Times New Roman" w:asciiTheme="minorEastAsia" w:hAnsiTheme="minorEastAsia" w:eastAsiaTheme="minorEastAsia"/>
          <w:sz w:val="28"/>
          <w:lang w:eastAsia="zh-CN"/>
        </w:rPr>
      </w:pPr>
      <w:r>
        <w:rPr>
          <w:rFonts w:hint="eastAsia" w:cs="Times New Roman" w:asciiTheme="minorEastAsia" w:hAnsiTheme="minorEastAsia" w:eastAsiaTheme="minorEastAsia"/>
          <w:sz w:val="28"/>
          <w:lang w:eastAsia="zh-CN"/>
        </w:rPr>
        <w:t>全部货物到场且经采购人验收合格并得到相关部门的认可后，支付至合同总价的97%；剩余合同总价的3%作为质量保证金。质保期：自验收合格之日算起2年。质保金在质保期满且经采购人确认后无息退还（扣除已发生的保修费用）。</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Theme="minorEastAsia" w:hAnsiTheme="minorEastAsia" w:eastAsiaTheme="minorEastAsia"/>
          <w:sz w:val="28"/>
        </w:rPr>
      </w:pPr>
      <w:r>
        <w:rPr>
          <w:rFonts w:hint="eastAsia" w:cs="Times New Roman" w:asciiTheme="minorEastAsia" w:hAnsiTheme="minorEastAsia" w:eastAsiaTheme="minorEastAsia"/>
          <w:sz w:val="28"/>
          <w:lang w:eastAsia="zh-CN"/>
        </w:rPr>
        <w:t>注：供应商申请付款的程序应符合采购人的财务规定（提供加盖申请单位公章的付款审批单原件、增值税专用发票原件、合同复印件、成交通知书复印件以及由发包人确认的阶段成果等相关材料），以上付款均不计息</w:t>
      </w:r>
      <w:r>
        <w:rPr>
          <w:rFonts w:hint="eastAsia" w:asciiTheme="minorEastAsia" w:hAnsiTheme="minorEastAsia" w:eastAsiaTheme="minorEastAsia"/>
          <w:sz w:val="28"/>
        </w:rPr>
        <w:t>。</w:t>
      </w:r>
    </w:p>
    <w:p>
      <w:pPr>
        <w:snapToGrid w:val="0"/>
        <w:spacing w:line="500" w:lineRule="exact"/>
        <w:ind w:firstLine="280" w:firstLineChars="100"/>
        <w:rPr>
          <w:rFonts w:asciiTheme="minorEastAsia" w:hAnsiTheme="minorEastAsia" w:eastAsiaTheme="minorEastAsia"/>
          <w:sz w:val="28"/>
        </w:rPr>
      </w:pPr>
      <w:r>
        <w:rPr>
          <w:rFonts w:hint="eastAsia" w:asciiTheme="minorEastAsia" w:hAnsiTheme="minorEastAsia" w:eastAsiaTheme="minorEastAsia"/>
          <w:b/>
          <w:sz w:val="28"/>
        </w:rPr>
        <w:t>十、履约保证金：</w:t>
      </w:r>
      <w:r>
        <w:rPr>
          <w:rFonts w:hint="eastAsia" w:asciiTheme="minorEastAsia" w:hAnsiTheme="minorEastAsia" w:eastAsiaTheme="minorEastAsia"/>
          <w:sz w:val="28"/>
        </w:rPr>
        <w:t>合同价的10%。成交供应商必须在签订合同前向采购单位交纳履约保证金（汇入采购单位指定的银行账户）。履约保证金在供应商供货完毕且经采购人验收合格后一次性退还（利息不计）。</w:t>
      </w:r>
    </w:p>
    <w:p>
      <w:pPr>
        <w:snapToGrid w:val="0"/>
        <w:spacing w:line="500" w:lineRule="exact"/>
        <w:ind w:firstLine="280" w:firstLineChars="100"/>
        <w:rPr>
          <w:rFonts w:asciiTheme="minorEastAsia" w:hAnsiTheme="minorEastAsia" w:eastAsiaTheme="minorEastAsia"/>
          <w:b/>
          <w:sz w:val="28"/>
        </w:rPr>
      </w:pPr>
      <w:r>
        <w:rPr>
          <w:rFonts w:hint="eastAsia" w:asciiTheme="minorEastAsia" w:hAnsiTheme="minorEastAsia" w:eastAsiaTheme="minorEastAsia"/>
          <w:b/>
          <w:sz w:val="28"/>
        </w:rPr>
        <w:t>十一、其他要求</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cs="Times New Roman" w:asciiTheme="minorEastAsia" w:hAnsiTheme="minorEastAsia" w:eastAsiaTheme="minorEastAsia"/>
          <w:sz w:val="28"/>
        </w:rPr>
      </w:pPr>
      <w:r>
        <w:rPr>
          <w:rFonts w:hint="eastAsia" w:cs="Times New Roman" w:asciiTheme="minorEastAsia" w:hAnsiTheme="minorEastAsia" w:eastAsiaTheme="minorEastAsia"/>
          <w:sz w:val="28"/>
        </w:rPr>
        <w:t>成交供应商在中标通知书领取前必须接受采购单位的合同交底，交底对象为成交供应商主要负责人。若成交供应商未如期参加合同交底，则视为成交供应商无正当理由拒签合同。投标供应商若参与投标则视为接受以上交底要求。</w:t>
      </w:r>
    </w:p>
    <w:p>
      <w:pPr>
        <w:pStyle w:val="26"/>
      </w:pPr>
    </w:p>
    <w:p>
      <w:pPr>
        <w:pStyle w:val="4"/>
        <w:rPr>
          <w:rFonts w:asciiTheme="minorEastAsia" w:hAnsiTheme="minorEastAsia" w:eastAsiaTheme="minorEastAsia"/>
          <w:sz w:val="28"/>
          <w:szCs w:val="28"/>
        </w:rPr>
      </w:pPr>
    </w:p>
    <w:p>
      <w:pPr>
        <w:pStyle w:val="4"/>
        <w:rPr>
          <w:rFonts w:asciiTheme="minorEastAsia" w:hAnsiTheme="minorEastAsia" w:eastAsiaTheme="minorEastAsia"/>
          <w:sz w:val="28"/>
          <w:szCs w:val="28"/>
        </w:rPr>
      </w:pPr>
    </w:p>
    <w:p>
      <w:pPr>
        <w:pStyle w:val="4"/>
        <w:rPr>
          <w:rFonts w:asciiTheme="minorEastAsia" w:hAnsiTheme="minorEastAsia" w:eastAsiaTheme="minorEastAsia"/>
          <w:sz w:val="28"/>
          <w:szCs w:val="28"/>
        </w:rPr>
      </w:pPr>
    </w:p>
    <w:p>
      <w:pPr>
        <w:pStyle w:val="4"/>
        <w:rPr>
          <w:rFonts w:asciiTheme="minorEastAsia" w:hAnsiTheme="minorEastAsia" w:eastAsiaTheme="minorEastAsia"/>
          <w:sz w:val="28"/>
          <w:szCs w:val="28"/>
        </w:rPr>
      </w:pPr>
    </w:p>
    <w:p>
      <w:pPr>
        <w:widowControl/>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r>
        <w:rPr>
          <w:rFonts w:hint="eastAsia" w:asciiTheme="minorEastAsia" w:hAnsiTheme="minorEastAsia" w:eastAsiaTheme="minorEastAsia"/>
          <w:b/>
          <w:bCs/>
          <w:sz w:val="28"/>
          <w:szCs w:val="28"/>
        </w:rPr>
        <w:t>附件一：</w:t>
      </w:r>
    </w:p>
    <w:p>
      <w:pPr>
        <w:spacing w:line="400" w:lineRule="exact"/>
        <w:jc w:val="center"/>
        <w:rPr>
          <w:rFonts w:ascii="宋体" w:hAnsi="宋体" w:cs="宋体"/>
          <w:b/>
          <w:sz w:val="30"/>
          <w:szCs w:val="30"/>
        </w:rPr>
      </w:pPr>
      <w:r>
        <w:rPr>
          <w:rFonts w:hint="eastAsia" w:ascii="宋体" w:hAnsi="宋体" w:cs="宋体"/>
          <w:b/>
          <w:sz w:val="30"/>
          <w:szCs w:val="30"/>
        </w:rPr>
        <w:t>报 价 表</w:t>
      </w:r>
    </w:p>
    <w:tbl>
      <w:tblPr>
        <w:tblStyle w:val="20"/>
        <w:tblW w:w="5527" w:type="pct"/>
        <w:tblInd w:w="-383" w:type="dxa"/>
        <w:tblLayout w:type="fixed"/>
        <w:tblCellMar>
          <w:top w:w="0" w:type="dxa"/>
          <w:left w:w="108" w:type="dxa"/>
          <w:bottom w:w="0" w:type="dxa"/>
          <w:right w:w="108" w:type="dxa"/>
        </w:tblCellMar>
      </w:tblPr>
      <w:tblGrid>
        <w:gridCol w:w="810"/>
        <w:gridCol w:w="1573"/>
        <w:gridCol w:w="3050"/>
        <w:gridCol w:w="650"/>
        <w:gridCol w:w="900"/>
        <w:gridCol w:w="1150"/>
        <w:gridCol w:w="1283"/>
      </w:tblGrid>
      <w:tr>
        <w:tblPrEx>
          <w:tblCellMar>
            <w:top w:w="0" w:type="dxa"/>
            <w:left w:w="108" w:type="dxa"/>
            <w:bottom w:w="0" w:type="dxa"/>
            <w:right w:w="108" w:type="dxa"/>
          </w:tblCellMar>
        </w:tblPrEx>
        <w:trPr>
          <w:trHeight w:val="501" w:hRule="atLeast"/>
        </w:trPr>
        <w:tc>
          <w:tcPr>
            <w:tcW w:w="5000" w:type="pct"/>
            <w:gridSpan w:val="7"/>
            <w:tcBorders>
              <w:top w:val="nil"/>
              <w:left w:val="nil"/>
              <w:bottom w:val="nil"/>
              <w:right w:val="nil"/>
            </w:tcBorders>
            <w:shd w:val="clear" w:color="auto" w:fill="auto"/>
            <w:vAlign w:val="center"/>
          </w:tcPr>
          <w:p>
            <w:pPr>
              <w:widowControl/>
              <w:jc w:val="left"/>
              <w:rPr>
                <w:rFonts w:hint="eastAsia" w:ascii="黑体" w:hAnsi="黑体" w:eastAsia="黑体" w:cs="Arial"/>
                <w:color w:val="000000"/>
                <w:kern w:val="0"/>
                <w:szCs w:val="21"/>
                <w:lang w:eastAsia="zh-CN"/>
              </w:rPr>
            </w:pPr>
            <w:r>
              <w:rPr>
                <w:rFonts w:hint="eastAsia" w:ascii="黑体" w:hAnsi="黑体" w:eastAsia="黑体" w:cs="Arial"/>
                <w:color w:val="000000"/>
                <w:kern w:val="0"/>
                <w:szCs w:val="21"/>
              </w:rPr>
              <w:t>工程名称：</w:t>
            </w:r>
            <w:r>
              <w:rPr>
                <w:rFonts w:hint="eastAsia" w:ascii="黑体" w:hAnsi="黑体" w:eastAsia="黑体" w:cs="Arial"/>
                <w:color w:val="000000"/>
                <w:kern w:val="0"/>
                <w:szCs w:val="21"/>
                <w:lang w:eastAsia="zh-CN"/>
              </w:rPr>
              <w:t>南通港吕四港区吕四作业区西港池港口支持系统工程岸电采购项目</w:t>
            </w:r>
          </w:p>
        </w:tc>
      </w:tr>
      <w:tr>
        <w:tblPrEx>
          <w:tblCellMar>
            <w:top w:w="0" w:type="dxa"/>
            <w:left w:w="108" w:type="dxa"/>
            <w:bottom w:w="0" w:type="dxa"/>
            <w:right w:w="108" w:type="dxa"/>
          </w:tblCellMar>
        </w:tblPrEx>
        <w:trPr>
          <w:trHeight w:val="312" w:hRule="atLeast"/>
        </w:trPr>
        <w:tc>
          <w:tcPr>
            <w:tcW w:w="430"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序号</w:t>
            </w:r>
          </w:p>
        </w:tc>
        <w:tc>
          <w:tcPr>
            <w:tcW w:w="835"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lang w:val="en-US" w:eastAsia="zh-CN"/>
              </w:rPr>
              <w:t>设备</w:t>
            </w:r>
            <w:r>
              <w:rPr>
                <w:rFonts w:hint="eastAsia" w:ascii="黑体" w:hAnsi="黑体" w:eastAsia="黑体" w:cs="Arial"/>
                <w:color w:val="000000"/>
                <w:kern w:val="0"/>
                <w:szCs w:val="21"/>
              </w:rPr>
              <w:t>名称</w:t>
            </w:r>
          </w:p>
        </w:tc>
        <w:tc>
          <w:tcPr>
            <w:tcW w:w="1619"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规格/参数</w:t>
            </w:r>
          </w:p>
        </w:tc>
        <w:tc>
          <w:tcPr>
            <w:tcW w:w="345"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单位</w:t>
            </w:r>
          </w:p>
        </w:tc>
        <w:tc>
          <w:tcPr>
            <w:tcW w:w="477" w:type="pct"/>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数量</w:t>
            </w:r>
          </w:p>
        </w:tc>
        <w:tc>
          <w:tcPr>
            <w:tcW w:w="610" w:type="pct"/>
            <w:vMerge w:val="restart"/>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含税综合单价（元）</w:t>
            </w:r>
          </w:p>
        </w:tc>
        <w:tc>
          <w:tcPr>
            <w:tcW w:w="681" w:type="pct"/>
            <w:vMerge w:val="restart"/>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含税合价（元）</w:t>
            </w:r>
          </w:p>
        </w:tc>
      </w:tr>
      <w:tr>
        <w:tblPrEx>
          <w:tblCellMar>
            <w:top w:w="0" w:type="dxa"/>
            <w:left w:w="108" w:type="dxa"/>
            <w:bottom w:w="0" w:type="dxa"/>
            <w:right w:w="108" w:type="dxa"/>
          </w:tblCellMar>
        </w:tblPrEx>
        <w:trPr>
          <w:trHeight w:val="312" w:hRule="atLeast"/>
        </w:trPr>
        <w:tc>
          <w:tcPr>
            <w:tcW w:w="43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color w:val="000000"/>
                <w:kern w:val="0"/>
                <w:szCs w:val="21"/>
              </w:rPr>
            </w:pPr>
          </w:p>
        </w:tc>
        <w:tc>
          <w:tcPr>
            <w:tcW w:w="8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color w:val="000000"/>
                <w:kern w:val="0"/>
                <w:szCs w:val="21"/>
              </w:rPr>
            </w:pPr>
          </w:p>
        </w:tc>
        <w:tc>
          <w:tcPr>
            <w:tcW w:w="161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color w:val="000000"/>
                <w:kern w:val="0"/>
                <w:szCs w:val="21"/>
              </w:rPr>
            </w:pPr>
          </w:p>
        </w:tc>
        <w:tc>
          <w:tcPr>
            <w:tcW w:w="34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color w:val="000000"/>
                <w:kern w:val="0"/>
                <w:szCs w:val="21"/>
              </w:rPr>
            </w:pPr>
          </w:p>
        </w:tc>
        <w:tc>
          <w:tcPr>
            <w:tcW w:w="47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color w:val="000000"/>
                <w:kern w:val="0"/>
                <w:szCs w:val="21"/>
              </w:rPr>
            </w:pPr>
          </w:p>
        </w:tc>
        <w:tc>
          <w:tcPr>
            <w:tcW w:w="61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color w:val="000000"/>
                <w:kern w:val="0"/>
                <w:szCs w:val="21"/>
              </w:rPr>
            </w:pPr>
          </w:p>
        </w:tc>
        <w:tc>
          <w:tcPr>
            <w:tcW w:w="68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color w:val="000000"/>
                <w:kern w:val="0"/>
                <w:szCs w:val="21"/>
              </w:rPr>
            </w:pPr>
          </w:p>
        </w:tc>
      </w:tr>
      <w:tr>
        <w:tblPrEx>
          <w:tblCellMar>
            <w:top w:w="0" w:type="dxa"/>
            <w:left w:w="108" w:type="dxa"/>
            <w:bottom w:w="0" w:type="dxa"/>
            <w:right w:w="108" w:type="dxa"/>
          </w:tblCellMar>
        </w:tblPrEx>
        <w:trPr>
          <w:trHeight w:val="312" w:hRule="atLeast"/>
        </w:trPr>
        <w:tc>
          <w:tcPr>
            <w:tcW w:w="43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color w:val="000000"/>
                <w:kern w:val="0"/>
                <w:szCs w:val="21"/>
              </w:rPr>
            </w:pPr>
          </w:p>
        </w:tc>
        <w:tc>
          <w:tcPr>
            <w:tcW w:w="8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color w:val="000000"/>
                <w:kern w:val="0"/>
                <w:szCs w:val="21"/>
              </w:rPr>
            </w:pPr>
          </w:p>
        </w:tc>
        <w:tc>
          <w:tcPr>
            <w:tcW w:w="161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color w:val="000000"/>
                <w:kern w:val="0"/>
                <w:szCs w:val="21"/>
              </w:rPr>
            </w:pPr>
          </w:p>
        </w:tc>
        <w:tc>
          <w:tcPr>
            <w:tcW w:w="34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color w:val="000000"/>
                <w:kern w:val="0"/>
                <w:szCs w:val="21"/>
              </w:rPr>
            </w:pPr>
          </w:p>
        </w:tc>
        <w:tc>
          <w:tcPr>
            <w:tcW w:w="47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color w:val="000000"/>
                <w:kern w:val="0"/>
                <w:szCs w:val="21"/>
              </w:rPr>
            </w:pPr>
          </w:p>
        </w:tc>
        <w:tc>
          <w:tcPr>
            <w:tcW w:w="61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color w:val="000000"/>
                <w:kern w:val="0"/>
                <w:szCs w:val="21"/>
              </w:rPr>
            </w:pPr>
          </w:p>
        </w:tc>
        <w:tc>
          <w:tcPr>
            <w:tcW w:w="68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color w:val="000000"/>
                <w:kern w:val="0"/>
                <w:szCs w:val="21"/>
              </w:rPr>
            </w:pPr>
          </w:p>
        </w:tc>
      </w:tr>
      <w:tr>
        <w:tblPrEx>
          <w:tblCellMar>
            <w:top w:w="0" w:type="dxa"/>
            <w:left w:w="108" w:type="dxa"/>
            <w:bottom w:w="0" w:type="dxa"/>
            <w:right w:w="108" w:type="dxa"/>
          </w:tblCellMar>
        </w:tblPrEx>
        <w:trPr>
          <w:trHeight w:val="1031" w:hRule="atLeast"/>
        </w:trPr>
        <w:tc>
          <w:tcPr>
            <w:tcW w:w="4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rPr>
              <w:t>1</w:t>
            </w:r>
          </w:p>
        </w:tc>
        <w:tc>
          <w:tcPr>
            <w:tcW w:w="83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智能一体式四枪岸电桩</w:t>
            </w:r>
          </w:p>
        </w:tc>
        <w:tc>
          <w:tcPr>
            <w:tcW w:w="16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 xml:space="preserve">1个125A岸电连接器接口，满足GBT11918.5-2020规范要求； </w:t>
            </w:r>
          </w:p>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1个63A岸电连接器接口，满足GBT11918.5-2020规范要求；</w:t>
            </w:r>
          </w:p>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1个63A（三相五线）220/380V插座；1个63A(三相四线)380V插座。</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套</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8</w:t>
            </w:r>
          </w:p>
        </w:tc>
        <w:tc>
          <w:tcPr>
            <w:tcW w:w="61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Cs w:val="21"/>
              </w:rPr>
            </w:pPr>
          </w:p>
        </w:tc>
        <w:tc>
          <w:tcPr>
            <w:tcW w:w="68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750" w:hRule="atLeast"/>
        </w:trPr>
        <w:tc>
          <w:tcPr>
            <w:tcW w:w="4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rPr>
              <w:t>2</w:t>
            </w:r>
          </w:p>
        </w:tc>
        <w:tc>
          <w:tcPr>
            <w:tcW w:w="83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南通交运平台对接</w:t>
            </w:r>
          </w:p>
        </w:tc>
        <w:tc>
          <w:tcPr>
            <w:tcW w:w="16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Cs w:val="21"/>
                <w:lang w:val="en-US" w:eastAsia="zh-CN"/>
              </w:rPr>
            </w:pP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项</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1</w:t>
            </w:r>
          </w:p>
        </w:tc>
        <w:tc>
          <w:tcPr>
            <w:tcW w:w="61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Cs w:val="21"/>
              </w:rPr>
            </w:pPr>
          </w:p>
        </w:tc>
        <w:tc>
          <w:tcPr>
            <w:tcW w:w="68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802" w:hRule="atLeast"/>
        </w:trPr>
        <w:tc>
          <w:tcPr>
            <w:tcW w:w="4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rPr>
              <w:t>3</w:t>
            </w:r>
          </w:p>
        </w:tc>
        <w:tc>
          <w:tcPr>
            <w:tcW w:w="83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南通海事和船E行平台对接</w:t>
            </w:r>
          </w:p>
        </w:tc>
        <w:tc>
          <w:tcPr>
            <w:tcW w:w="16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Cs w:val="21"/>
                <w:lang w:val="en-US" w:eastAsia="zh-CN"/>
              </w:rPr>
            </w:pP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项</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1</w:t>
            </w:r>
          </w:p>
        </w:tc>
        <w:tc>
          <w:tcPr>
            <w:tcW w:w="61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Cs w:val="21"/>
              </w:rPr>
            </w:pPr>
          </w:p>
        </w:tc>
        <w:tc>
          <w:tcPr>
            <w:tcW w:w="68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9" w:hRule="atLeast"/>
        </w:trPr>
        <w:tc>
          <w:tcPr>
            <w:tcW w:w="4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Cs w:val="21"/>
                <w:lang w:val="en-US" w:eastAsia="zh-CN"/>
              </w:rPr>
            </w:pPr>
            <w:r>
              <w:rPr>
                <w:rFonts w:hint="eastAsia" w:ascii="宋体" w:hAnsi="宋体" w:cs="Arial"/>
                <w:color w:val="000000"/>
                <w:kern w:val="0"/>
                <w:szCs w:val="21"/>
                <w:lang w:val="en-US" w:eastAsia="zh-CN"/>
              </w:rPr>
              <w:t>4</w:t>
            </w:r>
          </w:p>
        </w:tc>
        <w:tc>
          <w:tcPr>
            <w:tcW w:w="8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合计</w:t>
            </w:r>
          </w:p>
        </w:tc>
        <w:tc>
          <w:tcPr>
            <w:tcW w:w="3734" w:type="pct"/>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　</w:t>
            </w:r>
          </w:p>
          <w:p>
            <w:pPr>
              <w:widowControl/>
              <w:jc w:val="left"/>
              <w:rPr>
                <w:rFonts w:ascii="宋体" w:hAnsi="宋体" w:cs="Arial"/>
                <w:color w:val="000000"/>
                <w:kern w:val="0"/>
                <w:szCs w:val="21"/>
              </w:rPr>
            </w:pPr>
            <w:r>
              <w:rPr>
                <w:rFonts w:hint="eastAsia" w:ascii="宋体" w:hAnsi="宋体" w:cs="Arial"/>
                <w:color w:val="000000"/>
                <w:kern w:val="0"/>
                <w:szCs w:val="21"/>
              </w:rPr>
              <w:t>大写：                小写：　　</w:t>
            </w:r>
          </w:p>
          <w:p>
            <w:pPr>
              <w:widowControl/>
              <w:ind w:right="630"/>
              <w:jc w:val="right"/>
              <w:rPr>
                <w:rFonts w:ascii="宋体" w:hAnsi="宋体" w:cs="Arial"/>
                <w:color w:val="000000"/>
                <w:kern w:val="0"/>
                <w:szCs w:val="21"/>
              </w:rPr>
            </w:pPr>
          </w:p>
        </w:tc>
      </w:tr>
    </w:tbl>
    <w:p>
      <w:pPr>
        <w:rPr>
          <w:rFonts w:hint="eastAsia"/>
          <w:sz w:val="28"/>
        </w:rPr>
      </w:pPr>
    </w:p>
    <w:p>
      <w:pPr>
        <w:rPr>
          <w:rFonts w:ascii="??_GB2312" w:hAnsi="宋体" w:eastAsia="Times New Roman" w:cs="??_GB2312"/>
          <w:color w:val="000000"/>
          <w:sz w:val="28"/>
          <w:szCs w:val="28"/>
        </w:rPr>
      </w:pPr>
      <w:r>
        <w:rPr>
          <w:sz w:val="28"/>
        </w:rPr>
        <w:pict>
          <v:line id="_x0000_s1026" o:spid="_x0000_s1026" o:spt="20" style="position:absolute;left:0pt;margin-left:122.2pt;margin-top:22.15pt;height:0pt;width:158.15pt;z-index:251660288;mso-width-relative:page;mso-height-relative:page;" coordsize="21600,21600" o:gfxdata="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4vfX1wAA&#10;AAkBAAAPAAAAAAAAAAEAIAAAACIAAABkcnMvZG93bnJldi54bWxQSwECFAAUAAAACACHTuJAtAY8&#10;BuYBAADbAwAADgAAAAAAAAABACAAAAAmAQAAZHJzL2Uyb0RvYy54bWxQSwUGAAAAAAYABgBZAQAA&#10;fgUAAAAA&#10;">
            <v:path arrowok="t"/>
            <v:fill focussize="0,0"/>
            <v:stroke/>
            <v:imagedata o:title=""/>
            <o:lock v:ext="edit"/>
          </v:line>
        </w:pict>
      </w:r>
      <w:r>
        <w:rPr>
          <w:rFonts w:hint="eastAsia"/>
          <w:sz w:val="28"/>
        </w:rPr>
        <w:t>报价单位</w:t>
      </w:r>
      <w:r>
        <w:rPr>
          <w:rFonts w:ascii="??_GB2312" w:hAnsi="宋体" w:eastAsia="Times New Roman"/>
          <w:color w:val="000000"/>
          <w:sz w:val="28"/>
          <w:szCs w:val="28"/>
        </w:rPr>
        <w:t>（盖章）：</w:t>
      </w:r>
    </w:p>
    <w:p>
      <w:pPr>
        <w:rPr>
          <w:rFonts w:ascii="??_GB2312" w:hAnsi="宋体" w:eastAsia="Times New Roman"/>
          <w:color w:val="000000"/>
          <w:sz w:val="28"/>
          <w:szCs w:val="28"/>
        </w:rPr>
      </w:pPr>
      <w:r>
        <w:rPr>
          <w:sz w:val="28"/>
        </w:rPr>
        <w:pict>
          <v:line id="直线 3" o:spid="_x0000_s1041" o:spt="20" style="position:absolute;left:0pt;margin-left:248.95pt;margin-top:21.7pt;height:0pt;width:158.15pt;z-index:251661312;mso-width-relative:page;mso-height-relative:page;" coordsize="21600,21600" o:gfxdata="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BcKS1gAA&#10;AAkBAAAPAAAAAAAAAAEAIAAAACIAAABkcnMvZG93bnJldi54bWxQSwECFAAUAAAACACHTuJAU+/V&#10;lecBAADbAwAADgAAAAAAAAABACAAAAAlAQAAZHJzL2Uyb0RvYy54bWxQSwUGAAAAAAYABgBZAQAA&#10;fgUAAAAA&#10;">
            <v:path arrowok="t"/>
            <v:fill focussize="0,0"/>
            <v:stroke/>
            <v:imagedata o:title=""/>
            <o:lock v:ext="edit"/>
          </v:line>
        </w:pict>
      </w:r>
      <w:r>
        <w:rPr>
          <w:rFonts w:ascii="??_GB2312" w:hAnsi="宋体" w:eastAsia="Times New Roman"/>
          <w:color w:val="000000"/>
          <w:sz w:val="28"/>
          <w:szCs w:val="28"/>
        </w:rPr>
        <w:t>法定代表人或被授权人（签名</w:t>
      </w:r>
      <w:r>
        <w:rPr>
          <w:rFonts w:hint="eastAsia" w:ascii="??_GB2312" w:hAnsi="宋体"/>
          <w:color w:val="000000"/>
          <w:sz w:val="28"/>
          <w:szCs w:val="28"/>
        </w:rPr>
        <w:t>或盖章</w:t>
      </w:r>
      <w:r>
        <w:rPr>
          <w:rFonts w:ascii="??_GB2312" w:hAnsi="宋体" w:eastAsia="Times New Roman"/>
          <w:color w:val="000000"/>
          <w:sz w:val="28"/>
          <w:szCs w:val="28"/>
        </w:rPr>
        <w:t>）：</w:t>
      </w:r>
    </w:p>
    <w:p>
      <w:pPr>
        <w:pStyle w:val="4"/>
        <w:rPr>
          <w:rFonts w:asciiTheme="minorEastAsia" w:hAnsiTheme="minorEastAsia" w:eastAsiaTheme="minorEastAsia"/>
          <w:sz w:val="28"/>
          <w:szCs w:val="28"/>
        </w:rPr>
      </w:pPr>
      <w:r>
        <w:rPr>
          <w:rFonts w:asciiTheme="minorEastAsia" w:hAnsiTheme="minorEastAsia" w:eastAsiaTheme="minorEastAsia"/>
          <w:sz w:val="28"/>
          <w:szCs w:val="28"/>
        </w:rPr>
        <w:pict>
          <v:line id="直线 13" o:spid="_x0000_s1040" o:spt="20" style="position:absolute;left:0pt;margin-left:43.75pt;margin-top:21.1pt;height:0pt;width:158.15pt;z-index:251671552;mso-width-relative:page;mso-height-relative:page;" coordsize="21600,21600" o:gfxdata="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k6xt9YA&#10;AAAIAQAADwAAAAAAAAABACAAAAAiAAAAZHJzL2Rvd25yZXYueG1sUEsBAhQAFAAAAAgAh07iQAAo&#10;EpvoAQAA3QMAAA4AAAAAAAAAAQAgAAAAJQEAAGRycy9lMm9Eb2MueG1sUEsFBgAAAAAGAAYAWQEA&#10;AH8FAAAAAA==&#10;">
            <v:path arrowok="t"/>
            <v:fill focussize="0,0"/>
            <v:stroke/>
            <v:imagedata o:title=""/>
            <o:lock v:ext="edit"/>
          </v:line>
        </w:pict>
      </w:r>
      <w:r>
        <w:rPr>
          <w:rFonts w:hint="eastAsia" w:asciiTheme="minorEastAsia" w:hAnsiTheme="minorEastAsia" w:eastAsiaTheme="minorEastAsia"/>
          <w:sz w:val="28"/>
          <w:szCs w:val="28"/>
        </w:rPr>
        <w:t>日期：</w:t>
      </w:r>
    </w:p>
    <w:p>
      <w:pPr>
        <w:pStyle w:val="18"/>
        <w:spacing w:beforeAutospacing="0" w:afterAutospacing="0" w:line="440" w:lineRule="atLeast"/>
        <w:jc w:val="both"/>
        <w:rPr>
          <w:rFonts w:hint="eastAsia"/>
          <w:b/>
          <w:sz w:val="28"/>
          <w:szCs w:val="28"/>
          <w:shd w:val="clear" w:color="auto" w:fill="FFFFFF"/>
        </w:rPr>
        <w:sectPr>
          <w:footerReference r:id="rId4" w:type="default"/>
          <w:pgSz w:w="11907" w:h="16840"/>
          <w:pgMar w:top="1440" w:right="1803" w:bottom="1440" w:left="1803" w:header="851" w:footer="992" w:gutter="0"/>
          <w:pgNumType w:fmt="numberInDash" w:start="1"/>
          <w:cols w:space="720" w:num="1"/>
          <w:docGrid w:type="linesAndChars" w:linePitch="312" w:charSpace="0"/>
        </w:sectPr>
      </w:pPr>
    </w:p>
    <w:p>
      <w:pPr>
        <w:pStyle w:val="18"/>
        <w:spacing w:beforeAutospacing="0" w:afterAutospacing="0" w:line="440" w:lineRule="atLeast"/>
        <w:jc w:val="both"/>
        <w:rPr>
          <w:bCs/>
        </w:rPr>
      </w:pPr>
      <w:r>
        <w:rPr>
          <w:rFonts w:hint="eastAsia"/>
          <w:b/>
          <w:sz w:val="28"/>
          <w:szCs w:val="28"/>
          <w:shd w:val="clear" w:color="auto" w:fill="FFFFFF"/>
        </w:rPr>
        <w:t>附件</w:t>
      </w:r>
      <w:r>
        <w:rPr>
          <w:rFonts w:hint="eastAsia"/>
          <w:b/>
          <w:sz w:val="28"/>
          <w:szCs w:val="28"/>
          <w:shd w:val="clear" w:color="auto" w:fill="FFFFFF"/>
          <w:lang w:val="en-US" w:eastAsia="zh-CN"/>
        </w:rPr>
        <w:t>二</w:t>
      </w:r>
      <w:r>
        <w:rPr>
          <w:rFonts w:hint="eastAsia"/>
          <w:b/>
          <w:sz w:val="28"/>
          <w:szCs w:val="28"/>
          <w:shd w:val="clear" w:color="auto" w:fill="FFFFFF"/>
        </w:rPr>
        <w:t>：</w:t>
      </w:r>
    </w:p>
    <w:p>
      <w:pPr>
        <w:pStyle w:val="18"/>
        <w:spacing w:beforeAutospacing="0" w:afterAutospacing="0" w:line="500" w:lineRule="atLeast"/>
        <w:jc w:val="center"/>
        <w:rPr>
          <w:bCs/>
        </w:rPr>
      </w:pPr>
      <w:r>
        <w:rPr>
          <w:rFonts w:hint="eastAsia"/>
          <w:b/>
          <w:sz w:val="32"/>
          <w:szCs w:val="32"/>
          <w:shd w:val="clear" w:color="auto" w:fill="FFFFFF"/>
        </w:rPr>
        <w:t>报 价 承 诺 书</w:t>
      </w:r>
    </w:p>
    <w:p>
      <w:pPr>
        <w:pStyle w:val="18"/>
        <w:spacing w:before="0" w:beforeAutospacing="0" w:after="0" w:afterAutospacing="0" w:line="500" w:lineRule="atLeast"/>
        <w:jc w:val="both"/>
        <w:rPr>
          <w:bCs/>
        </w:rPr>
      </w:pPr>
      <w:r>
        <w:rPr>
          <w:rFonts w:hint="eastAsia"/>
          <w:bCs/>
          <w:sz w:val="28"/>
          <w:szCs w:val="28"/>
          <w:shd w:val="clear" w:color="auto" w:fill="FFFFFF"/>
          <w:lang w:eastAsia="zh-CN"/>
        </w:rPr>
        <w:t>江苏吕四港集团有限公司</w:t>
      </w:r>
      <w:r>
        <w:rPr>
          <w:rFonts w:hint="eastAsia"/>
          <w:bCs/>
          <w:sz w:val="28"/>
          <w:szCs w:val="28"/>
        </w:rPr>
        <w:t>：</w:t>
      </w:r>
    </w:p>
    <w:p>
      <w:pPr>
        <w:pStyle w:val="18"/>
        <w:spacing w:before="0" w:beforeAutospacing="0" w:after="0" w:afterAutospacing="0" w:line="500" w:lineRule="atLeast"/>
        <w:ind w:firstLine="548" w:firstLineChars="196"/>
        <w:jc w:val="both"/>
        <w:rPr>
          <w:bCs/>
        </w:rPr>
      </w:pPr>
      <w:r>
        <w:rPr>
          <w:rFonts w:hint="eastAsia"/>
          <w:bCs/>
          <w:sz w:val="28"/>
          <w:szCs w:val="28"/>
          <w:u w:val="single"/>
          <w:shd w:val="clear" w:color="auto" w:fill="FFFFFF"/>
        </w:rPr>
        <w:t>（报价单位全称）</w:t>
      </w:r>
      <w:r>
        <w:rPr>
          <w:rFonts w:hint="eastAsia"/>
          <w:bCs/>
          <w:sz w:val="28"/>
          <w:szCs w:val="28"/>
          <w:shd w:val="clear" w:color="auto" w:fill="FFFFFF"/>
        </w:rPr>
        <w:t>授权</w:t>
      </w:r>
      <w:r>
        <w:rPr>
          <w:rFonts w:hint="eastAsia"/>
          <w:bCs/>
          <w:sz w:val="28"/>
          <w:szCs w:val="28"/>
          <w:u w:val="single"/>
          <w:shd w:val="clear" w:color="auto" w:fill="FFFFFF"/>
        </w:rPr>
        <w:t>（姓  名）（职  务）</w:t>
      </w:r>
      <w:r>
        <w:rPr>
          <w:rFonts w:hint="eastAsia"/>
          <w:bCs/>
          <w:sz w:val="28"/>
          <w:szCs w:val="28"/>
          <w:shd w:val="clear" w:color="auto" w:fill="FFFFFF"/>
        </w:rPr>
        <w:t>为全权代表，参加</w:t>
      </w:r>
      <w:r>
        <w:rPr>
          <w:rFonts w:hint="eastAsia"/>
          <w:bCs/>
          <w:sz w:val="28"/>
          <w:szCs w:val="28"/>
          <w:u w:val="single"/>
          <w:shd w:val="clear" w:color="auto" w:fill="FFFFFF"/>
          <w:lang w:val="zh-TW" w:eastAsia="zh-CN"/>
        </w:rPr>
        <w:t>南通港吕四港区吕四作业区西港池港口支持系统工程岸电采购项目</w:t>
      </w:r>
      <w:r>
        <w:rPr>
          <w:rFonts w:hint="eastAsia"/>
          <w:bCs/>
          <w:sz w:val="28"/>
          <w:szCs w:val="28"/>
          <w:shd w:val="clear" w:color="auto" w:fill="FFFFFF"/>
        </w:rPr>
        <w:t>询价的有关活动，并宣布同意如下：</w:t>
      </w:r>
    </w:p>
    <w:p>
      <w:pPr>
        <w:pStyle w:val="18"/>
        <w:spacing w:before="0" w:beforeAutospacing="0" w:after="0" w:afterAutospacing="0" w:line="500" w:lineRule="atLeast"/>
        <w:ind w:firstLine="560"/>
        <w:jc w:val="both"/>
        <w:rPr>
          <w:bCs/>
        </w:rPr>
      </w:pPr>
      <w:r>
        <w:rPr>
          <w:rFonts w:hint="eastAsia"/>
          <w:bCs/>
          <w:sz w:val="28"/>
          <w:szCs w:val="28"/>
          <w:shd w:val="clear" w:color="auto" w:fill="FFFFFF"/>
        </w:rPr>
        <w:t>1．我方愿意按照报价文件的全部要求进行报价（报价内容及价格以报价文件为准）。</w:t>
      </w:r>
    </w:p>
    <w:p>
      <w:pPr>
        <w:pStyle w:val="18"/>
        <w:spacing w:before="0" w:beforeAutospacing="0" w:after="0" w:afterAutospacing="0" w:line="500" w:lineRule="atLeast"/>
        <w:ind w:firstLine="560"/>
        <w:jc w:val="both"/>
        <w:rPr>
          <w:bCs/>
        </w:rPr>
      </w:pPr>
      <w:r>
        <w:rPr>
          <w:rFonts w:hint="eastAsia"/>
          <w:bCs/>
          <w:sz w:val="28"/>
          <w:szCs w:val="28"/>
          <w:shd w:val="clear" w:color="auto" w:fill="FFFFFF"/>
        </w:rPr>
        <w:t>2．我方完全理解并同意放弃对询价公告有不明及误解的权利。</w:t>
      </w:r>
    </w:p>
    <w:p>
      <w:pPr>
        <w:pStyle w:val="18"/>
        <w:spacing w:before="0" w:beforeAutospacing="0" w:after="0" w:afterAutospacing="0" w:line="500" w:lineRule="atLeast"/>
        <w:ind w:firstLine="560"/>
        <w:jc w:val="both"/>
        <w:rPr>
          <w:bCs/>
        </w:rPr>
      </w:pPr>
      <w:r>
        <w:rPr>
          <w:rFonts w:hint="eastAsia"/>
          <w:bCs/>
          <w:sz w:val="28"/>
          <w:szCs w:val="28"/>
          <w:shd w:val="clear" w:color="auto" w:fill="FFFFFF"/>
        </w:rPr>
        <w:t>3．我方将按询价公告的规定履行合同责任和义务。</w:t>
      </w:r>
    </w:p>
    <w:p>
      <w:pPr>
        <w:pStyle w:val="18"/>
        <w:spacing w:before="0" w:beforeAutospacing="0" w:after="0" w:afterAutospacing="0" w:line="500" w:lineRule="atLeast"/>
        <w:ind w:firstLine="560"/>
        <w:jc w:val="both"/>
        <w:rPr>
          <w:bCs/>
        </w:rPr>
      </w:pPr>
      <w:r>
        <w:rPr>
          <w:rFonts w:hint="eastAsia"/>
          <w:bCs/>
          <w:sz w:val="28"/>
          <w:szCs w:val="28"/>
          <w:shd w:val="clear" w:color="auto" w:fill="FFFFFF"/>
        </w:rPr>
        <w:t>4．我方同意提供按照贵方可能要求的与其报价有关的一切数据或资料，理解并同意贵方的评标办法。</w:t>
      </w:r>
    </w:p>
    <w:p>
      <w:pPr>
        <w:pStyle w:val="18"/>
        <w:spacing w:before="0" w:beforeAutospacing="0" w:after="0" w:afterAutospacing="0" w:line="500" w:lineRule="atLeast"/>
        <w:ind w:firstLine="560"/>
        <w:jc w:val="both"/>
        <w:rPr>
          <w:bCs/>
        </w:rPr>
      </w:pPr>
      <w:r>
        <w:rPr>
          <w:rFonts w:hint="eastAsia"/>
          <w:bCs/>
          <w:sz w:val="28"/>
          <w:szCs w:val="28"/>
          <w:shd w:val="clear" w:color="auto" w:fill="FFFFFF"/>
        </w:rPr>
        <w:t>5．我方的报价文件自开标后60天内有效。</w:t>
      </w:r>
    </w:p>
    <w:p>
      <w:pPr>
        <w:pStyle w:val="18"/>
        <w:spacing w:before="0" w:beforeAutospacing="0" w:after="0" w:afterAutospacing="0" w:line="500" w:lineRule="atLeast"/>
        <w:ind w:firstLine="560"/>
        <w:jc w:val="both"/>
        <w:rPr>
          <w:bCs/>
        </w:rPr>
      </w:pPr>
      <w:r>
        <w:rPr>
          <w:rFonts w:hint="eastAsia"/>
          <w:bCs/>
          <w:sz w:val="28"/>
          <w:szCs w:val="28"/>
          <w:shd w:val="clear" w:color="auto" w:fill="FFFFFF"/>
        </w:rPr>
        <w:t>6．与本报价有关的一切往来通讯请寄：</w:t>
      </w:r>
    </w:p>
    <w:p>
      <w:pPr>
        <w:pStyle w:val="18"/>
        <w:spacing w:beforeAutospacing="0" w:afterAutospacing="0" w:line="500" w:lineRule="atLeast"/>
        <w:ind w:firstLine="560"/>
        <w:rPr>
          <w:bCs/>
        </w:rPr>
      </w:pPr>
      <w:r>
        <w:rPr>
          <w:rFonts w:hint="eastAsia"/>
          <w:bCs/>
          <w:sz w:val="28"/>
          <w:szCs w:val="28"/>
          <w:shd w:val="clear" w:color="auto" w:fill="FFFFFF"/>
        </w:rPr>
        <w:t>地址：</w:t>
      </w:r>
      <w:r>
        <w:rPr>
          <w:rFonts w:hint="eastAsia"/>
          <w:bCs/>
          <w:sz w:val="28"/>
          <w:szCs w:val="28"/>
          <w:u w:val="single"/>
          <w:shd w:val="clear" w:color="auto" w:fill="FFFFFF"/>
        </w:rPr>
        <w:t>　　                    　</w:t>
      </w:r>
      <w:r>
        <w:rPr>
          <w:rFonts w:hint="eastAsia"/>
          <w:bCs/>
          <w:sz w:val="28"/>
          <w:szCs w:val="28"/>
          <w:shd w:val="clear" w:color="auto" w:fill="FFFFFF"/>
        </w:rPr>
        <w:t>邮编：</w:t>
      </w:r>
      <w:r>
        <w:rPr>
          <w:rFonts w:hint="eastAsia"/>
          <w:bCs/>
          <w:sz w:val="28"/>
          <w:szCs w:val="28"/>
          <w:u w:val="single"/>
          <w:shd w:val="clear" w:color="auto" w:fill="FFFFFF"/>
        </w:rPr>
        <w:t>　　　　　  </w:t>
      </w:r>
      <w:r>
        <w:rPr>
          <w:rFonts w:hint="eastAsia"/>
          <w:bCs/>
          <w:sz w:val="28"/>
          <w:szCs w:val="28"/>
          <w:shd w:val="clear" w:color="auto" w:fill="FFFFFF"/>
        </w:rPr>
        <w:t> </w:t>
      </w:r>
    </w:p>
    <w:p>
      <w:pPr>
        <w:pStyle w:val="18"/>
        <w:spacing w:beforeAutospacing="0" w:afterAutospacing="0" w:line="500" w:lineRule="atLeast"/>
        <w:ind w:firstLine="560"/>
        <w:rPr>
          <w:bCs/>
        </w:rPr>
      </w:pPr>
      <w:r>
        <w:rPr>
          <w:rFonts w:hint="eastAsia"/>
          <w:bCs/>
          <w:sz w:val="28"/>
          <w:szCs w:val="28"/>
          <w:shd w:val="clear" w:color="auto" w:fill="FFFFFF"/>
        </w:rPr>
        <w:t>电话：</w:t>
      </w:r>
      <w:r>
        <w:rPr>
          <w:rFonts w:hint="eastAsia"/>
          <w:bCs/>
          <w:sz w:val="28"/>
          <w:szCs w:val="28"/>
          <w:u w:val="single"/>
          <w:shd w:val="clear" w:color="auto" w:fill="FFFFFF"/>
        </w:rPr>
        <w:t>　　          　        　</w:t>
      </w:r>
      <w:r>
        <w:rPr>
          <w:rFonts w:hint="eastAsia"/>
          <w:bCs/>
          <w:sz w:val="28"/>
          <w:szCs w:val="28"/>
          <w:shd w:val="clear" w:color="auto" w:fill="FFFFFF"/>
        </w:rPr>
        <w:t>传真：</w:t>
      </w:r>
      <w:r>
        <w:rPr>
          <w:rFonts w:hint="eastAsia"/>
          <w:bCs/>
          <w:sz w:val="28"/>
          <w:szCs w:val="28"/>
          <w:u w:val="single"/>
          <w:shd w:val="clear" w:color="auto" w:fill="FFFFFF"/>
        </w:rPr>
        <w:t>　　　　　　   </w:t>
      </w:r>
    </w:p>
    <w:p>
      <w:pPr>
        <w:pStyle w:val="18"/>
        <w:spacing w:beforeAutospacing="0" w:afterAutospacing="0" w:line="500" w:lineRule="atLeast"/>
        <w:ind w:firstLine="560"/>
        <w:rPr>
          <w:bCs/>
        </w:rPr>
      </w:pPr>
      <w:r>
        <w:rPr>
          <w:rFonts w:hint="eastAsia"/>
          <w:bCs/>
          <w:sz w:val="28"/>
          <w:szCs w:val="28"/>
          <w:shd w:val="clear" w:color="auto" w:fill="FFFFFF"/>
        </w:rPr>
        <w:t>报价单位代表姓名：</w:t>
      </w:r>
      <w:r>
        <w:rPr>
          <w:rFonts w:hint="eastAsia"/>
          <w:bCs/>
          <w:sz w:val="28"/>
          <w:szCs w:val="28"/>
          <w:u w:val="single"/>
          <w:shd w:val="clear" w:color="auto" w:fill="FFFFFF"/>
        </w:rPr>
        <w:t>         </w:t>
      </w:r>
      <w:r>
        <w:rPr>
          <w:rFonts w:hint="eastAsia"/>
          <w:bCs/>
          <w:sz w:val="28"/>
          <w:szCs w:val="28"/>
          <w:shd w:val="clear" w:color="auto" w:fill="FFFFFF"/>
        </w:rPr>
        <w:t>职务：</w:t>
      </w:r>
      <w:r>
        <w:rPr>
          <w:rFonts w:hint="eastAsia"/>
          <w:bCs/>
          <w:sz w:val="28"/>
          <w:szCs w:val="28"/>
          <w:u w:val="single"/>
          <w:shd w:val="clear" w:color="auto" w:fill="FFFFFF"/>
        </w:rPr>
        <w:t>　　　　　   </w:t>
      </w:r>
      <w:r>
        <w:rPr>
          <w:rFonts w:hint="eastAsia"/>
          <w:bCs/>
          <w:sz w:val="28"/>
          <w:szCs w:val="28"/>
          <w:shd w:val="clear" w:color="auto" w:fill="FFFFFF"/>
        </w:rPr>
        <w:t> </w:t>
      </w:r>
    </w:p>
    <w:p>
      <w:pPr>
        <w:pStyle w:val="18"/>
        <w:spacing w:beforeAutospacing="0" w:afterAutospacing="0" w:line="500" w:lineRule="atLeast"/>
        <w:ind w:firstLine="560"/>
        <w:rPr>
          <w:bCs/>
        </w:rPr>
      </w:pPr>
      <w:r>
        <w:rPr>
          <w:rFonts w:hint="eastAsia"/>
          <w:bCs/>
          <w:sz w:val="28"/>
          <w:szCs w:val="28"/>
          <w:shd w:val="clear" w:color="auto" w:fill="FFFFFF"/>
        </w:rPr>
        <w:t>报价单位名称：（盖章）</w:t>
      </w:r>
      <w:r>
        <w:rPr>
          <w:rFonts w:hint="eastAsia"/>
          <w:bCs/>
          <w:sz w:val="28"/>
          <w:szCs w:val="28"/>
          <w:u w:val="single"/>
          <w:shd w:val="clear" w:color="auto" w:fill="FFFFFF"/>
        </w:rPr>
        <w:t>              </w:t>
      </w:r>
    </w:p>
    <w:p>
      <w:pPr>
        <w:pStyle w:val="18"/>
        <w:spacing w:beforeAutospacing="0" w:afterAutospacing="0" w:line="500" w:lineRule="atLeast"/>
        <w:ind w:firstLine="560"/>
        <w:jc w:val="both"/>
        <w:rPr>
          <w:rFonts w:ascii="仿宋" w:hAnsi="仿宋" w:eastAsia="仿宋" w:cs="仿宋"/>
          <w:bCs/>
          <w:sz w:val="28"/>
          <w:szCs w:val="28"/>
          <w:shd w:val="clear" w:color="auto" w:fill="FFFFFF"/>
        </w:rPr>
      </w:pPr>
      <w:r>
        <w:rPr>
          <w:rFonts w:hint="eastAsia"/>
          <w:bCs/>
          <w:sz w:val="28"/>
          <w:szCs w:val="28"/>
          <w:shd w:val="clear" w:color="auto" w:fill="FFFFFF"/>
        </w:rPr>
        <w:t>                               年  月  日　　</w:t>
      </w:r>
    </w:p>
    <w:p>
      <w:pPr>
        <w:widowControl/>
        <w:shd w:val="clear" w:color="auto" w:fill="FFFFFF"/>
        <w:spacing w:line="300" w:lineRule="atLeast"/>
        <w:jc w:val="left"/>
        <w:rPr>
          <w:rFonts w:ascii="宋体" w:hAnsi="宋体" w:cs="宋体"/>
          <w:color w:val="000000"/>
          <w:kern w:val="0"/>
          <w:sz w:val="28"/>
          <w:szCs w:val="28"/>
        </w:rPr>
      </w:pPr>
    </w:p>
    <w:p>
      <w:pPr>
        <w:pStyle w:val="9"/>
      </w:pPr>
    </w:p>
    <w:p>
      <w:pPr>
        <w:spacing w:line="360" w:lineRule="auto"/>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附件</w:t>
      </w:r>
      <w:r>
        <w:rPr>
          <w:rFonts w:hint="eastAsia" w:asciiTheme="minorEastAsia" w:hAnsiTheme="minorEastAsia" w:eastAsiaTheme="minorEastAsia"/>
          <w:b/>
          <w:sz w:val="30"/>
          <w:szCs w:val="30"/>
          <w:lang w:val="en-US" w:eastAsia="zh-CN"/>
        </w:rPr>
        <w:t>三</w:t>
      </w:r>
      <w:r>
        <w:rPr>
          <w:rFonts w:hint="eastAsia" w:asciiTheme="minorEastAsia" w:hAnsiTheme="minorEastAsia" w:eastAsiaTheme="minorEastAsia"/>
          <w:b/>
          <w:sz w:val="30"/>
          <w:szCs w:val="30"/>
        </w:rPr>
        <w:t>：</w:t>
      </w:r>
    </w:p>
    <w:p>
      <w:pPr>
        <w:spacing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法 定 代 表 人 授 权 委 托 书</w:t>
      </w:r>
    </w:p>
    <w:p>
      <w:pPr>
        <w:spacing w:line="440" w:lineRule="exact"/>
        <w:rPr>
          <w:rFonts w:ascii="仿宋" w:hAnsi="仿宋" w:eastAsia="仿宋" w:cs="仿宋_GB2312"/>
          <w:sz w:val="28"/>
          <w:szCs w:val="28"/>
        </w:rPr>
      </w:pPr>
    </w:p>
    <w:p>
      <w:pPr>
        <w:spacing w:line="520" w:lineRule="exact"/>
        <w:rPr>
          <w:rFonts w:cs="宋体" w:asciiTheme="minorEastAsia" w:hAnsiTheme="minorEastAsia" w:eastAsiaTheme="minorEastAsia"/>
          <w:sz w:val="28"/>
          <w:szCs w:val="28"/>
          <w:u w:val="single"/>
        </w:rPr>
      </w:pPr>
      <w:r>
        <w:rPr>
          <w:rFonts w:hint="eastAsia" w:cs="宋体" w:asciiTheme="minorEastAsia" w:hAnsiTheme="minorEastAsia" w:eastAsiaTheme="minorEastAsia"/>
          <w:sz w:val="28"/>
          <w:szCs w:val="28"/>
          <w:u w:val="single"/>
          <w:lang w:eastAsia="zh-CN"/>
        </w:rPr>
        <w:t>江苏吕四港集团有限公司</w:t>
      </w:r>
      <w:r>
        <w:rPr>
          <w:rFonts w:hint="eastAsia" w:cs="宋体" w:asciiTheme="minorEastAsia" w:hAnsiTheme="minorEastAsia" w:eastAsiaTheme="minorEastAsia"/>
          <w:sz w:val="28"/>
          <w:szCs w:val="28"/>
        </w:rPr>
        <w:t>：</w:t>
      </w:r>
    </w:p>
    <w:p>
      <w:pPr>
        <w:pStyle w:val="7"/>
        <w:spacing w:line="520" w:lineRule="exact"/>
        <w:jc w:val="left"/>
        <w:rPr>
          <w:rFonts w:cs="宋体" w:asciiTheme="minorEastAsia" w:hAnsiTheme="minorEastAsia" w:eastAsiaTheme="minorEastAsia"/>
          <w:b w:val="0"/>
          <w:bCs/>
          <w:sz w:val="28"/>
          <w:szCs w:val="28"/>
        </w:rPr>
      </w:pPr>
      <w:r>
        <w:rPr>
          <w:rFonts w:hint="eastAsia" w:cs="宋体" w:asciiTheme="minorEastAsia" w:hAnsiTheme="minorEastAsia" w:eastAsiaTheme="minorEastAsia"/>
          <w:b w:val="0"/>
          <w:bCs/>
          <w:sz w:val="28"/>
          <w:szCs w:val="28"/>
          <w:u w:val="single"/>
        </w:rPr>
        <w:t xml:space="preserve">   （法定代表人姓名）  </w:t>
      </w:r>
      <w:r>
        <w:rPr>
          <w:rFonts w:hint="eastAsia" w:cs="宋体" w:asciiTheme="minorEastAsia" w:hAnsiTheme="minorEastAsia" w:eastAsiaTheme="minorEastAsia"/>
          <w:b w:val="0"/>
          <w:bCs/>
          <w:sz w:val="28"/>
          <w:szCs w:val="28"/>
        </w:rPr>
        <w:t>系中华人民共和国合法企业（或事业单位）</w:t>
      </w:r>
      <w:r>
        <w:rPr>
          <w:rFonts w:hint="eastAsia" w:cs="宋体" w:asciiTheme="minorEastAsia" w:hAnsiTheme="minorEastAsia" w:eastAsiaTheme="minorEastAsia"/>
          <w:b w:val="0"/>
          <w:bCs/>
          <w:sz w:val="28"/>
          <w:szCs w:val="28"/>
          <w:u w:val="single"/>
        </w:rPr>
        <w:t xml:space="preserve"> （单位名称）  </w:t>
      </w:r>
      <w:r>
        <w:rPr>
          <w:rFonts w:hint="eastAsia" w:cs="宋体" w:asciiTheme="minorEastAsia" w:hAnsiTheme="minorEastAsia" w:eastAsiaTheme="minorEastAsia"/>
          <w:b w:val="0"/>
          <w:bCs/>
          <w:sz w:val="28"/>
          <w:szCs w:val="28"/>
        </w:rPr>
        <w:t>，法定地址：</w:t>
      </w:r>
      <w:r>
        <w:rPr>
          <w:rFonts w:hint="eastAsia" w:cs="宋体" w:asciiTheme="minorEastAsia" w:hAnsiTheme="minorEastAsia" w:eastAsiaTheme="minorEastAsia"/>
          <w:b w:val="0"/>
          <w:bCs/>
          <w:sz w:val="28"/>
          <w:szCs w:val="28"/>
          <w:u w:val="single"/>
        </w:rPr>
        <w:t xml:space="preserve">  （公司地址）</w:t>
      </w:r>
      <w:r>
        <w:rPr>
          <w:rFonts w:hint="eastAsia" w:cs="宋体" w:asciiTheme="minorEastAsia" w:hAnsiTheme="minorEastAsia" w:eastAsiaTheme="minorEastAsia"/>
          <w:b w:val="0"/>
          <w:bCs/>
          <w:sz w:val="28"/>
          <w:szCs w:val="28"/>
        </w:rPr>
        <w:t>特授权</w:t>
      </w:r>
      <w:r>
        <w:rPr>
          <w:rFonts w:hint="eastAsia" w:cs="宋体" w:asciiTheme="minorEastAsia" w:hAnsiTheme="minorEastAsia" w:eastAsiaTheme="minorEastAsia"/>
          <w:b w:val="0"/>
          <w:bCs/>
          <w:sz w:val="28"/>
          <w:szCs w:val="28"/>
          <w:u w:val="single"/>
        </w:rPr>
        <w:t xml:space="preserve">  (姓名)  </w:t>
      </w:r>
      <w:r>
        <w:rPr>
          <w:rFonts w:hint="eastAsia" w:cs="宋体" w:asciiTheme="minorEastAsia" w:hAnsiTheme="minorEastAsia" w:eastAsiaTheme="minorEastAsia"/>
          <w:b w:val="0"/>
          <w:bCs/>
          <w:sz w:val="28"/>
          <w:szCs w:val="28"/>
        </w:rPr>
        <w:t>代表我单位全权办理</w:t>
      </w:r>
      <w:r>
        <w:rPr>
          <w:rFonts w:hint="eastAsia" w:cs="宋体" w:asciiTheme="minorEastAsia" w:hAnsiTheme="minorEastAsia" w:eastAsiaTheme="minorEastAsia"/>
          <w:b w:val="0"/>
          <w:kern w:val="2"/>
          <w:sz w:val="28"/>
          <w:szCs w:val="28"/>
          <w:u w:val="single"/>
          <w:lang w:val="zh-TW" w:eastAsia="zh-CN"/>
        </w:rPr>
        <w:t>南通港吕四港区吕四作业区西港池港口支持系统工程岸电采购项目</w:t>
      </w:r>
      <w:r>
        <w:rPr>
          <w:rFonts w:hint="eastAsia" w:cs="宋体" w:asciiTheme="minorEastAsia" w:hAnsiTheme="minorEastAsia" w:eastAsiaTheme="minorEastAsia"/>
          <w:b w:val="0"/>
          <w:bCs/>
          <w:sz w:val="28"/>
          <w:szCs w:val="28"/>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52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被授权人无权转委托。</w:t>
      </w:r>
    </w:p>
    <w:p>
      <w:pPr>
        <w:spacing w:line="440" w:lineRule="exact"/>
        <w:ind w:firstLine="560" w:firstLineChars="200"/>
        <w:rPr>
          <w:rFonts w:cs="宋体" w:asciiTheme="minorEastAsia" w:hAnsiTheme="minorEastAsia" w:eastAsiaTheme="minorEastAsia"/>
          <w:sz w:val="28"/>
          <w:szCs w:val="28"/>
        </w:rPr>
      </w:pPr>
    </w:p>
    <w:p>
      <w:pPr>
        <w:spacing w:line="440" w:lineRule="exact"/>
        <w:rPr>
          <w:rFonts w:cs="宋体" w:asciiTheme="minorEastAsia" w:hAnsiTheme="minorEastAsia" w:eastAsiaTheme="minorEastAsia"/>
          <w:sz w:val="28"/>
          <w:szCs w:val="28"/>
        </w:rPr>
      </w:pPr>
      <w:r>
        <w:rPr>
          <w:sz w:val="28"/>
        </w:rPr>
        <w:pict>
          <v:line id="直线 4" o:spid="_x0000_s1036" o:spt="20" style="position:absolute;left:0pt;margin-left:327.85pt;margin-top:18.6pt;height:0pt;width:32.2pt;z-index:251670528;mso-width-relative:page;mso-height-relative:page;" coordsize="21600,21600" o:gfxdata="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CWVlDX&#10;AAAACQEAAA8AAAAAAAAAAQAgAAAAIgAAAGRycy9kb3ducmV2LnhtbFBLAQIUABQAAAAIAIdO4kBR&#10;CMxQ6AEAANsDAAAOAAAAAAAAAAEAIAAAACYBAABkcnMvZTJvRG9jLnhtbFBLBQYAAAAABgAGAFkB&#10;AACABQAAAAA=&#10;">
            <v:path arrowok="t"/>
            <v:fill focussize="0,0"/>
            <v:stroke/>
            <v:imagedata o:title=""/>
            <o:lock v:ext="edit"/>
          </v:line>
        </w:pict>
      </w:r>
      <w:r>
        <w:rPr>
          <w:sz w:val="28"/>
        </w:rPr>
        <w:pict>
          <v:line id="直线 5" o:spid="_x0000_s1035" o:spt="20" style="position:absolute;left:0pt;margin-left:257.95pt;margin-top:18.6pt;height:0pt;width:32.2pt;z-index:251669504;mso-width-relative:page;mso-height-relative:page;" coordsize="21600,21600" o:gfxdata="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cwQHTX&#10;AAAACQEAAA8AAAAAAAAAAQAgAAAAIgAAAGRycy9kb3ducmV2LnhtbFBLAQIUABQAAAAIAIdO4kDK&#10;zV/76AEAANsDAAAOAAAAAAAAAAEAIAAAACYBAABkcnMvZTJvRG9jLnhtbFBLBQYAAAAABgAGAFkB&#10;AACABQAAAAA=&#10;">
            <v:path arrowok="t"/>
            <v:fill focussize="0,0"/>
            <v:stroke/>
            <v:imagedata o:title=""/>
            <o:lock v:ext="edit"/>
          </v:line>
        </w:pict>
      </w:r>
      <w:r>
        <w:rPr>
          <w:sz w:val="28"/>
        </w:rPr>
        <w:pict>
          <v:line id="直线 6" o:spid="_x0000_s1034" o:spt="20" style="position:absolute;left:0pt;margin-left:188.95pt;margin-top:17.85pt;height:0pt;width:32.2pt;z-index:251668480;mso-width-relative:page;mso-height-relative:page;" coordsize="21600,21600" o:gfxdata="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5fLa1gAA&#10;AAkBAAAPAAAAAAAAAAEAIAAAACIAAABkcnMvZG93bnJldi54bWxQSwECFAAUAAAACACHTuJAQNTQ&#10;NOcBAADaAwAADgAAAAAAAAABACAAAAAlAQAAZHJzL2Uyb0RvYy54bWxQSwUGAAAAAAYABgBZAQAA&#10;fgUAAAAA&#10;">
            <v:path arrowok="t"/>
            <v:fill focussize="0,0"/>
            <v:stroke/>
            <v:imagedata o:title=""/>
            <o:lock v:ext="edit"/>
          </v:line>
        </w:pict>
      </w:r>
      <w:r>
        <w:rPr>
          <w:sz w:val="28"/>
        </w:rPr>
        <w:pict>
          <v:line id="直线 7" o:spid="_x0000_s1033" o:spt="20" style="position:absolute;left:0pt;margin-left:120.7pt;margin-top:18.6pt;height:0pt;width:32.2pt;z-index:251667456;mso-width-relative:page;mso-height-relative:page;" coordsize="21600,21600" o:gfxdata="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1lQ1gAA&#10;AAkBAAAPAAAAAAAAAAEAIAAAACIAAABkcnMvZG93bnJldi54bWxQSwECFAAUAAAACACHTuJA2xFD&#10;n+cBAADaAwAADgAAAAAAAAABACAAAAAlAQAAZHJzL2Uyb0RvYy54bWxQSwUGAAAAAAYABgBZAQAA&#10;fgUAAAAA&#10;">
            <v:path arrowok="t"/>
            <v:fill focussize="0,0"/>
            <v:stroke/>
            <v:imagedata o:title=""/>
            <o:lock v:ext="edit"/>
          </v:line>
        </w:pict>
      </w:r>
      <w:r>
        <w:rPr>
          <w:rFonts w:hint="eastAsia" w:cs="宋体" w:asciiTheme="minorEastAsia" w:hAnsiTheme="minorEastAsia" w:eastAsiaTheme="minorEastAsia"/>
          <w:sz w:val="28"/>
          <w:szCs w:val="28"/>
        </w:rPr>
        <w:t>被授权人（签字）：    性别：    年龄：    职务：</w:t>
      </w:r>
    </w:p>
    <w:p>
      <w:pPr>
        <w:spacing w:line="440" w:lineRule="exact"/>
        <w:rPr>
          <w:rFonts w:cs="宋体" w:asciiTheme="minorEastAsia" w:hAnsiTheme="minorEastAsia" w:eastAsiaTheme="minorEastAsia"/>
          <w:sz w:val="28"/>
          <w:szCs w:val="28"/>
        </w:rPr>
      </w:pPr>
    </w:p>
    <w:p>
      <w:pPr>
        <w:spacing w:line="440" w:lineRule="exact"/>
        <w:rPr>
          <w:rFonts w:cs="宋体" w:asciiTheme="minorEastAsia" w:hAnsiTheme="minorEastAsia" w:eastAsiaTheme="minorEastAsia"/>
          <w:sz w:val="28"/>
          <w:szCs w:val="28"/>
        </w:rPr>
      </w:pPr>
      <w:r>
        <w:rPr>
          <w:sz w:val="28"/>
        </w:rPr>
        <w:pict>
          <v:line id="_x0000_s1032" o:spid="_x0000_s1032" o:spt="20" style="position:absolute;left:0pt;margin-left:77.95pt;margin-top:20.35pt;height:0pt;width:158.15pt;z-index:251666432;mso-width-relative:page;mso-height-relative:page;" coordsize="21600,21600" o:gfxdata="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CNwa1gAA&#10;AAkBAAAPAAAAAAAAAAEAIAAAACIAAABkcnMvZG93bnJldi54bWxQSwECFAAUAAAACACHTuJAy9hU&#10;E+cBAADbAwAADgAAAAAAAAABACAAAAAlAQAAZHJzL2Uyb0RvYy54bWxQSwUGAAAAAAYABgBZAQAA&#10;fgUAAAAA&#10;">
            <v:path arrowok="t"/>
            <v:fill focussize="0,0"/>
            <v:stroke/>
            <v:imagedata o:title=""/>
            <o:lock v:ext="edit"/>
          </v:line>
        </w:pict>
      </w:r>
      <w:r>
        <w:rPr>
          <w:rFonts w:hint="eastAsia" w:cs="宋体" w:asciiTheme="minorEastAsia" w:hAnsiTheme="minorEastAsia" w:eastAsiaTheme="minorEastAsia"/>
          <w:sz w:val="28"/>
          <w:szCs w:val="28"/>
        </w:rPr>
        <w:t>身份证号码：</w:t>
      </w:r>
    </w:p>
    <w:p>
      <w:pPr>
        <w:spacing w:line="440" w:lineRule="exact"/>
        <w:rPr>
          <w:rFonts w:cs="宋体" w:asciiTheme="minorEastAsia" w:hAnsiTheme="minorEastAsia" w:eastAsiaTheme="minorEastAsia"/>
          <w:sz w:val="28"/>
          <w:szCs w:val="28"/>
        </w:rPr>
      </w:pPr>
    </w:p>
    <w:p>
      <w:pPr>
        <w:spacing w:line="440" w:lineRule="exac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通讯地址：</w:t>
      </w:r>
    </w:p>
    <w:p>
      <w:pPr>
        <w:spacing w:line="440" w:lineRule="exact"/>
        <w:rPr>
          <w:rFonts w:cs="宋体" w:asciiTheme="minorEastAsia" w:hAnsiTheme="minorEastAsia" w:eastAsiaTheme="minorEastAsia"/>
          <w:sz w:val="28"/>
          <w:szCs w:val="28"/>
        </w:rPr>
      </w:pPr>
      <w:r>
        <w:rPr>
          <w:sz w:val="28"/>
        </w:rPr>
        <w:pict>
          <v:line id="直线 9" o:spid="_x0000_s1031" o:spt="20" style="position:absolute;left:0pt;margin-left:65.95pt;margin-top:0.85pt;height:0pt;width:158.15pt;z-index:251662336;mso-width-relative:page;mso-height-relative:page;" coordsize="21600,21600" o:gfxdata="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TH2A9QAAAAH&#10;AQAADwAAAAAAAAABACAAAAAiAAAAZHJzL2Rvd25yZXYueG1sUEsBAhQAFAAAAAgAh07iQCj+Ijzn&#10;AQAA2wMAAA4AAAAAAAAAAQAgAAAAIwEAAGRycy9lMm9Eb2MueG1sUEsFBgAAAAAGAAYAWQEAAHwF&#10;AAAAAA==&#10;">
            <v:path arrowok="t"/>
            <v:fill focussize="0,0"/>
            <v:stroke/>
            <v:imagedata o:title=""/>
            <o:lock v:ext="edit"/>
          </v:line>
        </w:pict>
      </w:r>
    </w:p>
    <w:p>
      <w:pPr>
        <w:spacing w:line="440" w:lineRule="exact"/>
        <w:rPr>
          <w:rFonts w:cs="宋体" w:asciiTheme="minorEastAsia" w:hAnsiTheme="minorEastAsia" w:eastAsiaTheme="minorEastAsia"/>
          <w:sz w:val="28"/>
          <w:szCs w:val="28"/>
        </w:rPr>
      </w:pPr>
      <w:r>
        <w:rPr>
          <w:sz w:val="28"/>
        </w:rPr>
        <w:pict>
          <v:line id="直线 10" o:spid="_x0000_s1030" o:spt="20" style="position:absolute;left:0pt;margin-left:67.45pt;margin-top:19.35pt;height:0pt;width:158.15pt;z-index:251663360;mso-width-relative:page;mso-height-relative:page;" coordsize="21600,21600" o:gfxdata="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KnZjWAAAA&#10;CQEAAA8AAAAAAAAAAQAgAAAAIgAAAGRycy9kb3ducmV2LnhtbFBLAQIUABQAAAAIAIdO4kBoSXbb&#10;5gEAANwDAAAOAAAAAAAAAAEAIAAAACUBAABkcnMvZTJvRG9jLnhtbFBLBQYAAAAABgAGAFkBAAB9&#10;BQAAAAA=&#10;">
            <v:path arrowok="t"/>
            <v:fill focussize="0,0"/>
            <v:stroke/>
            <v:imagedata o:title=""/>
            <o:lock v:ext="edit"/>
          </v:line>
        </w:pict>
      </w:r>
      <w:r>
        <w:rPr>
          <w:rFonts w:hint="eastAsia" w:cs="宋体" w:asciiTheme="minorEastAsia" w:hAnsiTheme="minorEastAsia" w:eastAsiaTheme="minorEastAsia"/>
          <w:sz w:val="28"/>
          <w:szCs w:val="28"/>
        </w:rPr>
        <w:t>联系电话：</w:t>
      </w:r>
    </w:p>
    <w:p>
      <w:pPr>
        <w:spacing w:line="440" w:lineRule="exact"/>
        <w:rPr>
          <w:rFonts w:cs="宋体" w:asciiTheme="minorEastAsia" w:hAnsiTheme="minorEastAsia" w:eastAsiaTheme="minorEastAsia"/>
          <w:sz w:val="28"/>
          <w:szCs w:val="28"/>
        </w:rPr>
      </w:pPr>
    </w:p>
    <w:p>
      <w:pPr>
        <w:spacing w:line="440" w:lineRule="exact"/>
        <w:rPr>
          <w:rFonts w:cs="宋体" w:asciiTheme="minorEastAsia" w:hAnsiTheme="minorEastAsia" w:eastAsiaTheme="minorEastAsia"/>
          <w:sz w:val="28"/>
          <w:szCs w:val="28"/>
        </w:rPr>
      </w:pPr>
      <w:r>
        <w:rPr>
          <w:sz w:val="28"/>
        </w:rPr>
        <w:pict>
          <v:line id="直线 11" o:spid="_x0000_s1029" o:spt="20" style="position:absolute;left:0pt;margin-left:179.2pt;margin-top:20.35pt;height:0pt;width:158.15pt;z-index:251664384;mso-width-relative:page;mso-height-relative:page;" coordsize="21600,21600" o:gfxdata="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aJ3u1wAA&#10;AAkBAAAPAAAAAAAAAAEAIAAAACIAAABkcnMvZG93bnJldi54bWxQSwECFAAUAAAACACHTuJAEaNU&#10;COYBAADcAwAADgAAAAAAAAABACAAAAAmAQAAZHJzL2Uyb0RvYy54bWxQSwUGAAAAAAYABgBZAQAA&#10;fgUAAAAA&#10;">
            <v:path arrowok="t"/>
            <v:fill focussize="0,0"/>
            <v:stroke/>
            <v:imagedata o:title=""/>
            <o:lock v:ext="edit"/>
          </v:line>
        </w:pict>
      </w:r>
      <w:r>
        <w:rPr>
          <w:rFonts w:hint="eastAsia" w:cs="宋体" w:asciiTheme="minorEastAsia" w:hAnsiTheme="minorEastAsia" w:eastAsiaTheme="minorEastAsia"/>
          <w:sz w:val="28"/>
          <w:szCs w:val="28"/>
        </w:rPr>
        <w:t>法定代表人（签字或盖章）：</w:t>
      </w:r>
    </w:p>
    <w:p>
      <w:pPr>
        <w:spacing w:line="440" w:lineRule="exact"/>
        <w:rPr>
          <w:rFonts w:cs="宋体" w:asciiTheme="minorEastAsia" w:hAnsiTheme="minorEastAsia" w:eastAsiaTheme="minorEastAsia"/>
          <w:sz w:val="28"/>
          <w:szCs w:val="28"/>
        </w:rPr>
      </w:pPr>
    </w:p>
    <w:p>
      <w:pPr>
        <w:spacing w:line="440" w:lineRule="exact"/>
        <w:rPr>
          <w:rFonts w:cs="宋体" w:asciiTheme="minorEastAsia" w:hAnsiTheme="minorEastAsia" w:eastAsiaTheme="minorEastAsia"/>
          <w:sz w:val="28"/>
          <w:szCs w:val="28"/>
        </w:rPr>
      </w:pPr>
      <w:r>
        <w:rPr>
          <w:sz w:val="28"/>
        </w:rPr>
        <w:pict>
          <v:line id="直线 12" o:spid="_x0000_s1028" o:spt="20" style="position:absolute;left:0pt;margin-left:107.95pt;margin-top:19.85pt;height:0pt;width:158.15pt;z-index:251665408;mso-width-relative:page;mso-height-relative:page;" coordsize="21600,21600" o:gfxdata="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nQWzXX&#10;AAAACQEAAA8AAAAAAAAAAQAgAAAAIgAAAGRycy9kb3ducmV2LnhtbFBLAQIUABQAAAAIAIdO4kDb&#10;m0Km6AEAANwDAAAOAAAAAAAAAAEAIAAAACYBAABkcnMvZTJvRG9jLnhtbFBLBQYAAAAABgAGAFkB&#10;AACABQAAAAA=&#10;">
            <v:path arrowok="t"/>
            <v:fill focussize="0,0"/>
            <v:stroke/>
            <v:imagedata o:title=""/>
            <o:lock v:ext="edit"/>
          </v:line>
        </w:pict>
      </w:r>
      <w:r>
        <w:rPr>
          <w:rFonts w:hint="eastAsia"/>
          <w:sz w:val="28"/>
        </w:rPr>
        <w:t>报价单位</w:t>
      </w:r>
      <w:r>
        <w:rPr>
          <w:rFonts w:hint="eastAsia" w:cs="宋体" w:asciiTheme="minorEastAsia" w:hAnsiTheme="minorEastAsia" w:eastAsiaTheme="minorEastAsia"/>
          <w:sz w:val="28"/>
          <w:szCs w:val="28"/>
        </w:rPr>
        <w:t>（盖章）：</w:t>
      </w:r>
    </w:p>
    <w:p>
      <w:pPr>
        <w:spacing w:line="440" w:lineRule="exact"/>
        <w:rPr>
          <w:rFonts w:cs="仿宋_GB2312" w:asciiTheme="minorEastAsia" w:hAnsiTheme="minorEastAsia" w:eastAsiaTheme="minorEastAsia"/>
          <w:sz w:val="28"/>
          <w:szCs w:val="28"/>
        </w:rPr>
      </w:pPr>
    </w:p>
    <w:p>
      <w:pPr>
        <w:spacing w:line="440" w:lineRule="exact"/>
        <w:ind w:firstLine="5040" w:firstLineChars="1800"/>
        <w:rPr>
          <w:rFonts w:cs="宋体" w:asciiTheme="minorEastAsia" w:hAnsiTheme="minorEastAsia" w:eastAsiaTheme="minorEastAsia"/>
          <w:sz w:val="28"/>
          <w:szCs w:val="28"/>
        </w:rPr>
      </w:pPr>
    </w:p>
    <w:p>
      <w:pPr>
        <w:spacing w:line="440" w:lineRule="exact"/>
        <w:ind w:firstLine="5880" w:firstLineChars="2100"/>
        <w:rPr>
          <w:rFonts w:cs="宋体" w:asciiTheme="minorEastAsia" w:hAnsiTheme="minorEastAsia" w:eastAsiaTheme="minorEastAsia"/>
          <w:b/>
          <w:sz w:val="28"/>
          <w:szCs w:val="28"/>
        </w:rPr>
      </w:pPr>
      <w:r>
        <w:rPr>
          <w:rFonts w:hint="eastAsia" w:cs="宋体" w:asciiTheme="minorEastAsia" w:hAnsiTheme="minorEastAsia" w:eastAsiaTheme="minorEastAsia"/>
          <w:sz w:val="28"/>
          <w:szCs w:val="28"/>
        </w:rPr>
        <w:t>年    月    日</w:t>
      </w:r>
    </w:p>
    <w:p>
      <w:pPr>
        <w:rPr>
          <w:rFonts w:cs="宋体" w:asciiTheme="minorEastAsia" w:hAnsiTheme="minorEastAsia" w:eastAsiaTheme="minorEastAsia"/>
          <w:color w:val="000000"/>
          <w:kern w:val="0"/>
          <w:sz w:val="28"/>
          <w:szCs w:val="28"/>
        </w:rPr>
      </w:pPr>
      <w:r>
        <w:rPr>
          <w:rFonts w:hint="eastAsia" w:ascii="宋体" w:hAnsi="宋体"/>
          <w:b/>
          <w:bCs/>
          <w:sz w:val="28"/>
        </w:rPr>
        <w:t>附：法定代表人、被授权人身份证正反面复印件</w:t>
      </w:r>
    </w:p>
    <w:p>
      <w:pPr>
        <w:spacing w:line="500" w:lineRule="exact"/>
        <w:rPr>
          <w:rFonts w:asciiTheme="minorEastAsia" w:hAnsiTheme="minorEastAsia" w:eastAsiaTheme="minorEastAsia"/>
          <w:b/>
          <w:sz w:val="28"/>
        </w:rPr>
      </w:pPr>
      <w:r>
        <w:rPr>
          <w:rFonts w:hint="eastAsia" w:asciiTheme="minorEastAsia" w:hAnsiTheme="minorEastAsia" w:eastAsiaTheme="minorEastAsia"/>
          <w:b/>
          <w:sz w:val="28"/>
        </w:rPr>
        <w:t>附件</w:t>
      </w:r>
      <w:r>
        <w:rPr>
          <w:rFonts w:hint="eastAsia" w:asciiTheme="minorEastAsia" w:hAnsiTheme="minorEastAsia" w:eastAsiaTheme="minorEastAsia"/>
          <w:b/>
          <w:sz w:val="28"/>
          <w:lang w:val="en-US" w:eastAsia="zh-CN"/>
        </w:rPr>
        <w:t>四</w:t>
      </w:r>
      <w:r>
        <w:rPr>
          <w:rFonts w:hint="eastAsia" w:asciiTheme="minorEastAsia" w:hAnsiTheme="minorEastAsia" w:eastAsiaTheme="minorEastAsia"/>
          <w:b/>
          <w:sz w:val="28"/>
        </w:rPr>
        <w:t>：</w:t>
      </w:r>
    </w:p>
    <w:p>
      <w:pPr>
        <w:pStyle w:val="18"/>
        <w:ind w:firstLine="600" w:firstLineChars="200"/>
        <w:jc w:val="center"/>
        <w:rPr>
          <w:rFonts w:asciiTheme="minorEastAsia" w:hAnsiTheme="minorEastAsia" w:eastAsiaTheme="minorEastAsia"/>
          <w:b/>
          <w:color w:val="000000"/>
        </w:rPr>
      </w:pPr>
      <w:r>
        <w:rPr>
          <w:rFonts w:hint="eastAsia" w:asciiTheme="minorEastAsia" w:hAnsiTheme="minorEastAsia" w:eastAsiaTheme="minorEastAsia"/>
          <w:b/>
          <w:color w:val="000000"/>
          <w:kern w:val="2"/>
          <w:sz w:val="30"/>
          <w:szCs w:val="30"/>
        </w:rPr>
        <w:t>参加政府采购活动前 3 年内在经营活动中没有重大违法记</w:t>
      </w:r>
      <w:r>
        <w:rPr>
          <w:rFonts w:hint="eastAsia" w:asciiTheme="minorEastAsia" w:hAnsiTheme="minorEastAsia" w:eastAsiaTheme="minorEastAsia"/>
          <w:b/>
          <w:bCs/>
          <w:color w:val="000000"/>
          <w:kern w:val="2"/>
          <w:sz w:val="30"/>
          <w:szCs w:val="30"/>
        </w:rPr>
        <w:t>录和失信记录的书面声明</w:t>
      </w:r>
    </w:p>
    <w:p>
      <w:pPr>
        <w:spacing w:line="460" w:lineRule="exact"/>
        <w:rPr>
          <w:rFonts w:cs="宋体" w:asciiTheme="minorEastAsia" w:hAnsiTheme="minorEastAsia" w:eastAsiaTheme="minorEastAsia"/>
          <w:b/>
          <w:color w:val="000000"/>
          <w:sz w:val="44"/>
          <w:szCs w:val="44"/>
        </w:rPr>
      </w:pPr>
    </w:p>
    <w:p>
      <w:pPr>
        <w:spacing w:line="460" w:lineRule="exact"/>
        <w:jc w:val="center"/>
        <w:rPr>
          <w:rFonts w:cs="宋体" w:asciiTheme="minorEastAsia" w:hAnsiTheme="minorEastAsia" w:eastAsiaTheme="minorEastAsia"/>
          <w:b/>
          <w:color w:val="000000"/>
          <w:sz w:val="44"/>
          <w:szCs w:val="44"/>
        </w:rPr>
      </w:pPr>
      <w:r>
        <w:rPr>
          <w:rFonts w:hint="eastAsia" w:cs="宋体" w:asciiTheme="minorEastAsia" w:hAnsiTheme="minorEastAsia" w:eastAsiaTheme="minorEastAsia"/>
          <w:b/>
          <w:color w:val="000000"/>
          <w:sz w:val="44"/>
          <w:szCs w:val="44"/>
        </w:rPr>
        <w:t>声  明</w:t>
      </w:r>
    </w:p>
    <w:p>
      <w:pPr>
        <w:spacing w:line="460" w:lineRule="exact"/>
        <w:ind w:firstLine="881"/>
        <w:jc w:val="center"/>
        <w:rPr>
          <w:rFonts w:cs="宋体" w:asciiTheme="minorEastAsia" w:hAnsiTheme="minorEastAsia" w:eastAsiaTheme="minorEastAsia"/>
          <w:b/>
          <w:color w:val="000000"/>
          <w:sz w:val="44"/>
          <w:szCs w:val="44"/>
        </w:rPr>
      </w:pPr>
    </w:p>
    <w:p>
      <w:pPr>
        <w:spacing w:line="500" w:lineRule="exact"/>
        <w:ind w:firstLine="482"/>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cs="宋体" w:asciiTheme="minorEastAsia" w:hAnsiTheme="minorEastAsia" w:eastAsiaTheme="minorEastAsia"/>
          <w:color w:val="000000"/>
          <w:sz w:val="28"/>
          <w:szCs w:val="28"/>
        </w:rPr>
      </w:pPr>
      <w:r>
        <w:rPr>
          <w:rFonts w:hint="eastAsia" w:cs="宋体" w:asciiTheme="minorEastAsia" w:hAnsiTheme="minorEastAsia" w:eastAsiaTheme="minorEastAsia"/>
          <w:bCs/>
          <w:color w:val="000000"/>
          <w:sz w:val="28"/>
          <w:szCs w:val="28"/>
        </w:rPr>
        <w:t>在</w:t>
      </w:r>
      <w:r>
        <w:rPr>
          <w:rFonts w:hint="eastAsia" w:cs="宋体" w:asciiTheme="minorEastAsia" w:hAnsiTheme="minorEastAsia" w:eastAsiaTheme="minorEastAsia"/>
          <w:color w:val="000000"/>
          <w:sz w:val="28"/>
          <w:szCs w:val="28"/>
        </w:rPr>
        <w:t>投标截止时间节点，没有被“信用中国”、“中国政府采购网”、“信用江苏”网站列入失信被执行人、重大税收违法案件当事人名单、政府采购严重违法失信行为记录名单。</w:t>
      </w:r>
    </w:p>
    <w:p>
      <w:pPr>
        <w:pStyle w:val="9"/>
      </w:pPr>
    </w:p>
    <w:p>
      <w:pPr>
        <w:spacing w:line="460" w:lineRule="exact"/>
        <w:rPr>
          <w:rFonts w:cs="宋体" w:asciiTheme="minorEastAsia" w:hAnsiTheme="minorEastAsia" w:eastAsiaTheme="minorEastAsia"/>
          <w:bCs/>
          <w:color w:val="000000"/>
          <w:sz w:val="28"/>
          <w:szCs w:val="28"/>
        </w:rPr>
      </w:pPr>
      <w:r>
        <w:rPr>
          <w:rFonts w:cs="宋体" w:asciiTheme="minorEastAsia" w:hAnsiTheme="minorEastAsia" w:eastAsiaTheme="minorEastAsia"/>
          <w:bCs/>
          <w:color w:val="000000"/>
          <w:sz w:val="24"/>
        </w:rPr>
        <w:pict>
          <v:shape id="自选图形 17" o:spid="_x0000_s1027" o:spt="32" type="#_x0000_t32" style="position:absolute;left:0pt;margin-left:314.25pt;margin-top:18.8pt;height:0pt;width:82.8pt;z-index:251675648;mso-width-relative:page;mso-height-relative:page;" filled="f" coordsize="21600,21600" o:gfxdata="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AakvYAAAACQEAAA8AAAAAAAAAAQAgAAAAIgAAAGRycy9kb3ducmV2LnhtbFBL&#10;AQIUABQAAAAIAIdO4kCTDLOh9gEAAOUDAAAOAAAAAAAAAAEAIAAAACcBAABkcnMvZTJvRG9jLnht&#10;bFBLBQYAAAAABgAGAFkBAACPBQAAAAA=&#10;">
            <v:path arrowok="t"/>
            <v:fill on="f" focussize="0,0"/>
            <v:stroke/>
            <v:imagedata o:title=""/>
            <o:lock v:ext="edit"/>
          </v:shape>
        </w:pict>
      </w:r>
      <w:r>
        <w:rPr>
          <w:rFonts w:hint="eastAsia" w:cs="宋体" w:asciiTheme="minorEastAsia" w:hAnsiTheme="minorEastAsia" w:eastAsiaTheme="minorEastAsia"/>
          <w:bCs/>
          <w:color w:val="000000"/>
          <w:sz w:val="28"/>
          <w:szCs w:val="28"/>
        </w:rPr>
        <w:t xml:space="preserve">                          供应商名称（公章）：</w:t>
      </w:r>
    </w:p>
    <w:p>
      <w:pPr>
        <w:spacing w:line="460" w:lineRule="exact"/>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 xml:space="preserve">                             授权代表签字：_____________</w:t>
      </w:r>
    </w:p>
    <w:p>
      <w:pPr>
        <w:spacing w:line="460" w:lineRule="exact"/>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 xml:space="preserve">                             日    期：    年  月  日</w:t>
      </w:r>
    </w:p>
    <w:p>
      <w:pPr>
        <w:rPr>
          <w:rFonts w:asciiTheme="minorEastAsia" w:hAnsiTheme="minorEastAsia" w:eastAsiaTheme="minorEastAsia"/>
        </w:rPr>
      </w:pPr>
    </w:p>
    <w:p>
      <w:pPr>
        <w:spacing w:line="500" w:lineRule="exact"/>
        <w:ind w:firstLine="560"/>
        <w:rPr>
          <w:rFonts w:ascii="宋体" w:hAnsi="宋体" w:cs="宋体"/>
          <w:sz w:val="28"/>
          <w:szCs w:val="28"/>
        </w:rPr>
      </w:pPr>
    </w:p>
    <w:p>
      <w:pPr>
        <w:spacing w:line="500" w:lineRule="exact"/>
        <w:ind w:firstLine="560"/>
        <w:jc w:val="center"/>
        <w:rPr>
          <w:rFonts w:ascii="宋体" w:hAnsi="宋体" w:cs="宋体"/>
          <w:sz w:val="28"/>
          <w:szCs w:val="28"/>
        </w:rPr>
      </w:pPr>
    </w:p>
    <w:p>
      <w:pPr>
        <w:pStyle w:val="9"/>
      </w:pPr>
    </w:p>
    <w:p/>
    <w:p>
      <w:pPr>
        <w:pStyle w:val="9"/>
        <w:sectPr>
          <w:pgSz w:w="11907" w:h="16840"/>
          <w:pgMar w:top="1440" w:right="1803" w:bottom="1440" w:left="1803" w:header="851" w:footer="992" w:gutter="0"/>
          <w:pgNumType w:fmt="numberInDash"/>
          <w:cols w:space="720" w:num="1"/>
          <w:docGrid w:type="linesAndChars" w:linePitch="312" w:charSpace="0"/>
        </w:sectPr>
      </w:pPr>
    </w:p>
    <w:p>
      <w:pPr>
        <w:snapToGrid w:val="0"/>
        <w:spacing w:line="400" w:lineRule="atLeast"/>
        <w:ind w:firstLine="481"/>
        <w:jc w:val="left"/>
        <w:outlineLvl w:val="0"/>
        <w:rPr>
          <w:rFonts w:hint="eastAsia" w:ascii="仿宋" w:hAnsi="仿宋" w:eastAsia="仿宋" w:cs="宋体"/>
          <w:b/>
          <w:bCs/>
          <w:sz w:val="32"/>
          <w:szCs w:val="32"/>
          <w:highlight w:val="none"/>
          <w:lang w:val="zh-CN"/>
        </w:rPr>
      </w:pPr>
      <w:r>
        <w:rPr>
          <w:rFonts w:hint="eastAsia" w:ascii="仿宋" w:hAnsi="仿宋" w:eastAsia="仿宋" w:cs="宋体"/>
          <w:b/>
          <w:bCs/>
          <w:sz w:val="32"/>
          <w:szCs w:val="32"/>
          <w:highlight w:val="none"/>
          <w:lang w:val="en-US" w:eastAsia="zh-CN"/>
        </w:rPr>
        <w:t xml:space="preserve">   附件五    </w:t>
      </w:r>
      <w:r>
        <w:rPr>
          <w:rFonts w:hint="eastAsia" w:ascii="仿宋" w:hAnsi="仿宋" w:eastAsia="仿宋" w:cs="宋体"/>
          <w:b/>
          <w:bCs/>
          <w:sz w:val="32"/>
          <w:szCs w:val="32"/>
          <w:highlight w:val="none"/>
          <w:lang w:val="zh-CN"/>
        </w:rPr>
        <w:t>拟签订的合同文本</w:t>
      </w:r>
    </w:p>
    <w:p>
      <w:pPr>
        <w:widowControl/>
        <w:spacing w:line="480" w:lineRule="exact"/>
        <w:jc w:val="center"/>
        <w:rPr>
          <w:rFonts w:hint="eastAsia" w:ascii="宋体" w:hAnsi="宋体" w:eastAsia="宋体" w:cs="宋体"/>
          <w:b/>
          <w:color w:val="auto"/>
          <w:spacing w:val="-11"/>
          <w:sz w:val="48"/>
          <w:szCs w:val="48"/>
          <w:highlight w:val="none"/>
          <w:lang w:val="zh-TW" w:eastAsia="zh-CN"/>
        </w:rPr>
      </w:pPr>
    </w:p>
    <w:p>
      <w:pPr>
        <w:widowControl/>
        <w:spacing w:line="480" w:lineRule="exact"/>
        <w:jc w:val="center"/>
        <w:rPr>
          <w:rFonts w:hint="eastAsia" w:ascii="宋体" w:hAnsi="宋体" w:eastAsia="宋体" w:cs="宋体"/>
          <w:b/>
          <w:color w:val="auto"/>
          <w:spacing w:val="-11"/>
          <w:sz w:val="48"/>
          <w:szCs w:val="48"/>
          <w:highlight w:val="none"/>
          <w:lang w:val="zh-TW" w:eastAsia="zh-CN"/>
        </w:rPr>
      </w:pPr>
    </w:p>
    <w:p>
      <w:pPr>
        <w:pStyle w:val="19"/>
        <w:wordWrap w:val="0"/>
        <w:ind w:firstLine="0" w:firstLineChars="0"/>
        <w:jc w:val="right"/>
      </w:pPr>
      <w:r>
        <w:rPr>
          <w:rFonts w:hint="eastAsia"/>
        </w:rPr>
        <w:t xml:space="preserve">合同编号：    </w:t>
      </w:r>
    </w:p>
    <w:p>
      <w:pPr>
        <w:pStyle w:val="4"/>
      </w:pPr>
    </w:p>
    <w:p>
      <w:pPr>
        <w:pStyle w:val="4"/>
      </w:pPr>
    </w:p>
    <w:p>
      <w:pPr>
        <w:pStyle w:val="4"/>
      </w:pPr>
    </w:p>
    <w:p>
      <w:pPr>
        <w:pStyle w:val="6"/>
        <w:adjustRightInd w:val="0"/>
        <w:snapToGrid w:val="0"/>
        <w:spacing w:before="120" w:after="0" w:line="360" w:lineRule="auto"/>
        <w:rPr>
          <w:rFonts w:hint="eastAsia" w:ascii="宋体" w:hAnsi="宋体" w:eastAsia="宋体"/>
          <w:bCs w:val="0"/>
          <w:spacing w:val="20"/>
        </w:rPr>
      </w:pPr>
    </w:p>
    <w:p>
      <w:pPr>
        <w:pStyle w:val="9"/>
        <w:jc w:val="center"/>
        <w:rPr>
          <w:rFonts w:hint="eastAsia" w:ascii="宋体" w:hAnsi="宋体" w:cs="宋体"/>
          <w:b/>
          <w:sz w:val="40"/>
          <w:szCs w:val="40"/>
          <w:lang w:eastAsia="zh-CN"/>
        </w:rPr>
      </w:pPr>
      <w:r>
        <w:rPr>
          <w:rFonts w:hint="eastAsia" w:ascii="宋体" w:hAnsi="宋体" w:cs="宋体"/>
          <w:b/>
          <w:sz w:val="40"/>
          <w:szCs w:val="40"/>
          <w:lang w:eastAsia="zh-CN"/>
        </w:rPr>
        <w:t>南通港吕四港区吕四作业区西港池港口支持系统工程</w:t>
      </w:r>
    </w:p>
    <w:p>
      <w:pPr>
        <w:pStyle w:val="9"/>
        <w:jc w:val="center"/>
        <w:rPr>
          <w:rFonts w:hint="eastAsia"/>
          <w:sz w:val="28"/>
          <w:szCs w:val="21"/>
          <w:lang w:eastAsia="zh-CN"/>
        </w:rPr>
      </w:pPr>
      <w:r>
        <w:rPr>
          <w:rFonts w:hint="eastAsia" w:ascii="宋体" w:hAnsi="宋体" w:cs="宋体"/>
          <w:b/>
          <w:sz w:val="40"/>
          <w:szCs w:val="40"/>
          <w:lang w:eastAsia="zh-CN"/>
        </w:rPr>
        <w:t>岸电采购项目</w:t>
      </w:r>
    </w:p>
    <w:p>
      <w:pPr>
        <w:widowControl/>
        <w:spacing w:line="240" w:lineRule="atLeast"/>
        <w:ind w:left="420" w:leftChars="200" w:firstLine="420" w:firstLineChars="200"/>
        <w:rPr>
          <w:rFonts w:ascii="Arial" w:hAnsi="Arial"/>
          <w:szCs w:val="21"/>
        </w:rPr>
      </w:pPr>
    </w:p>
    <w:p>
      <w:pPr>
        <w:widowControl/>
        <w:spacing w:line="240" w:lineRule="atLeast"/>
        <w:ind w:left="420" w:leftChars="200" w:firstLine="420" w:firstLineChars="200"/>
        <w:rPr>
          <w:rFonts w:ascii="Arial" w:hAnsi="Arial"/>
          <w:szCs w:val="21"/>
        </w:rPr>
      </w:pPr>
    </w:p>
    <w:p>
      <w:pPr>
        <w:widowControl/>
        <w:spacing w:line="240" w:lineRule="atLeast"/>
        <w:ind w:left="420" w:leftChars="200" w:firstLine="420" w:firstLineChars="200"/>
        <w:rPr>
          <w:rFonts w:ascii="Arial" w:hAnsi="Arial"/>
          <w:szCs w:val="21"/>
        </w:rPr>
      </w:pPr>
    </w:p>
    <w:p>
      <w:pPr>
        <w:widowControl/>
        <w:spacing w:line="240" w:lineRule="atLeast"/>
        <w:ind w:left="420" w:leftChars="200" w:firstLine="420" w:firstLineChars="200"/>
        <w:rPr>
          <w:rFonts w:ascii="Arial" w:hAnsi="Arial"/>
          <w:szCs w:val="21"/>
        </w:rPr>
      </w:pPr>
    </w:p>
    <w:p>
      <w:pPr>
        <w:widowControl/>
        <w:spacing w:line="480" w:lineRule="exact"/>
        <w:jc w:val="center"/>
        <w:rPr>
          <w:rFonts w:ascii="宋体" w:hAnsi="宋体" w:cs="宋体"/>
          <w:b/>
          <w:sz w:val="48"/>
        </w:rPr>
      </w:pPr>
    </w:p>
    <w:p>
      <w:pPr>
        <w:widowControl/>
        <w:spacing w:line="480" w:lineRule="exact"/>
        <w:jc w:val="center"/>
        <w:rPr>
          <w:rFonts w:ascii="宋体" w:hAnsi="宋体" w:cs="宋体"/>
          <w:b/>
          <w:sz w:val="48"/>
        </w:rPr>
      </w:pPr>
      <w:r>
        <w:rPr>
          <w:rFonts w:hint="eastAsia" w:ascii="宋体" w:hAnsi="宋体" w:cs="宋体"/>
          <w:b/>
          <w:sz w:val="48"/>
          <w:lang w:val="en-US" w:eastAsia="zh-CN"/>
        </w:rPr>
        <w:t>货物采购</w:t>
      </w:r>
      <w:r>
        <w:rPr>
          <w:rFonts w:hint="eastAsia" w:ascii="宋体" w:hAnsi="宋体" w:cs="宋体"/>
          <w:b/>
          <w:sz w:val="48"/>
        </w:rPr>
        <w:t>合同</w:t>
      </w:r>
    </w:p>
    <w:p>
      <w:pPr>
        <w:ind w:firstLine="240" w:firstLineChars="100"/>
        <w:rPr>
          <w:rFonts w:ascii="仿宋_GB2312" w:eastAsia="仿宋_GB2312"/>
          <w:kern w:val="0"/>
          <w:sz w:val="24"/>
          <w:szCs w:val="20"/>
        </w:rPr>
      </w:pPr>
    </w:p>
    <w:p>
      <w:pPr>
        <w:widowControl/>
        <w:spacing w:line="240" w:lineRule="atLeast"/>
        <w:ind w:left="420" w:leftChars="200" w:firstLine="420" w:firstLineChars="200"/>
        <w:rPr>
          <w:rFonts w:ascii="Arial" w:hAnsi="Arial"/>
          <w:szCs w:val="21"/>
        </w:rPr>
      </w:pPr>
    </w:p>
    <w:p>
      <w:pPr>
        <w:widowControl/>
        <w:spacing w:line="240" w:lineRule="atLeast"/>
        <w:rPr>
          <w:rFonts w:ascii="Arial" w:hAnsi="Arial"/>
          <w:szCs w:val="21"/>
        </w:rPr>
      </w:pPr>
    </w:p>
    <w:p>
      <w:pPr>
        <w:pStyle w:val="9"/>
        <w:rPr>
          <w:rFonts w:ascii="Arial" w:hAnsi="Arial"/>
          <w:szCs w:val="21"/>
        </w:rPr>
      </w:pPr>
    </w:p>
    <w:p>
      <w:pPr>
        <w:rPr>
          <w:rFonts w:ascii="Arial" w:hAnsi="Arial"/>
          <w:szCs w:val="21"/>
        </w:rPr>
      </w:pPr>
    </w:p>
    <w:p>
      <w:pPr>
        <w:pStyle w:val="9"/>
        <w:rPr>
          <w:rFonts w:ascii="Arial" w:hAnsi="Arial"/>
          <w:szCs w:val="21"/>
        </w:rPr>
      </w:pPr>
    </w:p>
    <w:p>
      <w:pPr>
        <w:rPr>
          <w:rFonts w:ascii="Arial" w:hAnsi="Arial"/>
          <w:szCs w:val="21"/>
        </w:rPr>
      </w:pPr>
    </w:p>
    <w:p>
      <w:pPr>
        <w:pStyle w:val="9"/>
        <w:rPr>
          <w:rFonts w:ascii="Arial" w:hAnsi="Arial"/>
          <w:szCs w:val="21"/>
        </w:rPr>
      </w:pPr>
    </w:p>
    <w:p/>
    <w:p>
      <w:pPr>
        <w:widowControl/>
        <w:spacing w:line="240" w:lineRule="atLeast"/>
        <w:ind w:left="420" w:leftChars="200" w:firstLine="420" w:firstLineChars="200"/>
        <w:rPr>
          <w:rFonts w:ascii="Arial" w:hAnsi="Arial"/>
          <w:szCs w:val="21"/>
        </w:rPr>
      </w:pPr>
    </w:p>
    <w:p>
      <w:pPr>
        <w:widowControl/>
        <w:spacing w:line="240" w:lineRule="atLeast"/>
        <w:ind w:left="420" w:leftChars="200" w:firstLine="420" w:firstLineChars="200"/>
        <w:rPr>
          <w:rFonts w:ascii="Arial" w:hAnsi="Arial"/>
          <w:szCs w:val="21"/>
        </w:rPr>
      </w:pPr>
    </w:p>
    <w:p>
      <w:pPr>
        <w:widowControl/>
        <w:spacing w:line="240" w:lineRule="atLeast"/>
        <w:rPr>
          <w:rFonts w:ascii="Arial" w:hAnsi="Arial"/>
          <w:szCs w:val="21"/>
        </w:rPr>
      </w:pPr>
    </w:p>
    <w:p>
      <w:pPr>
        <w:widowControl/>
        <w:spacing w:line="240" w:lineRule="atLeast"/>
        <w:ind w:left="420" w:leftChars="200" w:firstLine="1350" w:firstLineChars="450"/>
        <w:rPr>
          <w:rFonts w:ascii="Arial" w:hAnsi="Arial"/>
          <w:sz w:val="30"/>
          <w:szCs w:val="30"/>
          <w:u w:val="single"/>
        </w:rPr>
      </w:pPr>
      <w:r>
        <w:rPr>
          <w:rFonts w:hint="eastAsia" w:ascii="Arial" w:hAnsi="Arial"/>
          <w:sz w:val="30"/>
          <w:szCs w:val="30"/>
          <w:lang w:val="en-US" w:eastAsia="zh-CN"/>
        </w:rPr>
        <w:t>买方（甲方）</w:t>
      </w:r>
      <w:r>
        <w:rPr>
          <w:rFonts w:hint="eastAsia" w:ascii="Arial" w:hAnsi="Arial"/>
          <w:sz w:val="30"/>
          <w:szCs w:val="30"/>
        </w:rPr>
        <w:t>:</w:t>
      </w:r>
      <w:r>
        <w:rPr>
          <w:rFonts w:hint="eastAsia" w:ascii="Arial" w:hAnsi="Arial"/>
          <w:sz w:val="30"/>
          <w:szCs w:val="30"/>
          <w:u w:val="single"/>
        </w:rPr>
        <w:t>【                            】</w:t>
      </w:r>
    </w:p>
    <w:p>
      <w:pPr>
        <w:widowControl/>
        <w:spacing w:line="240" w:lineRule="atLeast"/>
        <w:ind w:left="420" w:leftChars="200" w:firstLine="1350" w:firstLineChars="450"/>
        <w:rPr>
          <w:rFonts w:ascii="Arial" w:hAnsi="Arial"/>
          <w:sz w:val="30"/>
          <w:szCs w:val="30"/>
          <w:u w:val="single"/>
        </w:rPr>
      </w:pPr>
      <w:r>
        <w:rPr>
          <w:rFonts w:hint="eastAsia" w:ascii="Arial" w:hAnsi="Arial"/>
          <w:sz w:val="30"/>
          <w:szCs w:val="30"/>
          <w:lang w:val="en-US" w:eastAsia="zh-CN"/>
        </w:rPr>
        <w:t>卖方（乙方）</w:t>
      </w:r>
      <w:r>
        <w:rPr>
          <w:rFonts w:hint="eastAsia" w:ascii="Arial" w:hAnsi="Arial"/>
          <w:sz w:val="30"/>
          <w:szCs w:val="30"/>
        </w:rPr>
        <w:t>:</w:t>
      </w:r>
      <w:r>
        <w:rPr>
          <w:rFonts w:hint="eastAsia" w:ascii="仿宋_GB2312" w:eastAsia="仿宋_GB2312"/>
          <w:b/>
          <w:sz w:val="28"/>
          <w:szCs w:val="28"/>
          <w:u w:val="single"/>
        </w:rPr>
        <w:t>【</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w:t>
      </w:r>
    </w:p>
    <w:p>
      <w:pPr>
        <w:widowControl/>
        <w:spacing w:line="240" w:lineRule="atLeast"/>
        <w:ind w:left="420" w:leftChars="200" w:firstLine="1350" w:firstLineChars="450"/>
        <w:rPr>
          <w:rFonts w:hint="eastAsia" w:ascii="Arial" w:hAnsi="Arial" w:cs="Times New Roman"/>
          <w:sz w:val="30"/>
          <w:szCs w:val="30"/>
          <w:lang w:val="en-US" w:eastAsia="zh-CN"/>
        </w:rPr>
      </w:pPr>
      <w:r>
        <w:rPr>
          <w:rFonts w:hint="eastAsia" w:ascii="Arial" w:hAnsi="Arial" w:cs="Times New Roman"/>
          <w:sz w:val="30"/>
          <w:szCs w:val="30"/>
          <w:lang w:val="en-US" w:eastAsia="zh-CN"/>
        </w:rPr>
        <w:t xml:space="preserve">签 约 地 点: </w:t>
      </w:r>
      <w:r>
        <w:rPr>
          <w:rFonts w:hint="eastAsia" w:ascii="Arial" w:hAnsi="Arial" w:cs="Times New Roman"/>
          <w:sz w:val="30"/>
          <w:szCs w:val="30"/>
          <w:u w:val="single"/>
          <w:lang w:val="en-US" w:eastAsia="zh-CN"/>
        </w:rPr>
        <w:t>【启东市】</w:t>
      </w:r>
      <w:r>
        <w:rPr>
          <w:rFonts w:hint="eastAsia" w:ascii="Arial" w:hAnsi="Arial" w:cs="Times New Roman"/>
          <w:sz w:val="30"/>
          <w:szCs w:val="30"/>
          <w:lang w:val="en-US" w:eastAsia="zh-CN"/>
        </w:rPr>
        <w:t xml:space="preserve"> </w:t>
      </w:r>
    </w:p>
    <w:p>
      <w:pPr>
        <w:widowControl/>
        <w:spacing w:line="240" w:lineRule="atLeast"/>
        <w:ind w:left="420" w:leftChars="200" w:firstLine="1350" w:firstLineChars="450"/>
        <w:rPr>
          <w:rFonts w:ascii="Arial" w:hAnsi="Arial"/>
          <w:sz w:val="30"/>
          <w:szCs w:val="30"/>
        </w:rPr>
      </w:pPr>
      <w:r>
        <w:rPr>
          <w:rFonts w:hint="eastAsia" w:ascii="Arial" w:hAnsi="Arial"/>
          <w:sz w:val="30"/>
          <w:szCs w:val="30"/>
        </w:rPr>
        <w:t xml:space="preserve">合同签订时间: </w:t>
      </w:r>
      <w:r>
        <w:rPr>
          <w:rFonts w:hint="eastAsia" w:ascii="Arial" w:hAnsi="Arial"/>
          <w:sz w:val="30"/>
          <w:szCs w:val="30"/>
          <w:u w:val="single"/>
        </w:rPr>
        <w:t xml:space="preserve">        </w:t>
      </w:r>
      <w:r>
        <w:rPr>
          <w:rFonts w:hint="eastAsia" w:ascii="Arial" w:hAnsi="Arial"/>
          <w:sz w:val="30"/>
          <w:szCs w:val="30"/>
        </w:rPr>
        <w:t>年</w:t>
      </w:r>
      <w:r>
        <w:rPr>
          <w:rFonts w:hint="eastAsia" w:ascii="Arial" w:hAnsi="Arial"/>
          <w:sz w:val="30"/>
          <w:szCs w:val="30"/>
          <w:u w:val="single"/>
        </w:rPr>
        <w:t xml:space="preserve">      </w:t>
      </w:r>
      <w:r>
        <w:rPr>
          <w:rFonts w:hint="eastAsia" w:ascii="Arial" w:hAnsi="Arial"/>
          <w:sz w:val="30"/>
          <w:szCs w:val="30"/>
        </w:rPr>
        <w:t>月</w:t>
      </w:r>
      <w:r>
        <w:rPr>
          <w:rFonts w:hint="eastAsia" w:ascii="Arial" w:hAnsi="Arial"/>
          <w:sz w:val="30"/>
          <w:szCs w:val="30"/>
          <w:u w:val="single"/>
        </w:rPr>
        <w:t xml:space="preserve">     </w:t>
      </w:r>
      <w:r>
        <w:rPr>
          <w:rFonts w:hint="eastAsia" w:ascii="Arial" w:hAnsi="Arial"/>
          <w:sz w:val="30"/>
          <w:szCs w:val="30"/>
        </w:rPr>
        <w:t>日</w:t>
      </w:r>
    </w:p>
    <w:p>
      <w:pPr>
        <w:keepNext/>
        <w:keepLines/>
        <w:adjustRightInd w:val="0"/>
        <w:snapToGrid w:val="0"/>
        <w:spacing w:before="120" w:line="360" w:lineRule="auto"/>
        <w:jc w:val="center"/>
        <w:outlineLvl w:val="1"/>
        <w:rPr>
          <w:rFonts w:ascii="宋体" w:hAnsi="宋体"/>
          <w:b/>
          <w:spacing w:val="20"/>
          <w:sz w:val="32"/>
          <w:szCs w:val="32"/>
        </w:rPr>
        <w:sectPr>
          <w:footerReference r:id="rId5" w:type="default"/>
          <w:pgSz w:w="11906" w:h="16838"/>
          <w:pgMar w:top="1134" w:right="1134" w:bottom="1134" w:left="1134" w:header="851" w:footer="992" w:gutter="0"/>
          <w:paperSrc w:first="15" w:other="15"/>
          <w:pgNumType w:fmt="numberInDash"/>
          <w:cols w:space="720" w:num="1"/>
          <w:docGrid w:type="linesAndChars" w:linePitch="312" w:charSpace="0"/>
        </w:sectPr>
      </w:pPr>
    </w:p>
    <w:p>
      <w:pPr>
        <w:spacing w:line="400" w:lineRule="exact"/>
        <w:jc w:val="center"/>
        <w:rPr>
          <w:b/>
          <w:color w:val="000000"/>
          <w:sz w:val="32"/>
          <w:szCs w:val="32"/>
        </w:rPr>
      </w:pPr>
      <w:bookmarkStart w:id="2" w:name="_Toc39923631"/>
      <w:bookmarkStart w:id="3" w:name="_Toc40445357"/>
      <w:r>
        <w:rPr>
          <w:rFonts w:hint="eastAsia"/>
          <w:b/>
          <w:color w:val="000000"/>
          <w:sz w:val="32"/>
          <w:szCs w:val="32"/>
        </w:rPr>
        <w:t>第一节  合同通用条款</w:t>
      </w:r>
    </w:p>
    <w:p>
      <w:pPr>
        <w:spacing w:line="360" w:lineRule="auto"/>
        <w:ind w:firstLine="480" w:firstLineChars="200"/>
        <w:jc w:val="left"/>
        <w:rPr>
          <w:rFonts w:hint="eastAsia" w:ascii="宋体" w:hAnsi="宋体"/>
          <w:sz w:val="24"/>
        </w:rPr>
      </w:pPr>
      <w:r>
        <w:rPr>
          <w:rFonts w:hint="eastAsia" w:ascii="宋体" w:hAnsi="宋体"/>
          <w:sz w:val="24"/>
        </w:rPr>
        <w:t xml:space="preserve">1、定义  </w:t>
      </w:r>
    </w:p>
    <w:p>
      <w:pPr>
        <w:spacing w:line="360" w:lineRule="auto"/>
        <w:ind w:firstLine="480" w:firstLineChars="200"/>
        <w:jc w:val="left"/>
        <w:rPr>
          <w:rFonts w:hint="eastAsia" w:ascii="宋体" w:hAnsi="宋体"/>
          <w:sz w:val="24"/>
        </w:rPr>
      </w:pPr>
      <w:r>
        <w:rPr>
          <w:rFonts w:hint="eastAsia" w:ascii="宋体" w:hAnsi="宋体"/>
          <w:sz w:val="24"/>
        </w:rPr>
        <w:t xml:space="preserve">本合同中的下列术语应解释为：  </w:t>
      </w:r>
    </w:p>
    <w:p>
      <w:pPr>
        <w:spacing w:line="360" w:lineRule="auto"/>
        <w:ind w:firstLine="480" w:firstLineChars="200"/>
        <w:jc w:val="left"/>
        <w:rPr>
          <w:rFonts w:hint="eastAsia" w:ascii="宋体" w:hAnsi="宋体"/>
          <w:sz w:val="24"/>
        </w:rPr>
      </w:pPr>
      <w:r>
        <w:rPr>
          <w:rFonts w:hint="eastAsia" w:ascii="宋体" w:hAnsi="宋体"/>
          <w:sz w:val="24"/>
        </w:rPr>
        <w:t>1．1“合同”系指买卖双方签署的、合同格式中载明的买卖双方所达成的协议，包括所有的附件、附录和构成合同的其它文件。</w:t>
      </w:r>
    </w:p>
    <w:p>
      <w:pPr>
        <w:spacing w:line="360" w:lineRule="auto"/>
        <w:ind w:firstLine="480" w:firstLineChars="200"/>
        <w:jc w:val="left"/>
        <w:rPr>
          <w:rFonts w:hint="eastAsia" w:ascii="宋体" w:hAnsi="宋体"/>
          <w:sz w:val="24"/>
        </w:rPr>
      </w:pPr>
      <w:r>
        <w:rPr>
          <w:rFonts w:hint="eastAsia" w:ascii="宋体" w:hAnsi="宋体"/>
          <w:sz w:val="24"/>
        </w:rPr>
        <w:t>1．2“合同价”系指根据合同约定，卖方在履行合同义务后买方应付给卖方的价格。</w:t>
      </w:r>
    </w:p>
    <w:p>
      <w:pPr>
        <w:spacing w:line="360" w:lineRule="auto"/>
        <w:ind w:firstLine="480" w:firstLineChars="200"/>
        <w:jc w:val="left"/>
        <w:rPr>
          <w:rFonts w:hint="eastAsia" w:ascii="宋体" w:hAnsi="宋体"/>
          <w:sz w:val="24"/>
        </w:rPr>
      </w:pPr>
      <w:r>
        <w:rPr>
          <w:rFonts w:hint="eastAsia" w:ascii="宋体" w:hAnsi="宋体"/>
          <w:sz w:val="24"/>
        </w:rPr>
        <w:t>1．3“货物”系指卖方根据合同约定须向买方提供的一切设备、机械、仪表、备件，包括工具、手册等其它相关资料。</w:t>
      </w:r>
    </w:p>
    <w:p>
      <w:pPr>
        <w:spacing w:line="360" w:lineRule="auto"/>
        <w:ind w:firstLine="480" w:firstLineChars="200"/>
        <w:jc w:val="left"/>
        <w:rPr>
          <w:rFonts w:hint="eastAsia" w:ascii="宋体" w:hAnsi="宋体"/>
          <w:sz w:val="24"/>
        </w:rPr>
      </w:pPr>
      <w:r>
        <w:rPr>
          <w:rFonts w:hint="eastAsia" w:ascii="宋体" w:hAnsi="宋体"/>
          <w:sz w:val="24"/>
        </w:rPr>
        <w:t>1．4“服务”系指根据合同约定卖方承担与供货有关所有辅助服务，如运输、保险及安装、调试、</w:t>
      </w:r>
      <w:r>
        <w:rPr>
          <w:rFonts w:hint="eastAsia" w:ascii="宋体" w:hAnsi="宋体"/>
          <w:sz w:val="24"/>
          <w:lang w:val="en-US" w:eastAsia="zh-CN"/>
        </w:rPr>
        <w:t>检测、</w:t>
      </w:r>
      <w:r>
        <w:rPr>
          <w:rFonts w:hint="eastAsia" w:ascii="宋体" w:hAnsi="宋体"/>
          <w:sz w:val="24"/>
        </w:rPr>
        <w:t>提供技术援助、培训和办理验收手续等卖方应承担的义务。</w:t>
      </w:r>
    </w:p>
    <w:p>
      <w:pPr>
        <w:spacing w:line="360" w:lineRule="auto"/>
        <w:ind w:firstLine="480" w:firstLineChars="200"/>
        <w:jc w:val="left"/>
        <w:rPr>
          <w:rFonts w:hint="eastAsia" w:ascii="宋体" w:hAnsi="宋体"/>
          <w:sz w:val="24"/>
        </w:rPr>
      </w:pPr>
      <w:r>
        <w:rPr>
          <w:rFonts w:hint="eastAsia" w:ascii="宋体" w:hAnsi="宋体"/>
          <w:sz w:val="24"/>
        </w:rPr>
        <w:t>1．5“买方”系指与中标人签署供货合同的单位（含最终用户）。</w:t>
      </w:r>
    </w:p>
    <w:p>
      <w:pPr>
        <w:spacing w:line="360" w:lineRule="auto"/>
        <w:ind w:firstLine="480" w:firstLineChars="200"/>
        <w:jc w:val="left"/>
        <w:rPr>
          <w:rFonts w:hint="eastAsia" w:ascii="宋体" w:hAnsi="宋体"/>
          <w:sz w:val="24"/>
        </w:rPr>
      </w:pPr>
      <w:r>
        <w:rPr>
          <w:rFonts w:hint="eastAsia" w:ascii="宋体" w:hAnsi="宋体"/>
          <w:sz w:val="24"/>
        </w:rPr>
        <w:t>1．6“卖方”系指根据合同约定提供货物及相关服务的中标人。</w:t>
      </w:r>
    </w:p>
    <w:p>
      <w:pPr>
        <w:spacing w:line="360" w:lineRule="auto"/>
        <w:ind w:firstLine="480" w:firstLineChars="200"/>
        <w:jc w:val="left"/>
        <w:rPr>
          <w:rFonts w:hint="eastAsia" w:ascii="宋体" w:hAnsi="宋体"/>
          <w:sz w:val="24"/>
        </w:rPr>
      </w:pPr>
      <w:r>
        <w:rPr>
          <w:rFonts w:hint="eastAsia" w:ascii="宋体" w:hAnsi="宋体"/>
          <w:sz w:val="24"/>
        </w:rPr>
        <w:t>1．7“现场”系指合同约定货物将要运至和安装的地点。</w:t>
      </w:r>
    </w:p>
    <w:p>
      <w:pPr>
        <w:spacing w:line="360" w:lineRule="auto"/>
        <w:ind w:firstLine="480" w:firstLineChars="200"/>
        <w:jc w:val="left"/>
        <w:rPr>
          <w:rFonts w:hint="eastAsia" w:ascii="宋体" w:hAnsi="宋体"/>
          <w:sz w:val="24"/>
        </w:rPr>
      </w:pPr>
      <w:r>
        <w:rPr>
          <w:rFonts w:hint="eastAsia" w:ascii="宋体" w:hAnsi="宋体"/>
          <w:sz w:val="24"/>
        </w:rPr>
        <w:t>1．8“验收”系指合同双方依据强制性的国家技术质量规范和合同约定，确认合同项下的货物符合合同规定的活动。</w:t>
      </w:r>
    </w:p>
    <w:p>
      <w:pPr>
        <w:spacing w:line="360" w:lineRule="auto"/>
        <w:ind w:firstLine="480" w:firstLineChars="200"/>
        <w:jc w:val="left"/>
        <w:rPr>
          <w:rFonts w:hint="eastAsia" w:ascii="宋体" w:hAnsi="宋体"/>
          <w:sz w:val="24"/>
        </w:rPr>
      </w:pPr>
      <w:r>
        <w:rPr>
          <w:rFonts w:hint="eastAsia" w:ascii="宋体" w:hAnsi="宋体"/>
          <w:sz w:val="24"/>
        </w:rPr>
        <w:t xml:space="preserve">2．技术规格和标准   </w:t>
      </w:r>
    </w:p>
    <w:p>
      <w:pPr>
        <w:spacing w:line="360" w:lineRule="auto"/>
        <w:ind w:firstLine="480" w:firstLineChars="200"/>
        <w:jc w:val="left"/>
        <w:rPr>
          <w:rFonts w:hint="eastAsia" w:ascii="宋体" w:hAnsi="宋体"/>
          <w:sz w:val="24"/>
        </w:rPr>
      </w:pPr>
      <w:r>
        <w:rPr>
          <w:rFonts w:hint="eastAsia" w:ascii="宋体" w:hAnsi="宋体"/>
          <w:sz w:val="24"/>
        </w:rPr>
        <w:t>2．1 卖方所提供货物的技术规格性能应与卖方投标文件和合同中所承诺的规格相一致；若技术规格中无相应说明，则按国家有关部门最新颁布的标准及规范为准。</w:t>
      </w:r>
    </w:p>
    <w:p>
      <w:pPr>
        <w:spacing w:line="360" w:lineRule="auto"/>
        <w:ind w:firstLine="480" w:firstLineChars="200"/>
        <w:jc w:val="left"/>
        <w:rPr>
          <w:rFonts w:hint="eastAsia" w:ascii="宋体" w:hAnsi="宋体"/>
          <w:sz w:val="24"/>
        </w:rPr>
      </w:pPr>
      <w:r>
        <w:rPr>
          <w:rFonts w:hint="eastAsia" w:ascii="宋体" w:hAnsi="宋体"/>
          <w:sz w:val="24"/>
        </w:rPr>
        <w:t xml:space="preserve">3．知识产权   </w:t>
      </w:r>
    </w:p>
    <w:p>
      <w:pPr>
        <w:spacing w:line="360" w:lineRule="auto"/>
        <w:ind w:firstLine="480" w:firstLineChars="200"/>
        <w:jc w:val="left"/>
        <w:rPr>
          <w:rFonts w:hint="eastAsia" w:ascii="宋体" w:hAnsi="宋体"/>
          <w:sz w:val="24"/>
        </w:rPr>
      </w:pPr>
      <w:r>
        <w:rPr>
          <w:rFonts w:hint="eastAsia" w:ascii="宋体" w:hAnsi="宋体"/>
          <w:sz w:val="24"/>
        </w:rPr>
        <w:t>3．1卖方应保证买方在使用货物、服务或其任何一部分时不受第三方提出侵犯其专利权、商标权和制作权等知识产权的指控。一旦出现任何第三方提出侵权指控，卖方必须负责与第三方交涉，并承担可能发生的全部责任。</w:t>
      </w:r>
    </w:p>
    <w:p>
      <w:pPr>
        <w:spacing w:line="360" w:lineRule="auto"/>
        <w:ind w:firstLine="480" w:firstLineChars="200"/>
        <w:jc w:val="left"/>
        <w:rPr>
          <w:rFonts w:hint="eastAsia" w:ascii="宋体" w:hAnsi="宋体"/>
          <w:sz w:val="24"/>
        </w:rPr>
      </w:pPr>
      <w:r>
        <w:rPr>
          <w:rFonts w:hint="eastAsia" w:ascii="宋体" w:hAnsi="宋体"/>
          <w:sz w:val="24"/>
        </w:rPr>
        <w:t xml:space="preserve">4．包装要求   </w:t>
      </w:r>
    </w:p>
    <w:p>
      <w:pPr>
        <w:spacing w:line="360" w:lineRule="auto"/>
        <w:ind w:firstLine="480" w:firstLineChars="200"/>
        <w:jc w:val="left"/>
        <w:rPr>
          <w:rFonts w:hint="eastAsia" w:ascii="宋体" w:hAnsi="宋体"/>
          <w:sz w:val="24"/>
        </w:rPr>
      </w:pPr>
      <w:r>
        <w:rPr>
          <w:rFonts w:hint="eastAsia" w:ascii="宋体" w:hAnsi="宋体"/>
          <w:sz w:val="24"/>
        </w:rPr>
        <w:t xml:space="preserve">4.1除合同另有规定外，提供的全部货物均应按相应标准保护措施进行包装。该包装应适应于远距离运输、防潮、防震、防锈和防野蛮装卸，以确保货物安全无损运抵指定现场。由于包装不善所引起的货物锈蚀、损坏和损失均由卖方承担。   </w:t>
      </w:r>
    </w:p>
    <w:p>
      <w:pPr>
        <w:spacing w:line="360" w:lineRule="auto"/>
        <w:ind w:firstLine="480" w:firstLineChars="200"/>
        <w:jc w:val="left"/>
        <w:rPr>
          <w:rFonts w:hint="eastAsia" w:ascii="宋体" w:hAnsi="宋体"/>
          <w:sz w:val="24"/>
        </w:rPr>
      </w:pPr>
      <w:r>
        <w:rPr>
          <w:rFonts w:hint="eastAsia" w:ascii="宋体" w:hAnsi="宋体"/>
          <w:sz w:val="24"/>
        </w:rPr>
        <w:t xml:space="preserve">4.2每件包装箱内应附一份详细装箱货物清单和质量合格标识。   </w:t>
      </w:r>
    </w:p>
    <w:p>
      <w:pPr>
        <w:spacing w:line="360" w:lineRule="auto"/>
        <w:ind w:firstLine="480" w:firstLineChars="200"/>
        <w:jc w:val="left"/>
        <w:rPr>
          <w:rFonts w:hint="eastAsia" w:ascii="宋体" w:hAnsi="宋体"/>
          <w:sz w:val="24"/>
        </w:rPr>
      </w:pPr>
      <w:r>
        <w:rPr>
          <w:rFonts w:hint="eastAsia" w:ascii="宋体" w:hAnsi="宋体"/>
          <w:sz w:val="24"/>
        </w:rPr>
        <w:t>4.3包装箱应有明显的货物名称、包装编号等标记。</w:t>
      </w:r>
    </w:p>
    <w:p>
      <w:pPr>
        <w:spacing w:line="360" w:lineRule="auto"/>
        <w:ind w:firstLine="480" w:firstLineChars="200"/>
        <w:jc w:val="left"/>
        <w:rPr>
          <w:rFonts w:hint="eastAsia" w:ascii="宋体" w:hAnsi="宋体"/>
          <w:sz w:val="24"/>
        </w:rPr>
      </w:pPr>
      <w:r>
        <w:rPr>
          <w:rFonts w:hint="eastAsia" w:ascii="宋体" w:hAnsi="宋体"/>
          <w:sz w:val="24"/>
        </w:rPr>
        <w:t>5.货物运输与交付时间、方式</w:t>
      </w:r>
    </w:p>
    <w:p>
      <w:pPr>
        <w:spacing w:line="360" w:lineRule="auto"/>
        <w:ind w:firstLine="480" w:firstLineChars="200"/>
        <w:jc w:val="left"/>
        <w:rPr>
          <w:rFonts w:hint="eastAsia" w:ascii="宋体" w:hAnsi="宋体"/>
          <w:sz w:val="24"/>
        </w:rPr>
      </w:pPr>
      <w:r>
        <w:rPr>
          <w:rFonts w:hint="eastAsia" w:ascii="宋体" w:hAnsi="宋体"/>
          <w:sz w:val="24"/>
        </w:rPr>
        <w:t xml:space="preserve">5.1卖方负责运输及卸货，运输费用、装卸费用由卖方承担。    </w:t>
      </w:r>
    </w:p>
    <w:p>
      <w:pPr>
        <w:spacing w:line="360" w:lineRule="auto"/>
        <w:ind w:firstLine="480" w:firstLineChars="200"/>
        <w:jc w:val="left"/>
        <w:rPr>
          <w:rFonts w:hint="eastAsia" w:ascii="宋体" w:hAnsi="宋体"/>
          <w:sz w:val="24"/>
        </w:rPr>
      </w:pPr>
      <w:r>
        <w:rPr>
          <w:rFonts w:hint="eastAsia" w:ascii="宋体" w:hAnsi="宋体"/>
          <w:sz w:val="24"/>
        </w:rPr>
        <w:t xml:space="preserve">5.2货物装运后由卖方办理保险，其费用由卖方承担。   </w:t>
      </w:r>
    </w:p>
    <w:p>
      <w:pPr>
        <w:spacing w:line="360" w:lineRule="auto"/>
        <w:ind w:firstLine="480" w:firstLineChars="200"/>
        <w:jc w:val="left"/>
        <w:rPr>
          <w:rFonts w:hint="eastAsia" w:ascii="宋体" w:hAnsi="宋体"/>
          <w:sz w:val="24"/>
        </w:rPr>
      </w:pPr>
      <w:r>
        <w:rPr>
          <w:rFonts w:hint="eastAsia" w:ascii="宋体" w:hAnsi="宋体"/>
          <w:sz w:val="24"/>
        </w:rPr>
        <w:t xml:space="preserve">5.3卖方在发货后24小时内，应将货物件数、总重量、运输工具名称及启运日期以书面形式通知买方。   </w:t>
      </w:r>
    </w:p>
    <w:p>
      <w:pPr>
        <w:spacing w:line="360" w:lineRule="auto"/>
        <w:ind w:firstLine="480" w:firstLineChars="200"/>
        <w:jc w:val="left"/>
        <w:rPr>
          <w:rFonts w:hint="eastAsia" w:ascii="宋体" w:hAnsi="宋体"/>
          <w:sz w:val="24"/>
        </w:rPr>
      </w:pPr>
      <w:r>
        <w:rPr>
          <w:rFonts w:hint="eastAsia" w:ascii="宋体" w:hAnsi="宋体"/>
          <w:sz w:val="24"/>
        </w:rPr>
        <w:t xml:space="preserve">5.4交付时间是指所有货物运达买方指定地点，安装完毕取得验收合格证的日期。   </w:t>
      </w:r>
    </w:p>
    <w:p>
      <w:pPr>
        <w:spacing w:line="360" w:lineRule="auto"/>
        <w:ind w:firstLine="480" w:firstLineChars="200"/>
        <w:jc w:val="left"/>
        <w:rPr>
          <w:rFonts w:hint="eastAsia" w:ascii="宋体" w:hAnsi="宋体"/>
          <w:sz w:val="24"/>
        </w:rPr>
      </w:pPr>
      <w:r>
        <w:rPr>
          <w:rFonts w:hint="eastAsia" w:ascii="宋体" w:hAnsi="宋体"/>
          <w:sz w:val="24"/>
        </w:rPr>
        <w:t>5.5卖方提交的货物必须符合合同规定的货物名称、型号规格、数量和技术要求，否则，一切后果均由卖方承担。</w:t>
      </w:r>
    </w:p>
    <w:p>
      <w:pPr>
        <w:spacing w:line="360" w:lineRule="auto"/>
        <w:ind w:firstLine="480" w:firstLineChars="200"/>
        <w:jc w:val="left"/>
        <w:rPr>
          <w:rFonts w:hint="eastAsia" w:ascii="宋体" w:hAnsi="宋体"/>
          <w:sz w:val="24"/>
        </w:rPr>
      </w:pPr>
      <w:r>
        <w:rPr>
          <w:rFonts w:hint="eastAsia" w:ascii="宋体" w:hAnsi="宋体"/>
          <w:sz w:val="24"/>
        </w:rPr>
        <w:t xml:space="preserve">6.货物的检验和验收    </w:t>
      </w:r>
    </w:p>
    <w:p>
      <w:pPr>
        <w:spacing w:line="360" w:lineRule="auto"/>
        <w:ind w:firstLine="480" w:firstLineChars="200"/>
        <w:jc w:val="left"/>
        <w:rPr>
          <w:rFonts w:hint="eastAsia" w:ascii="宋体" w:hAnsi="宋体"/>
          <w:sz w:val="24"/>
        </w:rPr>
      </w:pPr>
      <w:r>
        <w:rPr>
          <w:rFonts w:hint="eastAsia" w:ascii="宋体" w:hAnsi="宋体"/>
          <w:sz w:val="24"/>
        </w:rPr>
        <w:t xml:space="preserve">6.1在发货前，卖方应对货物的质量、规格、性能、数量和重量等进行准确而全面的检验，并出具一份证明货物符合合同规定的检验证书。该检验证书将作为提交付款单据的一部分，但有关质量、规格、性能、数量或重量的检验不应视为最终检验。    </w:t>
      </w:r>
    </w:p>
    <w:p>
      <w:pPr>
        <w:spacing w:line="360" w:lineRule="auto"/>
        <w:ind w:firstLine="480" w:firstLineChars="200"/>
        <w:jc w:val="left"/>
        <w:rPr>
          <w:rFonts w:hint="eastAsia" w:ascii="宋体" w:hAnsi="宋体"/>
          <w:sz w:val="24"/>
        </w:rPr>
      </w:pPr>
      <w:r>
        <w:rPr>
          <w:rFonts w:hint="eastAsia" w:ascii="宋体" w:hAnsi="宋体"/>
          <w:sz w:val="24"/>
        </w:rPr>
        <w:t xml:space="preserve">6.2货物全部到达买方指定地点后，买方、中标供应商应派员共同对货物当场开箱验收。采购人有关质量、规格、性能、数量或重量的检验不应视为最终检验。     </w:t>
      </w:r>
    </w:p>
    <w:p>
      <w:pPr>
        <w:spacing w:line="360" w:lineRule="auto"/>
        <w:ind w:firstLine="480" w:firstLineChars="200"/>
        <w:jc w:val="left"/>
        <w:rPr>
          <w:rFonts w:hint="eastAsia" w:ascii="宋体" w:hAnsi="宋体"/>
          <w:sz w:val="24"/>
        </w:rPr>
      </w:pPr>
      <w:r>
        <w:rPr>
          <w:rFonts w:hint="eastAsia" w:ascii="宋体" w:hAnsi="宋体"/>
          <w:sz w:val="24"/>
        </w:rPr>
        <w:t xml:space="preserve">6.3卖方按照投标文件承诺和合同规定提供的设备、材料及备品备件，应具备原产地证书等有效证明文件，供买方查验。    </w:t>
      </w:r>
    </w:p>
    <w:p>
      <w:pPr>
        <w:spacing w:line="360" w:lineRule="auto"/>
        <w:ind w:firstLine="480" w:firstLineChars="200"/>
        <w:jc w:val="left"/>
        <w:rPr>
          <w:rFonts w:hint="eastAsia" w:ascii="宋体" w:hAnsi="宋体"/>
          <w:sz w:val="24"/>
        </w:rPr>
      </w:pPr>
      <w:r>
        <w:rPr>
          <w:rFonts w:hint="eastAsia" w:ascii="宋体" w:hAnsi="宋体"/>
          <w:sz w:val="24"/>
        </w:rPr>
        <w:t>6.4对货物验收时，除合同规定的全部货物、备品备件及维修工具外，卖方还应保证提供质保书、保修证明等书面资料及使用和维修所需的全部技术资料。</w:t>
      </w:r>
    </w:p>
    <w:p>
      <w:pPr>
        <w:spacing w:line="360" w:lineRule="auto"/>
        <w:ind w:firstLine="480" w:firstLineChars="200"/>
        <w:jc w:val="left"/>
        <w:rPr>
          <w:rFonts w:hint="eastAsia" w:ascii="宋体" w:hAnsi="宋体"/>
          <w:sz w:val="24"/>
        </w:rPr>
      </w:pPr>
      <w:r>
        <w:rPr>
          <w:rFonts w:hint="eastAsia" w:ascii="宋体" w:hAnsi="宋体"/>
          <w:sz w:val="24"/>
        </w:rPr>
        <w:t>7.安装施工调试</w:t>
      </w:r>
    </w:p>
    <w:p>
      <w:pPr>
        <w:spacing w:line="360" w:lineRule="auto"/>
        <w:ind w:firstLine="480" w:firstLineChars="200"/>
        <w:jc w:val="left"/>
        <w:rPr>
          <w:rFonts w:hint="eastAsia" w:ascii="宋体" w:hAnsi="宋体"/>
          <w:sz w:val="24"/>
        </w:rPr>
      </w:pPr>
      <w:r>
        <w:rPr>
          <w:rFonts w:hint="eastAsia" w:ascii="宋体" w:hAnsi="宋体"/>
          <w:sz w:val="24"/>
        </w:rPr>
        <w:t xml:space="preserve">7.1安装施工期间买方责任：   </w:t>
      </w:r>
    </w:p>
    <w:p>
      <w:pPr>
        <w:spacing w:line="360" w:lineRule="auto"/>
        <w:ind w:firstLine="480" w:firstLineChars="200"/>
        <w:jc w:val="left"/>
        <w:rPr>
          <w:rFonts w:hint="eastAsia" w:ascii="宋体" w:hAnsi="宋体"/>
          <w:sz w:val="24"/>
        </w:rPr>
      </w:pPr>
      <w:r>
        <w:rPr>
          <w:rFonts w:hint="eastAsia" w:ascii="宋体" w:hAnsi="宋体"/>
          <w:sz w:val="24"/>
        </w:rPr>
        <w:t xml:space="preserve">(1)提供货物安装施工期间的水、电源。水电费由卖方承担。    </w:t>
      </w:r>
    </w:p>
    <w:p>
      <w:pPr>
        <w:spacing w:line="360" w:lineRule="auto"/>
        <w:ind w:firstLine="480" w:firstLineChars="200"/>
        <w:jc w:val="left"/>
        <w:rPr>
          <w:rFonts w:hint="eastAsia" w:ascii="宋体" w:hAnsi="宋体"/>
          <w:sz w:val="24"/>
        </w:rPr>
      </w:pPr>
      <w:r>
        <w:rPr>
          <w:rFonts w:hint="eastAsia" w:ascii="宋体" w:hAnsi="宋体"/>
          <w:sz w:val="24"/>
        </w:rPr>
        <w:t xml:space="preserve">(2)设备未经合法验收合格，不得擅自使用。   </w:t>
      </w:r>
    </w:p>
    <w:p>
      <w:pPr>
        <w:spacing w:line="360" w:lineRule="auto"/>
        <w:ind w:firstLine="480" w:firstLineChars="200"/>
        <w:jc w:val="left"/>
        <w:rPr>
          <w:rFonts w:hint="eastAsia" w:ascii="宋体" w:hAnsi="宋体"/>
          <w:sz w:val="24"/>
        </w:rPr>
      </w:pPr>
      <w:r>
        <w:rPr>
          <w:rFonts w:hint="eastAsia" w:ascii="宋体" w:hAnsi="宋体"/>
          <w:sz w:val="24"/>
        </w:rPr>
        <w:t xml:space="preserve">(3)对卖方的整个安装施工过程进行监督管理。 </w:t>
      </w:r>
    </w:p>
    <w:p>
      <w:pPr>
        <w:spacing w:line="360" w:lineRule="auto"/>
        <w:ind w:firstLine="480" w:firstLineChars="200"/>
        <w:jc w:val="left"/>
        <w:rPr>
          <w:rFonts w:hint="eastAsia" w:ascii="宋体" w:hAnsi="宋体"/>
          <w:sz w:val="24"/>
        </w:rPr>
      </w:pPr>
      <w:r>
        <w:rPr>
          <w:rFonts w:hint="eastAsia" w:ascii="宋体" w:hAnsi="宋体"/>
          <w:sz w:val="24"/>
        </w:rPr>
        <w:t>7.2安装施工调试期间卖方责任：</w:t>
      </w:r>
    </w:p>
    <w:p>
      <w:pPr>
        <w:spacing w:line="360" w:lineRule="auto"/>
        <w:ind w:firstLine="480" w:firstLineChars="200"/>
        <w:jc w:val="left"/>
        <w:rPr>
          <w:rFonts w:hint="eastAsia" w:ascii="宋体" w:hAnsi="宋体"/>
          <w:sz w:val="24"/>
        </w:rPr>
      </w:pPr>
      <w:r>
        <w:rPr>
          <w:rFonts w:hint="eastAsia" w:ascii="宋体" w:hAnsi="宋体"/>
          <w:sz w:val="24"/>
        </w:rPr>
        <w:t xml:space="preserve">(1)对运至买方指定地点的货物负责看护保管。    </w:t>
      </w:r>
    </w:p>
    <w:p>
      <w:pPr>
        <w:spacing w:line="360" w:lineRule="auto"/>
        <w:ind w:firstLine="480" w:firstLineChars="200"/>
        <w:jc w:val="left"/>
        <w:rPr>
          <w:rFonts w:hint="eastAsia" w:ascii="宋体" w:hAnsi="宋体"/>
          <w:sz w:val="24"/>
        </w:rPr>
      </w:pPr>
      <w:r>
        <w:rPr>
          <w:rFonts w:hint="eastAsia" w:ascii="宋体" w:hAnsi="宋体"/>
          <w:sz w:val="24"/>
        </w:rPr>
        <w:t xml:space="preserve">(2)负责设备的安装施工及调试。    </w:t>
      </w:r>
    </w:p>
    <w:p>
      <w:pPr>
        <w:spacing w:line="360" w:lineRule="auto"/>
        <w:ind w:firstLine="480" w:firstLineChars="200"/>
        <w:jc w:val="left"/>
        <w:rPr>
          <w:rFonts w:hint="eastAsia" w:ascii="宋体" w:hAnsi="宋体"/>
          <w:sz w:val="24"/>
        </w:rPr>
      </w:pPr>
      <w:r>
        <w:rPr>
          <w:rFonts w:hint="eastAsia" w:ascii="宋体" w:hAnsi="宋体"/>
          <w:sz w:val="24"/>
        </w:rPr>
        <w:t xml:space="preserve">(3)主动配合买方工作，出席由买方主持的现场施工协调会。    </w:t>
      </w:r>
    </w:p>
    <w:p>
      <w:pPr>
        <w:spacing w:line="360" w:lineRule="auto"/>
        <w:ind w:firstLine="480" w:firstLineChars="200"/>
        <w:jc w:val="left"/>
        <w:rPr>
          <w:rFonts w:hint="eastAsia" w:ascii="宋体" w:hAnsi="宋体"/>
          <w:sz w:val="24"/>
        </w:rPr>
      </w:pPr>
      <w:r>
        <w:rPr>
          <w:rFonts w:hint="eastAsia" w:ascii="宋体" w:hAnsi="宋体"/>
          <w:sz w:val="24"/>
        </w:rPr>
        <w:t xml:space="preserve">(4)严格遵守施工现场的有关规章制度，文明施工，接受买方、监理方、总承包单位的监督管理。    </w:t>
      </w:r>
    </w:p>
    <w:p>
      <w:pPr>
        <w:spacing w:line="360" w:lineRule="auto"/>
        <w:ind w:firstLine="480" w:firstLineChars="200"/>
        <w:jc w:val="left"/>
        <w:rPr>
          <w:rFonts w:hint="eastAsia" w:ascii="宋体" w:hAnsi="宋体"/>
          <w:sz w:val="24"/>
        </w:rPr>
      </w:pPr>
      <w:r>
        <w:rPr>
          <w:rFonts w:hint="eastAsia" w:ascii="宋体" w:hAnsi="宋体"/>
          <w:sz w:val="24"/>
        </w:rPr>
        <w:t xml:space="preserve">(5)安装调试期间发生由于卖方造成的事故、责任损失由卖方负责。    </w:t>
      </w:r>
    </w:p>
    <w:p>
      <w:pPr>
        <w:spacing w:line="360" w:lineRule="auto"/>
        <w:ind w:firstLine="480" w:firstLineChars="200"/>
        <w:jc w:val="left"/>
        <w:rPr>
          <w:rFonts w:hint="eastAsia" w:ascii="宋体" w:hAnsi="宋体"/>
          <w:sz w:val="24"/>
        </w:rPr>
      </w:pPr>
      <w:r>
        <w:rPr>
          <w:rFonts w:hint="eastAsia" w:ascii="宋体" w:hAnsi="宋体"/>
          <w:sz w:val="24"/>
        </w:rPr>
        <w:t xml:space="preserve">(6)卖方安装施工人员的一切安全责任由卖方负责。    </w:t>
      </w:r>
    </w:p>
    <w:p>
      <w:pPr>
        <w:spacing w:line="360" w:lineRule="auto"/>
        <w:ind w:firstLine="480" w:firstLineChars="200"/>
        <w:jc w:val="left"/>
        <w:rPr>
          <w:rFonts w:hint="eastAsia" w:ascii="宋体" w:hAnsi="宋体"/>
          <w:sz w:val="24"/>
        </w:rPr>
      </w:pPr>
      <w:r>
        <w:rPr>
          <w:rFonts w:hint="eastAsia" w:ascii="宋体" w:hAnsi="宋体"/>
          <w:sz w:val="24"/>
        </w:rPr>
        <w:t xml:space="preserve">(7)按照有关部门要求完成质量评定表和安装记录。    </w:t>
      </w:r>
    </w:p>
    <w:p>
      <w:pPr>
        <w:spacing w:line="360" w:lineRule="auto"/>
        <w:ind w:firstLine="480" w:firstLineChars="200"/>
        <w:jc w:val="left"/>
        <w:rPr>
          <w:rFonts w:hint="eastAsia" w:ascii="宋体" w:hAnsi="宋体"/>
          <w:sz w:val="24"/>
        </w:rPr>
      </w:pPr>
      <w:r>
        <w:rPr>
          <w:rFonts w:hint="eastAsia" w:ascii="宋体" w:hAnsi="宋体"/>
          <w:sz w:val="24"/>
        </w:rPr>
        <w:t>(8)保证通过法定部门组织的检测验收。</w:t>
      </w:r>
    </w:p>
    <w:p>
      <w:pPr>
        <w:spacing w:line="360" w:lineRule="auto"/>
        <w:ind w:firstLine="480" w:firstLineChars="200"/>
        <w:jc w:val="left"/>
        <w:rPr>
          <w:rFonts w:hint="eastAsia" w:ascii="宋体" w:hAnsi="宋体"/>
          <w:sz w:val="24"/>
        </w:rPr>
      </w:pPr>
      <w:r>
        <w:rPr>
          <w:rFonts w:hint="eastAsia" w:ascii="宋体" w:hAnsi="宋体"/>
          <w:sz w:val="24"/>
        </w:rPr>
        <w:t>(9)主动配合买方做好整个工程的移交手续。</w:t>
      </w:r>
    </w:p>
    <w:p>
      <w:pPr>
        <w:spacing w:line="360" w:lineRule="auto"/>
        <w:ind w:firstLine="480" w:firstLineChars="200"/>
        <w:jc w:val="left"/>
        <w:rPr>
          <w:rFonts w:hint="eastAsia" w:ascii="宋体" w:hAnsi="宋体"/>
          <w:sz w:val="24"/>
        </w:rPr>
      </w:pPr>
      <w:r>
        <w:rPr>
          <w:rFonts w:hint="eastAsia" w:ascii="宋体" w:hAnsi="宋体"/>
          <w:sz w:val="24"/>
        </w:rPr>
        <w:t>(10) 卖方在正常安装期内，负责保管库房内尚未安装的设备及部件。</w:t>
      </w:r>
    </w:p>
    <w:p>
      <w:pPr>
        <w:spacing w:line="360" w:lineRule="auto"/>
        <w:ind w:firstLine="480" w:firstLineChars="200"/>
        <w:jc w:val="left"/>
        <w:rPr>
          <w:rFonts w:hint="eastAsia" w:ascii="宋体" w:hAnsi="宋体"/>
          <w:sz w:val="24"/>
        </w:rPr>
      </w:pPr>
      <w:r>
        <w:rPr>
          <w:rFonts w:hint="eastAsia" w:ascii="宋体" w:hAnsi="宋体"/>
          <w:sz w:val="24"/>
        </w:rPr>
        <w:t>(11) 卖方在拟定安装时间前，负责派员前往安装现场进行土建勘测，确认安装条件，向买方提供咨询服务和提出整改要求。</w:t>
      </w:r>
    </w:p>
    <w:p>
      <w:pPr>
        <w:spacing w:line="360" w:lineRule="auto"/>
        <w:ind w:firstLine="480" w:firstLineChars="200"/>
        <w:jc w:val="left"/>
        <w:rPr>
          <w:rFonts w:hint="eastAsia" w:ascii="宋体" w:hAnsi="宋体"/>
          <w:sz w:val="24"/>
        </w:rPr>
      </w:pPr>
      <w:r>
        <w:rPr>
          <w:rFonts w:hint="eastAsia" w:ascii="宋体" w:hAnsi="宋体"/>
          <w:sz w:val="24"/>
        </w:rPr>
        <w:t>(12)卖方负责本工程所有货物的安装调试及为安装调试服务的附属工程施工，施工所需的工料和施工设备、工具均为卖方负责。</w:t>
      </w:r>
    </w:p>
    <w:p>
      <w:pPr>
        <w:spacing w:line="360" w:lineRule="auto"/>
        <w:ind w:firstLine="480" w:firstLineChars="200"/>
        <w:jc w:val="left"/>
        <w:rPr>
          <w:rFonts w:hint="eastAsia" w:ascii="宋体" w:hAnsi="宋体"/>
          <w:sz w:val="24"/>
        </w:rPr>
      </w:pPr>
      <w:r>
        <w:rPr>
          <w:rFonts w:hint="eastAsia" w:ascii="宋体" w:hAnsi="宋体"/>
          <w:sz w:val="24"/>
        </w:rPr>
        <w:t xml:space="preserve">8.伴随服务  </w:t>
      </w:r>
    </w:p>
    <w:p>
      <w:pPr>
        <w:spacing w:line="360" w:lineRule="auto"/>
        <w:ind w:firstLine="480" w:firstLineChars="200"/>
        <w:jc w:val="left"/>
        <w:rPr>
          <w:rFonts w:hint="eastAsia" w:ascii="宋体" w:hAnsi="宋体"/>
          <w:sz w:val="24"/>
        </w:rPr>
      </w:pPr>
      <w:r>
        <w:rPr>
          <w:rFonts w:hint="eastAsia" w:ascii="宋体" w:hAnsi="宋体"/>
          <w:sz w:val="24"/>
        </w:rPr>
        <w:t xml:space="preserve">8.1卖方应按照不低于合同中所附的服务承诺提供服务。  </w:t>
      </w:r>
    </w:p>
    <w:p>
      <w:pPr>
        <w:spacing w:line="360" w:lineRule="auto"/>
        <w:ind w:firstLine="480" w:firstLineChars="200"/>
        <w:jc w:val="left"/>
        <w:rPr>
          <w:rFonts w:hint="eastAsia" w:ascii="宋体" w:hAnsi="宋体"/>
          <w:sz w:val="24"/>
        </w:rPr>
      </w:pPr>
      <w:r>
        <w:rPr>
          <w:rFonts w:hint="eastAsia" w:ascii="宋体" w:hAnsi="宋体"/>
          <w:sz w:val="24"/>
        </w:rPr>
        <w:t xml:space="preserve">8.2除第7条规定外，卖方还应提供下列服务：    </w:t>
      </w:r>
    </w:p>
    <w:p>
      <w:pPr>
        <w:spacing w:line="360" w:lineRule="auto"/>
        <w:ind w:firstLine="480" w:firstLineChars="200"/>
        <w:jc w:val="left"/>
        <w:rPr>
          <w:rFonts w:hint="eastAsia" w:ascii="宋体" w:hAnsi="宋体"/>
          <w:sz w:val="24"/>
        </w:rPr>
      </w:pPr>
      <w:r>
        <w:rPr>
          <w:rFonts w:hint="eastAsia" w:ascii="宋体" w:hAnsi="宋体"/>
          <w:sz w:val="24"/>
        </w:rPr>
        <w:t>(1)卖方应每个月对所提供货物实施定期巡检、维修，但前提条件是该服务并不能免除卖方在</w:t>
      </w:r>
      <w:r>
        <w:rPr>
          <w:rFonts w:hint="eastAsia" w:ascii="宋体" w:hAnsi="宋体"/>
          <w:sz w:val="24"/>
          <w:lang w:eastAsia="zh-CN"/>
        </w:rPr>
        <w:t>质保期</w:t>
      </w:r>
      <w:r>
        <w:rPr>
          <w:rFonts w:hint="eastAsia" w:ascii="宋体" w:hAnsi="宋体"/>
          <w:sz w:val="24"/>
        </w:rPr>
        <w:t xml:space="preserve">内所承担的义务。    </w:t>
      </w:r>
    </w:p>
    <w:p>
      <w:pPr>
        <w:spacing w:line="360" w:lineRule="auto"/>
        <w:ind w:firstLine="480" w:firstLineChars="200"/>
        <w:jc w:val="left"/>
        <w:rPr>
          <w:rFonts w:hint="eastAsia" w:ascii="宋体" w:hAnsi="宋体"/>
          <w:sz w:val="24"/>
        </w:rPr>
      </w:pPr>
      <w:r>
        <w:rPr>
          <w:rFonts w:hint="eastAsia" w:ascii="宋体" w:hAnsi="宋体"/>
          <w:sz w:val="24"/>
        </w:rPr>
        <w:t xml:space="preserve">(2)负责对买方的设备维修管理人员按卖方提供的培训计划进行免费培训。  </w:t>
      </w:r>
    </w:p>
    <w:p>
      <w:pPr>
        <w:spacing w:line="360" w:lineRule="auto"/>
        <w:ind w:firstLine="480" w:firstLineChars="200"/>
        <w:jc w:val="left"/>
        <w:rPr>
          <w:rFonts w:hint="eastAsia" w:ascii="宋体" w:hAnsi="宋体"/>
          <w:sz w:val="24"/>
        </w:rPr>
      </w:pPr>
      <w:r>
        <w:rPr>
          <w:rFonts w:hint="eastAsia" w:ascii="宋体" w:hAnsi="宋体"/>
          <w:sz w:val="24"/>
        </w:rPr>
        <w:t>8.3伴随服务的费用应含在合同价中，不单独进行支付。</w:t>
      </w:r>
    </w:p>
    <w:p>
      <w:pPr>
        <w:spacing w:line="360" w:lineRule="auto"/>
        <w:ind w:firstLine="480" w:firstLineChars="200"/>
        <w:jc w:val="left"/>
        <w:rPr>
          <w:rFonts w:hint="eastAsia" w:ascii="宋体" w:hAnsi="宋体"/>
          <w:sz w:val="24"/>
        </w:rPr>
      </w:pPr>
      <w:r>
        <w:rPr>
          <w:rFonts w:hint="eastAsia" w:ascii="宋体" w:hAnsi="宋体"/>
          <w:sz w:val="24"/>
        </w:rPr>
        <w:t xml:space="preserve">9.项目总验收  </w:t>
      </w:r>
    </w:p>
    <w:p>
      <w:pPr>
        <w:spacing w:line="360" w:lineRule="auto"/>
        <w:ind w:firstLine="480" w:firstLineChars="200"/>
        <w:jc w:val="left"/>
        <w:rPr>
          <w:rFonts w:hint="eastAsia" w:ascii="宋体" w:hAnsi="宋体"/>
          <w:sz w:val="24"/>
        </w:rPr>
      </w:pPr>
      <w:r>
        <w:rPr>
          <w:rFonts w:hint="eastAsia" w:ascii="宋体" w:hAnsi="宋体"/>
          <w:sz w:val="24"/>
        </w:rPr>
        <w:t xml:space="preserve">9.1设备安装、调试及试运行完毕后，经买方初验后，再由卖方向相关法定主管部门申报验收，验收合格后卖方应将设备相关验收合格证明交予买方，验收费用由卖方承担。   </w:t>
      </w:r>
    </w:p>
    <w:p>
      <w:pPr>
        <w:spacing w:line="360" w:lineRule="auto"/>
        <w:ind w:firstLine="480" w:firstLineChars="200"/>
        <w:jc w:val="left"/>
        <w:rPr>
          <w:rFonts w:hint="eastAsia" w:ascii="宋体" w:hAnsi="宋体"/>
          <w:sz w:val="24"/>
        </w:rPr>
      </w:pPr>
      <w:r>
        <w:rPr>
          <w:rFonts w:hint="eastAsia" w:ascii="宋体" w:hAnsi="宋体"/>
          <w:sz w:val="24"/>
        </w:rPr>
        <w:t xml:space="preserve">9.2产品或安装验收不合格，卖方应在合同约定期限内将产品更换到位或重新进行安装施工，并保证验收合格，逾期按交付延误处理。    </w:t>
      </w:r>
    </w:p>
    <w:p>
      <w:pPr>
        <w:spacing w:line="360" w:lineRule="auto"/>
        <w:ind w:firstLine="480" w:firstLineChars="200"/>
        <w:jc w:val="left"/>
        <w:rPr>
          <w:rFonts w:hint="eastAsia" w:ascii="宋体" w:hAnsi="宋体"/>
          <w:sz w:val="24"/>
        </w:rPr>
      </w:pPr>
      <w:r>
        <w:rPr>
          <w:rFonts w:hint="eastAsia" w:ascii="宋体" w:hAnsi="宋体"/>
          <w:sz w:val="24"/>
        </w:rPr>
        <w:t>9.3</w:t>
      </w:r>
      <w:r>
        <w:rPr>
          <w:rFonts w:hint="eastAsia" w:ascii="宋体" w:hAnsi="宋体"/>
          <w:sz w:val="24"/>
          <w:lang w:eastAsia="zh-CN"/>
        </w:rPr>
        <w:t>质保期</w:t>
      </w:r>
      <w:r>
        <w:rPr>
          <w:rFonts w:hint="eastAsia" w:ascii="宋体" w:hAnsi="宋体"/>
          <w:sz w:val="24"/>
        </w:rPr>
        <w:t>内，买方如对货物的质量有异议，应保留现场，及时通知卖方，卖方在收到通知后，应在合同所约定的时间内免费维修、更换有缺陷的部件；如果卖方在收到通知后，在合同所附服务承诺约定的时间内没有弥补缺陷或更换到位，买方可采取必要的补救措施，但风险和费用将由卖方承担。</w:t>
      </w:r>
    </w:p>
    <w:p>
      <w:pPr>
        <w:spacing w:line="360" w:lineRule="auto"/>
        <w:ind w:firstLine="480" w:firstLineChars="200"/>
        <w:jc w:val="left"/>
        <w:rPr>
          <w:rFonts w:hint="eastAsia" w:ascii="宋体" w:hAnsi="宋体"/>
          <w:sz w:val="24"/>
        </w:rPr>
      </w:pPr>
      <w:r>
        <w:rPr>
          <w:rFonts w:hint="eastAsia" w:ascii="宋体" w:hAnsi="宋体"/>
          <w:sz w:val="24"/>
        </w:rPr>
        <w:t xml:space="preserve">10.质量保证    </w:t>
      </w:r>
    </w:p>
    <w:p>
      <w:pPr>
        <w:spacing w:line="360" w:lineRule="auto"/>
        <w:ind w:firstLine="480" w:firstLineChars="200"/>
        <w:jc w:val="left"/>
        <w:rPr>
          <w:rFonts w:hint="eastAsia" w:ascii="宋体" w:hAnsi="宋体"/>
          <w:sz w:val="24"/>
        </w:rPr>
      </w:pPr>
      <w:r>
        <w:rPr>
          <w:rFonts w:hint="eastAsia" w:ascii="宋体" w:hAnsi="宋体"/>
          <w:sz w:val="24"/>
        </w:rPr>
        <w:t xml:space="preserve">10.1卖方所提供设备的制造与安装必须符合我国最新技术规范与标准，同时必须满足招标文件要求和卖方投标文件中列出的全部技术规格与功能要求。由于上述原因造成设备不能及时交付使用，由卖方负全部责任。    </w:t>
      </w:r>
    </w:p>
    <w:p>
      <w:pPr>
        <w:spacing w:line="360" w:lineRule="auto"/>
        <w:ind w:firstLine="480" w:firstLineChars="200"/>
        <w:jc w:val="left"/>
        <w:rPr>
          <w:rFonts w:hint="eastAsia" w:ascii="宋体" w:hAnsi="宋体"/>
          <w:sz w:val="24"/>
        </w:rPr>
      </w:pPr>
      <w:r>
        <w:rPr>
          <w:rFonts w:hint="eastAsia" w:ascii="宋体" w:hAnsi="宋体"/>
          <w:sz w:val="24"/>
        </w:rPr>
        <w:t>10.2卖方应保证提供的货物是最近生产的、未使用过的原装合格正品，并完全符合合同规定的质量、规格和性能的要求。卖方应保证货物经过正确安装、正常使用和保养条件下，在其使用寿命周期内应具有满意的性能。货物最终验收合格后，在</w:t>
      </w:r>
      <w:r>
        <w:rPr>
          <w:rFonts w:hint="eastAsia" w:ascii="宋体" w:hAnsi="宋体"/>
          <w:sz w:val="24"/>
          <w:lang w:eastAsia="zh-CN"/>
        </w:rPr>
        <w:t>质保期</w:t>
      </w:r>
      <w:r>
        <w:rPr>
          <w:rFonts w:hint="eastAsia" w:ascii="宋体" w:hAnsi="宋体"/>
          <w:sz w:val="24"/>
        </w:rPr>
        <w:t xml:space="preserve">内，卖方应对由于设计、工艺或材料的缺陷以及其他由于制造厂家或卖方的原因而发生的任何不足或故障负责，费用由卖方负担。   </w:t>
      </w:r>
    </w:p>
    <w:p>
      <w:pPr>
        <w:spacing w:line="360" w:lineRule="auto"/>
        <w:ind w:firstLine="480" w:firstLineChars="200"/>
        <w:jc w:val="left"/>
        <w:rPr>
          <w:rFonts w:hint="eastAsia" w:ascii="宋体" w:hAnsi="宋体"/>
          <w:sz w:val="24"/>
        </w:rPr>
      </w:pPr>
      <w:r>
        <w:rPr>
          <w:rFonts w:hint="eastAsia" w:ascii="宋体" w:hAnsi="宋体"/>
          <w:sz w:val="24"/>
        </w:rPr>
        <w:t>10.3根据国家法定检验机构的检验结果或者在</w:t>
      </w:r>
      <w:r>
        <w:rPr>
          <w:rFonts w:hint="eastAsia" w:ascii="宋体" w:hAnsi="宋体"/>
          <w:sz w:val="24"/>
          <w:lang w:eastAsia="zh-CN"/>
        </w:rPr>
        <w:t>质保期</w:t>
      </w:r>
      <w:r>
        <w:rPr>
          <w:rFonts w:hint="eastAsia" w:ascii="宋体" w:hAnsi="宋体"/>
          <w:sz w:val="24"/>
        </w:rPr>
        <w:t>内，如果货物的数量、质量或规格与合同不符，或证明货物是有缺陷的，包括潜在的缺陷或使用不符合要求的材料等，买方将以书面形式向卖方提出如下的索赔。</w:t>
      </w:r>
    </w:p>
    <w:p>
      <w:pPr>
        <w:spacing w:line="360" w:lineRule="auto"/>
        <w:ind w:firstLine="480" w:firstLineChars="200"/>
        <w:jc w:val="left"/>
        <w:rPr>
          <w:rFonts w:hint="eastAsia" w:ascii="宋体" w:hAnsi="宋体"/>
          <w:sz w:val="24"/>
        </w:rPr>
      </w:pPr>
      <w:r>
        <w:rPr>
          <w:rFonts w:hint="eastAsia" w:ascii="宋体" w:hAnsi="宋体"/>
          <w:sz w:val="24"/>
        </w:rPr>
        <w:t xml:space="preserve">11.索赔    </w:t>
      </w:r>
    </w:p>
    <w:p>
      <w:pPr>
        <w:spacing w:line="360" w:lineRule="auto"/>
        <w:ind w:firstLine="480" w:firstLineChars="200"/>
        <w:jc w:val="left"/>
        <w:rPr>
          <w:rFonts w:hint="eastAsia" w:ascii="宋体" w:hAnsi="宋体"/>
          <w:sz w:val="24"/>
        </w:rPr>
      </w:pPr>
      <w:r>
        <w:rPr>
          <w:rFonts w:hint="eastAsia" w:ascii="宋体" w:hAnsi="宋体"/>
          <w:sz w:val="24"/>
        </w:rPr>
        <w:t xml:space="preserve">11.1买方有权根据国家法定检验机构出具的检验报告，向卖方提出索赔。    </w:t>
      </w:r>
    </w:p>
    <w:p>
      <w:pPr>
        <w:spacing w:line="360" w:lineRule="auto"/>
        <w:ind w:firstLine="480" w:firstLineChars="200"/>
        <w:jc w:val="left"/>
        <w:rPr>
          <w:rFonts w:hint="eastAsia" w:ascii="宋体" w:hAnsi="宋体"/>
          <w:sz w:val="24"/>
        </w:rPr>
      </w:pPr>
      <w:r>
        <w:rPr>
          <w:rFonts w:hint="eastAsia" w:ascii="宋体" w:hAnsi="宋体"/>
          <w:sz w:val="24"/>
        </w:rPr>
        <w:t>11.2在合同规定的</w:t>
      </w:r>
      <w:r>
        <w:rPr>
          <w:rFonts w:hint="eastAsia" w:ascii="宋体" w:hAnsi="宋体"/>
          <w:sz w:val="24"/>
          <w:lang w:eastAsia="zh-CN"/>
        </w:rPr>
        <w:t>质保期</w:t>
      </w:r>
      <w:r>
        <w:rPr>
          <w:rFonts w:hint="eastAsia" w:ascii="宋体" w:hAnsi="宋体"/>
          <w:sz w:val="24"/>
        </w:rPr>
        <w:t xml:space="preserve">内，如果卖方对买方提出的索赔负有责任，卖方应按照买方同意的下列一种或多种方式解决索赔事宜：    </w:t>
      </w:r>
    </w:p>
    <w:p>
      <w:pPr>
        <w:spacing w:line="360" w:lineRule="auto"/>
        <w:ind w:firstLine="480" w:firstLineChars="200"/>
        <w:jc w:val="left"/>
        <w:rPr>
          <w:rFonts w:hint="eastAsia" w:ascii="宋体" w:hAnsi="宋体"/>
          <w:sz w:val="24"/>
        </w:rPr>
      </w:pPr>
      <w:r>
        <w:rPr>
          <w:rFonts w:hint="eastAsia" w:ascii="宋体" w:hAnsi="宋体"/>
          <w:sz w:val="24"/>
        </w:rPr>
        <w:t xml:space="preserve">11.2.1卖方同意退货，并用合同中规定的币种将货款退还给买方，并承担由此发生的一切损失和费用，包括利息、银行手续费、运费、保险费、检验费、仓储费、装卸费以及为保护退回货物所需的其他必要费用；     </w:t>
      </w:r>
    </w:p>
    <w:p>
      <w:pPr>
        <w:spacing w:line="360" w:lineRule="auto"/>
        <w:ind w:firstLine="480" w:firstLineChars="200"/>
        <w:jc w:val="left"/>
        <w:rPr>
          <w:rFonts w:hint="eastAsia" w:ascii="宋体" w:hAnsi="宋体"/>
          <w:sz w:val="24"/>
        </w:rPr>
      </w:pPr>
      <w:r>
        <w:rPr>
          <w:rFonts w:hint="eastAsia" w:ascii="宋体" w:hAnsi="宋体"/>
          <w:sz w:val="24"/>
        </w:rPr>
        <w:t>11.2.2根据货物的低劣程度、损坏程度以及买方所遭受损失的数额，卖方必须按买方所能接受的数额，降低货物的价格；</w:t>
      </w:r>
    </w:p>
    <w:p>
      <w:pPr>
        <w:spacing w:line="360" w:lineRule="auto"/>
        <w:ind w:firstLine="480" w:firstLineChars="200"/>
        <w:jc w:val="left"/>
        <w:rPr>
          <w:rFonts w:hint="eastAsia" w:ascii="宋体" w:hAnsi="宋体"/>
          <w:sz w:val="24"/>
        </w:rPr>
      </w:pPr>
      <w:r>
        <w:rPr>
          <w:rFonts w:hint="eastAsia" w:ascii="宋体" w:hAnsi="宋体"/>
          <w:sz w:val="24"/>
        </w:rPr>
        <w:t xml:space="preserve">11.2.3用符合合同规定的规格、质量和性能要求的新产品来更换有缺陷的部分，卖方应承担买方所蒙受的全部直接损失以及由此衍生一切费用和风险。   </w:t>
      </w:r>
    </w:p>
    <w:p>
      <w:pPr>
        <w:spacing w:line="360" w:lineRule="auto"/>
        <w:ind w:firstLine="480" w:firstLineChars="200"/>
        <w:jc w:val="left"/>
        <w:rPr>
          <w:rFonts w:hint="eastAsia" w:ascii="宋体" w:hAnsi="宋体"/>
          <w:sz w:val="24"/>
        </w:rPr>
      </w:pPr>
      <w:r>
        <w:rPr>
          <w:rFonts w:hint="eastAsia" w:ascii="宋体" w:hAnsi="宋体"/>
          <w:sz w:val="24"/>
        </w:rPr>
        <w:t>11.3如果在买方发出索赔通知后14天内，卖方未作答复，上述索赔应视为已被卖方接受，如卖方未能在买方提出索赔通知后14天内或买方同意的更长时间内按照本合同规定的任何一种方法解决索赔事宜，买方将从履约保证金中扣回索赔金额，或采用法律手段解决索赔事宜。</w:t>
      </w:r>
    </w:p>
    <w:p>
      <w:pPr>
        <w:spacing w:line="360" w:lineRule="auto"/>
        <w:ind w:firstLine="480" w:firstLineChars="200"/>
        <w:jc w:val="left"/>
        <w:rPr>
          <w:rFonts w:hint="eastAsia" w:ascii="宋体" w:hAnsi="宋体"/>
          <w:sz w:val="24"/>
        </w:rPr>
      </w:pPr>
      <w:r>
        <w:rPr>
          <w:rFonts w:hint="eastAsia" w:ascii="宋体" w:hAnsi="宋体"/>
          <w:sz w:val="24"/>
        </w:rPr>
        <w:t xml:space="preserve">12.卖方交付延误    </w:t>
      </w:r>
    </w:p>
    <w:p>
      <w:pPr>
        <w:spacing w:line="360" w:lineRule="auto"/>
        <w:ind w:firstLine="480" w:firstLineChars="200"/>
        <w:jc w:val="left"/>
        <w:rPr>
          <w:rFonts w:hint="eastAsia" w:ascii="宋体" w:hAnsi="宋体"/>
          <w:sz w:val="24"/>
        </w:rPr>
      </w:pPr>
      <w:r>
        <w:rPr>
          <w:rFonts w:hint="eastAsia" w:ascii="宋体" w:hAnsi="宋体"/>
          <w:sz w:val="24"/>
        </w:rPr>
        <w:t xml:space="preserve">12.1卖方应按照合同约定的交付期完成整个工程和提供服务，并交付买方验收使用(符合合同第14条规定的除外)。    </w:t>
      </w:r>
    </w:p>
    <w:p>
      <w:pPr>
        <w:spacing w:line="360" w:lineRule="auto"/>
        <w:ind w:firstLine="480" w:firstLineChars="200"/>
        <w:jc w:val="left"/>
        <w:rPr>
          <w:rFonts w:hint="eastAsia" w:ascii="宋体" w:hAnsi="宋体"/>
          <w:sz w:val="24"/>
        </w:rPr>
      </w:pPr>
      <w:r>
        <w:rPr>
          <w:rFonts w:hint="eastAsia" w:ascii="宋体" w:hAnsi="宋体"/>
          <w:sz w:val="24"/>
        </w:rPr>
        <w:t xml:space="preserve">12.2如果卖方无正当理由拖延交付，将受到以下制裁：没收履约保证金，加收误期赔偿或终止合同。    </w:t>
      </w:r>
    </w:p>
    <w:p>
      <w:pPr>
        <w:spacing w:line="360" w:lineRule="auto"/>
        <w:ind w:firstLine="480" w:firstLineChars="200"/>
        <w:jc w:val="left"/>
        <w:rPr>
          <w:rFonts w:hint="eastAsia" w:ascii="宋体" w:hAnsi="宋体"/>
          <w:sz w:val="24"/>
        </w:rPr>
      </w:pPr>
      <w:r>
        <w:rPr>
          <w:rFonts w:hint="eastAsia" w:ascii="宋体" w:hAnsi="宋体"/>
          <w:sz w:val="24"/>
        </w:rPr>
        <w:t>12.3在履行合同过程中，如果卖方遇到不能按时交付使用和提供服务的情况，应及时以书面形式将不能按时交付的理由、可能延误的期限通知买方。买方在收到卖方通知后，应对情况进行分析，决定是否修改合同、酌情延长交付时间，同时保留按第12．2条规定对卖方进行制裁的权力。</w:t>
      </w:r>
    </w:p>
    <w:p>
      <w:pPr>
        <w:spacing w:line="360" w:lineRule="auto"/>
        <w:ind w:firstLine="480" w:firstLineChars="200"/>
        <w:jc w:val="left"/>
        <w:rPr>
          <w:rFonts w:hint="eastAsia" w:ascii="宋体" w:hAnsi="宋体"/>
          <w:sz w:val="24"/>
        </w:rPr>
      </w:pPr>
      <w:r>
        <w:rPr>
          <w:rFonts w:hint="eastAsia" w:ascii="宋体" w:hAnsi="宋体"/>
          <w:sz w:val="24"/>
        </w:rPr>
        <w:t xml:space="preserve">13.误期赔偿    </w:t>
      </w:r>
    </w:p>
    <w:p>
      <w:pPr>
        <w:spacing w:line="360" w:lineRule="auto"/>
        <w:ind w:firstLine="480" w:firstLineChars="200"/>
        <w:jc w:val="left"/>
        <w:rPr>
          <w:rFonts w:hint="eastAsia" w:ascii="宋体" w:hAnsi="宋体"/>
          <w:sz w:val="24"/>
        </w:rPr>
      </w:pPr>
      <w:r>
        <w:rPr>
          <w:rFonts w:hint="eastAsia" w:ascii="宋体" w:hAnsi="宋体"/>
          <w:sz w:val="24"/>
        </w:rPr>
        <w:t>13.1除合同第14条规定外，如果卖方没有按照合同规定的时间交货和提供服务，买方将从货款中扣除误期赔偿费，赔偿费按每天误期货物和服务费用的</w:t>
      </w:r>
      <w:r>
        <w:rPr>
          <w:rFonts w:hint="eastAsia" w:ascii="宋体" w:hAnsi="宋体"/>
          <w:sz w:val="24"/>
          <w:lang w:val="en-US" w:eastAsia="zh-CN"/>
        </w:rPr>
        <w:t>0.</w:t>
      </w:r>
      <w:r>
        <w:rPr>
          <w:rFonts w:hint="eastAsia" w:ascii="宋体" w:hAnsi="宋体"/>
          <w:sz w:val="24"/>
        </w:rPr>
        <w:t>1%计收，直至所有货物交付使用为止。但误期赔偿费的最高限额为误期货物和服务费用10%。一旦达到误期赔偿的最高限额，买方有权终止合同。</w:t>
      </w:r>
    </w:p>
    <w:p>
      <w:pPr>
        <w:spacing w:line="360" w:lineRule="auto"/>
        <w:ind w:firstLine="480" w:firstLineChars="200"/>
        <w:jc w:val="left"/>
        <w:rPr>
          <w:rFonts w:hint="eastAsia" w:ascii="宋体" w:hAnsi="宋体"/>
          <w:sz w:val="24"/>
        </w:rPr>
      </w:pPr>
      <w:r>
        <w:rPr>
          <w:rFonts w:hint="eastAsia" w:ascii="宋体" w:hAnsi="宋体"/>
          <w:sz w:val="24"/>
        </w:rPr>
        <w:t xml:space="preserve">14.不可抗力    </w:t>
      </w:r>
    </w:p>
    <w:p>
      <w:pPr>
        <w:spacing w:line="360" w:lineRule="auto"/>
        <w:ind w:firstLine="480" w:firstLineChars="200"/>
        <w:jc w:val="left"/>
        <w:rPr>
          <w:rFonts w:hint="eastAsia" w:ascii="宋体" w:hAnsi="宋体"/>
          <w:sz w:val="24"/>
        </w:rPr>
      </w:pPr>
      <w:r>
        <w:rPr>
          <w:rFonts w:hint="eastAsia" w:ascii="宋体" w:hAnsi="宋体"/>
          <w:sz w:val="24"/>
        </w:rPr>
        <w:t xml:space="preserve">14.1尽管有合同条款第12条、13条和18条的规定，如果卖方因不可抗力而导致合同实施延误或不能履行合同义务的话，不应该被没收履约保证金，也不应该承担误期赔偿或终止合同的责任。    </w:t>
      </w:r>
    </w:p>
    <w:p>
      <w:pPr>
        <w:spacing w:line="360" w:lineRule="auto"/>
        <w:ind w:firstLine="480" w:firstLineChars="200"/>
        <w:jc w:val="left"/>
        <w:rPr>
          <w:rFonts w:hint="eastAsia" w:ascii="宋体" w:hAnsi="宋体"/>
          <w:sz w:val="24"/>
        </w:rPr>
      </w:pPr>
      <w:r>
        <w:rPr>
          <w:rFonts w:hint="eastAsia" w:ascii="宋体" w:hAnsi="宋体"/>
          <w:sz w:val="24"/>
        </w:rPr>
        <w:t>14.2本条所述的“不可抗力”系指那些卖方无法控制、不可预见的事件，但不包括卖方的违约或疏忽。这些事件包括：战争、严重火灾、洪水、台风、地震以及其他买方、卖方商定的事件。</w:t>
      </w:r>
    </w:p>
    <w:p>
      <w:pPr>
        <w:spacing w:line="360" w:lineRule="auto"/>
        <w:ind w:firstLine="480" w:firstLineChars="200"/>
        <w:jc w:val="left"/>
        <w:rPr>
          <w:rFonts w:hint="eastAsia" w:ascii="宋体" w:hAnsi="宋体"/>
          <w:sz w:val="24"/>
        </w:rPr>
      </w:pPr>
      <w:r>
        <w:rPr>
          <w:rFonts w:hint="eastAsia" w:ascii="宋体" w:hAnsi="宋体"/>
          <w:sz w:val="24"/>
        </w:rPr>
        <w:t>14.3在不可抗力事件发生后，卖方应尽快以书面形式将不可抗力的情况和原因通知采购人，并出具事件发生地政府有关部门的证明。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pPr>
        <w:spacing w:line="360" w:lineRule="auto"/>
        <w:ind w:firstLine="480" w:firstLineChars="200"/>
        <w:jc w:val="left"/>
        <w:rPr>
          <w:rFonts w:hint="eastAsia" w:ascii="宋体" w:hAnsi="宋体"/>
          <w:sz w:val="24"/>
        </w:rPr>
      </w:pPr>
      <w:r>
        <w:rPr>
          <w:rFonts w:hint="eastAsia" w:ascii="宋体" w:hAnsi="宋体"/>
          <w:sz w:val="24"/>
        </w:rPr>
        <w:t xml:space="preserve">15.税费    </w:t>
      </w:r>
    </w:p>
    <w:p>
      <w:pPr>
        <w:spacing w:line="360" w:lineRule="auto"/>
        <w:ind w:firstLine="480" w:firstLineChars="200"/>
        <w:jc w:val="left"/>
        <w:rPr>
          <w:rFonts w:hint="eastAsia" w:ascii="宋体" w:hAnsi="宋体"/>
          <w:sz w:val="24"/>
        </w:rPr>
      </w:pPr>
      <w:r>
        <w:rPr>
          <w:rFonts w:hint="eastAsia" w:ascii="宋体" w:hAnsi="宋体"/>
          <w:sz w:val="24"/>
        </w:rPr>
        <w:t xml:space="preserve">15.1中国政府根据现行税法规定对采购人征收的、与本合同有关的一切税费，均由买方负担，招标文件另有规定的除外。    </w:t>
      </w:r>
    </w:p>
    <w:p>
      <w:pPr>
        <w:spacing w:line="360" w:lineRule="auto"/>
        <w:ind w:firstLine="480" w:firstLineChars="200"/>
        <w:jc w:val="left"/>
        <w:rPr>
          <w:rFonts w:hint="eastAsia" w:ascii="宋体" w:hAnsi="宋体"/>
          <w:sz w:val="24"/>
        </w:rPr>
      </w:pPr>
      <w:r>
        <w:rPr>
          <w:rFonts w:hint="eastAsia" w:ascii="宋体" w:hAnsi="宋体"/>
          <w:sz w:val="24"/>
        </w:rPr>
        <w:t>15.2中国政府根据现行税法规定对中标供应商征收的、与本合同有关的一切税费，均由卖方负担。</w:t>
      </w:r>
    </w:p>
    <w:p>
      <w:pPr>
        <w:spacing w:line="360" w:lineRule="auto"/>
        <w:ind w:firstLine="480" w:firstLineChars="200"/>
        <w:jc w:val="left"/>
        <w:rPr>
          <w:rFonts w:hint="eastAsia" w:ascii="宋体" w:hAnsi="宋体"/>
          <w:sz w:val="24"/>
        </w:rPr>
      </w:pPr>
      <w:r>
        <w:rPr>
          <w:rFonts w:hint="eastAsia" w:ascii="宋体" w:hAnsi="宋体"/>
          <w:sz w:val="24"/>
        </w:rPr>
        <w:t>15.3在中国境外发生的与本合同执行有关的一切税费应由卖方负担。</w:t>
      </w:r>
    </w:p>
    <w:p>
      <w:pPr>
        <w:spacing w:line="360" w:lineRule="auto"/>
        <w:ind w:firstLine="480" w:firstLineChars="200"/>
        <w:jc w:val="left"/>
        <w:rPr>
          <w:rFonts w:hint="eastAsia" w:ascii="宋体" w:hAnsi="宋体"/>
          <w:sz w:val="24"/>
        </w:rPr>
      </w:pPr>
      <w:r>
        <w:rPr>
          <w:rFonts w:hint="eastAsia" w:ascii="宋体" w:hAnsi="宋体"/>
          <w:sz w:val="24"/>
        </w:rPr>
        <w:t xml:space="preserve">16.履约保证金    </w:t>
      </w:r>
    </w:p>
    <w:p>
      <w:pPr>
        <w:spacing w:line="360" w:lineRule="auto"/>
        <w:ind w:firstLine="480" w:firstLineChars="200"/>
        <w:jc w:val="left"/>
        <w:rPr>
          <w:rFonts w:hint="eastAsia" w:ascii="宋体" w:hAnsi="宋体"/>
          <w:sz w:val="24"/>
        </w:rPr>
      </w:pPr>
      <w:r>
        <w:rPr>
          <w:rFonts w:hint="eastAsia" w:ascii="宋体" w:hAnsi="宋体"/>
          <w:sz w:val="24"/>
        </w:rPr>
        <w:t xml:space="preserve">16.1卖方与买方签订本合同时，应向买方交纳履约保证金。    </w:t>
      </w:r>
    </w:p>
    <w:p>
      <w:pPr>
        <w:spacing w:line="360" w:lineRule="auto"/>
        <w:ind w:firstLine="480" w:firstLineChars="200"/>
        <w:jc w:val="left"/>
        <w:rPr>
          <w:rFonts w:hint="eastAsia" w:ascii="宋体" w:hAnsi="宋体"/>
          <w:sz w:val="24"/>
        </w:rPr>
      </w:pPr>
      <w:r>
        <w:rPr>
          <w:rFonts w:hint="eastAsia" w:ascii="宋体" w:hAnsi="宋体"/>
          <w:sz w:val="24"/>
        </w:rPr>
        <w:t xml:space="preserve">16.2如卖方未能履行合同规定的义务，买方有权从履约保证金中取得补偿。    </w:t>
      </w:r>
    </w:p>
    <w:p>
      <w:pPr>
        <w:spacing w:line="360" w:lineRule="auto"/>
        <w:ind w:firstLine="480" w:firstLineChars="200"/>
        <w:jc w:val="left"/>
        <w:rPr>
          <w:rFonts w:hint="eastAsia" w:ascii="宋体" w:hAnsi="宋体"/>
          <w:sz w:val="24"/>
        </w:rPr>
      </w:pPr>
      <w:r>
        <w:rPr>
          <w:rFonts w:hint="eastAsia" w:ascii="宋体" w:hAnsi="宋体"/>
          <w:sz w:val="24"/>
        </w:rPr>
        <w:t>16.3履约保证金在供应商供货完毕且经采购人验收合格后一次性退还（利息不计）。</w:t>
      </w:r>
    </w:p>
    <w:p>
      <w:pPr>
        <w:spacing w:line="360" w:lineRule="auto"/>
        <w:ind w:firstLine="480" w:firstLineChars="200"/>
        <w:jc w:val="left"/>
        <w:rPr>
          <w:rFonts w:hint="eastAsia" w:ascii="宋体" w:hAnsi="宋体"/>
          <w:sz w:val="24"/>
        </w:rPr>
      </w:pPr>
      <w:r>
        <w:rPr>
          <w:rFonts w:hint="eastAsia" w:ascii="宋体" w:hAnsi="宋体"/>
          <w:sz w:val="24"/>
        </w:rPr>
        <w:t xml:space="preserve">17.争议解决方式    </w:t>
      </w:r>
    </w:p>
    <w:p>
      <w:pPr>
        <w:spacing w:line="360" w:lineRule="auto"/>
        <w:ind w:firstLine="480" w:firstLineChars="200"/>
        <w:jc w:val="left"/>
        <w:rPr>
          <w:rFonts w:hint="eastAsia" w:ascii="宋体" w:hAnsi="宋体"/>
          <w:sz w:val="24"/>
        </w:rPr>
      </w:pPr>
      <w:r>
        <w:rPr>
          <w:rFonts w:hint="eastAsia" w:ascii="宋体" w:hAnsi="宋体"/>
          <w:sz w:val="24"/>
        </w:rPr>
        <w:t>17.1在执行本合同中所发生的或与本合同有关的一切争端，买方、卖方应通过友好协商的办法进行解决。如从协商开始30天内仍不能解决，则应向买方所在地人民法院提起诉讼。</w:t>
      </w:r>
    </w:p>
    <w:p>
      <w:pPr>
        <w:spacing w:line="360" w:lineRule="auto"/>
        <w:ind w:firstLine="480" w:firstLineChars="200"/>
        <w:jc w:val="left"/>
        <w:rPr>
          <w:rFonts w:hint="eastAsia" w:ascii="宋体" w:hAnsi="宋体"/>
          <w:sz w:val="24"/>
        </w:rPr>
      </w:pPr>
      <w:r>
        <w:rPr>
          <w:rFonts w:hint="eastAsia" w:ascii="宋体" w:hAnsi="宋体"/>
          <w:sz w:val="24"/>
        </w:rPr>
        <w:t xml:space="preserve">18.违约终止合同    </w:t>
      </w:r>
    </w:p>
    <w:p>
      <w:pPr>
        <w:spacing w:line="360" w:lineRule="auto"/>
        <w:ind w:firstLine="480" w:firstLineChars="200"/>
        <w:jc w:val="left"/>
        <w:rPr>
          <w:rFonts w:hint="eastAsia" w:ascii="宋体" w:hAnsi="宋体"/>
          <w:sz w:val="24"/>
        </w:rPr>
      </w:pPr>
      <w:r>
        <w:rPr>
          <w:rFonts w:hint="eastAsia" w:ascii="宋体" w:hAnsi="宋体"/>
          <w:sz w:val="24"/>
        </w:rPr>
        <w:t xml:space="preserve">18.1在本合同执行过程中，买方可定期对中标人执行合同的情况进行检查，如有下列情况出现，在买方对中标人违约而采取的任何补救措施无效的情况下，买方可向中标人发出终止部分或全部合同的书面通知：    </w:t>
      </w:r>
    </w:p>
    <w:p>
      <w:pPr>
        <w:spacing w:line="360" w:lineRule="auto"/>
        <w:ind w:firstLine="480" w:firstLineChars="200"/>
        <w:jc w:val="left"/>
        <w:rPr>
          <w:rFonts w:hint="eastAsia" w:ascii="宋体" w:hAnsi="宋体"/>
          <w:sz w:val="24"/>
        </w:rPr>
      </w:pPr>
      <w:r>
        <w:rPr>
          <w:rFonts w:hint="eastAsia" w:ascii="宋体" w:hAnsi="宋体"/>
          <w:sz w:val="24"/>
        </w:rPr>
        <w:t xml:space="preserve">18.1.1如果卖方未能在合同规定的期限内办理货物移交手续和提供服务；    </w:t>
      </w:r>
    </w:p>
    <w:p>
      <w:pPr>
        <w:spacing w:line="360" w:lineRule="auto"/>
        <w:ind w:firstLine="480" w:firstLineChars="200"/>
        <w:jc w:val="left"/>
        <w:rPr>
          <w:rFonts w:hint="eastAsia" w:ascii="宋体" w:hAnsi="宋体"/>
          <w:sz w:val="24"/>
        </w:rPr>
      </w:pPr>
      <w:r>
        <w:rPr>
          <w:rFonts w:hint="eastAsia" w:ascii="宋体" w:hAnsi="宋体"/>
          <w:sz w:val="24"/>
        </w:rPr>
        <w:t xml:space="preserve">18.1.2卖方在收到采购人发出的违约通知后15天内，或经买方书面认可延长的时间内未能纠正其过失；    </w:t>
      </w:r>
    </w:p>
    <w:p>
      <w:pPr>
        <w:spacing w:line="360" w:lineRule="auto"/>
        <w:ind w:firstLine="480" w:firstLineChars="200"/>
        <w:jc w:val="left"/>
        <w:rPr>
          <w:rFonts w:hint="eastAsia" w:ascii="宋体" w:hAnsi="宋体"/>
          <w:sz w:val="24"/>
        </w:rPr>
      </w:pPr>
      <w:r>
        <w:rPr>
          <w:rFonts w:hint="eastAsia" w:ascii="宋体" w:hAnsi="宋体"/>
          <w:sz w:val="24"/>
        </w:rPr>
        <w:t xml:space="preserve">18.1.3如果卖方未能履行合同规定的其他义务。    </w:t>
      </w:r>
    </w:p>
    <w:p>
      <w:pPr>
        <w:spacing w:line="360" w:lineRule="auto"/>
        <w:ind w:firstLine="480" w:firstLineChars="200"/>
        <w:jc w:val="left"/>
        <w:rPr>
          <w:rFonts w:hint="eastAsia" w:ascii="宋体" w:hAnsi="宋体"/>
          <w:sz w:val="24"/>
        </w:rPr>
      </w:pPr>
      <w:r>
        <w:rPr>
          <w:rFonts w:hint="eastAsia" w:ascii="宋体" w:hAnsi="宋体"/>
          <w:sz w:val="24"/>
        </w:rPr>
        <w:t>18.2在买方根据上述第18．1条规定，终止了全部或部分合同后，买方可以依其认为适当的条件和方法购买其他供应商提供的货物和服务，卖方应对买方购买由其他供应商提供的货物和服务所超出的那部分费用负责，并继续执行合同中未终止的部分。</w:t>
      </w:r>
    </w:p>
    <w:p>
      <w:pPr>
        <w:spacing w:line="360" w:lineRule="auto"/>
        <w:ind w:firstLine="480" w:firstLineChars="200"/>
        <w:jc w:val="left"/>
        <w:rPr>
          <w:rFonts w:hint="eastAsia" w:ascii="宋体" w:hAnsi="宋体"/>
          <w:sz w:val="24"/>
        </w:rPr>
      </w:pPr>
      <w:r>
        <w:rPr>
          <w:rFonts w:hint="eastAsia" w:ascii="宋体" w:hAnsi="宋体"/>
          <w:sz w:val="24"/>
        </w:rPr>
        <w:t xml:space="preserve">19.破产终止合同    </w:t>
      </w:r>
    </w:p>
    <w:p>
      <w:pPr>
        <w:spacing w:line="360" w:lineRule="auto"/>
        <w:ind w:firstLine="480" w:firstLineChars="200"/>
        <w:jc w:val="left"/>
        <w:rPr>
          <w:rFonts w:hint="eastAsia" w:ascii="宋体" w:hAnsi="宋体"/>
          <w:sz w:val="24"/>
        </w:rPr>
      </w:pPr>
      <w:r>
        <w:rPr>
          <w:rFonts w:hint="eastAsia" w:ascii="宋体" w:hAnsi="宋体"/>
          <w:sz w:val="24"/>
        </w:rPr>
        <w:t>19.1如果卖方破产或无清偿能力，买方可在任何时候以书面形式通知卖方终止合同而不给卖方补偿。该终止合同将不损害或影响买方已经采取或将要采取的任何行动或补救措施的权力。</w:t>
      </w:r>
    </w:p>
    <w:p>
      <w:pPr>
        <w:spacing w:line="360" w:lineRule="auto"/>
        <w:ind w:firstLine="480" w:firstLineChars="200"/>
        <w:jc w:val="left"/>
        <w:rPr>
          <w:rFonts w:hint="eastAsia" w:ascii="宋体" w:hAnsi="宋体"/>
          <w:sz w:val="24"/>
        </w:rPr>
      </w:pPr>
      <w:r>
        <w:rPr>
          <w:rFonts w:hint="eastAsia" w:ascii="宋体" w:hAnsi="宋体"/>
          <w:sz w:val="24"/>
        </w:rPr>
        <w:t xml:space="preserve">20.转让    </w:t>
      </w:r>
    </w:p>
    <w:p>
      <w:pPr>
        <w:spacing w:line="360" w:lineRule="auto"/>
        <w:ind w:firstLine="480" w:firstLineChars="200"/>
        <w:jc w:val="left"/>
        <w:rPr>
          <w:rFonts w:hint="eastAsia" w:ascii="宋体" w:hAnsi="宋体"/>
          <w:sz w:val="24"/>
        </w:rPr>
      </w:pPr>
      <w:r>
        <w:rPr>
          <w:rFonts w:hint="eastAsia" w:ascii="宋体" w:hAnsi="宋体"/>
          <w:sz w:val="24"/>
        </w:rPr>
        <w:t>20.1除买方事先书面同意外，卖方不得部分转让或全部转让其应履行的合同义务，否则买方有权中止合同。</w:t>
      </w:r>
    </w:p>
    <w:p>
      <w:pPr>
        <w:spacing w:line="360" w:lineRule="auto"/>
        <w:ind w:firstLine="480" w:firstLineChars="200"/>
        <w:jc w:val="left"/>
        <w:rPr>
          <w:rFonts w:hint="eastAsia" w:ascii="宋体" w:hAnsi="宋体"/>
          <w:sz w:val="24"/>
        </w:rPr>
      </w:pPr>
      <w:r>
        <w:rPr>
          <w:rFonts w:hint="eastAsia" w:ascii="宋体" w:hAnsi="宋体"/>
          <w:sz w:val="24"/>
        </w:rPr>
        <w:t xml:space="preserve">21.合同生效及其他    </w:t>
      </w:r>
    </w:p>
    <w:p>
      <w:pPr>
        <w:spacing w:line="360" w:lineRule="auto"/>
        <w:ind w:firstLine="480" w:firstLineChars="200"/>
        <w:jc w:val="left"/>
        <w:rPr>
          <w:rFonts w:hint="eastAsia" w:ascii="宋体" w:hAnsi="宋体"/>
          <w:sz w:val="24"/>
        </w:rPr>
      </w:pPr>
      <w:r>
        <w:rPr>
          <w:rFonts w:hint="eastAsia" w:ascii="宋体" w:hAnsi="宋体"/>
          <w:sz w:val="24"/>
        </w:rPr>
        <w:t xml:space="preserve">21.1合同的确定应以招标文件和投标文件为基础，不得违背其实质性内容。合同将在双方签字盖章并由卖方递交履约保证金后开始生效。  </w:t>
      </w:r>
    </w:p>
    <w:p>
      <w:pPr>
        <w:spacing w:line="360" w:lineRule="auto"/>
        <w:ind w:firstLine="480" w:firstLineChars="200"/>
        <w:jc w:val="left"/>
        <w:rPr>
          <w:rFonts w:hint="eastAsia" w:ascii="宋体" w:hAnsi="宋体"/>
          <w:sz w:val="24"/>
        </w:rPr>
      </w:pPr>
      <w:r>
        <w:rPr>
          <w:rFonts w:hint="eastAsia" w:ascii="宋体" w:hAnsi="宋体"/>
          <w:sz w:val="24"/>
        </w:rPr>
        <w:t xml:space="preserve">21.2本合同一式陆份，以中文书写，买方执叁份，卖方执叁份。    </w:t>
      </w:r>
    </w:p>
    <w:p>
      <w:pPr>
        <w:spacing w:line="360" w:lineRule="auto"/>
        <w:ind w:firstLine="480" w:firstLineChars="200"/>
        <w:jc w:val="left"/>
        <w:rPr>
          <w:rFonts w:hint="eastAsia" w:ascii="宋体" w:hAnsi="宋体"/>
          <w:sz w:val="24"/>
        </w:rPr>
      </w:pPr>
      <w:r>
        <w:rPr>
          <w:rFonts w:hint="eastAsia" w:ascii="宋体" w:hAnsi="宋体"/>
          <w:sz w:val="24"/>
        </w:rPr>
        <w:t xml:space="preserve">21.3如需修改或补充合同内容，应经买方、卖方协商，共同签署书面修改或补充协议。该协议将作为本合同不可分割的一部分。    </w:t>
      </w:r>
    </w:p>
    <w:p>
      <w:pPr>
        <w:spacing w:line="360" w:lineRule="auto"/>
        <w:ind w:firstLine="480" w:firstLineChars="200"/>
        <w:jc w:val="left"/>
        <w:rPr>
          <w:rFonts w:hint="eastAsia" w:ascii="宋体" w:hAnsi="宋体"/>
          <w:sz w:val="24"/>
        </w:rPr>
      </w:pPr>
      <w:r>
        <w:rPr>
          <w:rFonts w:hint="eastAsia" w:ascii="宋体" w:hAnsi="宋体"/>
          <w:sz w:val="24"/>
        </w:rPr>
        <w:t>22.合同有效期</w:t>
      </w:r>
    </w:p>
    <w:p>
      <w:pPr>
        <w:spacing w:line="360" w:lineRule="auto"/>
        <w:ind w:firstLine="480" w:firstLineChars="200"/>
        <w:jc w:val="left"/>
        <w:rPr>
          <w:rFonts w:hint="eastAsia" w:ascii="宋体" w:hAnsi="宋体"/>
          <w:sz w:val="24"/>
        </w:rPr>
      </w:pPr>
      <w:r>
        <w:rPr>
          <w:rFonts w:hint="eastAsia" w:ascii="宋体" w:hAnsi="宋体"/>
          <w:sz w:val="24"/>
        </w:rPr>
        <w:t>22.1本合同有效期以双方约定为准。</w:t>
      </w:r>
    </w:p>
    <w:p>
      <w:pPr>
        <w:spacing w:line="360" w:lineRule="auto"/>
        <w:ind w:firstLine="480" w:firstLineChars="200"/>
        <w:jc w:val="left"/>
        <w:rPr>
          <w:rFonts w:hint="eastAsia" w:ascii="宋体" w:hAnsi="宋体" w:cs="Times New Roman"/>
          <w:sz w:val="24"/>
        </w:rPr>
      </w:pPr>
      <w:r>
        <w:rPr>
          <w:rFonts w:hint="eastAsia" w:ascii="宋体" w:hAnsi="宋体"/>
          <w:sz w:val="24"/>
        </w:rPr>
        <w:t>22.2本合同应按照中华人民共和国的现行法律进行解释。</w:t>
      </w:r>
    </w:p>
    <w:p>
      <w:pPr>
        <w:rPr>
          <w:rFonts w:hint="eastAsia" w:ascii="宋体" w:hAnsi="宋体"/>
          <w:sz w:val="24"/>
        </w:rPr>
      </w:pPr>
    </w:p>
    <w:p>
      <w:pPr>
        <w:pStyle w:val="9"/>
        <w:rPr>
          <w:rFonts w:hint="eastAsia" w:ascii="宋体" w:hAnsi="宋体"/>
          <w:sz w:val="24"/>
        </w:rPr>
        <w:sectPr>
          <w:pgSz w:w="11906" w:h="16838"/>
          <w:pgMar w:top="1440" w:right="1800" w:bottom="1440" w:left="1800" w:header="851" w:footer="992" w:gutter="0"/>
          <w:pgNumType w:fmt="numberInDash"/>
          <w:cols w:space="425" w:num="1"/>
          <w:docGrid w:type="lines" w:linePitch="312" w:charSpace="0"/>
        </w:sectPr>
      </w:pPr>
    </w:p>
    <w:p>
      <w:pPr>
        <w:numPr>
          <w:ilvl w:val="0"/>
          <w:numId w:val="0"/>
        </w:numPr>
        <w:ind w:left="840" w:leftChars="0"/>
        <w:jc w:val="center"/>
        <w:rPr>
          <w:rFonts w:hint="eastAsia"/>
          <w:b/>
          <w:bCs/>
          <w:sz w:val="28"/>
          <w:szCs w:val="28"/>
          <w:lang w:val="en-US" w:bidi="ar-SA"/>
        </w:rPr>
      </w:pPr>
      <w:r>
        <w:rPr>
          <w:rFonts w:hint="eastAsia"/>
          <w:b/>
          <w:bCs/>
          <w:sz w:val="28"/>
          <w:szCs w:val="28"/>
          <w:lang w:val="en-US" w:eastAsia="zh-CN" w:bidi="ar-SA"/>
        </w:rPr>
        <w:t xml:space="preserve">第二节 </w:t>
      </w:r>
      <w:r>
        <w:rPr>
          <w:rFonts w:hint="eastAsia"/>
          <w:b/>
          <w:bCs/>
          <w:sz w:val="28"/>
          <w:szCs w:val="28"/>
          <w:lang w:val="en-US" w:bidi="ar-SA"/>
        </w:rPr>
        <w:t>合同专用条款</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rPr>
      </w:pPr>
      <w:r>
        <w:rPr>
          <w:rFonts w:hint="eastAsia" w:ascii="宋体" w:hAnsi="宋体"/>
          <w:sz w:val="24"/>
        </w:rPr>
        <w:t>合同特殊条款是合同一般条款的补充和修改。如果两者之间有抵触，应以特殊条款为准。合同特殊条款的序号与合同一般条款序号相对应。</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rPr>
      </w:pPr>
      <w:r>
        <w:rPr>
          <w:rFonts w:hint="eastAsia" w:ascii="宋体" w:hAnsi="宋体"/>
          <w:sz w:val="24"/>
        </w:rPr>
        <w:t>1.定义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宋体" w:hAnsi="宋体" w:eastAsia="宋体"/>
          <w:sz w:val="24"/>
          <w:u w:val="single"/>
          <w:lang w:val="en-US" w:eastAsia="zh-CN"/>
        </w:rPr>
      </w:pPr>
      <w:r>
        <w:rPr>
          <w:rFonts w:hint="eastAsia" w:ascii="宋体" w:hAnsi="宋体"/>
          <w:sz w:val="24"/>
        </w:rPr>
        <w:t>1. 5买方：本合同买方系指：</w:t>
      </w:r>
      <w:r>
        <w:rPr>
          <w:rFonts w:hint="eastAsia" w:ascii="宋体" w:hAnsi="宋体"/>
          <w:sz w:val="24"/>
          <w:u w:val="single"/>
          <w:lang w:val="en-US" w:eastAsia="zh-CN"/>
        </w:rPr>
        <w:t xml:space="preserve"> 江苏吕四港集团有限公司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u w:val="single"/>
        </w:rPr>
      </w:pPr>
      <w:r>
        <w:rPr>
          <w:rFonts w:hint="eastAsia" w:ascii="宋体" w:hAnsi="宋体"/>
          <w:sz w:val="24"/>
        </w:rPr>
        <w:t>1．6</w:t>
      </w:r>
      <w:r>
        <w:rPr>
          <w:rFonts w:hint="eastAsia" w:ascii="宋体" w:hAnsi="宋体"/>
          <w:sz w:val="24"/>
          <w:lang w:val="en-US" w:eastAsia="zh-CN"/>
        </w:rPr>
        <w:t>卖</w:t>
      </w:r>
      <w:r>
        <w:rPr>
          <w:rFonts w:hint="eastAsia" w:ascii="宋体" w:hAnsi="宋体"/>
          <w:sz w:val="24"/>
        </w:rPr>
        <w:t>方：本合同卖方系指：</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u w:val="single"/>
        </w:rPr>
      </w:pPr>
      <w:r>
        <w:rPr>
          <w:rFonts w:hint="eastAsia" w:ascii="宋体" w:hAnsi="宋体"/>
          <w:sz w:val="24"/>
        </w:rPr>
        <w:t>1．7现场：本合同项下的货物安装和运行地点位于：</w:t>
      </w:r>
      <w:r>
        <w:rPr>
          <w:rFonts w:hint="eastAsia" w:ascii="宋体" w:hAnsi="宋体"/>
          <w:b/>
          <w:spacing w:val="-8"/>
          <w:sz w:val="24"/>
          <w:u w:val="single"/>
        </w:rPr>
        <w:t>启东市</w:t>
      </w:r>
      <w:r>
        <w:rPr>
          <w:rFonts w:hint="eastAsia" w:ascii="宋体" w:hAnsi="宋体"/>
          <w:b/>
          <w:sz w:val="24"/>
          <w:u w:val="single"/>
        </w:rPr>
        <w:t>（具体地点根据招标人</w:t>
      </w:r>
      <w:r>
        <w:rPr>
          <w:rFonts w:hint="eastAsia" w:ascii="宋体" w:hAnsi="宋体"/>
          <w:b/>
          <w:sz w:val="24"/>
          <w:u w:val="single"/>
          <w:lang w:val="en-US" w:eastAsia="zh-CN"/>
        </w:rPr>
        <w:t>要求</w:t>
      </w:r>
      <w:r>
        <w:rPr>
          <w:rFonts w:hint="eastAsia" w:ascii="宋体" w:hAnsi="宋体"/>
          <w:b/>
          <w:sz w:val="24"/>
          <w:u w:val="single"/>
        </w:rPr>
        <w:t>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rPr>
      </w:pPr>
      <w:r>
        <w:rPr>
          <w:rFonts w:hint="eastAsia" w:ascii="宋体" w:hAnsi="宋体"/>
          <w:sz w:val="24"/>
        </w:rPr>
        <w:t>5.交货方式</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u w:val="single"/>
        </w:rPr>
      </w:pPr>
      <w:r>
        <w:rPr>
          <w:rFonts w:hint="eastAsia" w:ascii="宋体" w:hAnsi="宋体"/>
          <w:sz w:val="24"/>
        </w:rPr>
        <w:t>5.1本合同项下的货物交货方式为：</w:t>
      </w:r>
      <w:r>
        <w:rPr>
          <w:rFonts w:hint="eastAsia" w:ascii="宋体" w:hAnsi="宋体"/>
          <w:sz w:val="24"/>
          <w:u w:val="single"/>
          <w:lang w:val="en-US" w:eastAsia="zh-CN"/>
        </w:rPr>
        <w:t>本项目应包括但不限于设备运输、安装、验收、质保期内维护等一切责任、风险和费用，详见招标清单、技术规格书。</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宋体" w:hAnsi="宋体" w:eastAsia="宋体"/>
          <w:sz w:val="24"/>
          <w:u w:val="single"/>
          <w:lang w:val="en-US" w:eastAsia="zh-CN"/>
        </w:rPr>
      </w:pPr>
      <w:r>
        <w:rPr>
          <w:rFonts w:hint="eastAsia" w:ascii="宋体" w:hAnsi="宋体"/>
          <w:sz w:val="24"/>
        </w:rPr>
        <w:t>10.质量要求：</w:t>
      </w:r>
      <w:r>
        <w:rPr>
          <w:rFonts w:hint="eastAsia" w:ascii="宋体" w:hAnsi="宋体"/>
          <w:sz w:val="24"/>
          <w:u w:val="single"/>
        </w:rPr>
        <w:t>合格。产品必须是全新、未使用过的原装合格正品，完全符合采购文件规定的质量、规格和性能的要求，达到国家或行业规定的标准。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sz w:val="24"/>
          <w:u w:val="single"/>
        </w:rPr>
      </w:pPr>
      <w:r>
        <w:rPr>
          <w:rFonts w:hint="eastAsia" w:ascii="宋体" w:hAnsi="宋体"/>
          <w:sz w:val="24"/>
        </w:rPr>
        <w:t>10.5</w:t>
      </w:r>
      <w:r>
        <w:rPr>
          <w:rFonts w:hint="eastAsia" w:ascii="宋体" w:hAnsi="宋体"/>
          <w:sz w:val="24"/>
          <w:u w:val="single"/>
        </w:rPr>
        <w:t>质保期为</w:t>
      </w:r>
      <w:r>
        <w:rPr>
          <w:rFonts w:hint="eastAsia" w:ascii="宋体" w:hAnsi="宋体"/>
          <w:sz w:val="24"/>
          <w:u w:val="single"/>
          <w:lang w:eastAsia="zh-CN"/>
        </w:rPr>
        <w:t>：</w:t>
      </w:r>
      <w:r>
        <w:rPr>
          <w:rFonts w:hint="eastAsia" w:ascii="宋体" w:hAnsi="宋体"/>
          <w:sz w:val="24"/>
          <w:u w:val="single"/>
          <w:lang w:val="en-US" w:eastAsia="zh-CN"/>
        </w:rPr>
        <w:t>自验收合格之日算起2年</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rPr>
      </w:pPr>
      <w:r>
        <w:rPr>
          <w:rFonts w:hint="eastAsia" w:ascii="宋体" w:hAnsi="宋体"/>
          <w:sz w:val="24"/>
        </w:rPr>
        <w:t>11.索赔：</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u w:val="single"/>
        </w:rPr>
      </w:pPr>
      <w:r>
        <w:rPr>
          <w:rFonts w:hint="eastAsia" w:ascii="宋体" w:hAnsi="宋体"/>
          <w:sz w:val="24"/>
        </w:rPr>
        <w:t>11. 3索赔通知期限：</w:t>
      </w:r>
      <w:r>
        <w:rPr>
          <w:rFonts w:ascii="宋体" w:hAnsi="宋体"/>
          <w:sz w:val="24"/>
          <w:u w:val="single"/>
        </w:rPr>
        <w:t xml:space="preserve"> </w:t>
      </w:r>
      <w:r>
        <w:rPr>
          <w:rFonts w:hint="eastAsia" w:ascii="宋体" w:hAnsi="宋体"/>
          <w:sz w:val="24"/>
          <w:u w:val="single"/>
        </w:rPr>
        <w:t xml:space="preserve">14天。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u w:val="single"/>
        </w:rPr>
      </w:pPr>
      <w:r>
        <w:rPr>
          <w:rFonts w:hint="eastAsia" w:ascii="宋体" w:hAnsi="宋体"/>
          <w:sz w:val="24"/>
        </w:rPr>
        <w:t>14.不可抗力：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u w:val="single"/>
        </w:rPr>
      </w:pPr>
      <w:r>
        <w:rPr>
          <w:rFonts w:hint="eastAsia" w:ascii="宋体" w:hAnsi="宋体"/>
          <w:sz w:val="24"/>
        </w:rPr>
        <w:t>14.2</w:t>
      </w:r>
      <w:r>
        <w:rPr>
          <w:rFonts w:hint="eastAsia" w:ascii="宋体" w:hAnsi="宋体"/>
          <w:sz w:val="24"/>
          <w:u w:val="single"/>
        </w:rPr>
        <w:t xml:space="preserve">不可抗力通知送达时间：事故发生后7天内。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rPr>
      </w:pPr>
      <w:r>
        <w:rPr>
          <w:rFonts w:hint="eastAsia" w:ascii="宋体" w:hAnsi="宋体"/>
          <w:sz w:val="24"/>
        </w:rPr>
        <w:t>15.违约赔偿：</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highlight w:val="yellow"/>
          <w:u w:val="single"/>
        </w:rPr>
      </w:pPr>
      <w:r>
        <w:rPr>
          <w:rFonts w:hint="eastAsia" w:ascii="宋体" w:hAnsi="宋体"/>
          <w:sz w:val="24"/>
          <w:u w:val="single"/>
        </w:rPr>
        <w:t>15.1如果卖方没有按照合同规定的时间交货和提供服务，买方可要求卖方支付违约金。违约金按每天迟交货物或未提供服务交货价的</w:t>
      </w:r>
      <w:r>
        <w:rPr>
          <w:rFonts w:hint="eastAsia" w:ascii="宋体" w:hAnsi="宋体"/>
          <w:sz w:val="24"/>
          <w:u w:val="single"/>
          <w:lang w:val="en-US" w:eastAsia="zh-CN"/>
        </w:rPr>
        <w:t>0.</w:t>
      </w:r>
      <w:r>
        <w:rPr>
          <w:rFonts w:hint="eastAsia" w:ascii="宋体" w:hAnsi="宋体"/>
          <w:sz w:val="24"/>
          <w:u w:val="single"/>
        </w:rPr>
        <w:t>1%计收</w:t>
      </w:r>
      <w:r>
        <w:rPr>
          <w:rFonts w:hint="eastAsia" w:ascii="宋体" w:hAnsi="宋体"/>
          <w:sz w:val="24"/>
          <w:u w:val="single"/>
          <w:lang w:eastAsia="zh-CN"/>
        </w:rPr>
        <w:t>（</w:t>
      </w:r>
      <w:r>
        <w:rPr>
          <w:rFonts w:hint="eastAsia" w:ascii="宋体" w:hAnsi="宋体"/>
          <w:sz w:val="24"/>
          <w:u w:val="single"/>
          <w:lang w:val="en-US" w:eastAsia="zh-CN"/>
        </w:rPr>
        <w:t>优先从履约保证金中扣除</w:t>
      </w:r>
      <w:r>
        <w:rPr>
          <w:rFonts w:hint="eastAsia" w:ascii="宋体" w:hAnsi="宋体"/>
          <w:sz w:val="24"/>
          <w:u w:val="single"/>
          <w:lang w:eastAsia="zh-CN"/>
        </w:rPr>
        <w:t>）</w:t>
      </w:r>
      <w:r>
        <w:rPr>
          <w:rFonts w:hint="eastAsia" w:ascii="宋体" w:hAnsi="宋体"/>
          <w:sz w:val="24"/>
          <w:u w:val="single"/>
        </w:rPr>
        <w:t>，逾期</w:t>
      </w:r>
      <w:r>
        <w:rPr>
          <w:rFonts w:hint="eastAsia" w:ascii="宋体" w:hAnsi="宋体"/>
          <w:sz w:val="24"/>
          <w:u w:val="single"/>
          <w:lang w:val="en-US" w:eastAsia="zh-CN"/>
        </w:rPr>
        <w:t>10</w:t>
      </w:r>
      <w:r>
        <w:rPr>
          <w:rFonts w:hint="eastAsia" w:ascii="宋体" w:hAnsi="宋体"/>
          <w:sz w:val="24"/>
          <w:u w:val="single"/>
        </w:rPr>
        <w:t>天仍未完成的，买方有权终止合同，</w:t>
      </w:r>
      <w:r>
        <w:rPr>
          <w:rFonts w:hint="eastAsia" w:ascii="宋体" w:hAnsi="宋体"/>
          <w:sz w:val="24"/>
          <w:u w:val="single"/>
          <w:lang w:val="en-US" w:eastAsia="zh-CN"/>
        </w:rPr>
        <w:t>并</w:t>
      </w:r>
      <w:r>
        <w:rPr>
          <w:rFonts w:hint="eastAsia" w:ascii="宋体" w:hAnsi="宋体"/>
          <w:sz w:val="24"/>
          <w:u w:val="single"/>
        </w:rPr>
        <w:t>要求卖方赔偿买方由此造成的损失。</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u w:val="single"/>
        </w:rPr>
      </w:pPr>
      <w:r>
        <w:rPr>
          <w:rFonts w:hint="eastAsia" w:ascii="宋体" w:hAnsi="宋体"/>
          <w:sz w:val="24"/>
          <w:u w:val="single"/>
        </w:rPr>
        <w:t>15.2卖方不听从买方的有关指示履行合同义务，每次处以违约金人民币</w:t>
      </w:r>
      <w:r>
        <w:rPr>
          <w:rFonts w:hint="eastAsia" w:ascii="宋体" w:hAnsi="宋体"/>
          <w:sz w:val="24"/>
          <w:u w:val="single"/>
          <w:lang w:val="en-US" w:eastAsia="zh-CN"/>
        </w:rPr>
        <w:t>500</w:t>
      </w:r>
      <w:r>
        <w:rPr>
          <w:rFonts w:hint="eastAsia" w:ascii="宋体" w:hAnsi="宋体"/>
          <w:sz w:val="24"/>
          <w:u w:val="single"/>
        </w:rPr>
        <w:t>元，超过3次的，买方有权一次性收取违约金人民币</w:t>
      </w:r>
      <w:r>
        <w:rPr>
          <w:rFonts w:hint="eastAsia" w:ascii="宋体" w:hAnsi="宋体"/>
          <w:sz w:val="24"/>
          <w:u w:val="single"/>
          <w:lang w:val="en-US" w:eastAsia="zh-CN"/>
        </w:rPr>
        <w:t>5000</w:t>
      </w:r>
      <w:r>
        <w:rPr>
          <w:rFonts w:hint="eastAsia" w:ascii="宋体" w:hAnsi="宋体"/>
          <w:sz w:val="24"/>
          <w:u w:val="single"/>
        </w:rPr>
        <w:t>元，情节严重的，买方有权单方解除合同。造成重大安全事故或因措施不力导致政府监管部门给买方造成损失的，买方有权继续向卖方追偿。</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宋体" w:hAnsi="宋体" w:eastAsia="宋体"/>
          <w:sz w:val="24"/>
          <w:u w:val="single"/>
          <w:lang w:val="en-US" w:eastAsia="zh-CN"/>
        </w:rPr>
      </w:pPr>
      <w:r>
        <w:rPr>
          <w:rFonts w:hint="eastAsia" w:ascii="宋体" w:hAnsi="宋体"/>
          <w:sz w:val="24"/>
          <w:u w:val="single"/>
          <w:lang w:val="en-US" w:eastAsia="zh-CN"/>
        </w:rPr>
        <w:t>15.3因为货物的包装、品种、型号、规格、包装、数量、质量问题致使未通过交货验收的，视为没有交货，因此造成逾期交货的，按照本合同关于逾期交货的有关规定执行。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u w:val="single"/>
        </w:rPr>
      </w:pPr>
      <w:r>
        <w:rPr>
          <w:rFonts w:hint="eastAsia" w:ascii="宋体" w:hAnsi="宋体"/>
          <w:sz w:val="24"/>
          <w:u w:val="single"/>
        </w:rPr>
        <w:t>15.4因</w:t>
      </w:r>
      <w:r>
        <w:rPr>
          <w:rFonts w:hint="eastAsia" w:ascii="宋体" w:hAnsi="宋体"/>
          <w:sz w:val="24"/>
          <w:u w:val="single"/>
          <w:lang w:val="en-US" w:eastAsia="zh-CN"/>
        </w:rPr>
        <w:t>设备</w:t>
      </w:r>
      <w:r>
        <w:rPr>
          <w:rFonts w:hint="eastAsia" w:ascii="宋体" w:hAnsi="宋体"/>
          <w:sz w:val="24"/>
          <w:u w:val="single"/>
        </w:rPr>
        <w:t>产品质量问题致使没有一次性通过验收的，卖方应立即无条件无偿换货并在</w:t>
      </w:r>
      <w:r>
        <w:rPr>
          <w:rFonts w:hint="eastAsia" w:ascii="宋体" w:hAnsi="宋体"/>
          <w:sz w:val="24"/>
          <w:u w:val="single"/>
          <w:lang w:val="en-US" w:eastAsia="zh-CN"/>
        </w:rPr>
        <w:t>20</w:t>
      </w:r>
      <w:r>
        <w:rPr>
          <w:rFonts w:hint="eastAsia" w:ascii="宋体" w:hAnsi="宋体"/>
          <w:sz w:val="24"/>
          <w:u w:val="single"/>
        </w:rPr>
        <w:t>天内向买方交送本合同规定的合格产品，向买方支付未通过验收部分产品价款的10%的违约金由此给买方造成损失的，卖方还应依法予以赔偿；卖方逾期6天未交送合格产品的，或者因为产品质量问题致使第二次没有通过验收的，买方有权单方解除本合同，卖方应向买方退还所有已收款项，</w:t>
      </w:r>
      <w:r>
        <w:rPr>
          <w:rFonts w:hint="eastAsia" w:ascii="宋体" w:hAnsi="宋体"/>
          <w:sz w:val="24"/>
          <w:u w:val="single"/>
          <w:lang w:val="en-US" w:eastAsia="zh-CN"/>
        </w:rPr>
        <w:t>并</w:t>
      </w:r>
      <w:r>
        <w:rPr>
          <w:rFonts w:hint="eastAsia" w:ascii="宋体" w:hAnsi="宋体"/>
          <w:sz w:val="24"/>
          <w:u w:val="single"/>
        </w:rPr>
        <w:t>支付合同总价10％的违约金，由此给买方造成损失的，卖方还应依法予以赔偿。</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u w:val="single"/>
        </w:rPr>
      </w:pPr>
      <w:r>
        <w:rPr>
          <w:rFonts w:hint="eastAsia" w:ascii="宋体" w:hAnsi="宋体"/>
          <w:sz w:val="24"/>
          <w:u w:val="single"/>
        </w:rPr>
        <w:t>15.5卖方违反本合同规定擅自发货或者提前到货的，买方有权拒收货物，卖方对此承担一切责任。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u w:val="single"/>
        </w:rPr>
      </w:pPr>
      <w:r>
        <w:rPr>
          <w:rFonts w:hint="eastAsia" w:ascii="宋体" w:hAnsi="宋体"/>
          <w:sz w:val="24"/>
          <w:u w:val="single"/>
        </w:rPr>
        <w:t>15.6卖方依法承担因为产品质量问题而给买方、第三方（包括但不限于施工人员及业主）造成的损失。</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rPr>
      </w:pPr>
      <w:r>
        <w:rPr>
          <w:rFonts w:hint="eastAsia" w:ascii="宋体" w:hAnsi="宋体"/>
          <w:sz w:val="24"/>
          <w:u w:val="single"/>
        </w:rPr>
        <w:t>15.7</w:t>
      </w:r>
      <w:r>
        <w:rPr>
          <w:rFonts w:hint="eastAsia" w:ascii="宋体" w:hAnsi="宋体"/>
          <w:sz w:val="24"/>
          <w:u w:val="single"/>
          <w:lang w:val="en-US" w:eastAsia="zh-CN"/>
        </w:rPr>
        <w:t>除上述约定外，对于合同约定的其他义务，</w:t>
      </w:r>
      <w:r>
        <w:rPr>
          <w:rFonts w:hint="eastAsia" w:ascii="宋体" w:hAnsi="宋体"/>
          <w:sz w:val="24"/>
          <w:u w:val="single"/>
        </w:rPr>
        <w:t>若卖方</w:t>
      </w:r>
      <w:r>
        <w:rPr>
          <w:rFonts w:hint="eastAsia" w:ascii="宋体" w:hAnsi="宋体"/>
          <w:sz w:val="24"/>
          <w:u w:val="single"/>
          <w:lang w:val="en-US" w:eastAsia="zh-CN"/>
        </w:rPr>
        <w:t>不履行或不完全履行的</w:t>
      </w:r>
      <w:r>
        <w:rPr>
          <w:rFonts w:hint="eastAsia" w:ascii="宋体" w:hAnsi="宋体"/>
          <w:sz w:val="24"/>
          <w:u w:val="single"/>
        </w:rPr>
        <w:t>，买方</w:t>
      </w:r>
      <w:r>
        <w:rPr>
          <w:rFonts w:hint="eastAsia" w:ascii="宋体" w:hAnsi="宋体"/>
          <w:sz w:val="24"/>
          <w:u w:val="single"/>
          <w:lang w:val="en-US" w:eastAsia="zh-CN"/>
        </w:rPr>
        <w:t>有权</w:t>
      </w:r>
      <w:r>
        <w:rPr>
          <w:rFonts w:hint="eastAsia" w:ascii="宋体" w:hAnsi="宋体"/>
          <w:sz w:val="24"/>
          <w:u w:val="single"/>
        </w:rPr>
        <w:t>书面</w:t>
      </w:r>
      <w:r>
        <w:rPr>
          <w:rFonts w:hint="eastAsia" w:ascii="宋体" w:hAnsi="宋体"/>
          <w:sz w:val="24"/>
          <w:u w:val="single"/>
          <w:lang w:val="en-US" w:eastAsia="zh-CN"/>
        </w:rPr>
        <w:t>通知</w:t>
      </w:r>
      <w:r>
        <w:rPr>
          <w:rFonts w:hint="eastAsia" w:ascii="宋体" w:hAnsi="宋体"/>
          <w:sz w:val="24"/>
          <w:u w:val="single"/>
        </w:rPr>
        <w:t>要求其改正</w:t>
      </w:r>
      <w:r>
        <w:rPr>
          <w:rFonts w:hint="eastAsia" w:ascii="宋体" w:hAnsi="宋体"/>
          <w:sz w:val="24"/>
          <w:u w:val="single"/>
          <w:lang w:eastAsia="zh-CN"/>
        </w:rPr>
        <w:t>，</w:t>
      </w:r>
      <w:r>
        <w:rPr>
          <w:rFonts w:hint="eastAsia" w:ascii="宋体" w:hAnsi="宋体"/>
          <w:sz w:val="24"/>
          <w:u w:val="single"/>
        </w:rPr>
        <w:t>3日之内仍</w:t>
      </w:r>
      <w:r>
        <w:rPr>
          <w:rFonts w:hint="eastAsia" w:ascii="宋体" w:hAnsi="宋体"/>
          <w:sz w:val="24"/>
          <w:u w:val="single"/>
          <w:lang w:val="en-US" w:eastAsia="zh-CN"/>
        </w:rPr>
        <w:t>不改正</w:t>
      </w:r>
      <w:r>
        <w:rPr>
          <w:rFonts w:hint="eastAsia" w:ascii="宋体" w:hAnsi="宋体"/>
          <w:sz w:val="24"/>
          <w:u w:val="single"/>
        </w:rPr>
        <w:t>，买方有权解除合同，并书面通知卖方后收回，由此造成买方的经济损失，买方有权在给卖方的任何款项中提款补偿。</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sz w:val="24"/>
          <w:u w:val="single"/>
        </w:rPr>
      </w:pPr>
      <w:r>
        <w:rPr>
          <w:rFonts w:hint="eastAsia" w:ascii="宋体" w:hAnsi="宋体"/>
          <w:sz w:val="24"/>
        </w:rPr>
        <w:t>16.履约保证金：</w:t>
      </w:r>
      <w:r>
        <w:rPr>
          <w:rFonts w:hint="eastAsia" w:ascii="宋体" w:hAnsi="宋体"/>
          <w:sz w:val="24"/>
          <w:u w:val="single"/>
        </w:rPr>
        <w:t>被确定成交的供应商，在签订合同前必须向采购人缴纳履约保证金，否则采购人可以取消其中标资格。履约保证金金额</w:t>
      </w:r>
      <w:r>
        <w:rPr>
          <w:rFonts w:hint="eastAsia" w:ascii="宋体" w:hAnsi="宋体"/>
          <w:sz w:val="24"/>
          <w:u w:val="single"/>
          <w:lang w:val="en-US" w:eastAsia="zh-CN"/>
        </w:rPr>
        <w:t>;     元（</w:t>
      </w:r>
      <w:r>
        <w:rPr>
          <w:rFonts w:hint="eastAsia" w:ascii="宋体" w:hAnsi="宋体"/>
          <w:sz w:val="24"/>
          <w:u w:val="single"/>
        </w:rPr>
        <w:t>合同价的10%</w:t>
      </w:r>
      <w:r>
        <w:rPr>
          <w:rFonts w:hint="eastAsia" w:ascii="宋体" w:hAnsi="宋体"/>
          <w:sz w:val="24"/>
          <w:u w:val="single"/>
          <w:lang w:val="en-US" w:eastAsia="zh-CN"/>
        </w:rPr>
        <w:t>）</w:t>
      </w:r>
      <w:r>
        <w:rPr>
          <w:rFonts w:hint="eastAsia" w:ascii="宋体" w:hAnsi="宋体"/>
          <w:sz w:val="24"/>
          <w:u w:val="single"/>
        </w:rPr>
        <w:t>。成交供应商必须在签订合同前向采购单位交纳履约保证金（汇入采购单位指定的银行账户）。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sz w:val="24"/>
          <w:u w:val="single"/>
        </w:rPr>
      </w:pPr>
      <w:r>
        <w:rPr>
          <w:rFonts w:hint="eastAsia" w:ascii="宋体" w:hAnsi="宋体"/>
          <w:sz w:val="24"/>
        </w:rPr>
        <w:t>16.3履约保证金退还时间：</w:t>
      </w:r>
      <w:r>
        <w:rPr>
          <w:rFonts w:hint="eastAsia" w:ascii="宋体" w:hAnsi="宋体"/>
          <w:sz w:val="24"/>
          <w:u w:val="single"/>
        </w:rPr>
        <w:t>在供应商供货完毕且经采购人验收合格后一次性退还（利息不计）。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pPr>
      <w:r>
        <w:rPr>
          <w:rFonts w:hint="eastAsia" w:ascii="宋体" w:hAnsi="宋体"/>
          <w:sz w:val="24"/>
          <w:u w:val="single"/>
        </w:rPr>
        <w:t>由于中标人原因，在签订合同后出现不按合同履行的情况，采购人有权将履约保证金作为违约金，全额没收，同时采购人亦有权终止合同，中标人还须承担相应的法律赔偿责任。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rPr>
      </w:pPr>
      <w:r>
        <w:rPr>
          <w:rFonts w:hint="eastAsia" w:ascii="宋体" w:hAnsi="宋体"/>
          <w:sz w:val="24"/>
        </w:rPr>
        <w:t>23.付款条件：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sz w:val="24"/>
          <w:u w:val="single"/>
        </w:rPr>
      </w:pPr>
      <w:r>
        <w:rPr>
          <w:rFonts w:hint="eastAsia" w:ascii="宋体" w:hAnsi="宋体"/>
          <w:sz w:val="24"/>
          <w:u w:val="single"/>
        </w:rPr>
        <w:t>全部货物到场且经采购人验收合格并得到相关部门的认可后，支付至合同总价的97%；剩余合同总价的3%作为质量保证金。质保期：自验收合格之日算起2年。质保金在质保期满且经采购人确认后无息退还（扣除已发生的保修费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sz w:val="24"/>
          <w:u w:val="single"/>
        </w:rPr>
      </w:pPr>
      <w:r>
        <w:rPr>
          <w:rFonts w:hint="eastAsia" w:ascii="宋体" w:hAnsi="宋体"/>
          <w:sz w:val="24"/>
          <w:u w:val="single"/>
        </w:rPr>
        <w:t>注：供应商申请付款的程序应符合采购人的财务规定（提供加盖申请单位公章的付款审批单原件、增值税专用发票原件、合同复印件、成交通知书复印件以及由发包人确认的阶段成果等相关材料），以上付款均不计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rPr>
      </w:pPr>
      <w:r>
        <w:rPr>
          <w:rFonts w:hint="eastAsia" w:ascii="宋体" w:hAnsi="宋体"/>
          <w:sz w:val="24"/>
        </w:rPr>
        <w:t>24.补充条款：</w:t>
      </w:r>
    </w:p>
    <w:p>
      <w:pPr>
        <w:keepNext w:val="0"/>
        <w:keepLines w:val="0"/>
        <w:pageBreakBefore w:val="0"/>
        <w:widowControl w:val="0"/>
        <w:kinsoku/>
        <w:wordWrap/>
        <w:overflowPunct/>
        <w:topLinePunct w:val="0"/>
        <w:autoSpaceDE/>
        <w:autoSpaceDN/>
        <w:bidi w:val="0"/>
        <w:adjustRightInd/>
        <w:snapToGrid/>
        <w:spacing w:line="600" w:lineRule="exact"/>
        <w:ind w:firstLine="464" w:firstLineChars="200"/>
        <w:jc w:val="left"/>
        <w:textAlignment w:val="auto"/>
        <w:rPr>
          <w:rFonts w:ascii="宋体" w:hAnsi="宋体"/>
          <w:spacing w:val="-4"/>
          <w:sz w:val="24"/>
          <w:u w:val="single"/>
        </w:rPr>
      </w:pPr>
      <w:r>
        <w:rPr>
          <w:rFonts w:hint="eastAsia" w:ascii="宋体" w:hAnsi="宋体"/>
          <w:spacing w:val="-4"/>
          <w:sz w:val="24"/>
          <w:u w:val="single"/>
        </w:rPr>
        <w:t>24.1中标人应考虑交货期间的材料等费用的上涨因素，中标后的总价不予调整。</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u w:val="single"/>
        </w:rPr>
      </w:pPr>
      <w:r>
        <w:rPr>
          <w:rFonts w:hint="eastAsia" w:ascii="宋体" w:hAnsi="宋体"/>
          <w:sz w:val="24"/>
          <w:u w:val="single"/>
        </w:rPr>
        <w:t xml:space="preserve">24.2卖方必须严格按照招投标文件规定提供合格的原厂正品全新现货并符合国家规定技术标准和规范的合格产品。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outlineLvl w:val="0"/>
        <w:rPr>
          <w:rFonts w:ascii="宋体" w:hAnsi="宋体" w:cs="宋体"/>
          <w:sz w:val="24"/>
          <w:u w:val="single"/>
        </w:rPr>
      </w:pPr>
      <w:r>
        <w:rPr>
          <w:rFonts w:hint="eastAsia" w:ascii="宋体" w:hAnsi="宋体"/>
          <w:sz w:val="24"/>
          <w:u w:val="single"/>
        </w:rPr>
        <w:t>24.3卖方必须负责</w:t>
      </w:r>
      <w:r>
        <w:rPr>
          <w:rFonts w:hint="eastAsia" w:ascii="宋体" w:hAnsi="宋体"/>
          <w:sz w:val="24"/>
          <w:u w:val="single"/>
          <w:lang w:val="en-US" w:eastAsia="zh-CN"/>
        </w:rPr>
        <w:t>设备</w:t>
      </w:r>
      <w:r>
        <w:rPr>
          <w:rFonts w:hint="eastAsia" w:ascii="宋体" w:hAnsi="宋体"/>
          <w:sz w:val="24"/>
          <w:u w:val="single"/>
        </w:rPr>
        <w:t>的运输，并负责安装、调试、检测合格后交付使用。卖方要按ISO9001质量认证体系规定提供售后保修服务</w:t>
      </w:r>
      <w:r>
        <w:rPr>
          <w:rFonts w:hint="eastAsia" w:ascii="宋体" w:hAnsi="宋体" w:cs="宋体"/>
          <w:sz w:val="24"/>
          <w:u w:val="single"/>
        </w:rPr>
        <w:t>，卖方怠于履行的，买方有权在质保金中直接扣除。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u w:val="single"/>
        </w:rPr>
      </w:pPr>
      <w:r>
        <w:rPr>
          <w:rFonts w:hint="eastAsia" w:ascii="宋体" w:hAnsi="宋体"/>
          <w:sz w:val="24"/>
          <w:u w:val="single"/>
        </w:rPr>
        <w:t>24.4卖方应负责设备的整个安装工作，并支付配合费用，以及为完成合格安装所需的设备与装置等。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cs="宋体"/>
          <w:sz w:val="24"/>
          <w:u w:val="single"/>
        </w:rPr>
      </w:pPr>
      <w:r>
        <w:rPr>
          <w:rFonts w:hint="eastAsia" w:ascii="宋体" w:hAnsi="宋体"/>
          <w:sz w:val="24"/>
          <w:u w:val="single"/>
        </w:rPr>
        <w:t>24.5设备在安装过程中如对已完工的构筑物、设备本身及其部件造成损坏，均应由卖方立即进行修理、更换，直到买方满意为止</w:t>
      </w:r>
      <w:r>
        <w:rPr>
          <w:rFonts w:hint="eastAsia" w:ascii="宋体" w:hAnsi="宋体" w:cs="宋体"/>
          <w:sz w:val="24"/>
          <w:u w:val="single"/>
        </w:rPr>
        <w:t>，且费用由卖方负责，买方有权在合同款中直接扣除。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color w:val="FF0000"/>
          <w:sz w:val="24"/>
          <w:u w:val="single"/>
        </w:rPr>
      </w:pPr>
      <w:r>
        <w:rPr>
          <w:rFonts w:hint="eastAsia" w:ascii="宋体" w:hAnsi="宋体"/>
          <w:sz w:val="24"/>
          <w:u w:val="single"/>
        </w:rPr>
        <w:t xml:space="preserve">24.6合同价中包括招标文件中所要求包括的所有费用。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宋体" w:hAnsi="宋体"/>
          <w:sz w:val="24"/>
          <w:u w:val="single"/>
        </w:rPr>
      </w:pPr>
      <w:r>
        <w:rPr>
          <w:rFonts w:hint="eastAsia" w:ascii="宋体" w:hAnsi="宋体"/>
          <w:sz w:val="24"/>
          <w:u w:val="single"/>
        </w:rPr>
        <w:t xml:space="preserve">24.7本项目所有费用一次性包定，不再追加。在安装、调试、验收过程中，如发现有漏项、缺件，供应商应无条件、无偿补齐，所发生的一切费用，视为已包含在供应商报价之中，且并不因此而影响交付采购单位使用的时间。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sz w:val="24"/>
          <w:u w:val="single"/>
          <w:lang w:eastAsia="zh-CN"/>
        </w:rPr>
      </w:pPr>
      <w:r>
        <w:rPr>
          <w:rFonts w:hint="eastAsia" w:ascii="宋体" w:hAnsi="宋体"/>
          <w:sz w:val="24"/>
          <w:u w:val="single"/>
        </w:rPr>
        <w:t>24.8投标人一旦中标，所提供的产品必须符合招标人对规格、型号的基本要求，如不符合要求，应无条件进行退货、换货，直至达到招标人的要求，并承担相应的损失和责任</w:t>
      </w:r>
      <w:r>
        <w:rPr>
          <w:rFonts w:hint="eastAsia" w:ascii="宋体" w:hAnsi="宋体"/>
          <w:sz w:val="24"/>
          <w:u w:val="singl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Times New Roman"/>
          <w:sz w:val="24"/>
          <w:u w:val="single"/>
          <w:lang w:val="en-US" w:eastAsia="zh-CN"/>
        </w:rPr>
      </w:pPr>
      <w:r>
        <w:rPr>
          <w:rFonts w:hint="eastAsia" w:ascii="宋体" w:hAnsi="宋体"/>
          <w:sz w:val="24"/>
          <w:u w:val="single"/>
        </w:rPr>
        <w:t>24.9</w:t>
      </w:r>
      <w:r>
        <w:rPr>
          <w:rFonts w:hint="eastAsia" w:ascii="宋体" w:hAnsi="宋体" w:cs="Times New Roman"/>
          <w:sz w:val="24"/>
          <w:u w:val="single"/>
          <w:lang w:val="en-US" w:eastAsia="zh-CN"/>
        </w:rPr>
        <w:t>本合同中标人已充分理解并同意招标人因付款流程等原因可能导致的迟延付款，中标人将按照合同约定履行合同义务，不因迟延付款推迟履行合同义务。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sz w:val="24"/>
          <w:u w:val="single"/>
          <w:lang w:val="en-US" w:eastAsia="zh-CN"/>
        </w:rPr>
      </w:pPr>
      <w:r>
        <w:rPr>
          <w:rFonts w:hint="eastAsia" w:ascii="宋体" w:hAnsi="宋体"/>
          <w:sz w:val="24"/>
          <w:u w:val="single"/>
          <w:lang w:val="en-US" w:eastAsia="zh-CN"/>
        </w:rPr>
        <w:t>24.10买卖双方如在本合同的履行过程中，对标的物的质量问题发生争议时，以质量技术监督部门或有权鉴定部门的质量鉴定结果为准，由此所产生的一切费用由卖方承担。</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宋体" w:hAnsi="宋体" w:cs="Times New Roman"/>
          <w:sz w:val="24"/>
          <w:u w:val="single"/>
          <w:lang w:val="en-US" w:eastAsia="zh-CN"/>
        </w:rPr>
      </w:pPr>
      <w:r>
        <w:rPr>
          <w:rFonts w:hint="default" w:ascii="宋体" w:hAnsi="宋体" w:cs="Times New Roman"/>
          <w:sz w:val="24"/>
          <w:u w:val="single"/>
          <w:lang w:val="en-US" w:eastAsia="zh-CN"/>
        </w:rPr>
        <w:t>24.</w:t>
      </w:r>
      <w:r>
        <w:rPr>
          <w:rFonts w:hint="eastAsia" w:ascii="宋体" w:hAnsi="宋体" w:cs="Times New Roman"/>
          <w:sz w:val="24"/>
          <w:u w:val="single"/>
          <w:lang w:val="en-US" w:eastAsia="zh-CN"/>
        </w:rPr>
        <w:t>11</w:t>
      </w:r>
      <w:r>
        <w:rPr>
          <w:rFonts w:hint="default" w:ascii="宋体" w:hAnsi="宋体" w:cs="Times New Roman"/>
          <w:sz w:val="24"/>
          <w:u w:val="single"/>
          <w:lang w:val="en-US" w:eastAsia="zh-CN"/>
        </w:rPr>
        <w:t>如卖方不履行本合同所规定的保修或后续（售后）服务，则买方有权另行聘请其他维修单位进行维修及后续服务，所支出的合理的维修和服务费用在卖方的合同款中扣付或买方直接向卖方索取，如卖方的合同款不足以支付该维修及后续服务的费用，则买方有权继续向卖方追偿。</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宋体" w:hAnsi="宋体" w:cs="Times New Roman"/>
          <w:sz w:val="24"/>
          <w:u w:val="single"/>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cs="Times New Roman"/>
          <w:sz w:val="24"/>
          <w:u w:val="single"/>
          <w:lang w:val="en-US" w:eastAsia="zh-CN"/>
        </w:rPr>
        <w:t>24.12卖方</w:t>
      </w:r>
      <w:r>
        <w:rPr>
          <w:rFonts w:hint="default" w:ascii="宋体" w:hAnsi="宋体" w:cs="Times New Roman"/>
          <w:sz w:val="24"/>
          <w:u w:val="single"/>
          <w:lang w:val="en-US" w:eastAsia="zh-CN"/>
        </w:rPr>
        <w:t>在履约过程中发生违约行为，给</w:t>
      </w:r>
      <w:r>
        <w:rPr>
          <w:rFonts w:hint="eastAsia" w:ascii="宋体" w:hAnsi="宋体" w:cs="Times New Roman"/>
          <w:sz w:val="24"/>
          <w:u w:val="single"/>
          <w:lang w:val="en-US" w:eastAsia="zh-CN"/>
        </w:rPr>
        <w:t>买方</w:t>
      </w:r>
      <w:r>
        <w:rPr>
          <w:rFonts w:hint="default" w:ascii="宋体" w:hAnsi="宋体" w:cs="Times New Roman"/>
          <w:sz w:val="24"/>
          <w:u w:val="single"/>
          <w:lang w:val="en-US" w:eastAsia="zh-CN"/>
        </w:rPr>
        <w:t>造成损失的，</w:t>
      </w:r>
      <w:r>
        <w:rPr>
          <w:rFonts w:hint="eastAsia" w:ascii="宋体" w:hAnsi="宋体" w:cs="Times New Roman"/>
          <w:sz w:val="24"/>
          <w:u w:val="single"/>
          <w:lang w:val="en-US" w:eastAsia="zh-CN"/>
        </w:rPr>
        <w:t>买方</w:t>
      </w:r>
      <w:r>
        <w:rPr>
          <w:rFonts w:hint="default" w:ascii="宋体" w:hAnsi="宋体" w:cs="Times New Roman"/>
          <w:sz w:val="24"/>
          <w:u w:val="single"/>
          <w:lang w:val="en-US" w:eastAsia="zh-CN"/>
        </w:rPr>
        <w:t>有权在</w:t>
      </w:r>
      <w:r>
        <w:rPr>
          <w:rFonts w:hint="eastAsia" w:ascii="宋体" w:hAnsi="宋体" w:cs="Times New Roman"/>
          <w:sz w:val="24"/>
          <w:u w:val="single"/>
          <w:lang w:val="en-US" w:eastAsia="zh-CN"/>
        </w:rPr>
        <w:t>卖方合同款</w:t>
      </w:r>
      <w:r>
        <w:rPr>
          <w:rFonts w:hint="default" w:ascii="宋体" w:hAnsi="宋体" w:cs="Times New Roman"/>
          <w:sz w:val="24"/>
          <w:u w:val="single"/>
          <w:lang w:val="en-US" w:eastAsia="zh-CN"/>
        </w:rPr>
        <w:t>中予以扣款，以弥补</w:t>
      </w:r>
      <w:r>
        <w:rPr>
          <w:rFonts w:hint="eastAsia" w:ascii="宋体" w:hAnsi="宋体" w:cs="Times New Roman"/>
          <w:sz w:val="24"/>
          <w:u w:val="single"/>
          <w:lang w:val="en-US" w:eastAsia="zh-CN"/>
        </w:rPr>
        <w:t>买方</w:t>
      </w:r>
      <w:r>
        <w:rPr>
          <w:rFonts w:hint="default" w:ascii="宋体" w:hAnsi="宋体" w:cs="Times New Roman"/>
          <w:sz w:val="24"/>
          <w:u w:val="single"/>
          <w:lang w:val="en-US" w:eastAsia="zh-CN"/>
        </w:rPr>
        <w:t>经济损失，不足的部分</w:t>
      </w:r>
      <w:r>
        <w:rPr>
          <w:rFonts w:hint="eastAsia" w:ascii="宋体" w:hAnsi="宋体" w:cs="Times New Roman"/>
          <w:sz w:val="24"/>
          <w:u w:val="single"/>
          <w:lang w:val="en-US" w:eastAsia="zh-CN"/>
        </w:rPr>
        <w:t>卖方</w:t>
      </w:r>
      <w:r>
        <w:rPr>
          <w:rFonts w:hint="default" w:ascii="宋体" w:hAnsi="宋体" w:cs="Times New Roman"/>
          <w:sz w:val="24"/>
          <w:u w:val="single"/>
          <w:lang w:val="en-US" w:eastAsia="zh-CN"/>
        </w:rPr>
        <w:t>另外补齐。</w:t>
      </w:r>
    </w:p>
    <w:p>
      <w:pPr>
        <w:autoSpaceDE/>
        <w:autoSpaceDN/>
        <w:spacing w:line="460" w:lineRule="exact"/>
        <w:jc w:val="center"/>
        <w:rPr>
          <w:rFonts w:ascii="SimSun,Bold" w:hAnsi="Times New Roman" w:eastAsia="SimSun,Bold" w:cs="SimSun,Bold"/>
          <w:b/>
          <w:bCs/>
          <w:sz w:val="28"/>
          <w:szCs w:val="28"/>
          <w:lang w:val="en-US" w:bidi="ar-SA"/>
        </w:rPr>
      </w:pPr>
      <w:r>
        <w:rPr>
          <w:rFonts w:hint="eastAsia" w:ascii="SimSun,Bold" w:hAnsi="Times New Roman" w:eastAsia="SimSun,Bold" w:cs="SimSun,Bold"/>
          <w:b/>
          <w:bCs/>
          <w:sz w:val="28"/>
          <w:szCs w:val="28"/>
          <w:lang w:val="en-US" w:bidi="ar-SA"/>
        </w:rPr>
        <w:t>第三节</w:t>
      </w:r>
      <w:r>
        <w:rPr>
          <w:rFonts w:ascii="SimSun,Bold" w:hAnsi="Times New Roman" w:eastAsia="SimSun,Bold" w:cs="SimSun,Bold"/>
          <w:b/>
          <w:bCs/>
          <w:sz w:val="28"/>
          <w:szCs w:val="28"/>
          <w:lang w:val="en-US" w:bidi="ar-SA"/>
        </w:rPr>
        <w:t xml:space="preserve"> </w:t>
      </w:r>
      <w:r>
        <w:rPr>
          <w:rFonts w:hint="eastAsia" w:ascii="SimSun,Bold" w:hAnsi="Times New Roman" w:eastAsia="SimSun,Bold" w:cs="SimSun,Bold"/>
          <w:b/>
          <w:bCs/>
          <w:sz w:val="28"/>
          <w:szCs w:val="28"/>
          <w:lang w:val="en-US" w:bidi="ar-SA"/>
        </w:rPr>
        <w:t>合同附件</w:t>
      </w:r>
    </w:p>
    <w:p>
      <w:pPr>
        <w:spacing w:line="300" w:lineRule="auto"/>
        <w:rPr>
          <w:rFonts w:hint="eastAsia" w:ascii="黑体" w:eastAsia="黑体"/>
          <w:b/>
          <w:color w:val="000000"/>
          <w:sz w:val="24"/>
          <w:lang w:val="en-US"/>
        </w:rPr>
      </w:pPr>
      <w:r>
        <w:rPr>
          <w:rFonts w:hint="eastAsia" w:ascii="黑体" w:eastAsia="黑体"/>
          <w:b/>
          <w:color w:val="000000"/>
          <w:sz w:val="24"/>
          <w:lang w:val="en-US"/>
        </w:rPr>
        <w:t>附件一</w:t>
      </w:r>
      <w:r>
        <w:rPr>
          <w:rFonts w:hint="eastAsia" w:ascii="黑体" w:eastAsia="黑体"/>
          <w:b/>
          <w:color w:val="000000"/>
          <w:sz w:val="24"/>
          <w:lang w:val="en-US" w:eastAsia="zh-CN"/>
        </w:rPr>
        <w:t xml:space="preserve"> </w:t>
      </w:r>
      <w:r>
        <w:rPr>
          <w:rFonts w:hint="eastAsia" w:ascii="黑体" w:eastAsia="黑体"/>
          <w:b/>
          <w:color w:val="000000"/>
          <w:sz w:val="24"/>
          <w:lang w:val="en-US"/>
        </w:rPr>
        <w:t xml:space="preserve"> 合同协议书</w:t>
      </w:r>
    </w:p>
    <w:p>
      <w:pPr>
        <w:autoSpaceDE/>
        <w:autoSpaceDN/>
        <w:spacing w:line="460" w:lineRule="exact"/>
        <w:jc w:val="center"/>
        <w:rPr>
          <w:rFonts w:hint="eastAsia" w:ascii="SimSun,Bold" w:hAnsi="Times New Roman" w:eastAsia="SimSun,Bold" w:cs="SimSun,Bold"/>
          <w:b/>
          <w:bCs/>
          <w:sz w:val="28"/>
          <w:szCs w:val="28"/>
          <w:lang w:val="en-US" w:bidi="ar-SA"/>
        </w:rPr>
      </w:pPr>
      <w:r>
        <w:rPr>
          <w:rFonts w:hint="eastAsia" w:ascii="SimSun,Bold" w:hAnsi="Times New Roman" w:eastAsia="SimSun,Bold" w:cs="SimSun,Bold"/>
          <w:b/>
          <w:bCs/>
          <w:sz w:val="28"/>
          <w:szCs w:val="28"/>
          <w:lang w:val="en-US" w:bidi="ar-SA"/>
        </w:rPr>
        <w:t>合同协议书</w:t>
      </w:r>
      <w:bookmarkEnd w:id="2"/>
      <w:bookmarkEnd w:id="3"/>
    </w:p>
    <w:p>
      <w:pPr>
        <w:spacing w:line="440" w:lineRule="exact"/>
        <w:ind w:firstLine="480" w:firstLineChars="200"/>
        <w:rPr>
          <w:rFonts w:hint="eastAsia" w:ascii="宋体" w:hAnsi="宋体" w:eastAsia="宋体" w:cs="宋体"/>
          <w:bCs/>
          <w:sz w:val="24"/>
          <w:u w:val="single"/>
        </w:rPr>
      </w:pPr>
      <w:r>
        <w:rPr>
          <w:rFonts w:hint="eastAsia" w:ascii="宋体" w:hAnsi="宋体" w:cs="宋体"/>
          <w:sz w:val="24"/>
          <w:u w:val="single"/>
          <w:lang w:val="en-US" w:eastAsia="zh-CN"/>
        </w:rPr>
        <w:t>江苏吕四港集团有限公司，</w:t>
      </w:r>
      <w:r>
        <w:rPr>
          <w:rFonts w:hint="eastAsia" w:ascii="宋体" w:hAnsi="宋体" w:cs="宋体"/>
          <w:sz w:val="24"/>
          <w:u w:val="none"/>
          <w:lang w:val="en-US" w:eastAsia="zh-CN"/>
        </w:rPr>
        <w:t>（以下简称“买方”）为实施</w:t>
      </w:r>
      <w:r>
        <w:rPr>
          <w:rFonts w:hint="eastAsia" w:ascii="宋体" w:hAnsi="宋体" w:cs="宋体"/>
          <w:sz w:val="24"/>
          <w:u w:val="single"/>
          <w:lang w:val="en-US" w:eastAsia="zh-CN"/>
        </w:rPr>
        <w:t>南通港吕四港区吕四作业区西港池港口支持系统工程岸电采购项目</w:t>
      </w:r>
      <w:r>
        <w:rPr>
          <w:rFonts w:hint="eastAsia" w:ascii="宋体" w:hAnsi="宋体" w:cs="宋体"/>
          <w:sz w:val="24"/>
          <w:u w:val="none"/>
          <w:lang w:val="en-US" w:eastAsia="zh-CN"/>
        </w:rPr>
        <w:t>（项目名称），已接受</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，（以下简称“卖方”）对该项目货物采购的投标。买方和卖方共同达成如下协议</w:t>
      </w:r>
      <w:r>
        <w:rPr>
          <w:rFonts w:hint="eastAsia" w:ascii="宋体" w:hAnsi="宋体" w:eastAsia="宋体" w:cs="宋体"/>
          <w:sz w:val="24"/>
        </w:rPr>
        <w:t>。</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1、下列文件应视为构成合同文件的组成部分</w:t>
      </w:r>
    </w:p>
    <w:p>
      <w:pPr>
        <w:spacing w:line="440" w:lineRule="exact"/>
        <w:ind w:firstLine="488" w:firstLineChars="200"/>
        <w:rPr>
          <w:rFonts w:hint="eastAsia" w:ascii="宋体" w:hAnsi="宋体" w:eastAsia="宋体" w:cs="宋体"/>
          <w:spacing w:val="2"/>
          <w:sz w:val="24"/>
        </w:rPr>
      </w:pPr>
      <w:r>
        <w:rPr>
          <w:rFonts w:hint="eastAsia" w:ascii="宋体" w:hAnsi="宋体" w:eastAsia="宋体" w:cs="宋体"/>
          <w:spacing w:val="2"/>
          <w:sz w:val="24"/>
        </w:rPr>
        <w:t>（1）本协议书及各种合同附件（含评标期间和合同谈判过程中的澄清文件和补充资料）；</w:t>
      </w:r>
    </w:p>
    <w:p>
      <w:pPr>
        <w:spacing w:line="440" w:lineRule="exact"/>
        <w:ind w:firstLine="488" w:firstLineChars="200"/>
        <w:rPr>
          <w:rFonts w:hint="eastAsia" w:ascii="宋体" w:hAnsi="宋体" w:eastAsia="宋体" w:cs="宋体"/>
          <w:spacing w:val="2"/>
          <w:sz w:val="24"/>
        </w:rPr>
      </w:pPr>
      <w:r>
        <w:rPr>
          <w:rFonts w:hint="eastAsia" w:ascii="宋体" w:hAnsi="宋体" w:eastAsia="宋体" w:cs="宋体"/>
          <w:spacing w:val="2"/>
          <w:sz w:val="24"/>
        </w:rPr>
        <w:t>（2）中标通知书；</w:t>
      </w:r>
    </w:p>
    <w:p>
      <w:pPr>
        <w:spacing w:line="440" w:lineRule="exact"/>
        <w:ind w:firstLine="488" w:firstLineChars="200"/>
        <w:rPr>
          <w:rFonts w:hint="eastAsia" w:ascii="宋体" w:hAnsi="宋体" w:eastAsia="宋体" w:cs="宋体"/>
          <w:spacing w:val="2"/>
          <w:sz w:val="24"/>
        </w:rPr>
      </w:pPr>
      <w:r>
        <w:rPr>
          <w:rFonts w:hint="eastAsia" w:ascii="宋体" w:hAnsi="宋体" w:eastAsia="宋体" w:cs="宋体"/>
          <w:spacing w:val="2"/>
          <w:sz w:val="24"/>
        </w:rPr>
        <w:t>（3）投标函及投标函附录；</w:t>
      </w:r>
    </w:p>
    <w:p>
      <w:pPr>
        <w:spacing w:line="440" w:lineRule="exact"/>
        <w:ind w:firstLine="488" w:firstLineChars="200"/>
        <w:rPr>
          <w:rFonts w:hint="eastAsia" w:ascii="宋体" w:hAnsi="宋体" w:eastAsia="宋体" w:cs="宋体"/>
          <w:spacing w:val="2"/>
          <w:sz w:val="24"/>
        </w:rPr>
      </w:pPr>
      <w:r>
        <w:rPr>
          <w:rFonts w:hint="eastAsia" w:ascii="宋体" w:hAnsi="宋体" w:eastAsia="宋体" w:cs="宋体"/>
          <w:spacing w:val="2"/>
          <w:sz w:val="24"/>
        </w:rPr>
        <w:t>（4）专用合同条款；</w:t>
      </w:r>
    </w:p>
    <w:p>
      <w:pPr>
        <w:spacing w:line="440" w:lineRule="exact"/>
        <w:ind w:firstLine="488" w:firstLineChars="200"/>
        <w:rPr>
          <w:rFonts w:hint="eastAsia" w:ascii="宋体" w:hAnsi="宋体" w:eastAsia="宋体" w:cs="宋体"/>
          <w:spacing w:val="2"/>
          <w:sz w:val="24"/>
        </w:rPr>
      </w:pPr>
      <w:r>
        <w:rPr>
          <w:rFonts w:hint="eastAsia" w:ascii="宋体" w:hAnsi="宋体" w:eastAsia="宋体" w:cs="宋体"/>
          <w:spacing w:val="2"/>
          <w:sz w:val="24"/>
        </w:rPr>
        <w:t>（5）通用合同条款；</w:t>
      </w:r>
    </w:p>
    <w:p>
      <w:pPr>
        <w:spacing w:line="440" w:lineRule="exact"/>
        <w:ind w:firstLine="488" w:firstLineChars="200"/>
        <w:rPr>
          <w:rFonts w:hint="eastAsia" w:ascii="宋体" w:hAnsi="宋体" w:eastAsia="宋体" w:cs="宋体"/>
          <w:spacing w:val="2"/>
          <w:sz w:val="24"/>
        </w:rPr>
      </w:pPr>
      <w:r>
        <w:rPr>
          <w:rFonts w:hint="eastAsia" w:ascii="宋体" w:hAnsi="宋体" w:eastAsia="宋体" w:cs="宋体"/>
          <w:spacing w:val="2"/>
          <w:sz w:val="24"/>
        </w:rPr>
        <w:t>（6）技术标准和规范；</w:t>
      </w:r>
    </w:p>
    <w:p>
      <w:pPr>
        <w:spacing w:line="440" w:lineRule="exact"/>
        <w:ind w:firstLine="488" w:firstLineChars="200"/>
        <w:rPr>
          <w:rFonts w:hint="eastAsia" w:ascii="宋体" w:hAnsi="宋体" w:eastAsia="宋体" w:cs="宋体"/>
          <w:spacing w:val="2"/>
          <w:sz w:val="24"/>
        </w:rPr>
      </w:pPr>
      <w:r>
        <w:rPr>
          <w:rFonts w:hint="eastAsia" w:ascii="宋体" w:hAnsi="宋体" w:eastAsia="宋体" w:cs="宋体"/>
          <w:spacing w:val="2"/>
          <w:sz w:val="24"/>
        </w:rPr>
        <w:t>（</w:t>
      </w:r>
      <w:r>
        <w:rPr>
          <w:rFonts w:hint="eastAsia" w:ascii="宋体" w:hAnsi="宋体" w:cs="宋体"/>
          <w:spacing w:val="2"/>
          <w:sz w:val="24"/>
          <w:lang w:val="en-US" w:eastAsia="zh-CN"/>
        </w:rPr>
        <w:t>7</w:t>
      </w:r>
      <w:r>
        <w:rPr>
          <w:rFonts w:hint="eastAsia" w:ascii="宋体" w:hAnsi="宋体" w:eastAsia="宋体" w:cs="宋体"/>
          <w:spacing w:val="2"/>
          <w:sz w:val="24"/>
        </w:rPr>
        <w:t>）已标价报价单；</w:t>
      </w:r>
    </w:p>
    <w:p>
      <w:pPr>
        <w:spacing w:line="440" w:lineRule="exact"/>
        <w:ind w:firstLine="488" w:firstLineChars="200"/>
        <w:rPr>
          <w:rFonts w:hint="eastAsia" w:ascii="宋体" w:hAnsi="宋体" w:eastAsia="宋体" w:cs="宋体"/>
          <w:spacing w:val="2"/>
          <w:sz w:val="24"/>
        </w:rPr>
      </w:pPr>
      <w:r>
        <w:rPr>
          <w:rFonts w:hint="eastAsia" w:ascii="宋体" w:hAnsi="宋体" w:eastAsia="宋体" w:cs="宋体"/>
          <w:spacing w:val="2"/>
          <w:sz w:val="24"/>
        </w:rPr>
        <w:t>（</w:t>
      </w:r>
      <w:r>
        <w:rPr>
          <w:rFonts w:hint="eastAsia" w:ascii="宋体" w:hAnsi="宋体" w:cs="宋体"/>
          <w:spacing w:val="2"/>
          <w:sz w:val="24"/>
          <w:lang w:val="en-US" w:eastAsia="zh-CN"/>
        </w:rPr>
        <w:t>8</w:t>
      </w:r>
      <w:r>
        <w:rPr>
          <w:rFonts w:hint="eastAsia" w:ascii="宋体" w:hAnsi="宋体" w:eastAsia="宋体" w:cs="宋体"/>
          <w:spacing w:val="2"/>
          <w:sz w:val="24"/>
        </w:rPr>
        <w:t>）招标文件；</w:t>
      </w:r>
    </w:p>
    <w:p>
      <w:pPr>
        <w:spacing w:line="440" w:lineRule="exact"/>
        <w:ind w:firstLine="488" w:firstLineChars="200"/>
        <w:rPr>
          <w:rFonts w:hint="eastAsia" w:ascii="宋体" w:hAnsi="宋体" w:eastAsia="宋体" w:cs="宋体"/>
          <w:spacing w:val="2"/>
          <w:sz w:val="24"/>
        </w:rPr>
      </w:pPr>
      <w:r>
        <w:rPr>
          <w:rFonts w:hint="eastAsia" w:ascii="宋体" w:hAnsi="宋体" w:eastAsia="宋体" w:cs="宋体"/>
          <w:spacing w:val="2"/>
          <w:sz w:val="24"/>
        </w:rPr>
        <w:t>（</w:t>
      </w:r>
      <w:r>
        <w:rPr>
          <w:rFonts w:hint="eastAsia" w:ascii="宋体" w:hAnsi="宋体" w:cs="宋体"/>
          <w:spacing w:val="2"/>
          <w:sz w:val="24"/>
          <w:lang w:val="en-US" w:eastAsia="zh-CN"/>
        </w:rPr>
        <w:t>9</w:t>
      </w:r>
      <w:r>
        <w:rPr>
          <w:rFonts w:hint="eastAsia" w:ascii="宋体" w:hAnsi="宋体" w:eastAsia="宋体" w:cs="宋体"/>
          <w:spacing w:val="2"/>
          <w:sz w:val="24"/>
        </w:rPr>
        <w:t>）其他合同文件。</w:t>
      </w:r>
    </w:p>
    <w:p>
      <w:pPr>
        <w:spacing w:line="440" w:lineRule="exact"/>
        <w:ind w:firstLine="488" w:firstLineChars="200"/>
        <w:rPr>
          <w:rFonts w:hint="eastAsia" w:ascii="宋体" w:hAnsi="宋体" w:eastAsia="宋体" w:cs="宋体"/>
          <w:sz w:val="24"/>
        </w:rPr>
      </w:pPr>
      <w:r>
        <w:rPr>
          <w:rFonts w:hint="eastAsia" w:ascii="宋体" w:hAnsi="宋体" w:eastAsia="宋体" w:cs="宋体"/>
          <w:spacing w:val="2"/>
          <w:sz w:val="24"/>
        </w:rPr>
        <w:t>上述文件互相补充和解释，如有不明确或不一致之处，以合同约定次序在先者为准</w:t>
      </w:r>
      <w:r>
        <w:rPr>
          <w:rFonts w:hint="eastAsia" w:ascii="宋体" w:hAnsi="宋体" w:eastAsia="宋体" w:cs="宋体"/>
          <w:sz w:val="24"/>
        </w:rPr>
        <w:t>。</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、供应的货物品种、数量、单价</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卖方将按“报价单”的要求和招标文件的规定提供货物，所提供货物的品种</w:t>
      </w:r>
      <w:r>
        <w:rPr>
          <w:rFonts w:hint="eastAsia" w:ascii="宋体" w:hAnsi="宋体" w:cs="宋体"/>
          <w:sz w:val="24"/>
          <w:lang w:eastAsia="zh-CN"/>
        </w:rPr>
        <w:t>、</w:t>
      </w:r>
      <w:r>
        <w:rPr>
          <w:rFonts w:hint="eastAsia" w:ascii="宋体" w:hAnsi="宋体" w:eastAsia="宋体" w:cs="宋体"/>
          <w:sz w:val="24"/>
        </w:rPr>
        <w:t>综合单价</w:t>
      </w:r>
      <w:r>
        <w:rPr>
          <w:rFonts w:hint="eastAsia" w:ascii="宋体" w:hAnsi="宋体" w:cs="宋体"/>
          <w:sz w:val="24"/>
          <w:lang w:eastAsia="zh-CN"/>
        </w:rPr>
        <w:t>、</w:t>
      </w:r>
      <w:r>
        <w:rPr>
          <w:rFonts w:hint="eastAsia" w:ascii="宋体" w:hAnsi="宋体" w:eastAsia="宋体" w:cs="宋体"/>
          <w:sz w:val="24"/>
        </w:rPr>
        <w:t>供货数量以</w:t>
      </w:r>
      <w:r>
        <w:rPr>
          <w:rFonts w:hint="eastAsia" w:ascii="宋体" w:hAnsi="宋体" w:cs="宋体"/>
          <w:sz w:val="24"/>
          <w:lang w:val="en-US" w:eastAsia="zh-CN"/>
        </w:rPr>
        <w:t>投标文件</w:t>
      </w:r>
      <w:r>
        <w:rPr>
          <w:rFonts w:hint="eastAsia" w:ascii="宋体" w:hAnsi="宋体" w:eastAsia="宋体" w:cs="宋体"/>
          <w:sz w:val="24"/>
        </w:rPr>
        <w:t>“报价单”为准。</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3、供货期：</w:t>
      </w:r>
      <w:r>
        <w:rPr>
          <w:rFonts w:hint="eastAsia" w:ascii="宋体" w:hAnsi="宋体" w:eastAsia="宋体" w:cs="宋体"/>
          <w:sz w:val="24"/>
          <w:u w:val="single"/>
          <w:lang w:val="en-US" w:eastAsia="zh-CN"/>
        </w:rPr>
        <w:t>合同签订且接采购单位通知后35日内交货</w:t>
      </w:r>
      <w:r>
        <w:rPr>
          <w:rFonts w:hint="eastAsia" w:ascii="宋体" w:hAnsi="宋体" w:eastAsia="宋体" w:cs="宋体"/>
          <w:sz w:val="24"/>
        </w:rPr>
        <w:t>。</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4、交货、安装地点：成交供应商应按照采购人的要求，在指定的位置交货、安装牢固，确保正常使用。</w:t>
      </w:r>
    </w:p>
    <w:p>
      <w:pPr>
        <w:spacing w:line="44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5、质量要求：合格。产品必须是全新、未使用过的原装合格正品，完全符合采购文件规定的质量、规格和性能的要求，达到国家或行业规定的标准</w:t>
      </w:r>
      <w:r>
        <w:rPr>
          <w:rFonts w:hint="eastAsia" w:ascii="宋体" w:hAnsi="宋体" w:cs="宋体"/>
          <w:sz w:val="24"/>
          <w:lang w:eastAsia="zh-CN"/>
        </w:rPr>
        <w:t>。</w:t>
      </w:r>
    </w:p>
    <w:p>
      <w:pPr>
        <w:spacing w:line="440" w:lineRule="exact"/>
        <w:ind w:firstLine="480" w:firstLineChars="200"/>
        <w:rPr>
          <w:rFonts w:hint="eastAsia" w:ascii="宋体" w:hAnsi="宋体" w:eastAsia="宋体" w:cs="宋体"/>
          <w:sz w:val="24"/>
          <w:lang w:eastAsia="zh-CN"/>
        </w:rPr>
      </w:pPr>
      <w:r>
        <w:rPr>
          <w:rFonts w:hint="eastAsia" w:ascii="宋体" w:hAnsi="宋体" w:cs="宋体"/>
          <w:sz w:val="24"/>
          <w:lang w:eastAsia="zh-CN"/>
        </w:rPr>
        <w:t>质保期：自验收合格之日算起2年。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、合同金额: 人民币（大写）</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lang w:val="en-US" w:eastAsia="zh-CN"/>
        </w:rPr>
        <w:t>元</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合同采用固定总价的合同方式。投标报价应包含本项目委托采购任务所需的一切费用，包括货物包装、运输、安装、检测、调试、保险、验收、售后服务与维保、维保期内的备品备件及相关劳务支出等工作所发生的全部费用以及投标人企业利润、税金和政策性文件规定及合同包含的所有风险、责任等一切费用。供应商报价时应充分考虑现场环境以及国家政策性调整等风险因素，在合同实施期间，合同价不随国家政策或法规、标准及市场因素的变化而进行调整，也不因实际服务周期的延长或缩短而调整。</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7、本协议书在卖方</w:t>
      </w:r>
      <w:r>
        <w:rPr>
          <w:rFonts w:hint="eastAsia" w:ascii="宋体" w:hAnsi="宋体" w:cs="宋体"/>
          <w:sz w:val="24"/>
          <w:lang w:val="en-US" w:eastAsia="zh-CN"/>
        </w:rPr>
        <w:t>交纳履约保证金</w:t>
      </w:r>
      <w:r>
        <w:rPr>
          <w:rFonts w:hint="eastAsia" w:ascii="宋体" w:hAnsi="宋体" w:eastAsia="宋体" w:cs="宋体"/>
          <w:sz w:val="24"/>
          <w:lang w:val="en-US" w:eastAsia="zh-CN"/>
        </w:rPr>
        <w:t>后，由双方法定代表人或其委托代理人签署并加盖单位章后生效。全部货物交付验收合格、质保期满后失效。</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8、本协议书一式</w:t>
      </w:r>
      <w:r>
        <w:rPr>
          <w:rFonts w:hint="eastAsia" w:ascii="宋体" w:hAnsi="宋体" w:cs="宋体"/>
          <w:sz w:val="24"/>
          <w:lang w:val="en-US" w:eastAsia="zh-CN"/>
        </w:rPr>
        <w:t>陆</w:t>
      </w:r>
      <w:r>
        <w:rPr>
          <w:rFonts w:hint="eastAsia" w:ascii="宋体" w:hAnsi="宋体" w:eastAsia="宋体" w:cs="宋体"/>
          <w:sz w:val="24"/>
          <w:lang w:val="en-US" w:eastAsia="zh-CN"/>
        </w:rPr>
        <w:t>份，正本贰份，副本</w:t>
      </w:r>
      <w:r>
        <w:rPr>
          <w:rFonts w:hint="eastAsia" w:ascii="宋体" w:hAnsi="宋体" w:cs="宋体"/>
          <w:sz w:val="24"/>
          <w:lang w:val="en-US" w:eastAsia="zh-CN"/>
        </w:rPr>
        <w:t>肆</w:t>
      </w:r>
      <w:r>
        <w:rPr>
          <w:rFonts w:hint="eastAsia" w:ascii="宋体" w:hAnsi="宋体" w:eastAsia="宋体" w:cs="宋体"/>
          <w:sz w:val="24"/>
          <w:lang w:val="en-US" w:eastAsia="zh-CN"/>
        </w:rPr>
        <w:t>份，合同双方各执</w:t>
      </w:r>
      <w:r>
        <w:rPr>
          <w:rFonts w:hint="eastAsia" w:ascii="宋体" w:hAnsi="宋体" w:cs="宋体"/>
          <w:sz w:val="24"/>
          <w:lang w:val="en-US" w:eastAsia="zh-CN"/>
        </w:rPr>
        <w:t>叁</w:t>
      </w:r>
      <w:r>
        <w:rPr>
          <w:rFonts w:hint="eastAsia" w:ascii="宋体" w:hAnsi="宋体" w:eastAsia="宋体" w:cs="宋体"/>
          <w:sz w:val="24"/>
          <w:lang w:val="en-US" w:eastAsia="zh-CN"/>
        </w:rPr>
        <w:t>份，当正本与副本的内容不一致时，以正本为准。</w:t>
      </w:r>
    </w:p>
    <w:p>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9、</w:t>
      </w:r>
      <w:r>
        <w:rPr>
          <w:rFonts w:hint="eastAsia" w:ascii="宋体" w:hAnsi="宋体" w:eastAsia="宋体" w:cs="宋体"/>
          <w:sz w:val="24"/>
          <w:lang w:eastAsia="zh-CN"/>
        </w:rPr>
        <w:t>合同未尽事宜，双方另行签订补充协议。补充协议是合同的组成部分</w:t>
      </w:r>
      <w:r>
        <w:rPr>
          <w:rFonts w:hint="eastAsia" w:ascii="宋体" w:hAnsi="宋体" w:eastAsia="宋体" w:cs="宋体"/>
          <w:sz w:val="24"/>
        </w:rPr>
        <w:t>。</w:t>
      </w:r>
    </w:p>
    <w:p>
      <w:pPr>
        <w:spacing w:line="440" w:lineRule="exact"/>
        <w:ind w:firstLine="480" w:firstLineChars="200"/>
        <w:rPr>
          <w:rFonts w:hint="eastAsia" w:ascii="宋体" w:hAnsi="宋体" w:eastAsia="宋体" w:cs="宋体"/>
          <w:sz w:val="24"/>
          <w:lang w:eastAsia="zh-CN"/>
        </w:rPr>
      </w:pPr>
    </w:p>
    <w:p>
      <w:pPr>
        <w:spacing w:line="440" w:lineRule="exact"/>
        <w:ind w:firstLine="480" w:firstLineChars="200"/>
        <w:rPr>
          <w:rFonts w:hint="eastAsia" w:ascii="宋体" w:hAnsi="宋体" w:eastAsia="宋体" w:cs="宋体"/>
          <w:sz w:val="24"/>
          <w:lang w:eastAsia="zh-CN"/>
        </w:rPr>
      </w:pPr>
    </w:p>
    <w:p>
      <w:pPr>
        <w:spacing w:line="440" w:lineRule="exact"/>
        <w:ind w:firstLine="480" w:firstLineChars="200"/>
        <w:rPr>
          <w:rFonts w:hint="eastAsia" w:ascii="宋体" w:hAnsi="宋体" w:eastAsia="宋体" w:cs="宋体"/>
          <w:sz w:val="24"/>
          <w:lang w:eastAsia="zh-CN"/>
        </w:rPr>
        <w:sectPr>
          <w:pgSz w:w="11906" w:h="16838"/>
          <w:pgMar w:top="1440" w:right="1800" w:bottom="1440" w:left="1800" w:header="851" w:footer="992" w:gutter="0"/>
          <w:pgNumType w:fmt="numberInDash"/>
          <w:cols w:space="425" w:num="1"/>
          <w:docGrid w:type="lines" w:linePitch="312" w:charSpace="0"/>
        </w:sectPr>
      </w:pPr>
    </w:p>
    <w:p>
      <w:pPr>
        <w:pStyle w:val="9"/>
        <w:rPr>
          <w:rFonts w:hint="eastAsia"/>
          <w:b/>
          <w:bCs/>
          <w:lang w:eastAsia="zh-CN"/>
        </w:rPr>
      </w:pPr>
      <w:r>
        <w:rPr>
          <w:rFonts w:hint="eastAsia"/>
          <w:b/>
          <w:bCs/>
          <w:lang w:eastAsia="zh-CN"/>
        </w:rPr>
        <w:t>（</w:t>
      </w:r>
      <w:r>
        <w:rPr>
          <w:rFonts w:hint="eastAsia"/>
          <w:b/>
          <w:bCs/>
          <w:lang w:val="en-US" w:eastAsia="zh-CN"/>
        </w:rPr>
        <w:t>以下无正文</w:t>
      </w:r>
      <w:r>
        <w:rPr>
          <w:rFonts w:hint="eastAsia"/>
          <w:b/>
          <w:bCs/>
          <w:lang w:eastAsia="zh-CN"/>
        </w:rPr>
        <w:t>）</w:t>
      </w:r>
    </w:p>
    <w:p>
      <w:pPr>
        <w:rPr>
          <w:rFonts w:hint="eastAsia"/>
          <w:lang w:eastAsia="zh-CN"/>
        </w:rPr>
      </w:pPr>
    </w:p>
    <w:p>
      <w:pPr>
        <w:pStyle w:val="9"/>
        <w:rPr>
          <w:rFonts w:hint="eastAsia"/>
          <w:lang w:eastAsia="zh-CN"/>
        </w:rPr>
      </w:pPr>
    </w:p>
    <w:p>
      <w:pPr>
        <w:rPr>
          <w:rFonts w:hint="eastAsia"/>
          <w:lang w:eastAsia="zh-CN"/>
        </w:rPr>
      </w:pPr>
    </w:p>
    <w:p>
      <w:pPr>
        <w:spacing w:line="440" w:lineRule="exact"/>
        <w:ind w:left="735" w:leftChars="350"/>
        <w:jc w:val="left"/>
        <w:rPr>
          <w:rFonts w:hint="eastAsia" w:ascii="宋体" w:hAnsi="宋体" w:eastAsia="宋体" w:cs="宋体"/>
          <w:sz w:val="24"/>
        </w:rPr>
      </w:pPr>
      <w:r>
        <w:rPr>
          <w:rFonts w:hint="eastAsia" w:ascii="宋体" w:hAnsi="宋体" w:eastAsia="宋体" w:cs="宋体"/>
          <w:sz w:val="24"/>
        </w:rPr>
        <w:t xml:space="preserve">甲方（盖章）：                 </w:t>
      </w:r>
      <w:r>
        <w:rPr>
          <w:rFonts w:hint="eastAsia" w:ascii="宋体" w:hAnsi="宋体" w:cs="宋体"/>
          <w:sz w:val="24"/>
          <w:lang w:val="en-US" w:eastAsia="zh-CN"/>
        </w:rPr>
        <w:t xml:space="preserve"> </w:t>
      </w:r>
      <w:r>
        <w:rPr>
          <w:rFonts w:hint="eastAsia" w:ascii="宋体" w:hAnsi="宋体" w:eastAsia="宋体" w:cs="宋体"/>
          <w:sz w:val="24"/>
        </w:rPr>
        <w:t>乙方（盖章）：</w:t>
      </w:r>
    </w:p>
    <w:p>
      <w:pPr>
        <w:spacing w:line="440" w:lineRule="exact"/>
        <w:ind w:left="735" w:leftChars="350"/>
        <w:jc w:val="left"/>
        <w:rPr>
          <w:rFonts w:hint="eastAsia" w:ascii="宋体" w:hAnsi="宋体" w:eastAsia="宋体" w:cs="宋体"/>
          <w:sz w:val="24"/>
        </w:rPr>
      </w:pPr>
      <w:r>
        <w:rPr>
          <w:rFonts w:hint="eastAsia" w:ascii="宋体" w:hAnsi="宋体" w:eastAsia="宋体" w:cs="宋体"/>
          <w:sz w:val="24"/>
        </w:rPr>
        <w:t xml:space="preserve">法定代表人                   </w:t>
      </w:r>
      <w:r>
        <w:rPr>
          <w:rFonts w:hint="eastAsia" w:ascii="宋体" w:hAnsi="宋体" w:cs="宋体"/>
          <w:sz w:val="24"/>
          <w:lang w:val="en-US" w:eastAsia="zh-CN"/>
        </w:rPr>
        <w:t xml:space="preserve">  </w:t>
      </w:r>
      <w:r>
        <w:rPr>
          <w:rFonts w:hint="eastAsia" w:ascii="宋体" w:hAnsi="宋体" w:eastAsia="宋体" w:cs="宋体"/>
          <w:sz w:val="24"/>
        </w:rPr>
        <w:t>法定代表人</w:t>
      </w:r>
    </w:p>
    <w:p>
      <w:pPr>
        <w:spacing w:line="440" w:lineRule="exact"/>
        <w:ind w:left="735" w:leftChars="350"/>
        <w:jc w:val="left"/>
        <w:rPr>
          <w:rFonts w:hint="eastAsia" w:ascii="宋体" w:hAnsi="宋体" w:eastAsia="宋体" w:cs="宋体"/>
          <w:sz w:val="24"/>
        </w:rPr>
      </w:pPr>
      <w:r>
        <w:rPr>
          <w:rFonts w:hint="eastAsia" w:ascii="宋体" w:hAnsi="宋体" w:cs="宋体"/>
          <w:sz w:val="24"/>
          <w:lang w:val="en-US" w:eastAsia="zh-CN"/>
        </w:rPr>
        <w:t>或</w:t>
      </w:r>
      <w:r>
        <w:rPr>
          <w:rFonts w:hint="eastAsia" w:ascii="宋体" w:hAnsi="宋体" w:eastAsia="宋体" w:cs="宋体"/>
          <w:sz w:val="24"/>
        </w:rPr>
        <w:t xml:space="preserve">委托代理人：                 </w:t>
      </w:r>
      <w:r>
        <w:rPr>
          <w:rFonts w:hint="eastAsia" w:ascii="宋体" w:hAnsi="宋体" w:cs="宋体"/>
          <w:sz w:val="24"/>
          <w:lang w:val="en-US" w:eastAsia="zh-CN"/>
        </w:rPr>
        <w:t>或</w:t>
      </w:r>
      <w:r>
        <w:rPr>
          <w:rFonts w:hint="eastAsia" w:ascii="宋体" w:hAnsi="宋体" w:eastAsia="宋体" w:cs="宋体"/>
          <w:sz w:val="24"/>
        </w:rPr>
        <w:t>委托代理人：</w:t>
      </w:r>
    </w:p>
    <w:p>
      <w:pPr>
        <w:spacing w:line="440" w:lineRule="exact"/>
        <w:ind w:left="735" w:leftChars="350"/>
        <w:jc w:val="left"/>
        <w:rPr>
          <w:rFonts w:hint="eastAsia" w:ascii="宋体" w:hAnsi="宋体" w:eastAsia="宋体" w:cs="宋体"/>
          <w:sz w:val="24"/>
        </w:rPr>
      </w:pPr>
      <w:r>
        <w:rPr>
          <w:rFonts w:hint="eastAsia" w:ascii="宋体" w:hAnsi="宋体" w:eastAsia="宋体" w:cs="宋体"/>
          <w:sz w:val="24"/>
        </w:rPr>
        <w:t>联系电话：                     联系电话：</w:t>
      </w:r>
    </w:p>
    <w:p>
      <w:pPr>
        <w:spacing w:line="440" w:lineRule="exact"/>
        <w:ind w:left="735" w:leftChars="350"/>
        <w:jc w:val="left"/>
        <w:rPr>
          <w:rFonts w:hint="eastAsia" w:ascii="宋体" w:hAnsi="宋体" w:eastAsia="宋体" w:cs="宋体"/>
          <w:sz w:val="24"/>
        </w:rPr>
      </w:pPr>
      <w:r>
        <w:rPr>
          <w:rFonts w:hint="eastAsia" w:ascii="宋体" w:hAnsi="宋体" w:eastAsia="宋体" w:cs="宋体"/>
          <w:sz w:val="24"/>
        </w:rPr>
        <w:t>开户银行：                     开户银行：</w:t>
      </w:r>
    </w:p>
    <w:p>
      <w:pPr>
        <w:spacing w:line="440" w:lineRule="exact"/>
        <w:ind w:left="735" w:leftChars="350"/>
        <w:jc w:val="left"/>
        <w:rPr>
          <w:rFonts w:hint="eastAsia" w:ascii="宋体" w:hAnsi="宋体" w:eastAsia="宋体" w:cs="宋体"/>
          <w:sz w:val="24"/>
        </w:rPr>
      </w:pPr>
      <w:r>
        <w:rPr>
          <w:rFonts w:hint="eastAsia" w:ascii="宋体" w:hAnsi="宋体" w:eastAsia="宋体" w:cs="宋体"/>
          <w:sz w:val="24"/>
        </w:rPr>
        <w:t>银行帐号：                     银行帐号：</w:t>
      </w:r>
    </w:p>
    <w:p>
      <w:pPr>
        <w:spacing w:line="440" w:lineRule="exact"/>
        <w:ind w:left="735" w:leftChars="350"/>
        <w:jc w:val="left"/>
        <w:rPr>
          <w:rFonts w:hint="eastAsia" w:ascii="宋体" w:hAnsi="宋体" w:eastAsia="宋体" w:cs="宋体"/>
          <w:sz w:val="24"/>
        </w:rPr>
      </w:pPr>
      <w:r>
        <w:rPr>
          <w:rFonts w:hint="eastAsia" w:ascii="宋体" w:hAnsi="宋体" w:eastAsia="宋体" w:cs="宋体"/>
          <w:sz w:val="24"/>
        </w:rPr>
        <w:t xml:space="preserve">    </w:t>
      </w:r>
    </w:p>
    <w:p>
      <w:pPr>
        <w:ind w:firstLine="720" w:firstLineChars="300"/>
        <w:jc w:val="left"/>
        <w:rPr>
          <w:rFonts w:hint="eastAsia" w:ascii="宋体" w:hAnsi="宋体" w:eastAsia="宋体" w:cs="宋体"/>
          <w:b/>
          <w:sz w:val="28"/>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cs="宋体"/>
          <w:sz w:val="24"/>
          <w:lang w:val="en-US" w:eastAsia="zh-CN"/>
        </w:rPr>
        <w:t xml:space="preserve">      </w:t>
      </w: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日</w:t>
      </w:r>
    </w:p>
    <w:p>
      <w:pPr>
        <w:spacing w:line="500" w:lineRule="exact"/>
        <w:rPr>
          <w:rFonts w:ascii="仿宋_GB2312" w:hAnsi="宋体" w:eastAsia="仿宋_GB2312"/>
          <w:color w:val="000000"/>
          <w:sz w:val="28"/>
          <w:szCs w:val="28"/>
        </w:rPr>
      </w:pPr>
    </w:p>
    <w:bookmarkEnd w:id="0"/>
    <w:p>
      <w:pPr>
        <w:sectPr>
          <w:pgSz w:w="11907" w:h="16840"/>
          <w:pgMar w:top="1440" w:right="1803" w:bottom="1440" w:left="1803" w:header="851" w:footer="992" w:gutter="0"/>
          <w:pgNumType w:fmt="numberInDash"/>
          <w:cols w:space="720" w:num="1"/>
          <w:docGrid w:type="linesAndChars" w:linePitch="312" w:charSpace="0"/>
        </w:sectPr>
      </w:pPr>
    </w:p>
    <w:p>
      <w:pPr>
        <w:spacing w:line="500" w:lineRule="exact"/>
        <w:rPr>
          <w:rFonts w:asciiTheme="minorEastAsia" w:hAnsiTheme="minorEastAsia" w:eastAsiaTheme="minorEastAsia"/>
          <w:b/>
          <w:sz w:val="28"/>
        </w:rPr>
      </w:pPr>
      <w:bookmarkStart w:id="4" w:name="_Toc3948"/>
      <w:bookmarkStart w:id="5" w:name="_Toc14454"/>
      <w:r>
        <w:rPr>
          <w:rFonts w:hint="eastAsia" w:asciiTheme="minorEastAsia" w:hAnsiTheme="minorEastAsia" w:eastAsiaTheme="minorEastAsia"/>
          <w:b/>
          <w:sz w:val="28"/>
        </w:rPr>
        <w:t>附件</w:t>
      </w:r>
      <w:r>
        <w:rPr>
          <w:rFonts w:hint="eastAsia" w:asciiTheme="minorEastAsia" w:hAnsiTheme="minorEastAsia" w:eastAsiaTheme="minorEastAsia"/>
          <w:b/>
          <w:sz w:val="28"/>
          <w:lang w:val="en-US" w:eastAsia="zh-CN"/>
        </w:rPr>
        <w:t>六</w:t>
      </w:r>
      <w:r>
        <w:rPr>
          <w:rFonts w:hint="eastAsia" w:asciiTheme="minorEastAsia" w:hAnsiTheme="minorEastAsia" w:eastAsiaTheme="minorEastAsia"/>
          <w:b/>
          <w:sz w:val="28"/>
        </w:rPr>
        <w:t>：</w:t>
      </w:r>
    </w:p>
    <w:p>
      <w:pPr>
        <w:jc w:val="center"/>
        <w:rPr>
          <w:rFonts w:hint="eastAsia" w:ascii="仿宋" w:hAnsi="仿宋" w:eastAsia="仿宋" w:cs="仿宋"/>
          <w:sz w:val="52"/>
          <w:szCs w:val="52"/>
        </w:rPr>
      </w:pPr>
    </w:p>
    <w:p>
      <w:pPr>
        <w:jc w:val="center"/>
        <w:rPr>
          <w:rFonts w:hint="eastAsia" w:ascii="仿宋" w:hAnsi="仿宋" w:eastAsia="仿宋" w:cs="仿宋"/>
          <w:b/>
          <w:bCs/>
          <w:sz w:val="48"/>
          <w:szCs w:val="48"/>
        </w:rPr>
      </w:pPr>
      <w:r>
        <w:rPr>
          <w:rFonts w:hint="eastAsia" w:ascii="仿宋" w:hAnsi="仿宋" w:eastAsia="仿宋" w:cs="仿宋"/>
          <w:b/>
          <w:bCs/>
          <w:sz w:val="48"/>
          <w:szCs w:val="48"/>
        </w:rPr>
        <w:t>南通港吕四港区吕四作业区西港池港口支持系统工程</w:t>
      </w:r>
      <w:r>
        <w:rPr>
          <w:rFonts w:hint="eastAsia" w:ascii="仿宋" w:hAnsi="仿宋" w:eastAsia="仿宋" w:cs="仿宋"/>
          <w:b/>
          <w:bCs/>
          <w:sz w:val="48"/>
          <w:szCs w:val="48"/>
          <w:lang w:val="en-US" w:eastAsia="zh-CN"/>
        </w:rPr>
        <w:t>智能</w:t>
      </w:r>
      <w:r>
        <w:rPr>
          <w:rFonts w:hint="eastAsia" w:ascii="仿宋" w:hAnsi="仿宋" w:eastAsia="仿宋" w:cs="仿宋"/>
          <w:b/>
          <w:bCs/>
          <w:sz w:val="48"/>
          <w:szCs w:val="48"/>
        </w:rPr>
        <w:t>一体式</w:t>
      </w:r>
      <w:r>
        <w:rPr>
          <w:rFonts w:hint="eastAsia" w:ascii="仿宋" w:hAnsi="仿宋" w:eastAsia="仿宋" w:cs="仿宋"/>
          <w:b/>
          <w:bCs/>
          <w:sz w:val="48"/>
          <w:szCs w:val="48"/>
          <w:lang w:val="en-US" w:eastAsia="zh-CN"/>
        </w:rPr>
        <w:t>四</w:t>
      </w:r>
      <w:r>
        <w:rPr>
          <w:rFonts w:hint="eastAsia" w:ascii="仿宋" w:hAnsi="仿宋" w:eastAsia="仿宋" w:cs="仿宋"/>
          <w:b/>
          <w:bCs/>
          <w:sz w:val="48"/>
          <w:szCs w:val="48"/>
        </w:rPr>
        <w:t>枪岸电桩</w:t>
      </w:r>
    </w:p>
    <w:p>
      <w:pPr>
        <w:rPr>
          <w:rFonts w:hint="eastAsia" w:ascii="仿宋" w:hAnsi="仿宋" w:eastAsia="仿宋" w:cs="仿宋"/>
          <w:sz w:val="18"/>
          <w:szCs w:val="18"/>
        </w:rPr>
      </w:pPr>
    </w:p>
    <w:p>
      <w:pPr>
        <w:jc w:val="center"/>
        <w:rPr>
          <w:rFonts w:hint="eastAsia" w:ascii="仿宋" w:hAnsi="仿宋" w:eastAsia="仿宋" w:cs="仿宋"/>
          <w:sz w:val="52"/>
          <w:szCs w:val="52"/>
        </w:rPr>
      </w:pPr>
    </w:p>
    <w:p>
      <w:pPr>
        <w:jc w:val="center"/>
        <w:rPr>
          <w:rFonts w:hint="eastAsia" w:ascii="仿宋" w:hAnsi="仿宋" w:eastAsia="仿宋" w:cs="仿宋"/>
          <w:sz w:val="52"/>
          <w:szCs w:val="52"/>
        </w:rPr>
      </w:pPr>
    </w:p>
    <w:p>
      <w:pPr>
        <w:jc w:val="center"/>
        <w:rPr>
          <w:rFonts w:hint="eastAsia" w:ascii="仿宋" w:hAnsi="仿宋" w:eastAsia="仿宋" w:cs="仿宋"/>
          <w:sz w:val="52"/>
          <w:szCs w:val="52"/>
        </w:rPr>
      </w:pPr>
    </w:p>
    <w:p>
      <w:pPr>
        <w:jc w:val="center"/>
        <w:rPr>
          <w:rFonts w:hint="eastAsia" w:ascii="仿宋" w:hAnsi="仿宋" w:eastAsia="仿宋" w:cs="仿宋"/>
          <w:sz w:val="52"/>
          <w:szCs w:val="52"/>
          <w:lang w:eastAsia="zh-CN"/>
        </w:rPr>
      </w:pPr>
      <w:r>
        <w:rPr>
          <w:rFonts w:hint="eastAsia" w:ascii="仿宋" w:hAnsi="仿宋" w:eastAsia="仿宋" w:cs="仿宋"/>
          <w:sz w:val="52"/>
          <w:szCs w:val="52"/>
        </w:rPr>
        <w:t>技术</w:t>
      </w:r>
      <w:r>
        <w:rPr>
          <w:rFonts w:hint="eastAsia" w:ascii="仿宋" w:hAnsi="仿宋" w:eastAsia="仿宋" w:cs="仿宋"/>
          <w:sz w:val="52"/>
          <w:szCs w:val="52"/>
          <w:lang w:val="en-US" w:eastAsia="zh-CN"/>
        </w:rPr>
        <w:t>文件</w:t>
      </w:r>
    </w:p>
    <w:p>
      <w:pPr>
        <w:jc w:val="cente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江苏吕四港集团有限公司</w:t>
      </w:r>
    </w:p>
    <w:p>
      <w:pPr>
        <w:jc w:val="center"/>
        <w:rPr>
          <w:rFonts w:hint="eastAsia" w:ascii="仿宋" w:hAnsi="仿宋" w:eastAsia="仿宋" w:cs="仿宋"/>
          <w:sz w:val="44"/>
          <w:szCs w:val="44"/>
        </w:rPr>
      </w:pPr>
      <w:r>
        <w:rPr>
          <w:rFonts w:hint="eastAsia" w:ascii="仿宋" w:hAnsi="仿宋" w:eastAsia="仿宋" w:cs="仿宋"/>
          <w:sz w:val="44"/>
          <w:szCs w:val="44"/>
        </w:rPr>
        <w:t>202</w:t>
      </w:r>
      <w:r>
        <w:rPr>
          <w:rFonts w:hint="eastAsia" w:ascii="仿宋" w:hAnsi="仿宋" w:eastAsia="仿宋" w:cs="仿宋"/>
          <w:sz w:val="44"/>
          <w:szCs w:val="44"/>
          <w:lang w:val="en-US" w:eastAsia="zh-CN"/>
        </w:rPr>
        <w:t>3</w:t>
      </w:r>
      <w:r>
        <w:rPr>
          <w:rFonts w:hint="eastAsia" w:ascii="仿宋" w:hAnsi="仿宋" w:eastAsia="仿宋" w:cs="仿宋"/>
          <w:sz w:val="44"/>
          <w:szCs w:val="44"/>
        </w:rPr>
        <w:t>年</w:t>
      </w:r>
      <w:r>
        <w:rPr>
          <w:rFonts w:hint="eastAsia" w:ascii="仿宋" w:hAnsi="仿宋" w:eastAsia="仿宋" w:cs="仿宋"/>
          <w:sz w:val="44"/>
          <w:szCs w:val="44"/>
          <w:lang w:val="en-US" w:eastAsia="zh-CN"/>
        </w:rPr>
        <w:t>8</w:t>
      </w:r>
      <w:r>
        <w:rPr>
          <w:rFonts w:hint="eastAsia" w:ascii="仿宋" w:hAnsi="仿宋" w:eastAsia="仿宋" w:cs="仿宋"/>
          <w:sz w:val="44"/>
          <w:szCs w:val="44"/>
        </w:rPr>
        <w:t>月</w:t>
      </w:r>
    </w:p>
    <w:p>
      <w:pPr>
        <w:rPr>
          <w:rFonts w:hint="eastAsia" w:ascii="仿宋" w:hAnsi="仿宋" w:eastAsia="仿宋" w:cs="仿宋"/>
          <w:sz w:val="18"/>
          <w:szCs w:val="18"/>
        </w:rPr>
      </w:pPr>
    </w:p>
    <w:p>
      <w:pPr>
        <w:rPr>
          <w:rFonts w:hint="eastAsia" w:ascii="仿宋" w:hAnsi="仿宋" w:eastAsia="仿宋" w:cs="仿宋"/>
          <w:sz w:val="18"/>
          <w:szCs w:val="18"/>
        </w:rPr>
        <w:sectPr>
          <w:headerReference r:id="rId6" w:type="default"/>
          <w:footerReference r:id="rId7" w:type="default"/>
          <w:footerReference r:id="rId8"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eastAsia" w:ascii="仿宋" w:hAnsi="仿宋" w:eastAsia="仿宋" w:cs="仿宋"/>
          <w:sz w:val="18"/>
          <w:szCs w:val="18"/>
        </w:rPr>
      </w:pPr>
    </w:p>
    <w:p>
      <w:pPr>
        <w:rPr>
          <w:rFonts w:hint="eastAsia" w:ascii="仿宋" w:hAnsi="仿宋" w:eastAsia="仿宋" w:cs="仿宋"/>
          <w:sz w:val="18"/>
          <w:szCs w:val="18"/>
        </w:rPr>
      </w:pPr>
    </w:p>
    <w:p>
      <w:pPr>
        <w:jc w:val="center"/>
        <w:rPr>
          <w:sz w:val="28"/>
          <w:szCs w:val="28"/>
        </w:rPr>
      </w:pPr>
      <w:r>
        <w:rPr>
          <w:rFonts w:hint="eastAsia" w:ascii="仿宋" w:hAnsi="仿宋" w:eastAsia="仿宋" w:cs="仿宋"/>
          <w:b/>
          <w:bCs/>
          <w:sz w:val="28"/>
          <w:szCs w:val="28"/>
        </w:rPr>
        <w:t>目录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pPr>
        <w:pStyle w:val="16"/>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_Toc25647 </w:instrText>
      </w:r>
      <w:r>
        <w:rPr>
          <w:rFonts w:hint="eastAsia" w:ascii="仿宋" w:hAnsi="仿宋" w:eastAsia="仿宋" w:cs="仿宋"/>
          <w:sz w:val="28"/>
          <w:szCs w:val="28"/>
        </w:rPr>
        <w:fldChar w:fldCharType="separate"/>
      </w:r>
      <w:r>
        <w:rPr>
          <w:rFonts w:hint="eastAsia" w:ascii="仿宋" w:hAnsi="仿宋" w:eastAsia="仿宋" w:cs="仿宋"/>
          <w:sz w:val="28"/>
          <w:szCs w:val="28"/>
        </w:rPr>
        <w:t>1. 概述</w:t>
      </w:r>
      <w:r>
        <w:rPr>
          <w:sz w:val="28"/>
          <w:szCs w:val="28"/>
        </w:rPr>
        <w:tab/>
      </w:r>
      <w:r>
        <w:rPr>
          <w:sz w:val="28"/>
          <w:szCs w:val="28"/>
        </w:rPr>
        <w:fldChar w:fldCharType="begin"/>
      </w:r>
      <w:r>
        <w:rPr>
          <w:sz w:val="28"/>
          <w:szCs w:val="28"/>
        </w:rPr>
        <w:instrText xml:space="preserve"> PAGEREF _Toc25647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28"/>
        </w:rPr>
        <w:fldChar w:fldCharType="end"/>
      </w:r>
    </w:p>
    <w:p>
      <w:pPr>
        <w:pStyle w:val="17"/>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_Toc3585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rPr>
        <w:t>1.1项目</w:t>
      </w:r>
      <w:r>
        <w:rPr>
          <w:rFonts w:hint="eastAsia" w:ascii="仿宋" w:hAnsi="仿宋" w:eastAsia="仿宋" w:cs="仿宋"/>
          <w:sz w:val="28"/>
          <w:szCs w:val="28"/>
        </w:rPr>
        <w:t>概述</w:t>
      </w:r>
      <w:r>
        <w:rPr>
          <w:sz w:val="28"/>
          <w:szCs w:val="28"/>
        </w:rPr>
        <w:tab/>
      </w:r>
      <w:r>
        <w:rPr>
          <w:sz w:val="28"/>
          <w:szCs w:val="28"/>
        </w:rPr>
        <w:fldChar w:fldCharType="begin"/>
      </w:r>
      <w:r>
        <w:rPr>
          <w:sz w:val="28"/>
          <w:szCs w:val="28"/>
        </w:rPr>
        <w:instrText xml:space="preserve"> PAGEREF _Toc3585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28"/>
        </w:rPr>
        <w:fldChar w:fldCharType="end"/>
      </w:r>
    </w:p>
    <w:p>
      <w:pPr>
        <w:pStyle w:val="16"/>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_Toc9943 </w:instrText>
      </w:r>
      <w:r>
        <w:rPr>
          <w:rFonts w:hint="eastAsia" w:ascii="仿宋" w:hAnsi="仿宋" w:eastAsia="仿宋" w:cs="仿宋"/>
          <w:sz w:val="28"/>
          <w:szCs w:val="28"/>
        </w:rPr>
        <w:fldChar w:fldCharType="separate"/>
      </w:r>
      <w:r>
        <w:rPr>
          <w:rFonts w:hint="eastAsia" w:ascii="仿宋" w:hAnsi="仿宋" w:eastAsia="仿宋" w:cs="仿宋"/>
          <w:sz w:val="28"/>
          <w:szCs w:val="28"/>
        </w:rPr>
        <w:t>2.技术规格</w:t>
      </w:r>
      <w:r>
        <w:rPr>
          <w:sz w:val="28"/>
          <w:szCs w:val="28"/>
        </w:rPr>
        <w:tab/>
      </w:r>
      <w:r>
        <w:rPr>
          <w:sz w:val="28"/>
          <w:szCs w:val="28"/>
        </w:rPr>
        <w:fldChar w:fldCharType="begin"/>
      </w:r>
      <w:r>
        <w:rPr>
          <w:sz w:val="28"/>
          <w:szCs w:val="28"/>
        </w:rPr>
        <w:instrText xml:space="preserve"> PAGEREF _Toc9943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28"/>
        </w:rPr>
        <w:fldChar w:fldCharType="end"/>
      </w:r>
    </w:p>
    <w:p>
      <w:pPr>
        <w:pStyle w:val="17"/>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_Toc32162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rPr>
        <w:t>2.1岸电桩概述</w:t>
      </w:r>
      <w:r>
        <w:rPr>
          <w:sz w:val="28"/>
          <w:szCs w:val="28"/>
        </w:rPr>
        <w:tab/>
      </w:r>
      <w:r>
        <w:rPr>
          <w:sz w:val="28"/>
          <w:szCs w:val="28"/>
        </w:rPr>
        <w:fldChar w:fldCharType="begin"/>
      </w:r>
      <w:r>
        <w:rPr>
          <w:sz w:val="28"/>
          <w:szCs w:val="28"/>
        </w:rPr>
        <w:instrText xml:space="preserve"> PAGEREF _Toc32162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28"/>
        </w:rPr>
        <w:fldChar w:fldCharType="end"/>
      </w:r>
    </w:p>
    <w:p>
      <w:pPr>
        <w:pStyle w:val="17"/>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_Toc10439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rPr>
        <w:t>2.2</w:t>
      </w:r>
      <w:r>
        <w:rPr>
          <w:rFonts w:hint="eastAsia" w:ascii="仿宋" w:hAnsi="仿宋" w:eastAsia="仿宋" w:cs="仿宋"/>
          <w:sz w:val="28"/>
          <w:szCs w:val="28"/>
        </w:rPr>
        <w:t>电气原理</w:t>
      </w:r>
      <w:r>
        <w:rPr>
          <w:sz w:val="28"/>
          <w:szCs w:val="28"/>
        </w:rPr>
        <w:tab/>
      </w:r>
      <w:r>
        <w:rPr>
          <w:sz w:val="28"/>
          <w:szCs w:val="28"/>
        </w:rPr>
        <w:fldChar w:fldCharType="begin"/>
      </w:r>
      <w:r>
        <w:rPr>
          <w:sz w:val="28"/>
          <w:szCs w:val="28"/>
        </w:rPr>
        <w:instrText xml:space="preserve"> PAGEREF _Toc10439 \h </w:instrText>
      </w:r>
      <w:r>
        <w:rPr>
          <w:sz w:val="28"/>
          <w:szCs w:val="28"/>
        </w:rPr>
        <w:fldChar w:fldCharType="separate"/>
      </w:r>
      <w:r>
        <w:rPr>
          <w:sz w:val="28"/>
          <w:szCs w:val="28"/>
        </w:rPr>
        <w:t>2</w:t>
      </w:r>
      <w:r>
        <w:rPr>
          <w:sz w:val="28"/>
          <w:szCs w:val="28"/>
        </w:rPr>
        <w:fldChar w:fldCharType="end"/>
      </w:r>
      <w:r>
        <w:rPr>
          <w:rFonts w:hint="eastAsia" w:ascii="仿宋" w:hAnsi="仿宋" w:eastAsia="仿宋" w:cs="仿宋"/>
          <w:sz w:val="28"/>
          <w:szCs w:val="28"/>
        </w:rPr>
        <w:fldChar w:fldCharType="end"/>
      </w:r>
    </w:p>
    <w:p>
      <w:pPr>
        <w:pStyle w:val="17"/>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_Toc7800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rPr>
        <w:t>2.3保护功能</w:t>
      </w:r>
      <w:r>
        <w:rPr>
          <w:sz w:val="28"/>
          <w:szCs w:val="28"/>
        </w:rPr>
        <w:tab/>
      </w:r>
      <w:r>
        <w:rPr>
          <w:sz w:val="28"/>
          <w:szCs w:val="28"/>
        </w:rPr>
        <w:fldChar w:fldCharType="begin"/>
      </w:r>
      <w:r>
        <w:rPr>
          <w:sz w:val="28"/>
          <w:szCs w:val="28"/>
        </w:rPr>
        <w:instrText xml:space="preserve"> PAGEREF _Toc7800 \h </w:instrText>
      </w:r>
      <w:r>
        <w:rPr>
          <w:sz w:val="28"/>
          <w:szCs w:val="28"/>
        </w:rPr>
        <w:fldChar w:fldCharType="separate"/>
      </w:r>
      <w:r>
        <w:rPr>
          <w:sz w:val="28"/>
          <w:szCs w:val="28"/>
        </w:rPr>
        <w:t>2</w:t>
      </w:r>
      <w:r>
        <w:rPr>
          <w:sz w:val="28"/>
          <w:szCs w:val="28"/>
        </w:rPr>
        <w:fldChar w:fldCharType="end"/>
      </w:r>
      <w:r>
        <w:rPr>
          <w:rFonts w:hint="eastAsia" w:ascii="仿宋" w:hAnsi="仿宋" w:eastAsia="仿宋" w:cs="仿宋"/>
          <w:sz w:val="28"/>
          <w:szCs w:val="28"/>
        </w:rPr>
        <w:fldChar w:fldCharType="end"/>
      </w:r>
    </w:p>
    <w:p>
      <w:pPr>
        <w:pStyle w:val="17"/>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_Toc1786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rPr>
        <w:t>2.4</w:t>
      </w:r>
      <w:r>
        <w:rPr>
          <w:rFonts w:hint="eastAsia" w:ascii="仿宋" w:hAnsi="仿宋" w:eastAsia="仿宋" w:cs="仿宋"/>
          <w:sz w:val="28"/>
          <w:szCs w:val="28"/>
        </w:rPr>
        <w:t>交流输入</w:t>
      </w:r>
      <w:r>
        <w:rPr>
          <w:sz w:val="28"/>
          <w:szCs w:val="28"/>
        </w:rPr>
        <w:tab/>
      </w:r>
      <w:r>
        <w:rPr>
          <w:sz w:val="28"/>
          <w:szCs w:val="28"/>
        </w:rPr>
        <w:fldChar w:fldCharType="begin"/>
      </w:r>
      <w:r>
        <w:rPr>
          <w:sz w:val="28"/>
          <w:szCs w:val="28"/>
        </w:rPr>
        <w:instrText xml:space="preserve"> PAGEREF _Toc1786 \h </w:instrText>
      </w:r>
      <w:r>
        <w:rPr>
          <w:sz w:val="28"/>
          <w:szCs w:val="28"/>
        </w:rPr>
        <w:fldChar w:fldCharType="separate"/>
      </w:r>
      <w:r>
        <w:rPr>
          <w:sz w:val="28"/>
          <w:szCs w:val="28"/>
        </w:rPr>
        <w:t>2</w:t>
      </w:r>
      <w:r>
        <w:rPr>
          <w:sz w:val="28"/>
          <w:szCs w:val="28"/>
        </w:rPr>
        <w:fldChar w:fldCharType="end"/>
      </w:r>
      <w:r>
        <w:rPr>
          <w:rFonts w:hint="eastAsia" w:ascii="仿宋" w:hAnsi="仿宋" w:eastAsia="仿宋" w:cs="仿宋"/>
          <w:sz w:val="28"/>
          <w:szCs w:val="28"/>
        </w:rPr>
        <w:fldChar w:fldCharType="end"/>
      </w:r>
    </w:p>
    <w:p>
      <w:pPr>
        <w:pStyle w:val="17"/>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_Toc9194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5</w:t>
      </w:r>
      <w:r>
        <w:rPr>
          <w:rFonts w:hint="eastAsia" w:ascii="仿宋" w:hAnsi="仿宋" w:eastAsia="仿宋" w:cs="仿宋"/>
          <w:sz w:val="28"/>
          <w:szCs w:val="28"/>
        </w:rPr>
        <w:t>环境条件参数</w:t>
      </w:r>
      <w:r>
        <w:rPr>
          <w:sz w:val="28"/>
          <w:szCs w:val="28"/>
        </w:rPr>
        <w:tab/>
      </w:r>
      <w:r>
        <w:rPr>
          <w:sz w:val="28"/>
          <w:szCs w:val="28"/>
        </w:rPr>
        <w:fldChar w:fldCharType="begin"/>
      </w:r>
      <w:r>
        <w:rPr>
          <w:sz w:val="28"/>
          <w:szCs w:val="28"/>
        </w:rPr>
        <w:instrText xml:space="preserve"> PAGEREF _Toc9194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sz w:val="28"/>
          <w:szCs w:val="28"/>
        </w:rPr>
        <w:fldChar w:fldCharType="end"/>
      </w:r>
    </w:p>
    <w:p>
      <w:pPr>
        <w:pStyle w:val="17"/>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_Toc28708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6</w:t>
      </w:r>
      <w:r>
        <w:rPr>
          <w:rFonts w:hint="eastAsia" w:ascii="仿宋" w:hAnsi="仿宋" w:eastAsia="仿宋" w:cs="仿宋"/>
          <w:sz w:val="28"/>
          <w:szCs w:val="28"/>
        </w:rPr>
        <w:t>通信方式</w:t>
      </w:r>
      <w:r>
        <w:rPr>
          <w:sz w:val="28"/>
          <w:szCs w:val="28"/>
        </w:rPr>
        <w:tab/>
      </w:r>
      <w:r>
        <w:rPr>
          <w:sz w:val="28"/>
          <w:szCs w:val="28"/>
        </w:rPr>
        <w:fldChar w:fldCharType="begin"/>
      </w:r>
      <w:r>
        <w:rPr>
          <w:sz w:val="28"/>
          <w:szCs w:val="28"/>
        </w:rPr>
        <w:instrText xml:space="preserve"> PAGEREF _Toc28708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sz w:val="28"/>
          <w:szCs w:val="28"/>
        </w:rPr>
        <w:fldChar w:fldCharType="end"/>
      </w:r>
    </w:p>
    <w:p>
      <w:pPr>
        <w:pStyle w:val="17"/>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_Toc28421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7</w:t>
      </w:r>
      <w:r>
        <w:rPr>
          <w:rFonts w:hint="eastAsia" w:ascii="仿宋" w:hAnsi="仿宋" w:eastAsia="仿宋" w:cs="仿宋"/>
          <w:sz w:val="28"/>
          <w:szCs w:val="28"/>
        </w:rPr>
        <w:t>应用标准</w:t>
      </w:r>
      <w:r>
        <w:rPr>
          <w:sz w:val="28"/>
          <w:szCs w:val="28"/>
        </w:rPr>
        <w:tab/>
      </w:r>
      <w:r>
        <w:rPr>
          <w:sz w:val="28"/>
          <w:szCs w:val="28"/>
        </w:rPr>
        <w:fldChar w:fldCharType="begin"/>
      </w:r>
      <w:r>
        <w:rPr>
          <w:sz w:val="28"/>
          <w:szCs w:val="28"/>
        </w:rPr>
        <w:instrText xml:space="preserve"> PAGEREF _Toc28421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sz w:val="28"/>
          <w:szCs w:val="28"/>
        </w:rPr>
        <w:fldChar w:fldCharType="end"/>
      </w:r>
    </w:p>
    <w:p>
      <w:pPr>
        <w:pStyle w:val="16"/>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_Toc8617 </w:instrText>
      </w:r>
      <w:r>
        <w:rPr>
          <w:rFonts w:hint="eastAsia" w:ascii="仿宋" w:hAnsi="仿宋" w:eastAsia="仿宋" w:cs="仿宋"/>
          <w:sz w:val="28"/>
          <w:szCs w:val="28"/>
        </w:rPr>
        <w:fldChar w:fldCharType="separate"/>
      </w:r>
      <w:r>
        <w:rPr>
          <w:rFonts w:hint="eastAsia" w:ascii="仿宋" w:hAnsi="仿宋" w:eastAsia="仿宋" w:cs="仿宋"/>
          <w:sz w:val="28"/>
          <w:szCs w:val="28"/>
        </w:rPr>
        <w:t>3.安装与调试</w:t>
      </w:r>
      <w:r>
        <w:rPr>
          <w:sz w:val="28"/>
          <w:szCs w:val="28"/>
        </w:rPr>
        <w:tab/>
      </w:r>
      <w:r>
        <w:rPr>
          <w:sz w:val="28"/>
          <w:szCs w:val="28"/>
        </w:rPr>
        <w:fldChar w:fldCharType="begin"/>
      </w:r>
      <w:r>
        <w:rPr>
          <w:sz w:val="28"/>
          <w:szCs w:val="28"/>
        </w:rPr>
        <w:instrText xml:space="preserve"> PAGEREF _Toc8617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sz w:val="28"/>
          <w:szCs w:val="28"/>
        </w:rPr>
        <w:fldChar w:fldCharType="end"/>
      </w:r>
    </w:p>
    <w:p>
      <w:pPr>
        <w:pStyle w:val="17"/>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_Toc11799 </w:instrText>
      </w:r>
      <w:r>
        <w:rPr>
          <w:rFonts w:hint="eastAsia" w:ascii="仿宋" w:hAnsi="仿宋" w:eastAsia="仿宋" w:cs="仿宋"/>
          <w:sz w:val="28"/>
          <w:szCs w:val="28"/>
        </w:rPr>
        <w:fldChar w:fldCharType="separate"/>
      </w:r>
      <w:r>
        <w:rPr>
          <w:rFonts w:hint="eastAsia" w:ascii="仿宋" w:hAnsi="仿宋" w:eastAsia="仿宋" w:cs="仿宋"/>
          <w:sz w:val="28"/>
          <w:szCs w:val="28"/>
        </w:rPr>
        <w:t>3.1外观检查</w:t>
      </w:r>
      <w:r>
        <w:rPr>
          <w:sz w:val="28"/>
          <w:szCs w:val="28"/>
        </w:rPr>
        <w:tab/>
      </w:r>
      <w:r>
        <w:rPr>
          <w:sz w:val="28"/>
          <w:szCs w:val="28"/>
        </w:rPr>
        <w:fldChar w:fldCharType="begin"/>
      </w:r>
      <w:r>
        <w:rPr>
          <w:sz w:val="28"/>
          <w:szCs w:val="28"/>
        </w:rPr>
        <w:instrText xml:space="preserve"> PAGEREF _Toc11799 \h </w:instrText>
      </w:r>
      <w:r>
        <w:rPr>
          <w:sz w:val="28"/>
          <w:szCs w:val="28"/>
        </w:rPr>
        <w:fldChar w:fldCharType="separate"/>
      </w:r>
      <w:r>
        <w:rPr>
          <w:sz w:val="28"/>
          <w:szCs w:val="28"/>
        </w:rPr>
        <w:t>6</w:t>
      </w:r>
      <w:r>
        <w:rPr>
          <w:sz w:val="28"/>
          <w:szCs w:val="28"/>
        </w:rPr>
        <w:fldChar w:fldCharType="end"/>
      </w:r>
      <w:r>
        <w:rPr>
          <w:rFonts w:hint="eastAsia" w:ascii="仿宋" w:hAnsi="仿宋" w:eastAsia="仿宋" w:cs="仿宋"/>
          <w:sz w:val="28"/>
          <w:szCs w:val="28"/>
        </w:rPr>
        <w:fldChar w:fldCharType="end"/>
      </w:r>
    </w:p>
    <w:p>
      <w:pPr>
        <w:pStyle w:val="17"/>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_Toc17708 </w:instrText>
      </w:r>
      <w:r>
        <w:rPr>
          <w:rFonts w:hint="eastAsia" w:ascii="仿宋" w:hAnsi="仿宋" w:eastAsia="仿宋" w:cs="仿宋"/>
          <w:sz w:val="28"/>
          <w:szCs w:val="28"/>
        </w:rPr>
        <w:fldChar w:fldCharType="separate"/>
      </w:r>
      <w:r>
        <w:rPr>
          <w:rFonts w:hint="eastAsia" w:ascii="仿宋" w:hAnsi="仿宋" w:eastAsia="仿宋" w:cs="仿宋"/>
          <w:sz w:val="28"/>
          <w:szCs w:val="28"/>
        </w:rPr>
        <w:t>3.2安装</w:t>
      </w:r>
      <w:r>
        <w:rPr>
          <w:sz w:val="28"/>
          <w:szCs w:val="28"/>
        </w:rPr>
        <w:tab/>
      </w:r>
      <w:r>
        <w:rPr>
          <w:sz w:val="28"/>
          <w:szCs w:val="28"/>
        </w:rPr>
        <w:fldChar w:fldCharType="begin"/>
      </w:r>
      <w:r>
        <w:rPr>
          <w:sz w:val="28"/>
          <w:szCs w:val="28"/>
        </w:rPr>
        <w:instrText xml:space="preserve"> PAGEREF _Toc17708 \h </w:instrText>
      </w:r>
      <w:r>
        <w:rPr>
          <w:sz w:val="28"/>
          <w:szCs w:val="28"/>
        </w:rPr>
        <w:fldChar w:fldCharType="separate"/>
      </w:r>
      <w:r>
        <w:rPr>
          <w:sz w:val="28"/>
          <w:szCs w:val="28"/>
        </w:rPr>
        <w:t>7</w:t>
      </w:r>
      <w:r>
        <w:rPr>
          <w:sz w:val="28"/>
          <w:szCs w:val="28"/>
        </w:rPr>
        <w:fldChar w:fldCharType="end"/>
      </w:r>
      <w:r>
        <w:rPr>
          <w:rFonts w:hint="eastAsia" w:ascii="仿宋" w:hAnsi="仿宋" w:eastAsia="仿宋" w:cs="仿宋"/>
          <w:sz w:val="28"/>
          <w:szCs w:val="28"/>
        </w:rPr>
        <w:fldChar w:fldCharType="end"/>
      </w:r>
    </w:p>
    <w:p>
      <w:pPr>
        <w:pStyle w:val="17"/>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_Toc3716 </w:instrText>
      </w:r>
      <w:r>
        <w:rPr>
          <w:rFonts w:hint="eastAsia" w:ascii="仿宋" w:hAnsi="仿宋" w:eastAsia="仿宋" w:cs="仿宋"/>
          <w:sz w:val="28"/>
          <w:szCs w:val="28"/>
        </w:rPr>
        <w:fldChar w:fldCharType="separate"/>
      </w:r>
      <w:r>
        <w:rPr>
          <w:rFonts w:hint="eastAsia" w:ascii="仿宋" w:hAnsi="仿宋" w:eastAsia="仿宋" w:cs="仿宋"/>
          <w:sz w:val="28"/>
          <w:szCs w:val="28"/>
        </w:rPr>
        <w:t>3.3检查外部回路</w:t>
      </w:r>
      <w:r>
        <w:rPr>
          <w:sz w:val="28"/>
          <w:szCs w:val="28"/>
        </w:rPr>
        <w:tab/>
      </w:r>
      <w:r>
        <w:rPr>
          <w:sz w:val="28"/>
          <w:szCs w:val="28"/>
        </w:rPr>
        <w:fldChar w:fldCharType="begin"/>
      </w:r>
      <w:r>
        <w:rPr>
          <w:sz w:val="28"/>
          <w:szCs w:val="28"/>
        </w:rPr>
        <w:instrText xml:space="preserve"> PAGEREF _Toc3716 \h </w:instrText>
      </w:r>
      <w:r>
        <w:rPr>
          <w:sz w:val="28"/>
          <w:szCs w:val="28"/>
        </w:rPr>
        <w:fldChar w:fldCharType="separate"/>
      </w:r>
      <w:r>
        <w:rPr>
          <w:sz w:val="28"/>
          <w:szCs w:val="28"/>
        </w:rPr>
        <w:t>8</w:t>
      </w:r>
      <w:r>
        <w:rPr>
          <w:sz w:val="28"/>
          <w:szCs w:val="28"/>
        </w:rPr>
        <w:fldChar w:fldCharType="end"/>
      </w:r>
      <w:r>
        <w:rPr>
          <w:rFonts w:hint="eastAsia" w:ascii="仿宋" w:hAnsi="仿宋" w:eastAsia="仿宋" w:cs="仿宋"/>
          <w:sz w:val="28"/>
          <w:szCs w:val="28"/>
        </w:rPr>
        <w:fldChar w:fldCharType="end"/>
      </w:r>
    </w:p>
    <w:p>
      <w:pPr>
        <w:pStyle w:val="17"/>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_Toc31650 </w:instrText>
      </w:r>
      <w:r>
        <w:rPr>
          <w:rFonts w:hint="eastAsia" w:ascii="仿宋" w:hAnsi="仿宋" w:eastAsia="仿宋" w:cs="仿宋"/>
          <w:sz w:val="28"/>
          <w:szCs w:val="28"/>
        </w:rPr>
        <w:fldChar w:fldCharType="separate"/>
      </w:r>
      <w:r>
        <w:rPr>
          <w:rFonts w:hint="eastAsia" w:ascii="仿宋" w:hAnsi="仿宋" w:eastAsia="仿宋" w:cs="仿宋"/>
          <w:sz w:val="28"/>
          <w:szCs w:val="28"/>
        </w:rPr>
        <w:t>3.4装置上电</w:t>
      </w:r>
      <w:r>
        <w:rPr>
          <w:sz w:val="28"/>
          <w:szCs w:val="28"/>
        </w:rPr>
        <w:tab/>
      </w:r>
      <w:r>
        <w:rPr>
          <w:sz w:val="28"/>
          <w:szCs w:val="28"/>
        </w:rPr>
        <w:fldChar w:fldCharType="begin"/>
      </w:r>
      <w:r>
        <w:rPr>
          <w:sz w:val="28"/>
          <w:szCs w:val="28"/>
        </w:rPr>
        <w:instrText xml:space="preserve"> PAGEREF _Toc31650 \h </w:instrText>
      </w:r>
      <w:r>
        <w:rPr>
          <w:sz w:val="28"/>
          <w:szCs w:val="28"/>
        </w:rPr>
        <w:fldChar w:fldCharType="separate"/>
      </w:r>
      <w:r>
        <w:rPr>
          <w:sz w:val="28"/>
          <w:szCs w:val="28"/>
        </w:rPr>
        <w:t>8</w:t>
      </w:r>
      <w:r>
        <w:rPr>
          <w:sz w:val="28"/>
          <w:szCs w:val="28"/>
        </w:rPr>
        <w:fldChar w:fldCharType="end"/>
      </w:r>
      <w:r>
        <w:rPr>
          <w:rFonts w:hint="eastAsia" w:ascii="仿宋" w:hAnsi="仿宋" w:eastAsia="仿宋" w:cs="仿宋"/>
          <w:sz w:val="28"/>
          <w:szCs w:val="28"/>
        </w:rPr>
        <w:fldChar w:fldCharType="end"/>
      </w:r>
    </w:p>
    <w:p>
      <w:pPr>
        <w:pStyle w:val="16"/>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_Toc14852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4. 平台功能</w:t>
      </w:r>
      <w:r>
        <w:rPr>
          <w:sz w:val="28"/>
          <w:szCs w:val="28"/>
        </w:rPr>
        <w:tab/>
      </w:r>
      <w:r>
        <w:rPr>
          <w:sz w:val="28"/>
          <w:szCs w:val="28"/>
        </w:rPr>
        <w:fldChar w:fldCharType="begin"/>
      </w:r>
      <w:r>
        <w:rPr>
          <w:sz w:val="28"/>
          <w:szCs w:val="28"/>
        </w:rPr>
        <w:instrText xml:space="preserve"> PAGEREF _Toc14852 \h </w:instrText>
      </w:r>
      <w:r>
        <w:rPr>
          <w:sz w:val="28"/>
          <w:szCs w:val="28"/>
        </w:rPr>
        <w:fldChar w:fldCharType="separate"/>
      </w:r>
      <w:r>
        <w:rPr>
          <w:sz w:val="28"/>
          <w:szCs w:val="28"/>
        </w:rPr>
        <w:t>8</w:t>
      </w:r>
      <w:r>
        <w:rPr>
          <w:sz w:val="28"/>
          <w:szCs w:val="28"/>
        </w:rPr>
        <w:fldChar w:fldCharType="end"/>
      </w:r>
      <w:r>
        <w:rPr>
          <w:rFonts w:hint="eastAsia" w:ascii="仿宋" w:hAnsi="仿宋" w:eastAsia="仿宋" w:cs="仿宋"/>
          <w:sz w:val="28"/>
          <w:szCs w:val="28"/>
        </w:rPr>
        <w:fldChar w:fldCharType="end"/>
      </w:r>
    </w:p>
    <w:p>
      <w:pPr>
        <w:pStyle w:val="16"/>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_Toc2586 </w:instrText>
      </w:r>
      <w:r>
        <w:rPr>
          <w:rFonts w:hint="eastAsia" w:ascii="仿宋" w:hAnsi="仿宋" w:eastAsia="仿宋" w:cs="仿宋"/>
          <w:sz w:val="28"/>
          <w:szCs w:val="28"/>
        </w:rPr>
        <w:fldChar w:fldCharType="separate"/>
      </w:r>
      <w:r>
        <w:rPr>
          <w:rFonts w:hint="eastAsia" w:ascii="仿宋" w:hAnsi="仿宋" w:eastAsia="仿宋" w:cs="仿宋"/>
          <w:sz w:val="28"/>
          <w:szCs w:val="28"/>
        </w:rPr>
        <w:t>5. 供货范围</w:t>
      </w:r>
      <w:r>
        <w:rPr>
          <w:sz w:val="28"/>
          <w:szCs w:val="28"/>
        </w:rPr>
        <w:tab/>
      </w:r>
      <w:r>
        <w:rPr>
          <w:sz w:val="28"/>
          <w:szCs w:val="28"/>
        </w:rPr>
        <w:fldChar w:fldCharType="begin"/>
      </w:r>
      <w:r>
        <w:rPr>
          <w:sz w:val="28"/>
          <w:szCs w:val="28"/>
        </w:rPr>
        <w:instrText xml:space="preserve"> PAGEREF _Toc2586 \h </w:instrText>
      </w:r>
      <w:r>
        <w:rPr>
          <w:sz w:val="28"/>
          <w:szCs w:val="28"/>
        </w:rPr>
        <w:fldChar w:fldCharType="separate"/>
      </w:r>
      <w:r>
        <w:rPr>
          <w:sz w:val="28"/>
          <w:szCs w:val="28"/>
        </w:rPr>
        <w:t>10</w:t>
      </w:r>
      <w:r>
        <w:rPr>
          <w:sz w:val="28"/>
          <w:szCs w:val="28"/>
        </w:rPr>
        <w:fldChar w:fldCharType="end"/>
      </w:r>
      <w:r>
        <w:rPr>
          <w:rFonts w:hint="eastAsia" w:ascii="仿宋" w:hAnsi="仿宋" w:eastAsia="仿宋" w:cs="仿宋"/>
          <w:sz w:val="28"/>
          <w:szCs w:val="28"/>
        </w:rPr>
        <w:fldChar w:fldCharType="end"/>
      </w:r>
    </w:p>
    <w:p>
      <w:pPr>
        <w:pStyle w:val="16"/>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_Toc25305 </w:instrText>
      </w:r>
      <w:r>
        <w:rPr>
          <w:rFonts w:hint="eastAsia" w:ascii="仿宋" w:hAnsi="仿宋" w:eastAsia="仿宋" w:cs="仿宋"/>
          <w:sz w:val="28"/>
          <w:szCs w:val="28"/>
        </w:rPr>
        <w:fldChar w:fldCharType="separate"/>
      </w:r>
      <w:r>
        <w:rPr>
          <w:rFonts w:hint="eastAsia" w:ascii="仿宋" w:hAnsi="仿宋" w:eastAsia="仿宋" w:cs="仿宋"/>
          <w:sz w:val="28"/>
          <w:szCs w:val="28"/>
        </w:rPr>
        <w:t>6. 验收及售后</w:t>
      </w:r>
      <w:r>
        <w:rPr>
          <w:sz w:val="28"/>
          <w:szCs w:val="28"/>
        </w:rPr>
        <w:tab/>
      </w:r>
      <w:r>
        <w:rPr>
          <w:sz w:val="28"/>
          <w:szCs w:val="28"/>
        </w:rPr>
        <w:fldChar w:fldCharType="begin"/>
      </w:r>
      <w:r>
        <w:rPr>
          <w:sz w:val="28"/>
          <w:szCs w:val="28"/>
        </w:rPr>
        <w:instrText xml:space="preserve"> PAGEREF _Toc25305 \h </w:instrText>
      </w:r>
      <w:r>
        <w:rPr>
          <w:sz w:val="28"/>
          <w:szCs w:val="28"/>
        </w:rPr>
        <w:fldChar w:fldCharType="separate"/>
      </w:r>
      <w:r>
        <w:rPr>
          <w:sz w:val="28"/>
          <w:szCs w:val="28"/>
        </w:rPr>
        <w:t>11</w:t>
      </w:r>
      <w:r>
        <w:rPr>
          <w:sz w:val="28"/>
          <w:szCs w:val="28"/>
        </w:rPr>
        <w:fldChar w:fldCharType="end"/>
      </w:r>
      <w:r>
        <w:rPr>
          <w:rFonts w:hint="eastAsia" w:ascii="仿宋" w:hAnsi="仿宋" w:eastAsia="仿宋" w:cs="仿宋"/>
          <w:sz w:val="28"/>
          <w:szCs w:val="28"/>
        </w:rPr>
        <w:fldChar w:fldCharType="end"/>
      </w:r>
    </w:p>
    <w:p>
      <w:pPr>
        <w:pStyle w:val="17"/>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_Toc32142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 验收标准</w:t>
      </w:r>
      <w:r>
        <w:rPr>
          <w:sz w:val="28"/>
          <w:szCs w:val="28"/>
        </w:rPr>
        <w:tab/>
      </w:r>
      <w:r>
        <w:rPr>
          <w:sz w:val="28"/>
          <w:szCs w:val="28"/>
        </w:rPr>
        <w:fldChar w:fldCharType="begin"/>
      </w:r>
      <w:r>
        <w:rPr>
          <w:sz w:val="28"/>
          <w:szCs w:val="28"/>
        </w:rPr>
        <w:instrText xml:space="preserve"> PAGEREF _Toc32142 \h </w:instrText>
      </w:r>
      <w:r>
        <w:rPr>
          <w:sz w:val="28"/>
          <w:szCs w:val="28"/>
        </w:rPr>
        <w:fldChar w:fldCharType="separate"/>
      </w:r>
      <w:r>
        <w:rPr>
          <w:sz w:val="28"/>
          <w:szCs w:val="28"/>
        </w:rPr>
        <w:t>11</w:t>
      </w:r>
      <w:r>
        <w:rPr>
          <w:sz w:val="28"/>
          <w:szCs w:val="28"/>
        </w:rPr>
        <w:fldChar w:fldCharType="end"/>
      </w:r>
      <w:r>
        <w:rPr>
          <w:rFonts w:hint="eastAsia" w:ascii="仿宋" w:hAnsi="仿宋" w:eastAsia="仿宋" w:cs="仿宋"/>
          <w:sz w:val="28"/>
          <w:szCs w:val="28"/>
        </w:rPr>
        <w:fldChar w:fldCharType="end"/>
      </w:r>
    </w:p>
    <w:p>
      <w:pPr>
        <w:pStyle w:val="17"/>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_Toc32456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lang w:val="en-US"/>
        </w:rPr>
        <w:t>售后技术服务及培训</w:t>
      </w:r>
      <w:bookmarkStart w:id="70" w:name="_GoBack"/>
      <w:bookmarkEnd w:id="70"/>
      <w:r>
        <w:rPr>
          <w:sz w:val="28"/>
          <w:szCs w:val="28"/>
        </w:rPr>
        <w:tab/>
      </w:r>
      <w:r>
        <w:rPr>
          <w:sz w:val="28"/>
          <w:szCs w:val="28"/>
        </w:rPr>
        <w:fldChar w:fldCharType="begin"/>
      </w:r>
      <w:r>
        <w:rPr>
          <w:sz w:val="28"/>
          <w:szCs w:val="28"/>
        </w:rPr>
        <w:instrText xml:space="preserve"> PAGEREF _Toc32456 \h </w:instrText>
      </w:r>
      <w:r>
        <w:rPr>
          <w:sz w:val="28"/>
          <w:szCs w:val="28"/>
        </w:rPr>
        <w:fldChar w:fldCharType="separate"/>
      </w:r>
      <w:r>
        <w:rPr>
          <w:sz w:val="28"/>
          <w:szCs w:val="28"/>
        </w:rPr>
        <w:t>11</w:t>
      </w:r>
      <w:r>
        <w:rPr>
          <w:sz w:val="28"/>
          <w:szCs w:val="28"/>
        </w:rPr>
        <w:fldChar w:fldCharType="end"/>
      </w:r>
      <w:r>
        <w:rPr>
          <w:rFonts w:hint="eastAsia" w:ascii="仿宋" w:hAnsi="仿宋" w:eastAsia="仿宋" w:cs="仿宋"/>
          <w:sz w:val="28"/>
          <w:szCs w:val="28"/>
        </w:rPr>
        <w:fldChar w:fldCharType="end"/>
      </w:r>
    </w:p>
    <w:p>
      <w:pPr>
        <w:pStyle w:val="16"/>
        <w:tabs>
          <w:tab w:val="right" w:leader="dot" w:pos="8306"/>
        </w:tabs>
        <w:rPr>
          <w:rFonts w:hint="eastAsia" w:ascii="仿宋" w:hAnsi="仿宋" w:eastAsia="仿宋" w:cs="仿宋"/>
          <w:sz w:val="28"/>
          <w:szCs w:val="28"/>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16"/>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_Toc1662 </w:instrText>
      </w:r>
      <w:r>
        <w:rPr>
          <w:rFonts w:hint="eastAsia" w:ascii="仿宋" w:hAnsi="仿宋" w:eastAsia="仿宋" w:cs="仿宋"/>
          <w:sz w:val="28"/>
          <w:szCs w:val="28"/>
        </w:rPr>
        <w:fldChar w:fldCharType="separate"/>
      </w:r>
      <w:r>
        <w:rPr>
          <w:rFonts w:hint="eastAsia" w:ascii="仿宋" w:hAnsi="仿宋" w:eastAsia="仿宋" w:cs="仿宋"/>
          <w:sz w:val="28"/>
          <w:szCs w:val="28"/>
        </w:rPr>
        <w:t>7. 质量保证</w:t>
      </w:r>
      <w:r>
        <w:rPr>
          <w:sz w:val="28"/>
          <w:szCs w:val="28"/>
        </w:rPr>
        <w:tab/>
      </w:r>
      <w:r>
        <w:rPr>
          <w:sz w:val="28"/>
          <w:szCs w:val="28"/>
        </w:rPr>
        <w:fldChar w:fldCharType="begin"/>
      </w:r>
      <w:r>
        <w:rPr>
          <w:sz w:val="28"/>
          <w:szCs w:val="28"/>
        </w:rPr>
        <w:instrText xml:space="preserve"> PAGEREF _Toc1662 \h </w:instrText>
      </w:r>
      <w:r>
        <w:rPr>
          <w:sz w:val="28"/>
          <w:szCs w:val="28"/>
        </w:rPr>
        <w:fldChar w:fldCharType="separate"/>
      </w:r>
      <w:r>
        <w:rPr>
          <w:sz w:val="28"/>
          <w:szCs w:val="28"/>
        </w:rPr>
        <w:t>12</w:t>
      </w:r>
      <w:r>
        <w:rPr>
          <w:sz w:val="28"/>
          <w:szCs w:val="28"/>
        </w:rPr>
        <w:fldChar w:fldCharType="end"/>
      </w:r>
      <w:r>
        <w:rPr>
          <w:rFonts w:hint="eastAsia" w:ascii="仿宋" w:hAnsi="仿宋" w:eastAsia="仿宋" w:cs="仿宋"/>
          <w:sz w:val="28"/>
          <w:szCs w:val="28"/>
        </w:rPr>
        <w:fldChar w:fldCharType="end"/>
      </w:r>
    </w:p>
    <w:p>
      <w:pPr>
        <w:pStyle w:val="16"/>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_Toc3807 </w:instrText>
      </w:r>
      <w:r>
        <w:rPr>
          <w:rFonts w:hint="eastAsia" w:ascii="仿宋" w:hAnsi="仿宋" w:eastAsia="仿宋" w:cs="仿宋"/>
          <w:sz w:val="28"/>
          <w:szCs w:val="28"/>
        </w:rPr>
        <w:fldChar w:fldCharType="separate"/>
      </w:r>
      <w:r>
        <w:rPr>
          <w:rFonts w:hint="eastAsia" w:ascii="仿宋" w:hAnsi="仿宋" w:eastAsia="仿宋" w:cs="仿宋"/>
          <w:sz w:val="28"/>
          <w:szCs w:val="28"/>
        </w:rPr>
        <w:t>8. 验收资料</w:t>
      </w:r>
      <w:r>
        <w:rPr>
          <w:sz w:val="28"/>
          <w:szCs w:val="28"/>
        </w:rPr>
        <w:tab/>
      </w:r>
      <w:r>
        <w:rPr>
          <w:sz w:val="28"/>
          <w:szCs w:val="28"/>
        </w:rPr>
        <w:fldChar w:fldCharType="begin"/>
      </w:r>
      <w:r>
        <w:rPr>
          <w:sz w:val="28"/>
          <w:szCs w:val="28"/>
        </w:rPr>
        <w:instrText xml:space="preserve"> PAGEREF _Toc3807 \h </w:instrText>
      </w:r>
      <w:r>
        <w:rPr>
          <w:sz w:val="28"/>
          <w:szCs w:val="28"/>
        </w:rPr>
        <w:fldChar w:fldCharType="separate"/>
      </w:r>
      <w:r>
        <w:rPr>
          <w:sz w:val="28"/>
          <w:szCs w:val="28"/>
        </w:rPr>
        <w:t>12</w:t>
      </w:r>
      <w:r>
        <w:rPr>
          <w:sz w:val="28"/>
          <w:szCs w:val="28"/>
        </w:rPr>
        <w:fldChar w:fldCharType="end"/>
      </w:r>
      <w:r>
        <w:rPr>
          <w:rFonts w:hint="eastAsia" w:ascii="仿宋" w:hAnsi="仿宋" w:eastAsia="仿宋" w:cs="仿宋"/>
          <w:sz w:val="28"/>
          <w:szCs w:val="28"/>
        </w:rPr>
        <w:fldChar w:fldCharType="end"/>
      </w:r>
    </w:p>
    <w:p>
      <w:pPr>
        <w:rPr>
          <w:rFonts w:hint="eastAsia" w:ascii="仿宋" w:hAnsi="仿宋" w:eastAsia="仿宋" w:cs="仿宋"/>
          <w:sz w:val="18"/>
          <w:szCs w:val="18"/>
        </w:rPr>
      </w:pPr>
      <w:r>
        <w:rPr>
          <w:rFonts w:hint="eastAsia" w:ascii="仿宋" w:hAnsi="仿宋" w:eastAsia="仿宋" w:cs="仿宋"/>
          <w:sz w:val="28"/>
          <w:szCs w:val="28"/>
        </w:rPr>
        <w:fldChar w:fldCharType="end"/>
      </w: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rPr>
          <w:rFonts w:hint="eastAsia" w:ascii="仿宋" w:hAnsi="仿宋" w:eastAsia="仿宋" w:cs="仿宋"/>
          <w:sz w:val="18"/>
          <w:szCs w:val="18"/>
        </w:rPr>
      </w:pPr>
    </w:p>
    <w:p>
      <w:pPr>
        <w:rPr>
          <w:rFonts w:hint="eastAsia" w:ascii="仿宋" w:hAnsi="仿宋" w:eastAsia="仿宋" w:cs="仿宋"/>
          <w:sz w:val="18"/>
          <w:szCs w:val="18"/>
        </w:rPr>
      </w:pPr>
    </w:p>
    <w:p>
      <w:pPr>
        <w:pStyle w:val="5"/>
        <w:numPr>
          <w:ilvl w:val="0"/>
          <w:numId w:val="2"/>
        </w:numPr>
        <w:rPr>
          <w:rFonts w:hint="eastAsia" w:ascii="仿宋" w:hAnsi="仿宋" w:eastAsia="仿宋" w:cs="仿宋"/>
        </w:rPr>
      </w:pPr>
      <w:bookmarkStart w:id="6" w:name="_Toc25647"/>
      <w:r>
        <w:rPr>
          <w:rFonts w:hint="eastAsia" w:ascii="仿宋" w:hAnsi="仿宋" w:eastAsia="仿宋" w:cs="仿宋"/>
        </w:rPr>
        <w:t>概述</w:t>
      </w:r>
      <w:bookmarkEnd w:id="4"/>
      <w:bookmarkEnd w:id="6"/>
    </w:p>
    <w:p>
      <w:pPr>
        <w:pStyle w:val="6"/>
        <w:numPr>
          <w:ilvl w:val="1"/>
          <w:numId w:val="0"/>
        </w:numPr>
        <w:rPr>
          <w:rFonts w:hint="eastAsia" w:ascii="仿宋" w:hAnsi="仿宋" w:eastAsia="仿宋" w:cs="仿宋"/>
        </w:rPr>
      </w:pPr>
      <w:bookmarkStart w:id="7" w:name="_Toc3585"/>
      <w:r>
        <w:rPr>
          <w:rFonts w:hint="eastAsia" w:ascii="仿宋" w:hAnsi="仿宋" w:eastAsia="仿宋" w:cs="仿宋"/>
          <w:lang w:val="en-US"/>
        </w:rPr>
        <w:t>1.1项目</w:t>
      </w:r>
      <w:r>
        <w:rPr>
          <w:rFonts w:hint="eastAsia" w:ascii="仿宋" w:hAnsi="仿宋" w:eastAsia="仿宋" w:cs="仿宋"/>
        </w:rPr>
        <w:t>概述</w:t>
      </w:r>
      <w:bookmarkEnd w:id="7"/>
    </w:p>
    <w:p>
      <w:pPr>
        <w:spacing w:before="208" w:line="275" w:lineRule="auto"/>
        <w:ind w:right="79"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南通港吕四港区吕四作业区西港池港口支持系统工程</w:t>
      </w:r>
      <w:r>
        <w:rPr>
          <w:rFonts w:hint="eastAsia" w:ascii="仿宋" w:hAnsi="仿宋" w:eastAsia="仿宋" w:cs="仿宋"/>
          <w:sz w:val="28"/>
          <w:szCs w:val="28"/>
        </w:rPr>
        <w:t>船用岸电项目是为靠泊于</w:t>
      </w:r>
      <w:r>
        <w:rPr>
          <w:rFonts w:hint="eastAsia" w:ascii="仿宋" w:hAnsi="仿宋" w:eastAsia="仿宋" w:cs="仿宋"/>
          <w:sz w:val="28"/>
          <w:szCs w:val="28"/>
          <w:lang w:val="en-US" w:eastAsia="zh-CN"/>
        </w:rPr>
        <w:t>趸船</w:t>
      </w:r>
      <w:r>
        <w:rPr>
          <w:rFonts w:hint="eastAsia" w:ascii="仿宋" w:hAnsi="仿宋" w:eastAsia="仿宋" w:cs="仿宋"/>
          <w:sz w:val="28"/>
          <w:szCs w:val="28"/>
        </w:rPr>
        <w:t>期间的</w:t>
      </w:r>
      <w:r>
        <w:rPr>
          <w:rFonts w:hint="eastAsia" w:ascii="仿宋" w:hAnsi="仿宋" w:eastAsia="仿宋" w:cs="仿宋"/>
          <w:sz w:val="28"/>
          <w:szCs w:val="28"/>
          <w:lang w:val="en-US" w:eastAsia="zh-CN"/>
        </w:rPr>
        <w:t>拖轮、海巡船舶</w:t>
      </w:r>
      <w:r>
        <w:rPr>
          <w:rFonts w:hint="eastAsia" w:ascii="仿宋" w:hAnsi="仿宋" w:eastAsia="仿宋" w:cs="仿宋"/>
          <w:sz w:val="28"/>
          <w:szCs w:val="28"/>
        </w:rPr>
        <w:t>提供岸电电源的供电系统。停靠期间船舶停止使用自有燃油发电机，实现船舶污染物排放的转移，保护靠泊港区的大气环境。</w:t>
      </w:r>
    </w:p>
    <w:p>
      <w:pPr>
        <w:spacing w:before="3" w:line="239" w:lineRule="auto"/>
        <w:ind w:right="78" w:firstLine="480"/>
        <w:rPr>
          <w:rFonts w:hint="eastAsia" w:ascii="仿宋" w:hAnsi="仿宋" w:eastAsia="仿宋" w:cs="仿宋"/>
          <w:sz w:val="28"/>
          <w:szCs w:val="28"/>
        </w:rPr>
      </w:pPr>
      <w:r>
        <w:rPr>
          <w:rFonts w:hint="eastAsia" w:ascii="仿宋" w:hAnsi="仿宋" w:eastAsia="仿宋" w:cs="仿宋"/>
          <w:sz w:val="28"/>
          <w:szCs w:val="28"/>
        </w:rPr>
        <w:t>本“岸电项目”采用低压上船，上船电压及频率为</w:t>
      </w:r>
      <w:r>
        <w:rPr>
          <w:rFonts w:hint="eastAsia" w:ascii="仿宋" w:hAnsi="仿宋" w:eastAsia="仿宋" w:cs="仿宋"/>
          <w:sz w:val="28"/>
          <w:szCs w:val="28"/>
          <w:lang w:val="en-US" w:eastAsia="zh-CN"/>
        </w:rPr>
        <w:t>0.23KV/</w:t>
      </w:r>
      <w:r>
        <w:rPr>
          <w:rFonts w:hint="eastAsia" w:ascii="仿宋" w:hAnsi="仿宋" w:eastAsia="仿宋" w:cs="仿宋"/>
          <w:sz w:val="28"/>
          <w:szCs w:val="28"/>
        </w:rPr>
        <w:t>0.4kV50H</w:t>
      </w:r>
      <w:r>
        <w:rPr>
          <w:rFonts w:hint="eastAsia" w:ascii="仿宋" w:hAnsi="仿宋" w:eastAsia="仿宋" w:cs="仿宋"/>
          <w:sz w:val="28"/>
          <w:szCs w:val="28"/>
          <w:lang w:val="en-US" w:eastAsia="zh-CN"/>
        </w:rPr>
        <w:t>Z</w:t>
      </w:r>
      <w:r>
        <w:rPr>
          <w:rFonts w:hint="eastAsia" w:ascii="仿宋" w:hAnsi="仿宋" w:eastAsia="仿宋" w:cs="仿宋"/>
          <w:sz w:val="28"/>
          <w:szCs w:val="28"/>
        </w:rPr>
        <w:t>。上述岸电系统安装于</w:t>
      </w:r>
      <w:r>
        <w:rPr>
          <w:rFonts w:hint="eastAsia" w:ascii="仿宋" w:hAnsi="仿宋" w:eastAsia="仿宋" w:cs="仿宋"/>
          <w:sz w:val="28"/>
          <w:szCs w:val="28"/>
          <w:lang w:val="en-US" w:eastAsia="zh-CN"/>
        </w:rPr>
        <w:t>趸船甲板</w:t>
      </w:r>
      <w:r>
        <w:rPr>
          <w:rFonts w:hint="eastAsia" w:ascii="仿宋" w:hAnsi="仿宋" w:eastAsia="仿宋" w:cs="仿宋"/>
          <w:sz w:val="28"/>
          <w:szCs w:val="28"/>
        </w:rPr>
        <w:t>。</w:t>
      </w:r>
    </w:p>
    <w:p>
      <w:pPr>
        <w:spacing w:before="3" w:line="239" w:lineRule="auto"/>
        <w:ind w:right="78" w:firstLine="480"/>
        <w:rPr>
          <w:rFonts w:hint="eastAsia" w:ascii="仿宋" w:hAnsi="仿宋" w:eastAsia="仿宋" w:cs="仿宋"/>
          <w:sz w:val="28"/>
          <w:szCs w:val="28"/>
        </w:rPr>
      </w:pPr>
      <w:r>
        <w:rPr>
          <w:rFonts w:hint="eastAsia" w:ascii="仿宋" w:hAnsi="仿宋" w:eastAsia="仿宋" w:cs="仿宋"/>
          <w:sz w:val="28"/>
          <w:szCs w:val="28"/>
        </w:rPr>
        <w:t>在</w:t>
      </w:r>
      <w:r>
        <w:rPr>
          <w:rFonts w:hint="eastAsia" w:ascii="仿宋" w:hAnsi="仿宋" w:eastAsia="仿宋" w:cs="仿宋"/>
          <w:sz w:val="28"/>
          <w:szCs w:val="28"/>
          <w:lang w:val="en-US" w:eastAsia="zh-CN"/>
        </w:rPr>
        <w:t>三艘趸船甲板共</w:t>
      </w:r>
      <w:r>
        <w:rPr>
          <w:rFonts w:hint="eastAsia" w:ascii="仿宋" w:hAnsi="仿宋" w:eastAsia="仿宋" w:cs="仿宋"/>
          <w:sz w:val="28"/>
          <w:szCs w:val="28"/>
        </w:rPr>
        <w:t>设置</w:t>
      </w:r>
      <w:r>
        <w:rPr>
          <w:rFonts w:hint="eastAsia" w:ascii="仿宋" w:hAnsi="仿宋" w:eastAsia="仿宋" w:cs="仿宋"/>
          <w:sz w:val="28"/>
          <w:szCs w:val="28"/>
          <w:lang w:val="en-US" w:eastAsia="zh-CN"/>
        </w:rPr>
        <w:t>8</w:t>
      </w:r>
      <w:r>
        <w:rPr>
          <w:rFonts w:hint="eastAsia" w:ascii="仿宋" w:hAnsi="仿宋" w:eastAsia="仿宋" w:cs="仿宋"/>
          <w:sz w:val="28"/>
          <w:szCs w:val="28"/>
        </w:rPr>
        <w:t>套船用</w:t>
      </w:r>
      <w:r>
        <w:rPr>
          <w:rFonts w:hint="eastAsia" w:ascii="仿宋" w:hAnsi="仿宋" w:eastAsia="仿宋" w:cs="仿宋"/>
          <w:sz w:val="28"/>
          <w:szCs w:val="28"/>
          <w:lang w:val="en-US" w:eastAsia="zh-CN"/>
        </w:rPr>
        <w:t>智能岸电桩。</w:t>
      </w:r>
      <w:r>
        <w:rPr>
          <w:rFonts w:hint="eastAsia" w:ascii="仿宋" w:hAnsi="仿宋" w:eastAsia="仿宋" w:cs="仿宋"/>
          <w:sz w:val="28"/>
          <w:szCs w:val="28"/>
        </w:rPr>
        <w:t>当船舶使用岸电时，通过船上的电缆输送装置向岸上送缆并由岸方完成电缆与</w:t>
      </w:r>
      <w:r>
        <w:rPr>
          <w:rFonts w:hint="eastAsia" w:ascii="仿宋" w:hAnsi="仿宋" w:eastAsia="仿宋" w:cs="仿宋"/>
          <w:sz w:val="28"/>
          <w:szCs w:val="28"/>
          <w:lang w:val="en-US" w:eastAsia="zh-CN"/>
        </w:rPr>
        <w:t>岸电桩</w:t>
      </w:r>
      <w:r>
        <w:rPr>
          <w:rFonts w:hint="eastAsia" w:ascii="仿宋" w:hAnsi="仿宋" w:eastAsia="仿宋" w:cs="仿宋"/>
          <w:sz w:val="28"/>
          <w:szCs w:val="28"/>
        </w:rPr>
        <w:t>的连接。</w:t>
      </w:r>
    </w:p>
    <w:bookmarkEnd w:id="5"/>
    <w:p>
      <w:pPr>
        <w:pStyle w:val="5"/>
        <w:numPr>
          <w:ilvl w:val="0"/>
          <w:numId w:val="0"/>
        </w:numPr>
        <w:ind w:left="-425"/>
        <w:rPr>
          <w:rFonts w:hint="eastAsia" w:ascii="仿宋" w:hAnsi="仿宋" w:eastAsia="仿宋" w:cs="仿宋"/>
        </w:rPr>
      </w:pPr>
      <w:bookmarkStart w:id="8" w:name="_Toc9943"/>
      <w:r>
        <w:rPr>
          <w:rFonts w:hint="eastAsia" w:ascii="仿宋" w:hAnsi="仿宋" w:eastAsia="仿宋" w:cs="仿宋"/>
        </w:rPr>
        <w:t>2.技术规格</w:t>
      </w:r>
      <w:bookmarkEnd w:id="8"/>
    </w:p>
    <w:p>
      <w:pPr>
        <w:pStyle w:val="6"/>
        <w:numPr>
          <w:ilvl w:val="1"/>
          <w:numId w:val="0"/>
        </w:numPr>
        <w:rPr>
          <w:rFonts w:hint="eastAsia" w:ascii="仿宋" w:hAnsi="仿宋" w:eastAsia="仿宋" w:cs="仿宋"/>
          <w:lang w:val="en-US"/>
        </w:rPr>
      </w:pPr>
      <w:bookmarkStart w:id="9" w:name="_Toc32162"/>
      <w:r>
        <w:rPr>
          <w:rFonts w:hint="eastAsia" w:ascii="仿宋" w:hAnsi="仿宋" w:eastAsia="仿宋" w:cs="仿宋"/>
          <w:lang w:val="en-US"/>
        </w:rPr>
        <w:t>2.1岸电桩概述</w:t>
      </w:r>
      <w:bookmarkEnd w:id="9"/>
    </w:p>
    <w:p>
      <w:pPr>
        <w:spacing w:before="3" w:line="239" w:lineRule="auto"/>
        <w:ind w:right="78" w:firstLine="560" w:firstLineChars="200"/>
        <w:rPr>
          <w:rFonts w:hint="eastAsia" w:ascii="仿宋" w:hAnsi="仿宋" w:eastAsia="仿宋" w:cs="仿宋"/>
        </w:rPr>
      </w:pPr>
      <w:r>
        <w:rPr>
          <w:rFonts w:hint="eastAsia" w:ascii="仿宋" w:hAnsi="仿宋" w:eastAsia="仿宋" w:cs="仿宋"/>
          <w:sz w:val="28"/>
          <w:szCs w:val="28"/>
        </w:rPr>
        <w:t>本</w:t>
      </w:r>
      <w:r>
        <w:rPr>
          <w:rFonts w:hint="eastAsia" w:ascii="仿宋" w:hAnsi="仿宋" w:eastAsia="仿宋" w:cs="仿宋"/>
          <w:sz w:val="28"/>
          <w:szCs w:val="28"/>
          <w:lang w:val="en-US" w:eastAsia="zh-CN"/>
        </w:rPr>
        <w:t>次采购的</w:t>
      </w:r>
      <w:r>
        <w:rPr>
          <w:rFonts w:hint="eastAsia" w:ascii="仿宋" w:hAnsi="仿宋" w:eastAsia="仿宋" w:cs="仿宋"/>
          <w:sz w:val="28"/>
          <w:szCs w:val="28"/>
        </w:rPr>
        <w:t>岸电桩</w:t>
      </w:r>
      <w:r>
        <w:rPr>
          <w:rFonts w:hint="eastAsia" w:ascii="仿宋" w:hAnsi="仿宋" w:eastAsia="仿宋" w:cs="仿宋"/>
          <w:sz w:val="28"/>
          <w:szCs w:val="28"/>
          <w:lang w:val="en-US" w:eastAsia="zh-CN"/>
        </w:rPr>
        <w:t>应</w:t>
      </w:r>
      <w:r>
        <w:rPr>
          <w:rFonts w:hint="eastAsia" w:ascii="仿宋" w:hAnsi="仿宋" w:eastAsia="仿宋" w:cs="仿宋"/>
          <w:sz w:val="28"/>
          <w:szCs w:val="28"/>
        </w:rPr>
        <w:t>具有占地面积小、安装方便、简洁易用、系统集成等特点。设备</w:t>
      </w:r>
      <w:r>
        <w:rPr>
          <w:rFonts w:hint="eastAsia" w:ascii="仿宋" w:hAnsi="仿宋" w:eastAsia="仿宋" w:cs="仿宋"/>
          <w:sz w:val="28"/>
          <w:szCs w:val="28"/>
          <w:lang w:val="en-US" w:eastAsia="zh-CN"/>
        </w:rPr>
        <w:t>应</w:t>
      </w:r>
      <w:r>
        <w:rPr>
          <w:rFonts w:hint="eastAsia" w:ascii="仿宋" w:hAnsi="仿宋" w:eastAsia="仿宋" w:cs="仿宋"/>
          <w:sz w:val="28"/>
          <w:szCs w:val="28"/>
        </w:rPr>
        <w:t>适用于南通港吕四港区吕四作业区西港池港口支持系统工程的船舶供电服务和管理，可实现岸电设备与港口岸电综合管理系统和</w:t>
      </w:r>
      <w:r>
        <w:rPr>
          <w:rFonts w:hint="eastAsia" w:ascii="仿宋" w:hAnsi="仿宋" w:eastAsia="仿宋" w:cs="仿宋"/>
          <w:sz w:val="28"/>
          <w:szCs w:val="28"/>
          <w:lang w:val="en-US" w:eastAsia="zh-CN"/>
        </w:rPr>
        <w:t>监管部门</w:t>
      </w:r>
      <w:r>
        <w:rPr>
          <w:rFonts w:hint="eastAsia" w:ascii="仿宋" w:hAnsi="仿宋" w:eastAsia="仿宋" w:cs="仿宋"/>
          <w:sz w:val="28"/>
          <w:szCs w:val="28"/>
        </w:rPr>
        <w:t>的数据通信。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智能</w:t>
      </w:r>
      <w:r>
        <w:rPr>
          <w:rFonts w:hint="eastAsia" w:ascii="仿宋" w:hAnsi="仿宋" w:eastAsia="仿宋" w:cs="仿宋"/>
          <w:sz w:val="28"/>
          <w:szCs w:val="28"/>
        </w:rPr>
        <w:t>岸电桩主要包括：船岸连接器、</w:t>
      </w:r>
      <w:r>
        <w:rPr>
          <w:rFonts w:hint="eastAsia" w:ascii="仿宋" w:hAnsi="仿宋" w:eastAsia="仿宋" w:cs="仿宋"/>
          <w:sz w:val="28"/>
          <w:szCs w:val="28"/>
          <w:lang w:val="en-US" w:eastAsia="zh-CN"/>
        </w:rPr>
        <w:t>2mm304不锈钢柜体、塑壳断路器</w:t>
      </w:r>
      <w:r>
        <w:rPr>
          <w:rFonts w:hint="eastAsia" w:ascii="仿宋" w:hAnsi="仿宋" w:eastAsia="仿宋" w:cs="仿宋"/>
          <w:sz w:val="28"/>
          <w:szCs w:val="28"/>
        </w:rPr>
        <w:t>、</w:t>
      </w:r>
      <w:r>
        <w:rPr>
          <w:rFonts w:hint="eastAsia" w:ascii="仿宋" w:hAnsi="仿宋" w:eastAsia="仿宋" w:cs="仿宋"/>
          <w:sz w:val="28"/>
          <w:szCs w:val="28"/>
          <w:lang w:val="en-US" w:eastAsia="zh-CN"/>
        </w:rPr>
        <w:t>漏电保护开关、互感器、</w:t>
      </w:r>
      <w:r>
        <w:rPr>
          <w:rFonts w:hint="eastAsia" w:ascii="仿宋" w:hAnsi="仿宋" w:eastAsia="仿宋" w:cs="仿宋"/>
          <w:sz w:val="28"/>
          <w:szCs w:val="28"/>
        </w:rPr>
        <w:t>智能电能表、</w:t>
      </w:r>
      <w:r>
        <w:rPr>
          <w:rFonts w:hint="eastAsia" w:ascii="仿宋" w:hAnsi="仿宋" w:eastAsia="仿宋" w:cs="仿宋"/>
          <w:sz w:val="28"/>
          <w:szCs w:val="28"/>
          <w:lang w:val="en-US" w:eastAsia="zh-CN"/>
        </w:rPr>
        <w:t>智能传输模块</w:t>
      </w:r>
      <w:r>
        <w:rPr>
          <w:rFonts w:hint="eastAsia" w:ascii="仿宋" w:hAnsi="仿宋" w:eastAsia="仿宋" w:cs="仿宋"/>
          <w:sz w:val="28"/>
          <w:szCs w:val="28"/>
        </w:rPr>
        <w:t>、高灵敏度天线、</w:t>
      </w:r>
      <w:r>
        <w:rPr>
          <w:rFonts w:hint="eastAsia" w:ascii="仿宋" w:hAnsi="仿宋" w:eastAsia="仿宋" w:cs="仿宋"/>
          <w:sz w:val="28"/>
          <w:szCs w:val="28"/>
          <w:lang w:val="en-US" w:eastAsia="zh-CN"/>
        </w:rPr>
        <w:t>指示灯、浪涌保护器、智能除湿器</w:t>
      </w:r>
      <w:r>
        <w:rPr>
          <w:rFonts w:hint="eastAsia" w:ascii="仿宋" w:hAnsi="仿宋" w:eastAsia="仿宋" w:cs="仿宋"/>
          <w:sz w:val="28"/>
          <w:szCs w:val="28"/>
        </w:rPr>
        <w:t>及</w:t>
      </w:r>
      <w:r>
        <w:rPr>
          <w:rFonts w:hint="eastAsia" w:ascii="仿宋" w:hAnsi="仿宋" w:eastAsia="仿宋" w:cs="仿宋"/>
          <w:sz w:val="28"/>
          <w:szCs w:val="28"/>
          <w:lang w:val="en-US" w:eastAsia="zh-CN"/>
        </w:rPr>
        <w:t>应</w:t>
      </w:r>
      <w:r>
        <w:rPr>
          <w:rFonts w:hint="eastAsia" w:ascii="仿宋" w:hAnsi="仿宋" w:eastAsia="仿宋" w:cs="仿宋"/>
          <w:sz w:val="28"/>
          <w:szCs w:val="28"/>
        </w:rPr>
        <w:t>急停按钮等组成。</w:t>
      </w:r>
    </w:p>
    <w:p>
      <w:pPr>
        <w:spacing w:line="360" w:lineRule="auto"/>
        <w:ind w:firstLine="560" w:firstLineChars="200"/>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5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pPr>
              <w:spacing w:line="360" w:lineRule="auto"/>
              <w:jc w:val="center"/>
              <w:rPr>
                <w:rFonts w:hint="eastAsia" w:ascii="仿宋" w:hAnsi="仿宋" w:eastAsia="仿宋" w:cs="仿宋"/>
                <w:sz w:val="24"/>
              </w:rPr>
            </w:pPr>
            <w:r>
              <w:rPr>
                <w:rFonts w:hint="eastAsia" w:ascii="仿宋" w:hAnsi="仿宋" w:eastAsia="仿宋" w:cs="仿宋"/>
                <w:sz w:val="24"/>
              </w:rPr>
              <w:t>机械尺寸(</w:t>
            </w:r>
            <w:r>
              <w:rPr>
                <w:rFonts w:hint="eastAsia" w:ascii="仿宋" w:hAnsi="仿宋" w:eastAsia="仿宋" w:cs="仿宋"/>
                <w:sz w:val="24"/>
                <w:lang w:val="en-US" w:eastAsia="zh-CN"/>
              </w:rPr>
              <w:t>高</w:t>
            </w:r>
            <w:r>
              <w:rPr>
                <w:rFonts w:hint="eastAsia" w:ascii="仿宋" w:hAnsi="仿宋" w:eastAsia="仿宋" w:cs="仿宋"/>
                <w:sz w:val="24"/>
              </w:rPr>
              <w:t>X</w:t>
            </w:r>
            <w:r>
              <w:rPr>
                <w:rFonts w:hint="eastAsia" w:ascii="仿宋" w:hAnsi="仿宋" w:eastAsia="仿宋" w:cs="仿宋"/>
                <w:sz w:val="24"/>
                <w:lang w:val="en-US" w:eastAsia="zh-CN"/>
              </w:rPr>
              <w:t>宽</w:t>
            </w:r>
            <w:r>
              <w:rPr>
                <w:rFonts w:hint="eastAsia" w:ascii="仿宋" w:hAnsi="仿宋" w:eastAsia="仿宋" w:cs="仿宋"/>
                <w:sz w:val="24"/>
              </w:rPr>
              <w:t>X深)</w:t>
            </w:r>
          </w:p>
        </w:tc>
        <w:tc>
          <w:tcPr>
            <w:tcW w:w="5342" w:type="dxa"/>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立式：1200*600*400mm（带四脚底座）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pPr>
              <w:spacing w:line="360" w:lineRule="auto"/>
              <w:jc w:val="center"/>
              <w:rPr>
                <w:rFonts w:hint="eastAsia" w:ascii="仿宋" w:hAnsi="仿宋" w:eastAsia="仿宋" w:cs="仿宋"/>
                <w:sz w:val="24"/>
              </w:rPr>
            </w:pPr>
            <w:r>
              <w:rPr>
                <w:rFonts w:hint="eastAsia" w:ascii="仿宋" w:hAnsi="仿宋" w:eastAsia="仿宋" w:cs="仿宋"/>
                <w:color w:val="000000"/>
                <w:sz w:val="24"/>
              </w:rPr>
              <w:t>安装方式</w:t>
            </w:r>
          </w:p>
        </w:tc>
        <w:tc>
          <w:tcPr>
            <w:tcW w:w="5342" w:type="dxa"/>
          </w:tcPr>
          <w:p>
            <w:pPr>
              <w:spacing w:line="360" w:lineRule="auto"/>
              <w:jc w:val="center"/>
              <w:rPr>
                <w:rFonts w:hint="eastAsia" w:ascii="仿宋" w:hAnsi="仿宋" w:eastAsia="仿宋" w:cs="仿宋"/>
                <w:sz w:val="24"/>
              </w:rPr>
            </w:pPr>
            <w:r>
              <w:rPr>
                <w:rFonts w:hint="eastAsia" w:ascii="仿宋" w:hAnsi="仿宋" w:eastAsia="仿宋" w:cs="仿宋"/>
                <w:color w:val="000000"/>
                <w:sz w:val="24"/>
              </w:rPr>
              <w:t>地面平台安装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pPr>
              <w:spacing w:line="360" w:lineRule="auto"/>
              <w:jc w:val="center"/>
              <w:rPr>
                <w:rFonts w:hint="eastAsia" w:ascii="仿宋" w:hAnsi="仿宋" w:eastAsia="仿宋" w:cs="仿宋"/>
                <w:sz w:val="24"/>
              </w:rPr>
            </w:pPr>
            <w:r>
              <w:rPr>
                <w:rFonts w:hint="eastAsia" w:ascii="仿宋" w:hAnsi="仿宋" w:eastAsia="仿宋" w:cs="仿宋"/>
                <w:color w:val="000000"/>
                <w:sz w:val="24"/>
              </w:rPr>
              <w:t>机箱材料</w:t>
            </w:r>
          </w:p>
        </w:tc>
        <w:tc>
          <w:tcPr>
            <w:tcW w:w="5342" w:type="dxa"/>
          </w:tcPr>
          <w:p>
            <w:pPr>
              <w:spacing w:line="360" w:lineRule="auto"/>
              <w:jc w:val="center"/>
              <w:rPr>
                <w:rFonts w:hint="eastAsia" w:ascii="仿宋" w:hAnsi="仿宋" w:eastAsia="仿宋" w:cs="仿宋"/>
                <w:sz w:val="24"/>
              </w:rPr>
            </w:pPr>
            <w:r>
              <w:rPr>
                <w:rFonts w:hint="eastAsia" w:ascii="仿宋" w:hAnsi="仿宋" w:eastAsia="仿宋" w:cs="仿宋"/>
                <w:sz w:val="24"/>
              </w:rPr>
              <w:t>2mm304不锈钢板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pPr>
              <w:spacing w:line="360" w:lineRule="auto"/>
              <w:jc w:val="center"/>
              <w:rPr>
                <w:rFonts w:hint="eastAsia" w:ascii="仿宋" w:hAnsi="仿宋" w:eastAsia="仿宋" w:cs="仿宋"/>
                <w:sz w:val="24"/>
              </w:rPr>
            </w:pPr>
            <w:r>
              <w:rPr>
                <w:rFonts w:hint="eastAsia" w:ascii="仿宋" w:hAnsi="仿宋" w:eastAsia="仿宋" w:cs="仿宋"/>
                <w:color w:val="000000"/>
                <w:sz w:val="24"/>
              </w:rPr>
              <w:t>进线</w:t>
            </w:r>
          </w:p>
        </w:tc>
        <w:tc>
          <w:tcPr>
            <w:tcW w:w="5342" w:type="dxa"/>
          </w:tcPr>
          <w:p>
            <w:pPr>
              <w:spacing w:line="360" w:lineRule="auto"/>
              <w:jc w:val="center"/>
              <w:rPr>
                <w:rFonts w:hint="eastAsia" w:ascii="仿宋" w:hAnsi="仿宋" w:eastAsia="仿宋" w:cs="仿宋"/>
                <w:sz w:val="24"/>
              </w:rPr>
            </w:pPr>
            <w:r>
              <w:rPr>
                <w:rFonts w:hint="eastAsia" w:ascii="仿宋" w:hAnsi="仿宋" w:eastAsia="仿宋" w:cs="仿宋"/>
                <w:sz w:val="24"/>
              </w:rPr>
              <w:t>装置底部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pPr>
              <w:spacing w:line="360" w:lineRule="auto"/>
              <w:jc w:val="center"/>
              <w:rPr>
                <w:rFonts w:hint="eastAsia" w:ascii="仿宋" w:hAnsi="仿宋" w:eastAsia="仿宋" w:cs="仿宋"/>
                <w:sz w:val="24"/>
              </w:rPr>
            </w:pPr>
            <w:r>
              <w:rPr>
                <w:rFonts w:hint="eastAsia" w:ascii="仿宋" w:hAnsi="仿宋" w:eastAsia="仿宋" w:cs="仿宋"/>
                <w:color w:val="000000"/>
                <w:sz w:val="24"/>
              </w:rPr>
              <w:t>进线方式</w:t>
            </w:r>
          </w:p>
        </w:tc>
        <w:tc>
          <w:tcPr>
            <w:tcW w:w="5342" w:type="dxa"/>
          </w:tcPr>
          <w:p>
            <w:pPr>
              <w:spacing w:line="360" w:lineRule="auto"/>
              <w:jc w:val="center"/>
              <w:rPr>
                <w:rFonts w:hint="eastAsia" w:ascii="仿宋" w:hAnsi="仿宋" w:eastAsia="仿宋" w:cs="仿宋"/>
                <w:sz w:val="24"/>
              </w:rPr>
            </w:pPr>
            <w:r>
              <w:rPr>
                <w:rFonts w:hint="eastAsia" w:ascii="仿宋" w:hAnsi="仿宋" w:eastAsia="仿宋" w:cs="仿宋"/>
                <w:sz w:val="24"/>
              </w:rPr>
              <w:t>三相四线进线+PE线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电台</w:t>
            </w:r>
          </w:p>
        </w:tc>
        <w:tc>
          <w:tcPr>
            <w:tcW w:w="5342" w:type="dxa"/>
          </w:tcPr>
          <w:p>
            <w:pPr>
              <w:spacing w:line="360" w:lineRule="auto"/>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4G智能传输模块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pPr>
              <w:spacing w:line="360" w:lineRule="auto"/>
              <w:jc w:val="center"/>
              <w:rPr>
                <w:rFonts w:hint="eastAsia" w:ascii="仿宋" w:hAnsi="仿宋" w:eastAsia="仿宋" w:cs="仿宋"/>
                <w:sz w:val="24"/>
              </w:rPr>
            </w:pPr>
            <w:r>
              <w:rPr>
                <w:rFonts w:hint="eastAsia" w:ascii="仿宋" w:hAnsi="仿宋" w:eastAsia="仿宋" w:cs="仿宋"/>
                <w:color w:val="000000"/>
                <w:sz w:val="24"/>
              </w:rPr>
              <w:t>重量</w:t>
            </w:r>
          </w:p>
        </w:tc>
        <w:tc>
          <w:tcPr>
            <w:tcW w:w="5342" w:type="dxa"/>
          </w:tcPr>
          <w:p>
            <w:pPr>
              <w:spacing w:line="360" w:lineRule="auto"/>
              <w:jc w:val="center"/>
              <w:rPr>
                <w:rFonts w:hint="eastAsia" w:ascii="仿宋" w:hAnsi="仿宋" w:eastAsia="仿宋" w:cs="仿宋"/>
                <w:sz w:val="24"/>
              </w:rPr>
            </w:pPr>
            <w:r>
              <w:rPr>
                <w:rFonts w:hint="eastAsia" w:ascii="仿宋" w:hAnsi="仿宋" w:eastAsia="仿宋" w:cs="仿宋"/>
                <w:color w:val="000000"/>
                <w:sz w:val="24"/>
              </w:rPr>
              <w:t>&lt;200kG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pPr>
              <w:spacing w:line="360" w:lineRule="auto"/>
              <w:jc w:val="center"/>
              <w:rPr>
                <w:rFonts w:hint="eastAsia" w:ascii="仿宋" w:hAnsi="仿宋" w:eastAsia="仿宋" w:cs="仿宋"/>
                <w:sz w:val="24"/>
              </w:rPr>
            </w:pPr>
            <w:r>
              <w:rPr>
                <w:rFonts w:hint="eastAsia" w:ascii="仿宋" w:hAnsi="仿宋" w:eastAsia="仿宋" w:cs="仿宋"/>
                <w:color w:val="000000"/>
                <w:sz w:val="24"/>
              </w:rPr>
              <w:t>防护等级：</w:t>
            </w:r>
          </w:p>
        </w:tc>
        <w:tc>
          <w:tcPr>
            <w:tcW w:w="5342" w:type="dxa"/>
          </w:tcPr>
          <w:p>
            <w:pPr>
              <w:spacing w:line="360" w:lineRule="auto"/>
              <w:jc w:val="center"/>
              <w:rPr>
                <w:rFonts w:hint="eastAsia" w:ascii="仿宋" w:hAnsi="仿宋" w:eastAsia="仿宋" w:cs="仿宋"/>
                <w:sz w:val="24"/>
                <w:lang w:eastAsia="zh-CN"/>
              </w:rPr>
            </w:pPr>
            <w:r>
              <w:rPr>
                <w:rFonts w:hint="eastAsia" w:ascii="仿宋" w:hAnsi="仿宋" w:eastAsia="仿宋" w:cs="仿宋"/>
                <w:color w:val="000000"/>
                <w:sz w:val="24"/>
                <w:lang w:val="en-US" w:eastAsia="zh-CN"/>
              </w:rPr>
              <w:t>符</w:t>
            </w:r>
            <w:r>
              <w:rPr>
                <w:rFonts w:hint="eastAsia" w:ascii="仿宋" w:hAnsi="仿宋" w:eastAsia="仿宋" w:cs="仿宋"/>
                <w:color w:val="000000"/>
                <w:sz w:val="24"/>
                <w:highlight w:val="none"/>
                <w:lang w:val="en-US" w:eastAsia="zh-CN"/>
              </w:rPr>
              <w:t>合JTS_155-2019码头岸电设施建设技术规范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柜体颜色</w:t>
            </w:r>
          </w:p>
        </w:tc>
        <w:tc>
          <w:tcPr>
            <w:tcW w:w="5342" w:type="dxa"/>
          </w:tcPr>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国网绿+电工灰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柜体数量</w:t>
            </w:r>
          </w:p>
        </w:tc>
        <w:tc>
          <w:tcPr>
            <w:tcW w:w="5342" w:type="dxa"/>
          </w:tcPr>
          <w:p>
            <w:pPr>
              <w:spacing w:line="360" w:lineRule="auto"/>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r>
    </w:tbl>
    <w:p>
      <w:pPr>
        <w:rPr>
          <w:rFonts w:hint="eastAsia" w:ascii="仿宋" w:hAnsi="仿宋" w:eastAsia="仿宋" w:cs="仿宋"/>
        </w:rPr>
      </w:pPr>
    </w:p>
    <w:p>
      <w:pPr>
        <w:pStyle w:val="6"/>
        <w:numPr>
          <w:ilvl w:val="1"/>
          <w:numId w:val="0"/>
        </w:numPr>
        <w:rPr>
          <w:rFonts w:hint="eastAsia" w:ascii="仿宋" w:hAnsi="仿宋" w:eastAsia="仿宋" w:cs="仿宋"/>
        </w:rPr>
      </w:pPr>
      <w:bookmarkStart w:id="10" w:name="_Toc10439"/>
      <w:r>
        <w:rPr>
          <w:rFonts w:hint="eastAsia" w:ascii="仿宋" w:hAnsi="仿宋" w:eastAsia="仿宋" w:cs="仿宋"/>
          <w:lang w:val="en-US"/>
        </w:rPr>
        <w:t>2.2</w:t>
      </w:r>
      <w:r>
        <w:rPr>
          <w:rFonts w:hint="eastAsia" w:ascii="仿宋" w:hAnsi="仿宋" w:eastAsia="仿宋" w:cs="仿宋"/>
        </w:rPr>
        <w:t>电气原理</w:t>
      </w:r>
      <w:bookmarkEnd w:id="10"/>
    </w:p>
    <w:p>
      <w:pPr>
        <w:spacing w:line="360" w:lineRule="auto"/>
        <w:ind w:firstLine="560" w:firstLineChars="200"/>
        <w:rPr>
          <w:rFonts w:hint="eastAsia" w:ascii="仿宋" w:hAnsi="仿宋" w:eastAsia="仿宋" w:cs="仿宋"/>
          <w:sz w:val="28"/>
          <w:szCs w:val="28"/>
        </w:rPr>
      </w:pPr>
      <w:bookmarkStart w:id="11" w:name="_Toc22809"/>
      <w:r>
        <w:rPr>
          <w:rFonts w:hint="eastAsia" w:ascii="仿宋" w:hAnsi="仿宋" w:eastAsia="仿宋" w:cs="仿宋"/>
          <w:sz w:val="28"/>
          <w:szCs w:val="28"/>
        </w:rPr>
        <w:t>岸电桩主</w:t>
      </w:r>
      <w:r>
        <w:rPr>
          <w:rFonts w:hint="eastAsia" w:ascii="仿宋" w:hAnsi="仿宋" w:eastAsia="仿宋" w:cs="仿宋"/>
          <w:sz w:val="28"/>
          <w:szCs w:val="28"/>
          <w:lang w:val="en-US" w:eastAsia="zh-CN"/>
        </w:rPr>
        <w:t>要通过</w:t>
      </w:r>
      <w:r>
        <w:rPr>
          <w:rFonts w:hint="eastAsia" w:ascii="仿宋" w:hAnsi="仿宋" w:eastAsia="仿宋" w:cs="仿宋"/>
          <w:sz w:val="28"/>
          <w:szCs w:val="28"/>
        </w:rPr>
        <w:t>充电接口连接器</w:t>
      </w:r>
      <w:r>
        <w:rPr>
          <w:rFonts w:hint="eastAsia" w:ascii="仿宋" w:hAnsi="仿宋" w:eastAsia="仿宋" w:cs="仿宋"/>
          <w:sz w:val="28"/>
          <w:szCs w:val="28"/>
          <w:lang w:val="en-US" w:eastAsia="zh-CN"/>
        </w:rPr>
        <w:t>向船舶供电</w:t>
      </w:r>
      <w:r>
        <w:rPr>
          <w:rFonts w:hint="eastAsia" w:ascii="仿宋" w:hAnsi="仿宋" w:eastAsia="仿宋" w:cs="仿宋"/>
          <w:sz w:val="28"/>
          <w:szCs w:val="28"/>
        </w:rPr>
        <w:t>；二次回路包括空气开关、</w:t>
      </w:r>
      <w:r>
        <w:rPr>
          <w:rFonts w:hint="eastAsia" w:ascii="仿宋" w:hAnsi="仿宋" w:eastAsia="仿宋" w:cs="仿宋"/>
          <w:sz w:val="28"/>
          <w:szCs w:val="28"/>
          <w:lang w:val="en-US" w:eastAsia="zh-CN"/>
        </w:rPr>
        <w:t>4G智能传输模块</w:t>
      </w:r>
      <w:r>
        <w:rPr>
          <w:rFonts w:hint="eastAsia" w:ascii="仿宋" w:hAnsi="仿宋" w:eastAsia="仿宋" w:cs="仿宋"/>
          <w:sz w:val="28"/>
          <w:szCs w:val="28"/>
        </w:rPr>
        <w:t>、智能电表、急停按钮、运行状态指示灯</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智能除湿设备</w:t>
      </w:r>
      <w:r>
        <w:rPr>
          <w:rFonts w:hint="eastAsia" w:ascii="仿宋" w:hAnsi="仿宋" w:eastAsia="仿宋" w:cs="仿宋"/>
          <w:sz w:val="28"/>
          <w:szCs w:val="28"/>
        </w:rPr>
        <w:t>等。</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岸电桩通过</w:t>
      </w:r>
      <w:r>
        <w:rPr>
          <w:rFonts w:hint="eastAsia" w:ascii="仿宋" w:hAnsi="仿宋" w:eastAsia="仿宋" w:cs="仿宋"/>
          <w:sz w:val="28"/>
          <w:szCs w:val="28"/>
        </w:rPr>
        <w:t>手动方式</w:t>
      </w:r>
      <w:bookmarkStart w:id="12" w:name="_Hlk117183575"/>
      <w:r>
        <w:rPr>
          <w:rFonts w:hint="eastAsia" w:ascii="仿宋" w:hAnsi="仿宋" w:eastAsia="仿宋" w:cs="仿宋"/>
          <w:sz w:val="28"/>
          <w:szCs w:val="28"/>
        </w:rPr>
        <w:t>对断路器进行</w:t>
      </w:r>
      <w:bookmarkEnd w:id="12"/>
      <w:r>
        <w:rPr>
          <w:rFonts w:hint="eastAsia" w:ascii="仿宋" w:hAnsi="仿宋" w:eastAsia="仿宋" w:cs="仿宋"/>
          <w:sz w:val="28"/>
          <w:szCs w:val="28"/>
        </w:rPr>
        <w:t>“启动”、“停止”用电；可通过箱外急停按钮实现“急停”操作。信号指示灯提供总电源指示以及插座已供电指示</w:t>
      </w:r>
      <w:r>
        <w:rPr>
          <w:rFonts w:hint="eastAsia" w:ascii="仿宋" w:hAnsi="仿宋" w:eastAsia="仿宋" w:cs="仿宋"/>
          <w:sz w:val="28"/>
          <w:szCs w:val="28"/>
          <w:lang w:eastAsia="zh-CN"/>
        </w:rPr>
        <w:t>。</w:t>
      </w:r>
    </w:p>
    <w:p>
      <w:pPr>
        <w:pStyle w:val="6"/>
        <w:numPr>
          <w:ilvl w:val="1"/>
          <w:numId w:val="0"/>
        </w:numPr>
        <w:rPr>
          <w:rFonts w:hint="eastAsia" w:ascii="仿宋" w:hAnsi="仿宋" w:eastAsia="仿宋" w:cs="仿宋"/>
          <w:lang w:val="en-US"/>
        </w:rPr>
      </w:pPr>
      <w:bookmarkStart w:id="13" w:name="_Toc7800"/>
      <w:r>
        <w:rPr>
          <w:rFonts w:hint="eastAsia" w:ascii="仿宋" w:hAnsi="仿宋" w:eastAsia="仿宋" w:cs="仿宋"/>
          <w:lang w:val="en-US"/>
        </w:rPr>
        <w:t>2.3保护功能</w:t>
      </w:r>
      <w:bookmarkEnd w:id="11"/>
      <w:bookmarkEnd w:id="13"/>
    </w:p>
    <w:p>
      <w:pPr>
        <w:spacing w:line="360" w:lineRule="auto"/>
        <w:ind w:firstLine="560" w:firstLineChars="200"/>
        <w:rPr>
          <w:rFonts w:hint="eastAsia" w:ascii="仿宋" w:hAnsi="仿宋" w:eastAsia="仿宋" w:cs="仿宋"/>
          <w:sz w:val="28"/>
          <w:szCs w:val="28"/>
        </w:rPr>
      </w:pPr>
      <w:bookmarkStart w:id="14" w:name="_Toc6614"/>
      <w:r>
        <w:rPr>
          <w:rFonts w:hint="eastAsia" w:ascii="仿宋" w:hAnsi="仿宋" w:eastAsia="仿宋" w:cs="仿宋"/>
          <w:sz w:val="28"/>
          <w:szCs w:val="28"/>
          <w:lang w:val="en-US" w:eastAsia="zh-CN"/>
        </w:rPr>
        <w:t>岸电桩</w:t>
      </w:r>
      <w:r>
        <w:rPr>
          <w:rFonts w:hint="eastAsia" w:ascii="仿宋" w:hAnsi="仿宋" w:eastAsia="仿宋" w:cs="仿宋"/>
          <w:sz w:val="28"/>
          <w:szCs w:val="28"/>
        </w:rPr>
        <w:t>主电路输入断路器具备过载、短路</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漏电保护等</w:t>
      </w:r>
      <w:r>
        <w:rPr>
          <w:rFonts w:hint="eastAsia" w:ascii="仿宋" w:hAnsi="仿宋" w:eastAsia="仿宋" w:cs="仿宋"/>
          <w:sz w:val="28"/>
          <w:szCs w:val="28"/>
        </w:rPr>
        <w:t>功能；</w:t>
      </w:r>
      <w:r>
        <w:rPr>
          <w:rFonts w:hint="eastAsia" w:ascii="仿宋" w:hAnsi="仿宋" w:eastAsia="仿宋" w:cs="仿宋"/>
          <w:sz w:val="28"/>
          <w:szCs w:val="28"/>
          <w:lang w:val="en-US" w:eastAsia="zh-CN"/>
        </w:rPr>
        <w:t>插头、插座</w:t>
      </w:r>
      <w:r>
        <w:rPr>
          <w:rFonts w:hint="eastAsia" w:ascii="仿宋" w:hAnsi="仿宋" w:eastAsia="仿宋" w:cs="仿宋"/>
          <w:sz w:val="28"/>
          <w:szCs w:val="28"/>
        </w:rPr>
        <w:t>具备锁紧装置和防误插功能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岸电桩还具备防雷击、除湿应急停止等功能</w:t>
      </w:r>
      <w:r>
        <w:rPr>
          <w:rFonts w:hint="eastAsia" w:ascii="仿宋" w:hAnsi="仿宋" w:eastAsia="仿宋" w:cs="仿宋"/>
          <w:sz w:val="28"/>
          <w:szCs w:val="28"/>
        </w:rPr>
        <w:t>。</w:t>
      </w:r>
    </w:p>
    <w:p>
      <w:pPr>
        <w:pStyle w:val="6"/>
        <w:numPr>
          <w:ilvl w:val="1"/>
          <w:numId w:val="0"/>
        </w:numPr>
        <w:rPr>
          <w:rFonts w:hint="eastAsia" w:ascii="仿宋" w:hAnsi="仿宋" w:eastAsia="仿宋" w:cs="仿宋"/>
        </w:rPr>
      </w:pPr>
      <w:bookmarkStart w:id="15" w:name="_Toc1786"/>
      <w:r>
        <w:rPr>
          <w:rFonts w:hint="eastAsia" w:ascii="仿宋" w:hAnsi="仿宋" w:eastAsia="仿宋" w:cs="仿宋"/>
          <w:lang w:val="en-US"/>
        </w:rPr>
        <w:t>2.4</w:t>
      </w:r>
      <w:r>
        <w:rPr>
          <w:rFonts w:hint="eastAsia" w:ascii="仿宋" w:hAnsi="仿宋" w:eastAsia="仿宋" w:cs="仿宋"/>
        </w:rPr>
        <w:t>交流输入</w:t>
      </w:r>
      <w:bookmarkEnd w:id="14"/>
      <w:bookmarkEnd w:id="15"/>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2.4.1岸电桩配置:</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pPr>
              <w:spacing w:line="360" w:lineRule="auto"/>
              <w:jc w:val="left"/>
              <w:rPr>
                <w:rFonts w:hint="eastAsia" w:ascii="仿宋" w:hAnsi="仿宋" w:eastAsia="仿宋" w:cs="仿宋"/>
                <w:sz w:val="24"/>
              </w:rPr>
            </w:pPr>
            <w:r>
              <w:rPr>
                <w:rFonts w:hint="eastAsia" w:ascii="仿宋" w:hAnsi="仿宋" w:eastAsia="仿宋" w:cs="仿宋"/>
                <w:color w:val="000000"/>
                <w:sz w:val="24"/>
              </w:rPr>
              <w:t>产品名称</w:t>
            </w:r>
          </w:p>
        </w:tc>
        <w:tc>
          <w:tcPr>
            <w:tcW w:w="6288" w:type="dxa"/>
          </w:tcPr>
          <w:p>
            <w:pPr>
              <w:spacing w:line="360" w:lineRule="auto"/>
              <w:rPr>
                <w:rFonts w:hint="eastAsia" w:ascii="仿宋" w:hAnsi="仿宋" w:eastAsia="仿宋" w:cs="仿宋"/>
                <w:sz w:val="24"/>
              </w:rPr>
            </w:pPr>
            <w:r>
              <w:rPr>
                <w:rFonts w:hint="eastAsia" w:ascii="仿宋" w:hAnsi="仿宋" w:eastAsia="仿宋" w:cs="仿宋"/>
                <w:sz w:val="24"/>
                <w:highlight w:val="none"/>
                <w:lang w:val="en-US" w:eastAsia="zh-CN"/>
              </w:rPr>
              <w:t>智能</w:t>
            </w:r>
            <w:r>
              <w:rPr>
                <w:rFonts w:hint="eastAsia" w:ascii="仿宋" w:hAnsi="仿宋" w:eastAsia="仿宋" w:cs="仿宋"/>
                <w:sz w:val="24"/>
                <w:highlight w:val="none"/>
              </w:rPr>
              <w:t>一体式</w:t>
            </w:r>
            <w:r>
              <w:rPr>
                <w:rFonts w:hint="eastAsia" w:ascii="仿宋" w:hAnsi="仿宋" w:eastAsia="仿宋" w:cs="仿宋"/>
                <w:sz w:val="24"/>
                <w:highlight w:val="none"/>
                <w:lang w:val="en-US" w:eastAsia="zh-CN"/>
              </w:rPr>
              <w:t>四</w:t>
            </w:r>
            <w:r>
              <w:rPr>
                <w:rFonts w:hint="eastAsia" w:ascii="仿宋" w:hAnsi="仿宋" w:eastAsia="仿宋" w:cs="仿宋"/>
                <w:sz w:val="24"/>
                <w:highlight w:val="none"/>
              </w:rPr>
              <w:t>枪岸电桩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pPr>
              <w:spacing w:line="360" w:lineRule="auto"/>
              <w:jc w:val="left"/>
              <w:rPr>
                <w:rFonts w:hint="eastAsia" w:ascii="仿宋" w:hAnsi="仿宋" w:eastAsia="仿宋" w:cs="仿宋"/>
                <w:sz w:val="24"/>
              </w:rPr>
            </w:pPr>
            <w:r>
              <w:rPr>
                <w:rFonts w:hint="eastAsia" w:ascii="仿宋" w:hAnsi="仿宋" w:eastAsia="仿宋" w:cs="仿宋"/>
                <w:color w:val="000000"/>
                <w:sz w:val="24"/>
              </w:rPr>
              <w:t>额定电压</w:t>
            </w:r>
          </w:p>
        </w:tc>
        <w:tc>
          <w:tcPr>
            <w:tcW w:w="6288" w:type="dxa"/>
          </w:tcPr>
          <w:p>
            <w:pPr>
              <w:spacing w:line="360" w:lineRule="auto"/>
              <w:jc w:val="left"/>
              <w:rPr>
                <w:rFonts w:hint="eastAsia" w:ascii="仿宋" w:hAnsi="仿宋" w:eastAsia="仿宋" w:cs="仿宋"/>
                <w:sz w:val="24"/>
              </w:rPr>
            </w:pPr>
            <w:r>
              <w:rPr>
                <w:rFonts w:hint="eastAsia" w:ascii="仿宋" w:hAnsi="仿宋" w:eastAsia="仿宋" w:cs="仿宋"/>
                <w:color w:val="000000"/>
                <w:sz w:val="24"/>
              </w:rPr>
              <w:t>AC</w:t>
            </w:r>
            <w:r>
              <w:rPr>
                <w:rFonts w:hint="eastAsia" w:ascii="仿宋" w:hAnsi="仿宋" w:eastAsia="仿宋" w:cs="仿宋"/>
                <w:color w:val="000000"/>
                <w:sz w:val="24"/>
                <w:lang w:val="en-US" w:eastAsia="zh-CN"/>
              </w:rPr>
              <w:t>400</w:t>
            </w:r>
            <w:r>
              <w:rPr>
                <w:rFonts w:hint="eastAsia" w:ascii="仿宋" w:hAnsi="仿宋" w:eastAsia="仿宋" w:cs="仿宋"/>
                <w:color w:val="000000"/>
                <w:sz w:val="24"/>
              </w:rPr>
              <w:t>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2234" w:type="dxa"/>
          </w:tcPr>
          <w:p>
            <w:pPr>
              <w:spacing w:line="360" w:lineRule="auto"/>
              <w:rPr>
                <w:rFonts w:hint="eastAsia" w:ascii="仿宋" w:hAnsi="仿宋" w:eastAsia="仿宋" w:cs="仿宋"/>
                <w:color w:val="000000"/>
                <w:sz w:val="24"/>
              </w:rPr>
            </w:pPr>
          </w:p>
          <w:p>
            <w:pPr>
              <w:spacing w:line="360" w:lineRule="auto"/>
              <w:jc w:val="center"/>
              <w:rPr>
                <w:rFonts w:hint="eastAsia" w:ascii="仿宋" w:hAnsi="仿宋" w:eastAsia="仿宋" w:cs="仿宋"/>
                <w:color w:val="000000"/>
                <w:sz w:val="24"/>
              </w:rPr>
            </w:pPr>
          </w:p>
          <w:p>
            <w:pPr>
              <w:spacing w:line="360" w:lineRule="auto"/>
              <w:jc w:val="center"/>
              <w:rPr>
                <w:rFonts w:hint="eastAsia" w:ascii="仿宋" w:hAnsi="仿宋" w:eastAsia="仿宋" w:cs="仿宋"/>
                <w:sz w:val="24"/>
              </w:rPr>
            </w:pPr>
            <w:r>
              <w:rPr>
                <w:rFonts w:hint="eastAsia" w:ascii="仿宋" w:hAnsi="仿宋" w:eastAsia="仿宋" w:cs="仿宋"/>
                <w:color w:val="000000"/>
                <w:sz w:val="24"/>
              </w:rPr>
              <w:t>岸电桩输出接口</w:t>
            </w:r>
          </w:p>
        </w:tc>
        <w:tc>
          <w:tcPr>
            <w:tcW w:w="6288" w:type="dxa"/>
          </w:tcPr>
          <w:p>
            <w:pPr>
              <w:spacing w:line="360" w:lineRule="auto"/>
              <w:jc w:val="left"/>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个连接器接口</w:t>
            </w:r>
            <w:r>
              <w:rPr>
                <w:rFonts w:hint="eastAsia" w:ascii="仿宋" w:hAnsi="仿宋" w:eastAsia="仿宋" w:cs="仿宋"/>
                <w:sz w:val="24"/>
                <w:highlight w:val="none"/>
                <w:lang w:eastAsia="zh-CN"/>
              </w:rPr>
              <w:t>：</w:t>
            </w:r>
          </w:p>
          <w:p>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个125A岸电连接器接口，满足</w:t>
            </w:r>
            <w:r>
              <w:rPr>
                <w:rFonts w:hint="eastAsia" w:ascii="仿宋" w:hAnsi="仿宋" w:eastAsia="仿宋" w:cs="仿宋"/>
                <w:color w:val="auto"/>
                <w:sz w:val="24"/>
                <w:highlight w:val="none"/>
              </w:rPr>
              <w:t>GBT11918.5-2020规范要求</w:t>
            </w:r>
            <w:r>
              <w:rPr>
                <w:rFonts w:hint="eastAsia" w:ascii="仿宋" w:hAnsi="仿宋" w:eastAsia="仿宋" w:cs="仿宋"/>
                <w:color w:val="auto"/>
                <w:sz w:val="24"/>
                <w:highlight w:val="none"/>
                <w:lang w:eastAsia="zh-CN"/>
              </w:rPr>
              <w:t>；</w:t>
            </w:r>
          </w:p>
          <w:p>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个</w:t>
            </w:r>
            <w:r>
              <w:rPr>
                <w:rFonts w:hint="eastAsia" w:ascii="仿宋" w:hAnsi="仿宋" w:eastAsia="仿宋" w:cs="仿宋"/>
                <w:color w:val="auto"/>
                <w:sz w:val="24"/>
                <w:highlight w:val="none"/>
                <w:lang w:val="en-US" w:eastAsia="zh-CN"/>
              </w:rPr>
              <w:t>63</w:t>
            </w:r>
            <w:r>
              <w:rPr>
                <w:rFonts w:hint="eastAsia" w:ascii="仿宋" w:hAnsi="仿宋" w:eastAsia="仿宋" w:cs="仿宋"/>
                <w:color w:val="auto"/>
                <w:sz w:val="24"/>
                <w:highlight w:val="none"/>
              </w:rPr>
              <w:t>A岸电连接器接口，满足GBT11918.5-2020规范要求</w:t>
            </w:r>
            <w:r>
              <w:rPr>
                <w:rFonts w:hint="eastAsia" w:ascii="仿宋" w:hAnsi="仿宋" w:eastAsia="仿宋" w:cs="仿宋"/>
                <w:color w:val="auto"/>
                <w:sz w:val="24"/>
                <w:highlight w:val="none"/>
                <w:lang w:eastAsia="zh-CN"/>
              </w:rPr>
              <w:t>；</w:t>
            </w:r>
          </w:p>
          <w:p>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1个63A（三相五线）220/380V工业航空插座；</w:t>
            </w:r>
          </w:p>
          <w:p>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1个63A(三相四线)380V工业航空插座。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34" w:type="dxa"/>
          </w:tcPr>
          <w:p>
            <w:pPr>
              <w:spacing w:line="360" w:lineRule="auto"/>
              <w:jc w:val="center"/>
              <w:rPr>
                <w:rFonts w:hint="eastAsia" w:ascii="仿宋" w:hAnsi="仿宋" w:eastAsia="仿宋" w:cs="仿宋"/>
                <w:color w:val="000000"/>
                <w:sz w:val="24"/>
                <w:highlight w:val="none"/>
                <w:lang w:val="en-US" w:eastAsia="zh-CN"/>
              </w:rPr>
            </w:pPr>
            <w:bookmarkStart w:id="16" w:name="_Toc4729"/>
            <w:r>
              <w:rPr>
                <w:rFonts w:hint="eastAsia" w:ascii="仿宋" w:hAnsi="仿宋" w:eastAsia="仿宋" w:cs="仿宋"/>
                <w:color w:val="000000"/>
                <w:sz w:val="24"/>
                <w:highlight w:val="none"/>
                <w:lang w:val="en-US" w:eastAsia="zh-CN"/>
              </w:rPr>
              <w:t>备注：</w:t>
            </w:r>
          </w:p>
        </w:tc>
        <w:tc>
          <w:tcPr>
            <w:tcW w:w="6288" w:type="dxa"/>
          </w:tcPr>
          <w:p>
            <w:pPr>
              <w:spacing w:line="360" w:lineRule="auto"/>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岸电桩配置1个二维码，可供一条船舶扫码使用。</w:t>
            </w:r>
          </w:p>
        </w:tc>
      </w:tr>
    </w:tbl>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单台设备配置清单：</w:t>
      </w:r>
    </w:p>
    <w:tbl>
      <w:tblPr>
        <w:tblStyle w:val="20"/>
        <w:tblW w:w="104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2245"/>
        <w:gridCol w:w="2868"/>
        <w:gridCol w:w="1026"/>
        <w:gridCol w:w="1112"/>
        <w:gridCol w:w="2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34"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224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286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品牌规格</w:t>
            </w:r>
          </w:p>
        </w:tc>
        <w:tc>
          <w:tcPr>
            <w:tcW w:w="102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1112"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单位</w:t>
            </w:r>
          </w:p>
        </w:tc>
        <w:tc>
          <w:tcPr>
            <w:tcW w:w="2431"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73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箱体</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厚度：2mm，材质：304不锈钢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1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台</w:t>
            </w:r>
          </w:p>
        </w:tc>
        <w:tc>
          <w:tcPr>
            <w:tcW w:w="243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高*宽*深：1200*600*400mm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（带四脚底座）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3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主断路器</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施耐德、ABB、西门子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11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2431"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3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漏电保护开关</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施耐德、ABB、西门子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11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243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63A,3P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3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漏电保护开关</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施耐德、ABB、西门子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11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243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63A,4P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漏电保护开关</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施耐德、ABB、西门子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11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243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125A,3P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3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浪涌保护</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正泰、上海人民、德力西</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11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FF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243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FF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40KA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3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电能表</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安科瑞、正泰、威胜</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11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243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带通讯功能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3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互感器</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150/5，0.2S级</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111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2431"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3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除湿套件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60W，冷凝式</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11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243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734" w:type="dxa"/>
            <w:tcBorders>
              <w:top w:val="single" w:color="000000" w:sz="4" w:space="0"/>
              <w:left w:val="single" w:color="000000" w:sz="8" w:space="0"/>
              <w:bottom w:val="nil"/>
              <w:right w:val="single" w:color="000000" w:sz="4" w:space="0"/>
            </w:tcBorders>
            <w:shd w:val="clear" w:color="auto" w:fill="auto"/>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急停开关</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正泰、蓝波、德力西</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11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2431"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指示灯</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正泰、三利、施耐德</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防水式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接插件</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正泰、上丰、健龙、康尼</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工业63A（三相四线）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接插件</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正泰、上丰、健龙、康尼</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工业63A（三相五线）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接插件</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正泰、上丰、健龙、康尼</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63A（岸电标准插座）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接插件</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正泰、上丰、健龙、康尼</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125A（岸电标准插座）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进线电缆</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上上、江南、中天、远东</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YJV22-3*35+2*16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二维码标志牌</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材质：亚克力</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15cm*15cm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智能传输模块</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南京紫薇云、四川码云、中天互联</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岸电设备运维管理平台</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4"/>
                <w:szCs w:val="24"/>
                <w:u w:val="none"/>
                <w:lang w:val="en-US" w:eastAsia="zh-CN" w:bidi="ar"/>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辅材</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4"/>
                <w:szCs w:val="24"/>
                <w:u w:val="none"/>
                <w:lang w:val="en-US" w:eastAsia="zh-CN" w:bidi="ar"/>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铜鼻子、号码管、堵泥等</w:t>
            </w:r>
          </w:p>
        </w:tc>
      </w:tr>
    </w:tbl>
    <w:p>
      <w:pPr>
        <w:rPr>
          <w:rFonts w:hint="eastAsia" w:ascii="仿宋" w:hAnsi="仿宋" w:eastAsia="仿宋" w:cs="仿宋"/>
          <w:lang w:val="en-US" w:eastAsia="zh-CN"/>
        </w:rPr>
      </w:pPr>
    </w:p>
    <w:p>
      <w:pPr>
        <w:rPr>
          <w:rFonts w:hint="eastAsia" w:ascii="仿宋" w:hAnsi="仿宋" w:eastAsia="仿宋" w:cs="仿宋"/>
        </w:rPr>
      </w:pPr>
    </w:p>
    <w:bookmarkEnd w:id="16"/>
    <w:p>
      <w:pPr>
        <w:pStyle w:val="6"/>
        <w:numPr>
          <w:ilvl w:val="1"/>
          <w:numId w:val="0"/>
        </w:numPr>
        <w:rPr>
          <w:rFonts w:hint="eastAsia" w:ascii="仿宋" w:hAnsi="仿宋" w:eastAsia="仿宋" w:cs="仿宋"/>
        </w:rPr>
      </w:pPr>
      <w:bookmarkStart w:id="17" w:name="_Toc18812"/>
      <w:bookmarkStart w:id="18" w:name="_Toc9194"/>
      <w:r>
        <w:rPr>
          <w:rFonts w:hint="eastAsia" w:ascii="仿宋" w:hAnsi="仿宋" w:eastAsia="仿宋" w:cs="仿宋"/>
        </w:rPr>
        <w:t>2.</w:t>
      </w:r>
      <w:r>
        <w:rPr>
          <w:rFonts w:hint="eastAsia" w:ascii="仿宋" w:hAnsi="仿宋" w:eastAsia="仿宋" w:cs="仿宋"/>
          <w:lang w:val="en-US" w:eastAsia="zh-CN"/>
        </w:rPr>
        <w:t>5</w:t>
      </w:r>
      <w:r>
        <w:rPr>
          <w:rFonts w:hint="eastAsia" w:ascii="仿宋" w:hAnsi="仿宋" w:eastAsia="仿宋" w:cs="仿宋"/>
        </w:rPr>
        <w:t>环境条件参数</w:t>
      </w:r>
      <w:bookmarkEnd w:id="17"/>
      <w:bookmarkEnd w:id="18"/>
    </w:p>
    <w:tbl>
      <w:tblPr>
        <w:tblStyle w:val="21"/>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6" w:type="dxa"/>
            <w:gridSpan w:val="2"/>
          </w:tcPr>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环境参数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防护等级</w:t>
            </w:r>
          </w:p>
        </w:tc>
        <w:tc>
          <w:tcPr>
            <w:tcW w:w="5546" w:type="dxa"/>
          </w:tcPr>
          <w:p>
            <w:pPr>
              <w:spacing w:line="360" w:lineRule="auto"/>
              <w:jc w:val="left"/>
              <w:rPr>
                <w:rFonts w:hint="eastAsia" w:ascii="仿宋" w:hAnsi="仿宋" w:eastAsia="仿宋" w:cs="仿宋"/>
                <w:color w:val="000000"/>
                <w:sz w:val="24"/>
                <w:lang w:eastAsia="zh-CN"/>
              </w:rPr>
            </w:pPr>
            <w:r>
              <w:rPr>
                <w:rFonts w:hint="eastAsia" w:ascii="仿宋" w:hAnsi="仿宋" w:eastAsia="仿宋" w:cs="仿宋"/>
                <w:color w:val="000000"/>
                <w:sz w:val="24"/>
              </w:rPr>
              <w:t>IP55\IP6</w:t>
            </w:r>
            <w:r>
              <w:rPr>
                <w:rFonts w:hint="eastAsia" w:ascii="仿宋" w:hAnsi="仿宋" w:eastAsia="仿宋" w:cs="仿宋"/>
                <w:color w:val="00000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环境温度</w:t>
            </w:r>
          </w:p>
        </w:tc>
        <w:tc>
          <w:tcPr>
            <w:tcW w:w="5546" w:type="dxa"/>
          </w:tcPr>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运行温度-30℃-+65℃，存储温度-40℃～+70℃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相对湿度</w:t>
            </w:r>
          </w:p>
        </w:tc>
        <w:tc>
          <w:tcPr>
            <w:tcW w:w="5546" w:type="dxa"/>
          </w:tcPr>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&lt;95%，无凝结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海拔高度</w:t>
            </w:r>
          </w:p>
        </w:tc>
        <w:tc>
          <w:tcPr>
            <w:tcW w:w="5546" w:type="dxa"/>
          </w:tcPr>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≤1000米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特殊条件</w:t>
            </w:r>
          </w:p>
        </w:tc>
        <w:tc>
          <w:tcPr>
            <w:tcW w:w="5546" w:type="dxa"/>
          </w:tcPr>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防凝露、油污、盐雾等措施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散热</w:t>
            </w:r>
          </w:p>
        </w:tc>
        <w:tc>
          <w:tcPr>
            <w:tcW w:w="5546" w:type="dxa"/>
          </w:tcPr>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符合防护等级要求的散热方式</w:t>
            </w:r>
          </w:p>
        </w:tc>
      </w:tr>
    </w:tbl>
    <w:p>
      <w:pPr>
        <w:rPr>
          <w:rFonts w:hint="eastAsia" w:ascii="仿宋" w:hAnsi="仿宋" w:eastAsia="仿宋" w:cs="仿宋"/>
        </w:rPr>
      </w:pPr>
    </w:p>
    <w:p>
      <w:pPr>
        <w:pStyle w:val="6"/>
        <w:numPr>
          <w:ilvl w:val="1"/>
          <w:numId w:val="0"/>
        </w:numPr>
        <w:rPr>
          <w:rFonts w:hint="eastAsia" w:ascii="仿宋" w:hAnsi="仿宋" w:eastAsia="仿宋" w:cs="仿宋"/>
        </w:rPr>
      </w:pPr>
      <w:bookmarkStart w:id="19" w:name="_Toc25759"/>
      <w:bookmarkStart w:id="20" w:name="_Toc28708"/>
      <w:r>
        <w:rPr>
          <w:rFonts w:hint="eastAsia" w:ascii="仿宋" w:hAnsi="仿宋" w:eastAsia="仿宋" w:cs="仿宋"/>
        </w:rPr>
        <w:t>2.</w:t>
      </w:r>
      <w:r>
        <w:rPr>
          <w:rFonts w:hint="eastAsia" w:ascii="仿宋" w:hAnsi="仿宋" w:eastAsia="仿宋" w:cs="仿宋"/>
          <w:lang w:val="en-US" w:eastAsia="zh-CN"/>
        </w:rPr>
        <w:t>6</w:t>
      </w:r>
      <w:r>
        <w:rPr>
          <w:rFonts w:hint="eastAsia" w:ascii="仿宋" w:hAnsi="仿宋" w:eastAsia="仿宋" w:cs="仿宋"/>
        </w:rPr>
        <w:t>通信方式</w:t>
      </w:r>
      <w:bookmarkEnd w:id="19"/>
      <w:bookmarkEnd w:id="20"/>
    </w:p>
    <w:p>
      <w:pPr>
        <w:pStyle w:val="6"/>
        <w:numPr>
          <w:ilvl w:val="1"/>
          <w:numId w:val="0"/>
        </w:numPr>
        <w:ind w:leftChars="0" w:firstLine="560" w:firstLineChars="200"/>
        <w:rPr>
          <w:rFonts w:hint="eastAsia"/>
          <w:b w:val="0"/>
          <w:bCs w:val="0"/>
          <w:sz w:val="28"/>
          <w:szCs w:val="28"/>
        </w:rPr>
      </w:pPr>
      <w:bookmarkStart w:id="21" w:name="_Toc15471"/>
      <w:bookmarkStart w:id="22" w:name="_Toc28421"/>
      <w:bookmarkStart w:id="23" w:name="_Toc10723"/>
      <w:r>
        <w:rPr>
          <w:rFonts w:hint="eastAsia"/>
          <w:b w:val="0"/>
          <w:bCs w:val="0"/>
          <w:sz w:val="28"/>
          <w:szCs w:val="28"/>
          <w:lang w:val="en-US" w:eastAsia="zh-CN"/>
        </w:rPr>
        <w:t>智能</w:t>
      </w:r>
      <w:r>
        <w:rPr>
          <w:rFonts w:hint="eastAsia"/>
          <w:b w:val="0"/>
          <w:bCs w:val="0"/>
          <w:sz w:val="28"/>
          <w:szCs w:val="28"/>
        </w:rPr>
        <w:t>岸电桩内DTU控制器采用4G通信，与主站AIOT物联网平台对接，完成与岸电综合管理系统通讯。由AIOT主站与南通交运、南通海事、</w:t>
      </w:r>
      <w:r>
        <w:rPr>
          <w:rFonts w:hint="eastAsia"/>
          <w:b w:val="0"/>
          <w:bCs w:val="0"/>
          <w:sz w:val="28"/>
          <w:szCs w:val="28"/>
          <w:lang w:val="en-US" w:eastAsia="zh-CN"/>
        </w:rPr>
        <w:t>长江e+</w:t>
      </w:r>
      <w:r>
        <w:rPr>
          <w:rFonts w:hint="eastAsia"/>
          <w:b w:val="0"/>
          <w:bCs w:val="0"/>
          <w:sz w:val="28"/>
          <w:szCs w:val="28"/>
        </w:rPr>
        <w:t>进行数据通信。</w:t>
      </w:r>
    </w:p>
    <w:p>
      <w:pPr>
        <w:pStyle w:val="6"/>
        <w:numPr>
          <w:ilvl w:val="1"/>
          <w:numId w:val="0"/>
        </w:numPr>
        <w:ind w:leftChars="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7</w:t>
      </w:r>
      <w:r>
        <w:rPr>
          <w:rFonts w:hint="eastAsia" w:ascii="仿宋" w:hAnsi="仿宋" w:eastAsia="仿宋" w:cs="仿宋"/>
        </w:rPr>
        <w:t>应用标准</w:t>
      </w:r>
      <w:bookmarkEnd w:id="21"/>
      <w:bookmarkEnd w:id="22"/>
      <w:bookmarkEnd w:id="23"/>
    </w:p>
    <w:p>
      <w:pPr>
        <w:spacing w:line="360" w:lineRule="auto"/>
        <w:ind w:left="559" w:leftChars="266" w:firstLine="0" w:firstLineChars="0"/>
        <w:rPr>
          <w:rFonts w:hint="eastAsia" w:ascii="仿宋" w:hAnsi="仿宋" w:eastAsia="仿宋" w:cs="仿宋"/>
          <w:sz w:val="28"/>
          <w:szCs w:val="28"/>
        </w:rPr>
      </w:pPr>
      <w:r>
        <w:rPr>
          <w:rFonts w:hint="eastAsia" w:ascii="仿宋" w:hAnsi="仿宋" w:eastAsia="仿宋" w:cs="仿宋"/>
          <w:sz w:val="28"/>
          <w:szCs w:val="28"/>
        </w:rPr>
        <w:t>IEC/PAS80005-3Ed1.0港口电气设施—低压岸电系统--一般要求GB/T25316-2010静止式岸电装置</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CB/T3578-1994船舶修理期间接岸电技术要求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CB/T4406-2014岸电箱</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JTS155-201</w:t>
      </w:r>
      <w:r>
        <w:rPr>
          <w:rFonts w:hint="eastAsia" w:ascii="仿宋" w:hAnsi="仿宋" w:eastAsia="仿宋" w:cs="仿宋"/>
          <w:sz w:val="28"/>
          <w:szCs w:val="28"/>
          <w:lang w:val="en-US" w:eastAsia="zh-CN"/>
        </w:rPr>
        <w:t>9</w:t>
      </w:r>
      <w:r>
        <w:rPr>
          <w:rFonts w:hint="eastAsia" w:ascii="仿宋" w:hAnsi="仿宋" w:eastAsia="仿宋" w:cs="仿宋"/>
          <w:sz w:val="28"/>
          <w:szCs w:val="28"/>
        </w:rPr>
        <w:t>码头船舶岸电设施建设技术规范</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Q/GDW11466—2015港口岸电技术相关术语</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Q/GDW11467.1—2015港口岸电系统建设规范第1部分：设计导则</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Q/GDW11467.2—2015港口岸电系统建设规范第2部分：电能计量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Q/GDW11467.3—2015港口岸电系统建设规范第3部分：验收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Q/GDW11468.3—2015港口岸电设备技术规范第3部分：低压小容量电源</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Q/GDW11468.4—2015港口岸电设备技术规范第4部分：船岸连接和接口设备</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Q/GDW11469.1—2015港口岸电系统运行与维护技术规范第1部分：运行维护</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Q/GDW11469.2—2015港口岸电系统运行与维护技术规范第2部分：检测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Q/GDW11469.3—2015港口岸电系统运行与维护技术规范第3部分：运营服务平台</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Q/GDW11469.4—2015港口岸电系统运行与维护技术规范第4部分：监控系统</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Q/GDW11469.5—2015港口岸电系统运行与维护技术规范第5部分：平台与监控系统通信规约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Q/GDW11469.6—2015港口岸电系统运行与维护技术规范第6部分：监控系统与岸基设备通信规约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GB/T11918.5-2020  工业用插头插座和耦合器　第5部分：低压岸电连接系统(LVSC系统)用插头、插座、船用连接器和船用输入</w:t>
      </w:r>
    </w:p>
    <w:p>
      <w:pPr>
        <w:pStyle w:val="5"/>
        <w:numPr>
          <w:ilvl w:val="0"/>
          <w:numId w:val="0"/>
        </w:numPr>
        <w:ind w:left="-425" w:leftChars="0"/>
        <w:rPr>
          <w:rFonts w:hint="eastAsia" w:ascii="仿宋" w:hAnsi="仿宋" w:eastAsia="仿宋" w:cs="仿宋"/>
        </w:rPr>
      </w:pPr>
      <w:bookmarkStart w:id="24" w:name="_Toc2212"/>
      <w:bookmarkStart w:id="25" w:name="_Toc8617"/>
      <w:bookmarkStart w:id="26" w:name="_Toc23813"/>
      <w:r>
        <w:rPr>
          <w:rFonts w:hint="eastAsia" w:ascii="仿宋" w:hAnsi="仿宋" w:eastAsia="仿宋" w:cs="仿宋"/>
        </w:rPr>
        <w:t>3.安装与调试</w:t>
      </w:r>
      <w:bookmarkEnd w:id="24"/>
      <w:bookmarkEnd w:id="25"/>
      <w:bookmarkEnd w:id="26"/>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本章详细介绍了如何安装和调试装置，涵盖了装置机械及其电气安装的流程，外部回路的上电和检测，定值和装置的配置以及定值的验证。本章也可以作为定期测试装置的参考手册</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本章主要针对安装，调试和维护人员，要求安装人员应具备基本的电气操作知识以及测试装置的丰富经验。</w:t>
      </w:r>
    </w:p>
    <w:p>
      <w:pPr>
        <w:pStyle w:val="6"/>
        <w:numPr>
          <w:ilvl w:val="1"/>
          <w:numId w:val="0"/>
        </w:numPr>
        <w:ind w:leftChars="0"/>
        <w:rPr>
          <w:rFonts w:hint="eastAsia" w:ascii="仿宋" w:hAnsi="仿宋" w:eastAsia="仿宋" w:cs="仿宋"/>
        </w:rPr>
      </w:pPr>
      <w:bookmarkStart w:id="27" w:name="_Toc2177"/>
      <w:bookmarkStart w:id="28" w:name="_Toc23911"/>
      <w:bookmarkStart w:id="29" w:name="_Toc11799"/>
      <w:bookmarkStart w:id="30" w:name="_Toc275424268"/>
      <w:bookmarkStart w:id="31" w:name="_Toc254936856"/>
      <w:r>
        <w:rPr>
          <w:rFonts w:hint="eastAsia" w:ascii="仿宋" w:hAnsi="仿宋" w:eastAsia="仿宋" w:cs="仿宋"/>
        </w:rPr>
        <w:t>3.1外观检查</w:t>
      </w:r>
      <w:bookmarkEnd w:id="27"/>
      <w:bookmarkEnd w:id="28"/>
      <w:bookmarkEnd w:id="29"/>
    </w:p>
    <w:p>
      <w:pPr>
        <w:pStyle w:val="26"/>
        <w:numPr>
          <w:ilvl w:val="0"/>
          <w:numId w:val="3"/>
        </w:numPr>
        <w:tabs>
          <w:tab w:val="left" w:pos="1314"/>
          <w:tab w:val="clear" w:pos="420"/>
        </w:tabs>
        <w:spacing w:before="161"/>
        <w:jc w:val="left"/>
        <w:rPr>
          <w:rFonts w:hint="eastAsia" w:ascii="仿宋" w:hAnsi="仿宋" w:eastAsia="仿宋" w:cs="仿宋"/>
          <w:sz w:val="28"/>
          <w:szCs w:val="28"/>
        </w:rPr>
      </w:pPr>
      <w:r>
        <w:rPr>
          <w:rFonts w:hint="eastAsia" w:ascii="仿宋" w:hAnsi="仿宋" w:eastAsia="仿宋" w:cs="仿宋"/>
          <w:sz w:val="28"/>
          <w:szCs w:val="28"/>
        </w:rPr>
        <w:t>拆除运输包装</w:t>
      </w:r>
    </w:p>
    <w:p>
      <w:pPr>
        <w:pStyle w:val="26"/>
        <w:numPr>
          <w:ilvl w:val="0"/>
          <w:numId w:val="3"/>
        </w:numPr>
        <w:tabs>
          <w:tab w:val="left" w:pos="1314"/>
          <w:tab w:val="clear" w:pos="420"/>
        </w:tabs>
        <w:spacing w:before="161"/>
        <w:jc w:val="left"/>
        <w:rPr>
          <w:rFonts w:hint="eastAsia" w:ascii="仿宋" w:hAnsi="仿宋" w:eastAsia="仿宋" w:cs="仿宋"/>
          <w:sz w:val="28"/>
          <w:szCs w:val="28"/>
        </w:rPr>
      </w:pPr>
      <w:r>
        <w:rPr>
          <w:rFonts w:hint="eastAsia" w:ascii="仿宋" w:hAnsi="仿宋" w:eastAsia="仿宋" w:cs="仿宋"/>
          <w:sz w:val="28"/>
          <w:szCs w:val="28"/>
        </w:rPr>
        <w:t>检查装置外观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a)仔细检查箱体及箱内其他部分，确认是否有外观损坏。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b)核对主箱体铭牌信息</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c)检查其它辅助装置的铭牌信息，确认是否适用于本工程安装。</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d)检查屏内接线</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检查屏内使用导线的线径是否满足工程需要。确保没有连接错误存在。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e)检查标签</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检查所有端子标签，套管标签，切换开关标签和按钮标签，确保所有的标识满足工程需要。</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f)检查插件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检查装置的所有插件，确保他们被正确安装并且没有螺丝松动。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g)检查接地电缆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检查接地端子是否通过接地电缆可靠连接到接地铜排上。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h)检查切换开关，压板和按钮</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检查所有的切换开关，压板和按钮是否可以正常平滑的工作。</w:t>
      </w:r>
    </w:p>
    <w:p>
      <w:pPr>
        <w:pStyle w:val="26"/>
        <w:numPr>
          <w:ilvl w:val="0"/>
          <w:numId w:val="3"/>
        </w:numPr>
        <w:tabs>
          <w:tab w:val="left" w:pos="1314"/>
          <w:tab w:val="clear" w:pos="420"/>
        </w:tabs>
        <w:spacing w:before="161"/>
        <w:jc w:val="left"/>
        <w:rPr>
          <w:rFonts w:hint="eastAsia" w:ascii="仿宋" w:hAnsi="仿宋" w:eastAsia="仿宋" w:cs="仿宋"/>
          <w:sz w:val="28"/>
          <w:szCs w:val="28"/>
        </w:rPr>
      </w:pPr>
      <w:r>
        <w:rPr>
          <w:rFonts w:hint="eastAsia" w:ascii="仿宋" w:hAnsi="仿宋" w:eastAsia="仿宋" w:cs="仿宋"/>
          <w:sz w:val="28"/>
          <w:szCs w:val="28"/>
        </w:rPr>
        <w:t>检查所有的项目是否和交付文档内容一致</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根据交付文档检查装置包含的所有软件功能。</w:t>
      </w:r>
    </w:p>
    <w:p>
      <w:pPr>
        <w:pStyle w:val="26"/>
        <w:numPr>
          <w:ilvl w:val="0"/>
          <w:numId w:val="3"/>
        </w:numPr>
        <w:tabs>
          <w:tab w:val="left" w:pos="1314"/>
          <w:tab w:val="clear" w:pos="420"/>
        </w:tabs>
        <w:spacing w:before="161"/>
        <w:jc w:val="left"/>
        <w:rPr>
          <w:rFonts w:hint="eastAsia" w:ascii="仿宋" w:hAnsi="仿宋" w:eastAsia="仿宋" w:cs="仿宋"/>
          <w:sz w:val="28"/>
          <w:szCs w:val="28"/>
        </w:rPr>
      </w:pPr>
      <w:r>
        <w:rPr>
          <w:rFonts w:hint="eastAsia" w:ascii="仿宋" w:hAnsi="仿宋" w:eastAsia="仿宋" w:cs="仿宋"/>
          <w:sz w:val="28"/>
          <w:szCs w:val="28"/>
        </w:rPr>
        <w:t>检查是否在运输过程中损坏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产品检查应当涉及装置的所有方面，不仅要没有外观损坏，而且保证功能正确。</w:t>
      </w:r>
    </w:p>
    <w:p>
      <w:pPr>
        <w:pStyle w:val="6"/>
        <w:numPr>
          <w:ilvl w:val="1"/>
          <w:numId w:val="0"/>
        </w:numPr>
        <w:ind w:leftChars="0"/>
        <w:rPr>
          <w:rFonts w:hint="eastAsia" w:ascii="仿宋" w:hAnsi="仿宋" w:eastAsia="仿宋" w:cs="仿宋"/>
        </w:rPr>
      </w:pPr>
      <w:bookmarkStart w:id="32" w:name="_Toc20648"/>
      <w:bookmarkStart w:id="33" w:name="_Toc17708"/>
      <w:bookmarkStart w:id="34" w:name="_Toc22981"/>
      <w:r>
        <w:rPr>
          <w:rFonts w:hint="eastAsia" w:ascii="仿宋" w:hAnsi="仿宋" w:eastAsia="仿宋" w:cs="仿宋"/>
        </w:rPr>
        <w:t>3.2安装</w:t>
      </w:r>
      <w:bookmarkEnd w:id="32"/>
      <w:bookmarkEnd w:id="33"/>
      <w:bookmarkEnd w:id="34"/>
    </w:p>
    <w:p>
      <w:pPr>
        <w:pStyle w:val="26"/>
        <w:numPr>
          <w:ilvl w:val="0"/>
          <w:numId w:val="3"/>
        </w:numPr>
        <w:tabs>
          <w:tab w:val="left" w:pos="1314"/>
          <w:tab w:val="clear" w:pos="420"/>
        </w:tabs>
        <w:spacing w:before="161"/>
        <w:jc w:val="left"/>
        <w:rPr>
          <w:rFonts w:hint="eastAsia" w:ascii="仿宋" w:hAnsi="仿宋" w:eastAsia="仿宋" w:cs="仿宋"/>
          <w:sz w:val="28"/>
          <w:szCs w:val="28"/>
        </w:rPr>
      </w:pPr>
      <w:r>
        <w:rPr>
          <w:rFonts w:hint="eastAsia" w:ascii="仿宋" w:hAnsi="仿宋" w:eastAsia="仿宋" w:cs="仿宋"/>
          <w:sz w:val="28"/>
          <w:szCs w:val="28"/>
        </w:rPr>
        <w:t>安装概述</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根据装置的技术参数要求（请参阅第2章环境参数的要求），安装现场的机械和电气环境条件要在允许的范围内。灰尘，潮湿，快速温变，电气振动和冲击，快速瞬变，强电磁场等相似的极端条件应当被避免。</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机柜前后、两侧应留有足够的空间以便于维护和未来改造，使用岸电时，需要留有一定的空间放置连接电缆。嵌入式安装的装置应当可以在不需要复杂拆卸的情况下增加替换插件。</w:t>
      </w:r>
    </w:p>
    <w:p>
      <w:pPr>
        <w:pStyle w:val="26"/>
        <w:numPr>
          <w:ilvl w:val="0"/>
          <w:numId w:val="3"/>
        </w:numPr>
        <w:tabs>
          <w:tab w:val="left" w:pos="1314"/>
          <w:tab w:val="clear" w:pos="420"/>
        </w:tabs>
        <w:spacing w:before="161"/>
        <w:jc w:val="left"/>
        <w:rPr>
          <w:rFonts w:hint="default" w:ascii="仿宋" w:hAnsi="仿宋" w:eastAsia="仿宋" w:cs="仿宋"/>
          <w:sz w:val="28"/>
          <w:szCs w:val="28"/>
          <w:lang w:val="en-US"/>
        </w:rPr>
      </w:pPr>
      <w:r>
        <w:rPr>
          <w:rFonts w:hint="eastAsia" w:ascii="仿宋" w:hAnsi="仿宋" w:eastAsia="仿宋" w:cs="仿宋"/>
          <w:sz w:val="28"/>
          <w:szCs w:val="28"/>
        </w:rPr>
        <w:t>安装</w:t>
      </w:r>
      <w:r>
        <w:rPr>
          <w:rFonts w:hint="eastAsia" w:ascii="仿宋" w:hAnsi="仿宋" w:eastAsia="仿宋" w:cs="仿宋"/>
          <w:sz w:val="28"/>
          <w:szCs w:val="28"/>
          <w:lang w:val="en-US" w:eastAsia="zh-CN"/>
        </w:rPr>
        <w:t>方式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本低压岸电桩主要用于</w:t>
      </w:r>
      <w:r>
        <w:rPr>
          <w:rFonts w:hint="eastAsia" w:ascii="仿宋" w:hAnsi="仿宋" w:eastAsia="仿宋" w:cs="仿宋"/>
          <w:sz w:val="28"/>
          <w:szCs w:val="28"/>
          <w:lang w:val="en-US" w:eastAsia="zh-CN"/>
        </w:rPr>
        <w:t>趸船甲板</w:t>
      </w:r>
      <w:r>
        <w:rPr>
          <w:rFonts w:hint="eastAsia" w:ascii="仿宋" w:hAnsi="仿宋" w:eastAsia="仿宋" w:cs="仿宋"/>
          <w:sz w:val="28"/>
          <w:szCs w:val="28"/>
        </w:rPr>
        <w:t>，</w:t>
      </w:r>
      <w:r>
        <w:rPr>
          <w:rFonts w:hint="eastAsia" w:ascii="仿宋" w:hAnsi="仿宋" w:eastAsia="仿宋" w:cs="仿宋"/>
          <w:sz w:val="28"/>
          <w:szCs w:val="28"/>
          <w:lang w:val="en-US" w:eastAsia="zh-CN"/>
        </w:rPr>
        <w:t>现场</w:t>
      </w:r>
      <w:r>
        <w:rPr>
          <w:rFonts w:hint="eastAsia" w:ascii="仿宋" w:hAnsi="仿宋" w:eastAsia="仿宋" w:cs="仿宋"/>
          <w:sz w:val="28"/>
          <w:szCs w:val="28"/>
        </w:rPr>
        <w:t>需要具备</w:t>
      </w:r>
      <w:r>
        <w:rPr>
          <w:rFonts w:hint="eastAsia" w:ascii="仿宋" w:hAnsi="仿宋" w:eastAsia="仿宋" w:cs="仿宋"/>
          <w:sz w:val="28"/>
          <w:szCs w:val="28"/>
          <w:lang w:val="en-US" w:eastAsia="zh-CN"/>
        </w:rPr>
        <w:t>将设备焊接至甲板</w:t>
      </w:r>
      <w:r>
        <w:rPr>
          <w:rFonts w:hint="eastAsia" w:ascii="仿宋" w:hAnsi="仿宋" w:eastAsia="仿宋" w:cs="仿宋"/>
          <w:sz w:val="28"/>
          <w:szCs w:val="28"/>
        </w:rPr>
        <w:t>。</w:t>
      </w:r>
    </w:p>
    <w:p>
      <w:pPr>
        <w:pStyle w:val="26"/>
        <w:numPr>
          <w:ilvl w:val="0"/>
          <w:numId w:val="3"/>
        </w:numPr>
        <w:tabs>
          <w:tab w:val="left" w:pos="1314"/>
          <w:tab w:val="clear" w:pos="420"/>
        </w:tabs>
        <w:spacing w:before="161"/>
        <w:jc w:val="left"/>
        <w:rPr>
          <w:rFonts w:hint="eastAsia" w:ascii="仿宋" w:hAnsi="仿宋" w:eastAsia="仿宋" w:cs="仿宋"/>
          <w:sz w:val="28"/>
          <w:szCs w:val="28"/>
        </w:rPr>
      </w:pPr>
      <w:r>
        <w:rPr>
          <w:rFonts w:hint="eastAsia" w:ascii="仿宋" w:hAnsi="仿宋" w:eastAsia="仿宋" w:cs="仿宋"/>
          <w:sz w:val="28"/>
          <w:szCs w:val="28"/>
        </w:rPr>
        <w:t>电气连接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安装时，将岸电桩电缆引至现有岸电插座箱内。</w:t>
      </w:r>
      <w:r>
        <w:rPr>
          <w:rFonts w:hint="eastAsia" w:ascii="仿宋" w:hAnsi="仿宋" w:eastAsia="仿宋" w:cs="仿宋"/>
          <w:sz w:val="28"/>
          <w:szCs w:val="28"/>
        </w:rPr>
        <w:t>安装过程中要始终遵循相关规程。必要情况下，要使用带屏蔽线以减小电磁干扰的影响。</w:t>
      </w:r>
    </w:p>
    <w:p>
      <w:pPr>
        <w:pStyle w:val="26"/>
        <w:numPr>
          <w:ilvl w:val="0"/>
          <w:numId w:val="3"/>
        </w:numPr>
        <w:tabs>
          <w:tab w:val="left" w:pos="1314"/>
          <w:tab w:val="clear" w:pos="420"/>
        </w:tabs>
        <w:spacing w:before="161"/>
        <w:jc w:val="left"/>
        <w:rPr>
          <w:rFonts w:hint="eastAsia" w:ascii="仿宋" w:hAnsi="仿宋" w:eastAsia="仿宋" w:cs="仿宋"/>
          <w:sz w:val="28"/>
          <w:szCs w:val="28"/>
        </w:rPr>
      </w:pPr>
      <w:r>
        <w:rPr>
          <w:rFonts w:hint="eastAsia" w:ascii="仿宋" w:hAnsi="仿宋" w:eastAsia="仿宋" w:cs="仿宋"/>
          <w:sz w:val="28"/>
          <w:szCs w:val="28"/>
        </w:rPr>
        <w:t>连接插头及电缆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根据船舶靠岸时负载情况以及船舶本身用电类型，按照电压范围的要求以及电流大小的要求选择合适的插头和动力电缆。</w:t>
      </w:r>
    </w:p>
    <w:p>
      <w:pPr>
        <w:pStyle w:val="26"/>
        <w:numPr>
          <w:ilvl w:val="0"/>
          <w:numId w:val="3"/>
        </w:numPr>
        <w:tabs>
          <w:tab w:val="left" w:pos="1314"/>
          <w:tab w:val="clear" w:pos="420"/>
        </w:tabs>
        <w:spacing w:before="161"/>
        <w:jc w:val="left"/>
        <w:rPr>
          <w:rFonts w:hint="eastAsia" w:ascii="仿宋" w:hAnsi="仿宋" w:eastAsia="仿宋" w:cs="仿宋"/>
          <w:sz w:val="28"/>
          <w:szCs w:val="28"/>
        </w:rPr>
      </w:pPr>
      <w:r>
        <w:rPr>
          <w:rFonts w:hint="eastAsia" w:ascii="仿宋" w:hAnsi="仿宋" w:eastAsia="仿宋" w:cs="仿宋"/>
          <w:sz w:val="28"/>
          <w:szCs w:val="28"/>
        </w:rPr>
        <w:t>连接保护地</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装置地与大地之间的阻抗应满足相关国家标准,使用截面不小于4平方毫米的黄绿交替色导线将装置电源插件背板的接地端子连接到机柜的接地铜排上,接地线应尽可能的短，采取所有的措施以确保最佳的导电性，特别要注意接点的可靠性和防腐蚀能力。</w:t>
      </w:r>
    </w:p>
    <w:p>
      <w:pPr>
        <w:pStyle w:val="6"/>
        <w:numPr>
          <w:ilvl w:val="1"/>
          <w:numId w:val="0"/>
        </w:numPr>
        <w:ind w:leftChars="0"/>
        <w:rPr>
          <w:rFonts w:hint="eastAsia" w:ascii="仿宋" w:hAnsi="仿宋" w:eastAsia="仿宋" w:cs="仿宋"/>
        </w:rPr>
      </w:pPr>
      <w:bookmarkStart w:id="35" w:name="_Toc21769"/>
      <w:bookmarkStart w:id="36" w:name="_Toc3716"/>
      <w:bookmarkStart w:id="37" w:name="_Toc363"/>
      <w:r>
        <w:rPr>
          <w:rFonts w:hint="eastAsia" w:ascii="仿宋" w:hAnsi="仿宋" w:eastAsia="仿宋" w:cs="仿宋"/>
        </w:rPr>
        <w:t>3.3检查外部回路</w:t>
      </w:r>
      <w:bookmarkEnd w:id="35"/>
      <w:bookmarkEnd w:id="36"/>
      <w:bookmarkEnd w:id="37"/>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必须检查相关回路，其中包括核实与该装置相连接的二次系统中的其他部分。这些必须在装置退出并采取了相应的安全措施的情况下完成。</w:t>
      </w:r>
    </w:p>
    <w:p>
      <w:pPr>
        <w:pStyle w:val="6"/>
        <w:numPr>
          <w:ilvl w:val="1"/>
          <w:numId w:val="0"/>
        </w:numPr>
        <w:ind w:leftChars="0"/>
        <w:rPr>
          <w:rFonts w:hint="eastAsia" w:ascii="仿宋" w:hAnsi="仿宋" w:eastAsia="仿宋" w:cs="仿宋"/>
        </w:rPr>
      </w:pPr>
      <w:bookmarkStart w:id="38" w:name="_Toc29228"/>
      <w:bookmarkStart w:id="39" w:name="_Toc5967"/>
      <w:bookmarkStart w:id="40" w:name="_Toc31650"/>
      <w:r>
        <w:rPr>
          <w:rFonts w:hint="eastAsia" w:ascii="仿宋" w:hAnsi="仿宋" w:eastAsia="仿宋" w:cs="仿宋"/>
        </w:rPr>
        <w:t>3.4装置上电</w:t>
      </w:r>
      <w:bookmarkEnd w:id="38"/>
      <w:bookmarkEnd w:id="39"/>
      <w:bookmarkEnd w:id="40"/>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装置上电前，用户应当认真检查装置及装置内部接线，检查自检报告以确定装置可正常运行，查看已安装的模块和订购数量，以确保交付的装置与订购的规格一致。</w:t>
      </w:r>
      <w:bookmarkEnd w:id="30"/>
      <w:bookmarkEnd w:id="31"/>
    </w:p>
    <w:p>
      <w:pPr>
        <w:pStyle w:val="5"/>
        <w:numPr>
          <w:ilvl w:val="0"/>
          <w:numId w:val="4"/>
        </w:numPr>
        <w:rPr>
          <w:rFonts w:hint="eastAsia" w:ascii="仿宋" w:hAnsi="仿宋" w:eastAsia="仿宋" w:cs="仿宋"/>
          <w:lang w:val="en-US" w:eastAsia="zh-CN"/>
        </w:rPr>
      </w:pPr>
      <w:bookmarkStart w:id="41" w:name="_Toc6287"/>
      <w:bookmarkStart w:id="42" w:name="_Toc24104"/>
      <w:bookmarkStart w:id="43" w:name="_Toc14852"/>
      <w:bookmarkStart w:id="44" w:name="_Toc22342"/>
      <w:r>
        <w:rPr>
          <w:rFonts w:hint="eastAsia" w:ascii="仿宋" w:hAnsi="仿宋" w:eastAsia="仿宋" w:cs="仿宋"/>
          <w:lang w:val="en-US" w:eastAsia="zh-CN"/>
        </w:rPr>
        <w:t>平台功能</w:t>
      </w:r>
      <w:bookmarkEnd w:id="41"/>
      <w:bookmarkEnd w:id="42"/>
      <w:bookmarkEnd w:id="43"/>
      <w:bookmarkEnd w:id="44"/>
    </w:p>
    <w:p>
      <w:pPr>
        <w:pStyle w:val="9"/>
        <w:spacing w:before="187" w:line="364" w:lineRule="auto"/>
        <w:ind w:left="112" w:right="308" w:firstLine="480"/>
        <w:jc w:val="both"/>
        <w:rPr>
          <w:rFonts w:hint="eastAsia" w:ascii="仿宋" w:hAnsi="仿宋" w:eastAsia="仿宋" w:cs="仿宋"/>
          <w:i w:val="0"/>
          <w:caps w:val="0"/>
          <w:color w:val="333333"/>
          <w:spacing w:val="0"/>
          <w:sz w:val="28"/>
          <w:szCs w:val="28"/>
          <w:shd w:val="clear" w:fill="FFFFFF"/>
          <w:lang w:val="en-US" w:eastAsia="zh-CN"/>
        </w:rPr>
      </w:pPr>
      <w:r>
        <w:rPr>
          <w:rFonts w:hint="eastAsia" w:ascii="仿宋" w:hAnsi="仿宋" w:eastAsia="仿宋" w:cs="仿宋"/>
          <w:sz w:val="28"/>
          <w:szCs w:val="28"/>
          <w:lang w:val="en-US" w:eastAsia="zh-CN"/>
        </w:rPr>
        <w:t>岸电设备运维管理平台</w:t>
      </w:r>
      <w:r>
        <w:rPr>
          <w:rFonts w:hint="eastAsia" w:ascii="仿宋" w:hAnsi="仿宋" w:eastAsia="仿宋" w:cs="仿宋"/>
          <w:i w:val="0"/>
          <w:caps w:val="0"/>
          <w:color w:val="333333"/>
          <w:spacing w:val="0"/>
          <w:sz w:val="28"/>
          <w:szCs w:val="28"/>
          <w:shd w:val="clear" w:fill="FFFFFF"/>
          <w:lang w:val="en-US" w:eastAsia="zh-CN"/>
        </w:rPr>
        <w:t>应具有以下功能。</w:t>
      </w:r>
    </w:p>
    <w:p>
      <w:pPr>
        <w:pStyle w:val="26"/>
        <w:numPr>
          <w:ilvl w:val="0"/>
          <w:numId w:val="3"/>
        </w:numPr>
        <w:tabs>
          <w:tab w:val="left" w:pos="1314"/>
          <w:tab w:val="clear" w:pos="420"/>
        </w:tabs>
        <w:spacing w:before="16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能源统计</w:t>
      </w:r>
    </w:p>
    <w:p>
      <w:pPr>
        <w:pStyle w:val="26"/>
        <w:numPr>
          <w:ilvl w:val="0"/>
          <w:numId w:val="0"/>
        </w:numPr>
        <w:tabs>
          <w:tab w:val="left" w:pos="1314"/>
        </w:tabs>
        <w:spacing w:before="161"/>
        <w:ind w:left="420" w:leftChars="0"/>
        <w:jc w:val="left"/>
        <w:rPr>
          <w:rFonts w:hint="eastAsia" w:ascii="仿宋" w:hAnsi="仿宋" w:eastAsia="仿宋" w:cs="仿宋"/>
          <w:sz w:val="28"/>
          <w:szCs w:val="28"/>
          <w:lang w:val="en-US" w:eastAsia="zh-CN"/>
        </w:rPr>
      </w:pPr>
      <w:r>
        <w:rPr>
          <w:rFonts w:hint="eastAsia" w:ascii="仿宋" w:hAnsi="仿宋" w:eastAsia="仿宋" w:cs="仿宋"/>
          <w:i w:val="0"/>
          <w:caps w:val="0"/>
          <w:color w:val="333333"/>
          <w:spacing w:val="0"/>
          <w:sz w:val="28"/>
          <w:szCs w:val="28"/>
          <w:shd w:val="clear" w:fill="FFFFFF"/>
          <w:lang w:val="en-US" w:eastAsia="zh-CN"/>
        </w:rPr>
        <w:t>以每个月日历形式展示每天生产的各种能源消耗情况，支持查询历史日历能耗。</w:t>
      </w:r>
    </w:p>
    <w:p>
      <w:pPr>
        <w:pStyle w:val="45"/>
        <w:numPr>
          <w:ilvl w:val="0"/>
          <w:numId w:val="0"/>
        </w:numPr>
        <w:ind w:leftChars="0"/>
        <w:jc w:val="left"/>
        <w:rPr>
          <w:rFonts w:hint="default" w:ascii="仿宋" w:hAnsi="仿宋" w:eastAsia="仿宋" w:cs="仿宋"/>
          <w:i w:val="0"/>
          <w:caps w:val="0"/>
          <w:color w:val="333333"/>
          <w:spacing w:val="0"/>
          <w:kern w:val="2"/>
          <w:sz w:val="28"/>
          <w:szCs w:val="28"/>
          <w:shd w:val="clear" w:fill="FFFFFF"/>
          <w:lang w:val="en-US" w:eastAsia="zh-CN" w:bidi="ar-SA"/>
        </w:rPr>
      </w:pPr>
      <w:r>
        <w:rPr>
          <w:rFonts w:hint="eastAsia" w:cs="仿宋"/>
          <w:i w:val="0"/>
          <w:caps w:val="0"/>
          <w:color w:val="333333"/>
          <w:spacing w:val="0"/>
          <w:kern w:val="2"/>
          <w:sz w:val="28"/>
          <w:szCs w:val="28"/>
          <w:shd w:val="clear" w:fill="FFFFFF"/>
          <w:lang w:val="en-US" w:eastAsia="zh-CN" w:bidi="ar-SA"/>
        </w:rPr>
        <w:t>例如：</w:t>
      </w:r>
    </w:p>
    <w:p>
      <w:pPr>
        <w:pStyle w:val="45"/>
        <w:bidi w:val="0"/>
        <w:rPr>
          <w:rFonts w:hint="eastAsia" w:ascii="仿宋" w:hAnsi="仿宋" w:eastAsia="仿宋" w:cs="仿宋"/>
        </w:rPr>
      </w:pPr>
      <w:r>
        <w:rPr>
          <w:rFonts w:hint="eastAsia" w:ascii="仿宋" w:hAnsi="仿宋" w:eastAsia="仿宋" w:cs="仿宋"/>
        </w:rPr>
        <w:drawing>
          <wp:inline distT="0" distB="0" distL="114300" distR="114300">
            <wp:extent cx="5267325" cy="2286635"/>
            <wp:effectExtent l="0" t="0" r="9525" b="18415"/>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pic:cNvPicPr>
                      <a:picLocks noChangeAspect="1"/>
                    </pic:cNvPicPr>
                  </pic:nvPicPr>
                  <pic:blipFill>
                    <a:blip r:embed="rId13"/>
                    <a:stretch>
                      <a:fillRect/>
                    </a:stretch>
                  </pic:blipFill>
                  <pic:spPr>
                    <a:xfrm>
                      <a:off x="0" y="0"/>
                      <a:ext cx="5267325" cy="2286635"/>
                    </a:xfrm>
                    <a:prstGeom prst="rect">
                      <a:avLst/>
                    </a:prstGeom>
                    <a:noFill/>
                    <a:ln>
                      <a:noFill/>
                    </a:ln>
                  </pic:spPr>
                </pic:pic>
              </a:graphicData>
            </a:graphic>
          </wp:inline>
        </w:drawing>
      </w:r>
    </w:p>
    <w:p>
      <w:pPr>
        <w:pStyle w:val="45"/>
        <w:bidi w:val="0"/>
        <w:rPr>
          <w:rFonts w:hint="eastAsia" w:ascii="仿宋" w:hAnsi="仿宋" w:eastAsia="仿宋" w:cs="仿宋"/>
          <w:lang w:val="en-US" w:eastAsia="zh-CN"/>
        </w:rPr>
      </w:pPr>
      <w:r>
        <w:rPr>
          <w:rFonts w:hint="eastAsia" w:ascii="仿宋" w:hAnsi="仿宋" w:eastAsia="仿宋" w:cs="仿宋"/>
          <w:lang w:eastAsia="zh-CN"/>
        </w:rPr>
        <w:t>用电</w:t>
      </w:r>
      <w:r>
        <w:rPr>
          <w:rFonts w:hint="eastAsia" w:ascii="仿宋" w:hAnsi="仿宋" w:eastAsia="仿宋" w:cs="仿宋"/>
          <w:lang w:val="en-US" w:eastAsia="zh-CN"/>
        </w:rPr>
        <w:t>能耗日历</w:t>
      </w:r>
    </w:p>
    <w:p>
      <w:pPr>
        <w:pStyle w:val="45"/>
        <w:bidi w:val="0"/>
        <w:rPr>
          <w:rFonts w:hint="eastAsia" w:ascii="仿宋" w:hAnsi="仿宋" w:eastAsia="仿宋" w:cs="仿宋"/>
        </w:rPr>
      </w:pPr>
      <w:r>
        <w:rPr>
          <w:rFonts w:hint="eastAsia" w:ascii="仿宋" w:hAnsi="仿宋" w:eastAsia="仿宋" w:cs="仿宋"/>
        </w:rPr>
        <w:drawing>
          <wp:inline distT="0" distB="0" distL="114300" distR="114300">
            <wp:extent cx="5265420" cy="2318385"/>
            <wp:effectExtent l="0" t="0" r="11430" b="5715"/>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pic:cNvPicPr>
                      <a:picLocks noChangeAspect="1"/>
                    </pic:cNvPicPr>
                  </pic:nvPicPr>
                  <pic:blipFill>
                    <a:blip r:embed="rId14"/>
                    <a:stretch>
                      <a:fillRect/>
                    </a:stretch>
                  </pic:blipFill>
                  <pic:spPr>
                    <a:xfrm>
                      <a:off x="0" y="0"/>
                      <a:ext cx="5265420" cy="2318385"/>
                    </a:xfrm>
                    <a:prstGeom prst="rect">
                      <a:avLst/>
                    </a:prstGeom>
                    <a:noFill/>
                    <a:ln>
                      <a:noFill/>
                    </a:ln>
                  </pic:spPr>
                </pic:pic>
              </a:graphicData>
            </a:graphic>
          </wp:inline>
        </w:drawing>
      </w:r>
    </w:p>
    <w:p>
      <w:pPr>
        <w:pStyle w:val="45"/>
        <w:bidi w:val="0"/>
        <w:rPr>
          <w:rFonts w:hint="eastAsia" w:ascii="仿宋" w:hAnsi="仿宋" w:eastAsia="仿宋" w:cs="仿宋"/>
          <w:lang w:val="en-US" w:eastAsia="zh-CN"/>
        </w:rPr>
      </w:pPr>
      <w:r>
        <w:rPr>
          <w:rFonts w:hint="eastAsia" w:ascii="仿宋" w:hAnsi="仿宋" w:eastAsia="仿宋" w:cs="仿宋"/>
          <w:lang w:val="en-US" w:eastAsia="zh-CN"/>
        </w:rPr>
        <w:t>码头用电能耗详情</w:t>
      </w:r>
    </w:p>
    <w:p>
      <w:pPr>
        <w:pStyle w:val="45"/>
        <w:bidi w:val="0"/>
        <w:jc w:val="center"/>
        <w:rPr>
          <w:rFonts w:hint="eastAsia" w:ascii="仿宋" w:hAnsi="仿宋" w:eastAsia="仿宋" w:cs="仿宋"/>
        </w:rPr>
      </w:pPr>
      <w:r>
        <w:rPr>
          <w:rFonts w:hint="eastAsia" w:ascii="仿宋" w:hAnsi="仿宋" w:eastAsia="仿宋" w:cs="仿宋"/>
        </w:rPr>
        <w:drawing>
          <wp:inline distT="0" distB="0" distL="114300" distR="114300">
            <wp:extent cx="5265420" cy="2310130"/>
            <wp:effectExtent l="0" t="0" r="11430" b="13970"/>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pic:cNvPicPr>
                      <a:picLocks noChangeAspect="1"/>
                    </pic:cNvPicPr>
                  </pic:nvPicPr>
                  <pic:blipFill>
                    <a:blip r:embed="rId15"/>
                    <a:stretch>
                      <a:fillRect/>
                    </a:stretch>
                  </pic:blipFill>
                  <pic:spPr>
                    <a:xfrm>
                      <a:off x="0" y="0"/>
                      <a:ext cx="5265420" cy="2310130"/>
                    </a:xfrm>
                    <a:prstGeom prst="rect">
                      <a:avLst/>
                    </a:prstGeom>
                    <a:noFill/>
                    <a:ln>
                      <a:noFill/>
                    </a:ln>
                  </pic:spPr>
                </pic:pic>
              </a:graphicData>
            </a:graphic>
          </wp:inline>
        </w:drawing>
      </w:r>
    </w:p>
    <w:p>
      <w:pPr>
        <w:pStyle w:val="45"/>
        <w:bidi w:val="0"/>
        <w:jc w:val="center"/>
        <w:rPr>
          <w:rFonts w:hint="eastAsia" w:ascii="仿宋" w:hAnsi="仿宋" w:eastAsia="仿宋" w:cs="仿宋"/>
          <w:lang w:val="en-US" w:eastAsia="zh-CN"/>
        </w:rPr>
      </w:pPr>
      <w:r>
        <w:rPr>
          <w:rFonts w:hint="eastAsia" w:ascii="仿宋" w:hAnsi="仿宋" w:eastAsia="仿宋" w:cs="仿宋"/>
          <w:lang w:val="en-US" w:eastAsia="zh-CN"/>
        </w:rPr>
        <w:t>分类能耗统计</w:t>
      </w:r>
    </w:p>
    <w:p>
      <w:pPr>
        <w:pStyle w:val="26"/>
        <w:numPr>
          <w:ilvl w:val="0"/>
          <w:numId w:val="3"/>
        </w:numPr>
        <w:tabs>
          <w:tab w:val="left" w:pos="1314"/>
          <w:tab w:val="clear" w:pos="420"/>
        </w:tabs>
        <w:spacing w:before="16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能源监控和报表</w:t>
      </w:r>
    </w:p>
    <w:p>
      <w:pPr>
        <w:pStyle w:val="9"/>
        <w:spacing w:before="187" w:line="364" w:lineRule="auto"/>
        <w:ind w:right="308"/>
        <w:jc w:val="both"/>
        <w:rPr>
          <w:rFonts w:hint="default" w:ascii="仿宋" w:hAnsi="仿宋" w:eastAsia="仿宋" w:cs="仿宋"/>
          <w:sz w:val="28"/>
          <w:szCs w:val="28"/>
          <w:lang w:val="en-US" w:eastAsia="zh-CN"/>
        </w:rPr>
      </w:pPr>
      <w:r>
        <w:rPr>
          <w:rFonts w:hint="eastAsia" w:ascii="仿宋" w:hAnsi="仿宋" w:eastAsia="仿宋" w:cs="仿宋"/>
          <w:i w:val="0"/>
          <w:caps w:val="0"/>
          <w:color w:val="333333"/>
          <w:spacing w:val="0"/>
          <w:sz w:val="28"/>
          <w:szCs w:val="28"/>
          <w:shd w:val="clear" w:fill="FFFFFF"/>
          <w:lang w:val="en-US" w:eastAsia="zh-CN"/>
        </w:rPr>
        <w:t>对港口每个岸电插口的电能信息进行数据展示，展示内容包括：正向有功总电能、最大值、最大值时间、最小值、最小值时间。可以以多种图形方式展示。可按日、小时、分进行展示。同时可展示码头峰谷用电具体数据。</w:t>
      </w:r>
    </w:p>
    <w:p>
      <w:pPr>
        <w:pStyle w:val="45"/>
        <w:numPr>
          <w:ilvl w:val="0"/>
          <w:numId w:val="0"/>
        </w:numPr>
        <w:ind w:leftChars="0"/>
        <w:jc w:val="left"/>
        <w:rPr>
          <w:rFonts w:hint="eastAsia" w:ascii="仿宋" w:hAnsi="仿宋" w:eastAsia="仿宋" w:cs="仿宋"/>
        </w:rPr>
      </w:pPr>
      <w:r>
        <w:rPr>
          <w:rFonts w:hint="eastAsia" w:ascii="仿宋" w:hAnsi="仿宋" w:eastAsia="仿宋" w:cs="仿宋"/>
        </w:rPr>
        <w:drawing>
          <wp:inline distT="0" distB="0" distL="114300" distR="114300">
            <wp:extent cx="5270500" cy="2247900"/>
            <wp:effectExtent l="0" t="0" r="6350" b="0"/>
            <wp:docPr id="3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
                    <pic:cNvPicPr>
                      <a:picLocks noChangeAspect="1"/>
                    </pic:cNvPicPr>
                  </pic:nvPicPr>
                  <pic:blipFill>
                    <a:blip r:embed="rId16"/>
                    <a:stretch>
                      <a:fillRect/>
                    </a:stretch>
                  </pic:blipFill>
                  <pic:spPr>
                    <a:xfrm>
                      <a:off x="0" y="0"/>
                      <a:ext cx="5270500" cy="2247900"/>
                    </a:xfrm>
                    <a:prstGeom prst="rect">
                      <a:avLst/>
                    </a:prstGeom>
                    <a:noFill/>
                    <a:ln>
                      <a:noFill/>
                    </a:ln>
                  </pic:spPr>
                </pic:pic>
              </a:graphicData>
            </a:graphic>
          </wp:inline>
        </w:drawing>
      </w:r>
    </w:p>
    <w:p>
      <w:pPr>
        <w:pStyle w:val="45"/>
        <w:numPr>
          <w:ilvl w:val="0"/>
          <w:numId w:val="0"/>
        </w:numPr>
        <w:ind w:leftChars="0"/>
        <w:jc w:val="center"/>
        <w:rPr>
          <w:rFonts w:hint="eastAsia" w:ascii="仿宋" w:hAnsi="仿宋" w:eastAsia="仿宋" w:cs="仿宋"/>
          <w:lang w:val="en-US" w:eastAsia="zh-CN"/>
        </w:rPr>
      </w:pPr>
      <w:r>
        <w:rPr>
          <w:rFonts w:hint="eastAsia" w:ascii="仿宋" w:hAnsi="仿宋" w:eastAsia="仿宋" w:cs="仿宋"/>
          <w:lang w:val="en-US" w:eastAsia="zh-CN"/>
        </w:rPr>
        <w:t>用能监测</w:t>
      </w:r>
    </w:p>
    <w:p>
      <w:pPr>
        <w:pStyle w:val="45"/>
        <w:numPr>
          <w:ilvl w:val="0"/>
          <w:numId w:val="0"/>
        </w:numPr>
        <w:ind w:leftChars="0"/>
        <w:jc w:val="center"/>
        <w:rPr>
          <w:rFonts w:hint="eastAsia" w:ascii="仿宋" w:hAnsi="仿宋" w:eastAsia="仿宋" w:cs="仿宋"/>
        </w:rPr>
      </w:pPr>
      <w:r>
        <w:rPr>
          <w:rFonts w:hint="eastAsia" w:ascii="仿宋" w:hAnsi="仿宋" w:eastAsia="仿宋" w:cs="仿宋"/>
        </w:rPr>
        <w:drawing>
          <wp:inline distT="0" distB="0" distL="114300" distR="114300">
            <wp:extent cx="5267960" cy="2244090"/>
            <wp:effectExtent l="0" t="0" r="8890" b="3810"/>
            <wp:docPr id="3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0"/>
                    <pic:cNvPicPr>
                      <a:picLocks noChangeAspect="1"/>
                    </pic:cNvPicPr>
                  </pic:nvPicPr>
                  <pic:blipFill>
                    <a:blip r:embed="rId17"/>
                    <a:stretch>
                      <a:fillRect/>
                    </a:stretch>
                  </pic:blipFill>
                  <pic:spPr>
                    <a:xfrm>
                      <a:off x="0" y="0"/>
                      <a:ext cx="5267960" cy="2244090"/>
                    </a:xfrm>
                    <a:prstGeom prst="rect">
                      <a:avLst/>
                    </a:prstGeom>
                    <a:noFill/>
                    <a:ln>
                      <a:noFill/>
                    </a:ln>
                  </pic:spPr>
                </pic:pic>
              </a:graphicData>
            </a:graphic>
          </wp:inline>
        </w:drawing>
      </w:r>
    </w:p>
    <w:p>
      <w:pPr>
        <w:pStyle w:val="45"/>
        <w:numPr>
          <w:ilvl w:val="0"/>
          <w:numId w:val="0"/>
        </w:numPr>
        <w:ind w:leftChars="0"/>
        <w:jc w:val="center"/>
        <w:rPr>
          <w:rFonts w:hint="eastAsia" w:ascii="仿宋" w:hAnsi="仿宋" w:eastAsia="仿宋" w:cs="仿宋"/>
          <w:lang w:val="en-US" w:eastAsia="zh-CN"/>
        </w:rPr>
      </w:pPr>
      <w:r>
        <w:rPr>
          <w:rFonts w:hint="eastAsia" w:ascii="仿宋" w:hAnsi="仿宋" w:eastAsia="仿宋" w:cs="仿宋"/>
          <w:lang w:val="en-US" w:eastAsia="zh-CN"/>
        </w:rPr>
        <w:t>尖峰平谷用能分析</w:t>
      </w:r>
    </w:p>
    <w:p>
      <w:pPr>
        <w:rPr>
          <w:rFonts w:hint="eastAsia" w:ascii="仿宋" w:hAnsi="仿宋" w:eastAsia="仿宋" w:cs="仿宋"/>
        </w:rPr>
      </w:pPr>
    </w:p>
    <w:p>
      <w:pPr>
        <w:pStyle w:val="5"/>
        <w:numPr>
          <w:ilvl w:val="0"/>
          <w:numId w:val="4"/>
        </w:numPr>
        <w:rPr>
          <w:rFonts w:hint="eastAsia" w:ascii="仿宋" w:hAnsi="仿宋" w:eastAsia="仿宋" w:cs="仿宋"/>
        </w:rPr>
      </w:pPr>
      <w:bookmarkStart w:id="45" w:name="_Toc2586"/>
      <w:bookmarkStart w:id="46" w:name="_Toc8614"/>
      <w:bookmarkStart w:id="47" w:name="_Toc15304"/>
      <w:r>
        <w:rPr>
          <w:rFonts w:hint="eastAsia" w:ascii="仿宋" w:hAnsi="仿宋" w:eastAsia="仿宋" w:cs="仿宋"/>
        </w:rPr>
        <w:t>供货范围</w:t>
      </w:r>
      <w:bookmarkEnd w:id="45"/>
      <w:bookmarkEnd w:id="46"/>
      <w:bookmarkEnd w:id="47"/>
    </w:p>
    <w:p>
      <w:pPr>
        <w:spacing w:before="75" w:line="261" w:lineRule="auto"/>
        <w:ind w:left="1084" w:right="183" w:hanging="715"/>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工程范围分界线：现场现有岸电箱出线开关下桩头至新增岸电桩。</w:t>
      </w:r>
    </w:p>
    <w:p>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卖方工作范围：</w:t>
      </w:r>
    </w:p>
    <w:p>
      <w:pPr>
        <w:spacing w:before="75" w:line="261" w:lineRule="auto"/>
        <w:ind w:left="1084" w:right="183" w:hanging="715"/>
        <w:rPr>
          <w:rFonts w:hint="eastAsia" w:ascii="仿宋" w:hAnsi="仿宋" w:eastAsia="仿宋" w:cs="仿宋"/>
          <w:sz w:val="28"/>
          <w:szCs w:val="28"/>
        </w:rPr>
      </w:pPr>
      <w:r>
        <w:rPr>
          <w:rFonts w:hint="eastAsia" w:ascii="仿宋" w:hAnsi="仿宋" w:eastAsia="仿宋" w:cs="仿宋"/>
          <w:sz w:val="28"/>
          <w:szCs w:val="28"/>
        </w:rPr>
        <w:t>(1) 岸电桩深化设计、制造、装配、运输、装卸、安装、调试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码头现有变频电源不包括在内</w:t>
      </w:r>
      <w:r>
        <w:rPr>
          <w:rFonts w:hint="eastAsia" w:ascii="仿宋" w:hAnsi="仿宋" w:eastAsia="仿宋" w:cs="仿宋"/>
          <w:sz w:val="28"/>
          <w:szCs w:val="28"/>
          <w:lang w:eastAsia="zh-CN"/>
        </w:rPr>
        <w:t>）</w:t>
      </w:r>
      <w:r>
        <w:rPr>
          <w:rFonts w:hint="eastAsia" w:ascii="仿宋" w:hAnsi="仿宋" w:eastAsia="仿宋" w:cs="仿宋"/>
          <w:sz w:val="28"/>
          <w:szCs w:val="28"/>
        </w:rPr>
        <w:t>、试送电、操作人员培训及现场服务等全套在内的交钥匙工程，直至具备使用条件、通过竣工验收为止。</w:t>
      </w:r>
    </w:p>
    <w:p>
      <w:pPr>
        <w:spacing w:before="75" w:line="261" w:lineRule="auto"/>
        <w:ind w:left="1084" w:right="183" w:hanging="715"/>
        <w:rPr>
          <w:rFonts w:hint="eastAsia" w:ascii="仿宋" w:hAnsi="仿宋" w:eastAsia="仿宋" w:cs="仿宋"/>
          <w:sz w:val="28"/>
          <w:szCs w:val="28"/>
        </w:rPr>
      </w:pPr>
      <w:r>
        <w:rPr>
          <w:rFonts w:hint="eastAsia" w:ascii="仿宋" w:hAnsi="仿宋" w:eastAsia="仿宋" w:cs="仿宋"/>
          <w:sz w:val="28"/>
          <w:szCs w:val="28"/>
        </w:rPr>
        <w:t>(2)船用岸电桩、柜体钥匙 、技术资料和图纸(见</w:t>
      </w:r>
      <w:r>
        <w:rPr>
          <w:rFonts w:hint="eastAsia" w:ascii="仿宋" w:hAnsi="仿宋" w:eastAsia="仿宋" w:cs="仿宋"/>
          <w:sz w:val="28"/>
          <w:szCs w:val="28"/>
          <w:lang w:val="en-US" w:eastAsia="zh-CN"/>
        </w:rPr>
        <w:t>8</w:t>
      </w:r>
      <w:r>
        <w:rPr>
          <w:rFonts w:hint="eastAsia" w:ascii="仿宋" w:hAnsi="仿宋" w:eastAsia="仿宋" w:cs="仿宋"/>
          <w:sz w:val="28"/>
          <w:szCs w:val="28"/>
        </w:rPr>
        <w:t>.验收资料）</w:t>
      </w:r>
    </w:p>
    <w:p>
      <w:pPr>
        <w:spacing w:before="75" w:line="261" w:lineRule="auto"/>
        <w:ind w:left="1084" w:right="183" w:hanging="715"/>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岸电桩需配置岸电设备运维管理平台。</w:t>
      </w:r>
    </w:p>
    <w:p>
      <w:pPr>
        <w:spacing w:before="75" w:line="261" w:lineRule="auto"/>
        <w:ind w:left="1084" w:right="183" w:hanging="715"/>
        <w:rPr>
          <w:rFonts w:hint="eastAsia" w:ascii="仿宋" w:hAnsi="仿宋" w:eastAsia="仿宋" w:cs="仿宋"/>
          <w:sz w:val="28"/>
          <w:szCs w:val="28"/>
        </w:rPr>
      </w:pPr>
      <w:r>
        <w:rPr>
          <w:rFonts w:hint="eastAsia" w:ascii="仿宋" w:hAnsi="仿宋" w:eastAsia="仿宋" w:cs="仿宋"/>
          <w:sz w:val="28"/>
          <w:szCs w:val="28"/>
        </w:rPr>
        <w:t>卖方不包括范围：</w:t>
      </w:r>
    </w:p>
    <w:p>
      <w:pPr>
        <w:spacing w:before="75" w:line="261" w:lineRule="auto"/>
        <w:ind w:left="1084" w:right="183" w:hanging="715"/>
        <w:rPr>
          <w:rFonts w:hint="eastAsia" w:ascii="仿宋" w:hAnsi="仿宋" w:eastAsia="仿宋" w:cs="仿宋"/>
          <w:sz w:val="28"/>
          <w:szCs w:val="28"/>
        </w:rPr>
      </w:pPr>
      <w:r>
        <w:rPr>
          <w:rFonts w:hint="eastAsia" w:ascii="仿宋" w:hAnsi="仿宋" w:eastAsia="仿宋" w:cs="仿宋"/>
          <w:sz w:val="28"/>
          <w:szCs w:val="28"/>
        </w:rPr>
        <w:t>(1) 船用岸电桩基础的土建设计、供货和施工，但卖方必须提供用于土建基础设计所需的数据(含底座尺寸、柜体重量等)。</w:t>
      </w:r>
    </w:p>
    <w:p>
      <w:pPr>
        <w:pStyle w:val="5"/>
        <w:numPr>
          <w:ilvl w:val="0"/>
          <w:numId w:val="4"/>
        </w:numPr>
        <w:rPr>
          <w:rFonts w:hint="eastAsia" w:ascii="仿宋" w:hAnsi="仿宋" w:eastAsia="仿宋" w:cs="仿宋"/>
        </w:rPr>
      </w:pPr>
      <w:bookmarkStart w:id="48" w:name="_Toc25886"/>
      <w:bookmarkStart w:id="49" w:name="_Toc25305"/>
      <w:bookmarkStart w:id="50" w:name="_Toc8256"/>
      <w:bookmarkStart w:id="51" w:name="_Toc13571"/>
      <w:r>
        <w:rPr>
          <w:rFonts w:hint="eastAsia" w:ascii="仿宋" w:hAnsi="仿宋" w:eastAsia="仿宋" w:cs="仿宋"/>
        </w:rPr>
        <w:t>验收及售后</w:t>
      </w:r>
      <w:bookmarkEnd w:id="48"/>
      <w:bookmarkEnd w:id="49"/>
      <w:bookmarkEnd w:id="50"/>
    </w:p>
    <w:p>
      <w:pPr>
        <w:pStyle w:val="6"/>
        <w:numPr>
          <w:ilvl w:val="1"/>
          <w:numId w:val="0"/>
        </w:numPr>
        <w:rPr>
          <w:rFonts w:hint="eastAsia" w:ascii="仿宋" w:hAnsi="仿宋" w:eastAsia="仿宋" w:cs="仿宋"/>
        </w:rPr>
      </w:pPr>
      <w:bookmarkStart w:id="52" w:name="_Toc14686"/>
      <w:bookmarkStart w:id="53" w:name="_Toc32142"/>
      <w:bookmarkStart w:id="54" w:name="_Toc10349"/>
      <w:r>
        <w:rPr>
          <w:rFonts w:hint="eastAsia" w:ascii="仿宋" w:hAnsi="仿宋" w:eastAsia="仿宋" w:cs="仿宋"/>
          <w:lang w:val="en-US" w:eastAsia="zh-CN"/>
        </w:rPr>
        <w:t>6</w:t>
      </w:r>
      <w:r>
        <w:rPr>
          <w:rFonts w:hint="eastAsia" w:ascii="仿宋" w:hAnsi="仿宋" w:eastAsia="仿宋" w:cs="仿宋"/>
        </w:rPr>
        <w:t>.</w:t>
      </w:r>
      <w:r>
        <w:rPr>
          <w:rFonts w:hint="eastAsia" w:ascii="仿宋" w:hAnsi="仿宋" w:eastAsia="仿宋" w:cs="仿宋"/>
          <w:lang w:val="en-US" w:eastAsia="zh-CN"/>
        </w:rPr>
        <w:t>1</w:t>
      </w:r>
      <w:r>
        <w:rPr>
          <w:rFonts w:hint="eastAsia" w:ascii="仿宋" w:hAnsi="仿宋" w:eastAsia="仿宋" w:cs="仿宋"/>
        </w:rPr>
        <w:t xml:space="preserve"> 验收标准</w:t>
      </w:r>
      <w:bookmarkEnd w:id="52"/>
      <w:bookmarkEnd w:id="53"/>
      <w:bookmarkEnd w:id="54"/>
    </w:p>
    <w:p>
      <w:pPr>
        <w:spacing w:line="360" w:lineRule="auto"/>
        <w:ind w:firstLine="560" w:firstLineChars="200"/>
        <w:rPr>
          <w:rFonts w:hint="eastAsia" w:ascii="仿宋" w:hAnsi="仿宋" w:eastAsia="仿宋" w:cs="仿宋"/>
          <w:sz w:val="28"/>
          <w:szCs w:val="28"/>
        </w:rPr>
      </w:pPr>
      <w:bookmarkStart w:id="55" w:name="_Toc16232"/>
      <w:bookmarkStart w:id="56" w:name="_Toc15716"/>
      <w:r>
        <w:rPr>
          <w:rFonts w:hint="eastAsia" w:ascii="仿宋" w:hAnsi="仿宋" w:eastAsia="仿宋" w:cs="仿宋"/>
          <w:sz w:val="28"/>
          <w:szCs w:val="28"/>
        </w:rPr>
        <w:t>1、数据通讯根据通讯协议为依据，满足平台对接，满足技术文件的内容；</w:t>
      </w:r>
      <w:bookmarkEnd w:id="55"/>
      <w:bookmarkEnd w:id="56"/>
    </w:p>
    <w:p>
      <w:pPr>
        <w:spacing w:line="360" w:lineRule="auto"/>
        <w:ind w:firstLine="560" w:firstLineChars="200"/>
        <w:rPr>
          <w:rFonts w:hint="eastAsia" w:ascii="仿宋" w:hAnsi="仿宋" w:eastAsia="仿宋" w:cs="仿宋"/>
          <w:sz w:val="28"/>
          <w:szCs w:val="28"/>
        </w:rPr>
      </w:pPr>
      <w:bookmarkStart w:id="57" w:name="_Toc29670"/>
      <w:bookmarkStart w:id="58" w:name="_Toc16220"/>
      <w:r>
        <w:rPr>
          <w:rFonts w:hint="eastAsia" w:ascii="仿宋" w:hAnsi="仿宋" w:eastAsia="仿宋" w:cs="仿宋"/>
          <w:sz w:val="28"/>
          <w:szCs w:val="28"/>
        </w:rPr>
        <w:t>2、交钥匙工程，需满足码头客户方验收，则项目验收符合验收条件。</w:t>
      </w:r>
      <w:bookmarkEnd w:id="57"/>
      <w:bookmarkEnd w:id="58"/>
    </w:p>
    <w:p>
      <w:pPr>
        <w:pStyle w:val="6"/>
        <w:numPr>
          <w:ilvl w:val="1"/>
          <w:numId w:val="0"/>
        </w:numPr>
        <w:rPr>
          <w:rFonts w:hint="eastAsia" w:ascii="仿宋" w:hAnsi="仿宋" w:eastAsia="仿宋" w:cs="仿宋"/>
          <w:lang w:val="en-US"/>
        </w:rPr>
      </w:pPr>
      <w:bookmarkStart w:id="59" w:name="_Toc1436"/>
      <w:bookmarkStart w:id="60" w:name="_Toc32456"/>
      <w:bookmarkStart w:id="61" w:name="_Toc5416"/>
      <w:r>
        <w:rPr>
          <w:rFonts w:hint="eastAsia" w:ascii="仿宋" w:hAnsi="仿宋" w:eastAsia="仿宋" w:cs="仿宋"/>
          <w:lang w:val="en-US" w:eastAsia="zh-CN"/>
        </w:rPr>
        <w:t>6</w:t>
      </w:r>
      <w:r>
        <w:rPr>
          <w:rFonts w:hint="eastAsia" w:ascii="仿宋" w:hAnsi="仿宋" w:eastAsia="仿宋" w:cs="仿宋"/>
        </w:rPr>
        <w:t>.</w:t>
      </w:r>
      <w:bookmarkEnd w:id="51"/>
      <w:bookmarkStart w:id="62" w:name="_Toc6208"/>
      <w:bookmarkStart w:id="63" w:name="_Toc1100"/>
      <w:bookmarkStart w:id="64" w:name="_Toc29078"/>
      <w:r>
        <w:rPr>
          <w:rFonts w:hint="eastAsia" w:ascii="仿宋" w:hAnsi="仿宋" w:eastAsia="仿宋" w:cs="仿宋"/>
          <w:lang w:val="en-US" w:eastAsia="zh-CN"/>
        </w:rPr>
        <w:t>2</w:t>
      </w:r>
      <w:r>
        <w:rPr>
          <w:rFonts w:hint="eastAsia" w:ascii="仿宋" w:hAnsi="仿宋" w:eastAsia="仿宋" w:cs="仿宋"/>
          <w:lang w:val="en-US"/>
        </w:rPr>
        <w:t>售后技术服务及培训</w:t>
      </w:r>
      <w:bookmarkEnd w:id="59"/>
      <w:bookmarkEnd w:id="60"/>
      <w:bookmarkEnd w:id="61"/>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安排经验丰富技术过硬的技术工程师进行设备安装指导，调试指导。保证系统 安全、顺利投运。提供现场技术服务的人员安排计划。</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设备在安装和调试过程中和完毕后，免费为码头的操作、维护和技术人员提供培训。培训地点：生产厂家和码头现场。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培训内容：系统介绍、操作培训、参数设置、 维护及故障分析处理。对运转初期进行监护性服务，帮助发包人掌握操作和排除故障技术，并对出现的故障进行应急处理。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质保期内提供 24 小时×365天热线支持电话：</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在电话和远程网络无法解决问题的情况下，服务工程师应在 12 小时内达到现场响应。提供备件保障计划，保证质保期内及以后提供及时快捷的备件服务。提供免费的系统软件恢复和升级服务。若检测后发现电表、数据采集器等主件故障问题，需要提供只换不修的原则。</w:t>
      </w:r>
    </w:p>
    <w:p>
      <w:pPr>
        <w:pStyle w:val="5"/>
        <w:numPr>
          <w:ilvl w:val="0"/>
          <w:numId w:val="4"/>
        </w:numPr>
        <w:rPr>
          <w:rFonts w:hint="eastAsia" w:ascii="仿宋" w:hAnsi="仿宋" w:eastAsia="仿宋" w:cs="仿宋"/>
        </w:rPr>
      </w:pPr>
      <w:bookmarkStart w:id="65" w:name="_Toc2456"/>
      <w:bookmarkStart w:id="66" w:name="_Toc1662"/>
      <w:r>
        <w:rPr>
          <w:rFonts w:hint="eastAsia" w:ascii="仿宋" w:hAnsi="仿宋" w:eastAsia="仿宋" w:cs="仿宋"/>
        </w:rPr>
        <w:t>质量保证</w:t>
      </w:r>
      <w:bookmarkEnd w:id="65"/>
      <w:bookmarkEnd w:id="66"/>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所有产品的设计、制造、测试、包装和运输在 ISO9001 质量体系下进行全过程控制</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所有产品设计、制造、测试、包装和运输遵循</w:t>
      </w:r>
      <w:r>
        <w:rPr>
          <w:rFonts w:hint="eastAsia" w:ascii="仿宋" w:hAnsi="仿宋" w:eastAsia="仿宋" w:cs="仿宋"/>
          <w:sz w:val="28"/>
          <w:szCs w:val="28"/>
          <w:lang w:val="en-US" w:eastAsia="zh-CN"/>
        </w:rPr>
        <w:t>要符合“2.7应用标准”所规定的内容。</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提供全面的服务网络体系包括技术咨询、备件服务以及售后服务等，保证产品的质量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质量保证期内，因设备质量导致的问题免费上门维修，如因购买方原因导致的设备故障，产生的服务费由购买方承担。</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质量保证期为整个项目验收合格后算起</w:t>
      </w:r>
      <w:r>
        <w:rPr>
          <w:rFonts w:hint="eastAsia" w:ascii="仿宋" w:hAnsi="仿宋" w:eastAsia="仿宋" w:cs="仿宋"/>
          <w:sz w:val="28"/>
          <w:szCs w:val="28"/>
          <w:lang w:val="en-US" w:eastAsia="zh-CN"/>
        </w:rPr>
        <w:t>二</w:t>
      </w:r>
      <w:r>
        <w:rPr>
          <w:rFonts w:hint="eastAsia" w:ascii="仿宋" w:hAnsi="仿宋" w:eastAsia="仿宋" w:cs="仿宋"/>
          <w:sz w:val="28"/>
          <w:szCs w:val="28"/>
        </w:rPr>
        <w:t>年(</w:t>
      </w:r>
      <w:r>
        <w:rPr>
          <w:rFonts w:hint="eastAsia" w:ascii="仿宋" w:hAnsi="仿宋" w:eastAsia="仿宋" w:cs="仿宋"/>
          <w:sz w:val="28"/>
          <w:szCs w:val="28"/>
          <w:lang w:val="en-US" w:eastAsia="zh-CN"/>
        </w:rPr>
        <w:t>24</w:t>
      </w:r>
      <w:r>
        <w:rPr>
          <w:rFonts w:hint="eastAsia" w:ascii="仿宋" w:hAnsi="仿宋" w:eastAsia="仿宋" w:cs="仿宋"/>
          <w:sz w:val="28"/>
          <w:szCs w:val="28"/>
        </w:rPr>
        <w:t>个月)。</w:t>
      </w:r>
      <w:bookmarkEnd w:id="62"/>
      <w:bookmarkEnd w:id="63"/>
      <w:bookmarkEnd w:id="64"/>
    </w:p>
    <w:p>
      <w:pPr>
        <w:pStyle w:val="5"/>
        <w:numPr>
          <w:ilvl w:val="0"/>
          <w:numId w:val="4"/>
        </w:numPr>
        <w:rPr>
          <w:rFonts w:hint="eastAsia" w:ascii="仿宋" w:hAnsi="仿宋" w:eastAsia="仿宋" w:cs="仿宋"/>
        </w:rPr>
      </w:pPr>
      <w:bookmarkStart w:id="67" w:name="_Toc9108"/>
      <w:bookmarkStart w:id="68" w:name="_Toc29945"/>
      <w:bookmarkStart w:id="69" w:name="_Toc3807"/>
      <w:r>
        <w:rPr>
          <w:rFonts w:hint="eastAsia" w:ascii="仿宋" w:hAnsi="仿宋" w:eastAsia="仿宋" w:cs="仿宋"/>
        </w:rPr>
        <w:t>验收资料</w:t>
      </w:r>
      <w:bookmarkEnd w:id="67"/>
      <w:bookmarkEnd w:id="68"/>
      <w:bookmarkEnd w:id="69"/>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供应商提供的技术文件包括：</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-----装箱清单；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-----使用维护说明书；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-----质量合格证；</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-----电气接线图；</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-----电气原理图；</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-----出厂检验记录；</w:t>
      </w:r>
    </w:p>
    <w:p>
      <w:pPr>
        <w:spacing w:line="360" w:lineRule="auto"/>
        <w:ind w:firstLine="560" w:firstLineChars="200"/>
        <w:rPr>
          <w:rFonts w:hint="eastAsia" w:ascii="仿宋" w:hAnsi="仿宋" w:eastAsia="仿宋" w:cs="仿宋"/>
          <w:lang w:val="en-US" w:eastAsia="zh-CN"/>
        </w:rPr>
      </w:pPr>
      <w:r>
        <w:rPr>
          <w:rFonts w:hint="eastAsia" w:ascii="仿宋" w:hAnsi="仿宋" w:eastAsia="仿宋" w:cs="仿宋"/>
          <w:sz w:val="28"/>
          <w:szCs w:val="28"/>
        </w:rPr>
        <w:t>-----保修卡</w:t>
      </w:r>
      <w:r>
        <w:rPr>
          <w:rFonts w:hint="eastAsia" w:ascii="仿宋" w:hAnsi="仿宋" w:eastAsia="仿宋" w:cs="仿宋"/>
          <w:sz w:val="28"/>
          <w:szCs w:val="28"/>
          <w:lang w:val="en-US" w:eastAsia="zh-CN"/>
        </w:rPr>
        <w:t>。</w:t>
      </w:r>
    </w:p>
    <w:p>
      <w:pPr>
        <w:pStyle w:val="2"/>
      </w:pPr>
    </w:p>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SimSun,Bold">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2065" o:spid="_x0000_s206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2066" o:spid="_x0000_s206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ascii="宋体" w:hAnsi="宋体"/>
      </w:rPr>
    </w:pPr>
    <w:r>
      <w:rPr>
        <w:rFonts w:hint="eastAsia" w:ascii="宋体" w:hAnsi="宋体"/>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4"/>
      </w:rPr>
    </w:pPr>
    <w:r>
      <w:fldChar w:fldCharType="begin"/>
    </w:r>
    <w:r>
      <w:rPr>
        <w:rStyle w:val="24"/>
      </w:rPr>
      <w:instrText xml:space="preserve">PAGE  </w:instrText>
    </w:r>
    <w:r>
      <w:fldChar w:fldCharType="end"/>
    </w:r>
  </w:p>
  <w:p>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ascii="宋体" w:hAnsi="宋体"/>
      </w:rPr>
    </w:pPr>
    <w:r>
      <w:rPr>
        <w:rFonts w:hint="eastAsia" w:ascii="宋体" w:hAnsi="宋体"/>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ascii="宋体" w:hAnsi="宋体"/>
      </w:rPr>
    </w:pPr>
    <w:r>
      <w:rPr>
        <w:rFonts w:hint="eastAsia" w:ascii="宋体" w:hAnsi="宋体"/>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ascii="宋体" w:hAnsi="宋体"/>
      </w:rPr>
    </w:pPr>
    <w:r>
      <w:rPr>
        <w:sz w:val="18"/>
      </w:rPr>
      <w:pict>
        <v:shape id="_x0000_s2070" o:spid="_x0000_s207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ascii="宋体" w:hAnsi="宋体"/>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distribute"/>
      <w:rPr>
        <w:rFonts w:eastAsia="华文仿宋"/>
        <w:szCs w:val="21"/>
      </w:rPr>
    </w:pPr>
    <w:r>
      <w:rPr>
        <w:rFonts w:hint="eastAsia"/>
      </w:rPr>
      <w:t xml:space="preserve">     </w:t>
    </w:r>
  </w:p>
  <w:p>
    <w:pPr>
      <w:pBdr>
        <w:bottom w:val="none" w:color="auto" w:sz="0" w:space="0"/>
      </w:pBdr>
      <w:jc w:val="left"/>
      <w:rPr>
        <w:rFonts w:eastAsia="华文仿宋"/>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EB3143"/>
    <w:multiLevelType w:val="singleLevel"/>
    <w:tmpl w:val="8EEB3143"/>
    <w:lvl w:ilvl="0" w:tentative="0">
      <w:start w:val="4"/>
      <w:numFmt w:val="decimal"/>
      <w:lvlText w:val="%1."/>
      <w:lvlJc w:val="left"/>
      <w:pPr>
        <w:tabs>
          <w:tab w:val="left" w:pos="312"/>
        </w:tabs>
      </w:pPr>
    </w:lvl>
  </w:abstractNum>
  <w:abstractNum w:abstractNumId="1">
    <w:nsid w:val="A53E8808"/>
    <w:multiLevelType w:val="singleLevel"/>
    <w:tmpl w:val="A53E8808"/>
    <w:lvl w:ilvl="0" w:tentative="0">
      <w:start w:val="1"/>
      <w:numFmt w:val="bullet"/>
      <w:lvlText w:val=""/>
      <w:lvlJc w:val="left"/>
      <w:pPr>
        <w:tabs>
          <w:tab w:val="left" w:pos="420"/>
        </w:tabs>
        <w:ind w:left="840" w:hanging="420"/>
      </w:pPr>
      <w:rPr>
        <w:rFonts w:hint="default" w:ascii="Wingdings" w:hAnsi="Wingdings"/>
      </w:rPr>
    </w:lvl>
  </w:abstractNum>
  <w:abstractNum w:abstractNumId="2">
    <w:nsid w:val="2A608401"/>
    <w:multiLevelType w:val="singleLevel"/>
    <w:tmpl w:val="2A608401"/>
    <w:lvl w:ilvl="0" w:tentative="0">
      <w:start w:val="1"/>
      <w:numFmt w:val="decimal"/>
      <w:lvlText w:val="%1."/>
      <w:lvlJc w:val="left"/>
      <w:pPr>
        <w:tabs>
          <w:tab w:val="left" w:pos="312"/>
        </w:tabs>
      </w:pPr>
    </w:lvl>
  </w:abstractNum>
  <w:abstractNum w:abstractNumId="3">
    <w:nsid w:val="4B18532E"/>
    <w:multiLevelType w:val="singleLevel"/>
    <w:tmpl w:val="4B18532E"/>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RiYjdhMDFjMDMyNTFkMzk4MTYzZjUzMzg1N2ZjMDgifQ=="/>
  </w:docVars>
  <w:rsids>
    <w:rsidRoot w:val="00A62C1B"/>
    <w:rsid w:val="000006DF"/>
    <w:rsid w:val="00002B2B"/>
    <w:rsid w:val="00004651"/>
    <w:rsid w:val="00011143"/>
    <w:rsid w:val="00015787"/>
    <w:rsid w:val="00015E4C"/>
    <w:rsid w:val="00017848"/>
    <w:rsid w:val="00021079"/>
    <w:rsid w:val="00022522"/>
    <w:rsid w:val="00022AE0"/>
    <w:rsid w:val="0002412A"/>
    <w:rsid w:val="00031111"/>
    <w:rsid w:val="00031E5D"/>
    <w:rsid w:val="0003356F"/>
    <w:rsid w:val="0003498D"/>
    <w:rsid w:val="00036A06"/>
    <w:rsid w:val="000416A9"/>
    <w:rsid w:val="00041992"/>
    <w:rsid w:val="00043837"/>
    <w:rsid w:val="000440CC"/>
    <w:rsid w:val="00047335"/>
    <w:rsid w:val="00050A49"/>
    <w:rsid w:val="0005685F"/>
    <w:rsid w:val="00056B21"/>
    <w:rsid w:val="00060122"/>
    <w:rsid w:val="000661C1"/>
    <w:rsid w:val="00073096"/>
    <w:rsid w:val="000734B3"/>
    <w:rsid w:val="0007456C"/>
    <w:rsid w:val="00076000"/>
    <w:rsid w:val="00077CC8"/>
    <w:rsid w:val="0008009A"/>
    <w:rsid w:val="000847DC"/>
    <w:rsid w:val="0008746D"/>
    <w:rsid w:val="00093068"/>
    <w:rsid w:val="000A0F8D"/>
    <w:rsid w:val="000A33A5"/>
    <w:rsid w:val="000A4828"/>
    <w:rsid w:val="000A74A3"/>
    <w:rsid w:val="000B40C2"/>
    <w:rsid w:val="000C08C4"/>
    <w:rsid w:val="000C20C2"/>
    <w:rsid w:val="000C21D7"/>
    <w:rsid w:val="000C4D54"/>
    <w:rsid w:val="000C6775"/>
    <w:rsid w:val="000D1B0F"/>
    <w:rsid w:val="000D4A91"/>
    <w:rsid w:val="000E0575"/>
    <w:rsid w:val="000E2FC6"/>
    <w:rsid w:val="000F5392"/>
    <w:rsid w:val="001049DB"/>
    <w:rsid w:val="00107BEF"/>
    <w:rsid w:val="00112DDD"/>
    <w:rsid w:val="00112F40"/>
    <w:rsid w:val="00114E3E"/>
    <w:rsid w:val="0011712A"/>
    <w:rsid w:val="00117259"/>
    <w:rsid w:val="0011758F"/>
    <w:rsid w:val="00120288"/>
    <w:rsid w:val="001203D1"/>
    <w:rsid w:val="00120BF5"/>
    <w:rsid w:val="001225C7"/>
    <w:rsid w:val="00123518"/>
    <w:rsid w:val="00124B58"/>
    <w:rsid w:val="00124ECB"/>
    <w:rsid w:val="00131B95"/>
    <w:rsid w:val="0013692A"/>
    <w:rsid w:val="00143A19"/>
    <w:rsid w:val="0014501D"/>
    <w:rsid w:val="0015040F"/>
    <w:rsid w:val="00150F61"/>
    <w:rsid w:val="001513AB"/>
    <w:rsid w:val="00151FCC"/>
    <w:rsid w:val="00153902"/>
    <w:rsid w:val="00155275"/>
    <w:rsid w:val="00156501"/>
    <w:rsid w:val="00160265"/>
    <w:rsid w:val="00160303"/>
    <w:rsid w:val="00162F5F"/>
    <w:rsid w:val="0016436C"/>
    <w:rsid w:val="0016669C"/>
    <w:rsid w:val="0017287E"/>
    <w:rsid w:val="001734E9"/>
    <w:rsid w:val="00173BA6"/>
    <w:rsid w:val="00173DCF"/>
    <w:rsid w:val="001800B1"/>
    <w:rsid w:val="00180C86"/>
    <w:rsid w:val="00182E6D"/>
    <w:rsid w:val="00183646"/>
    <w:rsid w:val="0019033F"/>
    <w:rsid w:val="00191825"/>
    <w:rsid w:val="00194CBE"/>
    <w:rsid w:val="00194DE6"/>
    <w:rsid w:val="001A0027"/>
    <w:rsid w:val="001A0B28"/>
    <w:rsid w:val="001A188D"/>
    <w:rsid w:val="001A1F5C"/>
    <w:rsid w:val="001A4197"/>
    <w:rsid w:val="001A4D7B"/>
    <w:rsid w:val="001A5541"/>
    <w:rsid w:val="001A6605"/>
    <w:rsid w:val="001B31BB"/>
    <w:rsid w:val="001B4D72"/>
    <w:rsid w:val="001B546A"/>
    <w:rsid w:val="001B6130"/>
    <w:rsid w:val="001C262B"/>
    <w:rsid w:val="001C2E9E"/>
    <w:rsid w:val="001C4721"/>
    <w:rsid w:val="001C4C20"/>
    <w:rsid w:val="001C66E7"/>
    <w:rsid w:val="001D7562"/>
    <w:rsid w:val="001E2E6A"/>
    <w:rsid w:val="001E475C"/>
    <w:rsid w:val="001F0004"/>
    <w:rsid w:val="001F1066"/>
    <w:rsid w:val="001F14BB"/>
    <w:rsid w:val="001F3A80"/>
    <w:rsid w:val="001F47C3"/>
    <w:rsid w:val="002053F8"/>
    <w:rsid w:val="002062DC"/>
    <w:rsid w:val="00206B4F"/>
    <w:rsid w:val="002076CC"/>
    <w:rsid w:val="00217F77"/>
    <w:rsid w:val="0022145B"/>
    <w:rsid w:val="0022327A"/>
    <w:rsid w:val="002262C2"/>
    <w:rsid w:val="00226EC8"/>
    <w:rsid w:val="002338E3"/>
    <w:rsid w:val="00234BD9"/>
    <w:rsid w:val="002357D7"/>
    <w:rsid w:val="00236078"/>
    <w:rsid w:val="00237666"/>
    <w:rsid w:val="00237E50"/>
    <w:rsid w:val="00242954"/>
    <w:rsid w:val="00260621"/>
    <w:rsid w:val="00261903"/>
    <w:rsid w:val="00265F42"/>
    <w:rsid w:val="00267BAD"/>
    <w:rsid w:val="00274815"/>
    <w:rsid w:val="00283E43"/>
    <w:rsid w:val="00284E84"/>
    <w:rsid w:val="00290131"/>
    <w:rsid w:val="0029060C"/>
    <w:rsid w:val="00290CB4"/>
    <w:rsid w:val="00297CB1"/>
    <w:rsid w:val="002A22D4"/>
    <w:rsid w:val="002A3982"/>
    <w:rsid w:val="002A4591"/>
    <w:rsid w:val="002A514C"/>
    <w:rsid w:val="002A5CEE"/>
    <w:rsid w:val="002A6E86"/>
    <w:rsid w:val="002B0989"/>
    <w:rsid w:val="002B17A4"/>
    <w:rsid w:val="002B299C"/>
    <w:rsid w:val="002B66A4"/>
    <w:rsid w:val="002C082B"/>
    <w:rsid w:val="002C18E1"/>
    <w:rsid w:val="002C1ED5"/>
    <w:rsid w:val="002C4981"/>
    <w:rsid w:val="002C6A7A"/>
    <w:rsid w:val="002D3AA2"/>
    <w:rsid w:val="002D4642"/>
    <w:rsid w:val="002D4E68"/>
    <w:rsid w:val="002D7BAE"/>
    <w:rsid w:val="002D7C30"/>
    <w:rsid w:val="002E0E24"/>
    <w:rsid w:val="002E471D"/>
    <w:rsid w:val="002E6E27"/>
    <w:rsid w:val="002F11F3"/>
    <w:rsid w:val="002F6347"/>
    <w:rsid w:val="002F72DD"/>
    <w:rsid w:val="00300958"/>
    <w:rsid w:val="003042B6"/>
    <w:rsid w:val="00304686"/>
    <w:rsid w:val="00305815"/>
    <w:rsid w:val="003067CA"/>
    <w:rsid w:val="0030752C"/>
    <w:rsid w:val="00311385"/>
    <w:rsid w:val="003213A3"/>
    <w:rsid w:val="00322A68"/>
    <w:rsid w:val="003238BA"/>
    <w:rsid w:val="00327E2D"/>
    <w:rsid w:val="003333CD"/>
    <w:rsid w:val="003366E0"/>
    <w:rsid w:val="0033745C"/>
    <w:rsid w:val="00344102"/>
    <w:rsid w:val="00346687"/>
    <w:rsid w:val="003479C4"/>
    <w:rsid w:val="00347FBA"/>
    <w:rsid w:val="0035105D"/>
    <w:rsid w:val="0035425E"/>
    <w:rsid w:val="003544AA"/>
    <w:rsid w:val="00354F99"/>
    <w:rsid w:val="003558BD"/>
    <w:rsid w:val="00361CE5"/>
    <w:rsid w:val="003650BA"/>
    <w:rsid w:val="00367E22"/>
    <w:rsid w:val="0037048E"/>
    <w:rsid w:val="00372C09"/>
    <w:rsid w:val="00374A6C"/>
    <w:rsid w:val="00380646"/>
    <w:rsid w:val="003815D5"/>
    <w:rsid w:val="00381F2E"/>
    <w:rsid w:val="003829E1"/>
    <w:rsid w:val="003834A8"/>
    <w:rsid w:val="00385F97"/>
    <w:rsid w:val="00386F9D"/>
    <w:rsid w:val="0039310E"/>
    <w:rsid w:val="003931A0"/>
    <w:rsid w:val="00393534"/>
    <w:rsid w:val="00393A69"/>
    <w:rsid w:val="0039665D"/>
    <w:rsid w:val="0039736A"/>
    <w:rsid w:val="00397944"/>
    <w:rsid w:val="003A2CB1"/>
    <w:rsid w:val="003A2DD3"/>
    <w:rsid w:val="003A37A5"/>
    <w:rsid w:val="003A3DED"/>
    <w:rsid w:val="003A5513"/>
    <w:rsid w:val="003A5F63"/>
    <w:rsid w:val="003A72A1"/>
    <w:rsid w:val="003B039F"/>
    <w:rsid w:val="003B1A52"/>
    <w:rsid w:val="003B42A7"/>
    <w:rsid w:val="003B5A23"/>
    <w:rsid w:val="003C4CC5"/>
    <w:rsid w:val="003C5B71"/>
    <w:rsid w:val="003C7027"/>
    <w:rsid w:val="003D188D"/>
    <w:rsid w:val="003D24D6"/>
    <w:rsid w:val="003D42F0"/>
    <w:rsid w:val="003D5402"/>
    <w:rsid w:val="003E0C09"/>
    <w:rsid w:val="003E2A18"/>
    <w:rsid w:val="003E4301"/>
    <w:rsid w:val="003E796B"/>
    <w:rsid w:val="003F1F9F"/>
    <w:rsid w:val="004000FB"/>
    <w:rsid w:val="0040081A"/>
    <w:rsid w:val="004011DE"/>
    <w:rsid w:val="00401565"/>
    <w:rsid w:val="004050C1"/>
    <w:rsid w:val="004103CD"/>
    <w:rsid w:val="00411306"/>
    <w:rsid w:val="0041379A"/>
    <w:rsid w:val="0041566D"/>
    <w:rsid w:val="00417C52"/>
    <w:rsid w:val="00423F5B"/>
    <w:rsid w:val="00425511"/>
    <w:rsid w:val="00431A64"/>
    <w:rsid w:val="004360FF"/>
    <w:rsid w:val="00436BD6"/>
    <w:rsid w:val="004457E1"/>
    <w:rsid w:val="004466D3"/>
    <w:rsid w:val="00451E95"/>
    <w:rsid w:val="00464672"/>
    <w:rsid w:val="00464E58"/>
    <w:rsid w:val="0046670E"/>
    <w:rsid w:val="0046689D"/>
    <w:rsid w:val="004671F9"/>
    <w:rsid w:val="004740F1"/>
    <w:rsid w:val="00474D65"/>
    <w:rsid w:val="0048034E"/>
    <w:rsid w:val="00481542"/>
    <w:rsid w:val="004828AB"/>
    <w:rsid w:val="0048296B"/>
    <w:rsid w:val="00483C0A"/>
    <w:rsid w:val="00483F8F"/>
    <w:rsid w:val="004922F0"/>
    <w:rsid w:val="004A4BF3"/>
    <w:rsid w:val="004A65A0"/>
    <w:rsid w:val="004B13C2"/>
    <w:rsid w:val="004B1E93"/>
    <w:rsid w:val="004B3519"/>
    <w:rsid w:val="004B77FB"/>
    <w:rsid w:val="004C0C72"/>
    <w:rsid w:val="004C2EB6"/>
    <w:rsid w:val="004D0522"/>
    <w:rsid w:val="004D703D"/>
    <w:rsid w:val="004E3E47"/>
    <w:rsid w:val="004E4FA2"/>
    <w:rsid w:val="004E5862"/>
    <w:rsid w:val="004F1D9D"/>
    <w:rsid w:val="004F2817"/>
    <w:rsid w:val="005124C5"/>
    <w:rsid w:val="00513B94"/>
    <w:rsid w:val="00514F07"/>
    <w:rsid w:val="005227F2"/>
    <w:rsid w:val="005232FF"/>
    <w:rsid w:val="005233A3"/>
    <w:rsid w:val="00523BDA"/>
    <w:rsid w:val="005249D0"/>
    <w:rsid w:val="00534FE4"/>
    <w:rsid w:val="0053629B"/>
    <w:rsid w:val="005366C0"/>
    <w:rsid w:val="00536E46"/>
    <w:rsid w:val="00540937"/>
    <w:rsid w:val="00540C9B"/>
    <w:rsid w:val="005447C7"/>
    <w:rsid w:val="00545FE0"/>
    <w:rsid w:val="005479B1"/>
    <w:rsid w:val="0055017B"/>
    <w:rsid w:val="005543A0"/>
    <w:rsid w:val="00554F27"/>
    <w:rsid w:val="00555ED1"/>
    <w:rsid w:val="00560B06"/>
    <w:rsid w:val="00560EBD"/>
    <w:rsid w:val="005655FD"/>
    <w:rsid w:val="0057266C"/>
    <w:rsid w:val="005738B8"/>
    <w:rsid w:val="0058218C"/>
    <w:rsid w:val="00583769"/>
    <w:rsid w:val="00586E0A"/>
    <w:rsid w:val="00587257"/>
    <w:rsid w:val="00592079"/>
    <w:rsid w:val="00593311"/>
    <w:rsid w:val="00593687"/>
    <w:rsid w:val="005961E4"/>
    <w:rsid w:val="005A2138"/>
    <w:rsid w:val="005A2673"/>
    <w:rsid w:val="005A4B42"/>
    <w:rsid w:val="005B18D6"/>
    <w:rsid w:val="005B1FFD"/>
    <w:rsid w:val="005B46B8"/>
    <w:rsid w:val="005C057A"/>
    <w:rsid w:val="005C1550"/>
    <w:rsid w:val="005C22FD"/>
    <w:rsid w:val="005C2DC0"/>
    <w:rsid w:val="005C3753"/>
    <w:rsid w:val="005C4691"/>
    <w:rsid w:val="005C53C8"/>
    <w:rsid w:val="005C5DEC"/>
    <w:rsid w:val="005C6598"/>
    <w:rsid w:val="005D036D"/>
    <w:rsid w:val="005D0989"/>
    <w:rsid w:val="005D267E"/>
    <w:rsid w:val="005D6298"/>
    <w:rsid w:val="005D6509"/>
    <w:rsid w:val="005E0A7C"/>
    <w:rsid w:val="005E2803"/>
    <w:rsid w:val="005E3B41"/>
    <w:rsid w:val="005E50F4"/>
    <w:rsid w:val="005E7E33"/>
    <w:rsid w:val="005F0F48"/>
    <w:rsid w:val="005F170A"/>
    <w:rsid w:val="005F2F73"/>
    <w:rsid w:val="005F7294"/>
    <w:rsid w:val="005F735C"/>
    <w:rsid w:val="006018F7"/>
    <w:rsid w:val="00603154"/>
    <w:rsid w:val="0060316C"/>
    <w:rsid w:val="006052F0"/>
    <w:rsid w:val="00605DB7"/>
    <w:rsid w:val="00606816"/>
    <w:rsid w:val="00607AC1"/>
    <w:rsid w:val="00611C04"/>
    <w:rsid w:val="00613424"/>
    <w:rsid w:val="00613AC8"/>
    <w:rsid w:val="00613F1E"/>
    <w:rsid w:val="00615512"/>
    <w:rsid w:val="0062056A"/>
    <w:rsid w:val="00620ECC"/>
    <w:rsid w:val="00621AF3"/>
    <w:rsid w:val="00626D64"/>
    <w:rsid w:val="0063420A"/>
    <w:rsid w:val="00644FCE"/>
    <w:rsid w:val="00647ABD"/>
    <w:rsid w:val="00647B16"/>
    <w:rsid w:val="00652C6B"/>
    <w:rsid w:val="00653607"/>
    <w:rsid w:val="006558A5"/>
    <w:rsid w:val="0065622D"/>
    <w:rsid w:val="00660D59"/>
    <w:rsid w:val="0066314A"/>
    <w:rsid w:val="00666C46"/>
    <w:rsid w:val="00674162"/>
    <w:rsid w:val="00676525"/>
    <w:rsid w:val="006771D7"/>
    <w:rsid w:val="00683557"/>
    <w:rsid w:val="0068485D"/>
    <w:rsid w:val="006848F3"/>
    <w:rsid w:val="00686581"/>
    <w:rsid w:val="00694FB6"/>
    <w:rsid w:val="006960C6"/>
    <w:rsid w:val="006973AE"/>
    <w:rsid w:val="00697E60"/>
    <w:rsid w:val="006A2CD0"/>
    <w:rsid w:val="006A483B"/>
    <w:rsid w:val="006A5B95"/>
    <w:rsid w:val="006A68C3"/>
    <w:rsid w:val="006B1B81"/>
    <w:rsid w:val="006B4270"/>
    <w:rsid w:val="006B4419"/>
    <w:rsid w:val="006B7E7D"/>
    <w:rsid w:val="006C099E"/>
    <w:rsid w:val="006C2D04"/>
    <w:rsid w:val="006D0D64"/>
    <w:rsid w:val="006D240E"/>
    <w:rsid w:val="006D36E6"/>
    <w:rsid w:val="006D378C"/>
    <w:rsid w:val="006D3CC9"/>
    <w:rsid w:val="006D54EA"/>
    <w:rsid w:val="006E01EF"/>
    <w:rsid w:val="006E133A"/>
    <w:rsid w:val="006E2742"/>
    <w:rsid w:val="006E2964"/>
    <w:rsid w:val="006E30EA"/>
    <w:rsid w:val="006E604E"/>
    <w:rsid w:val="006E711F"/>
    <w:rsid w:val="006E798A"/>
    <w:rsid w:val="006E7A4C"/>
    <w:rsid w:val="00700D00"/>
    <w:rsid w:val="00700DB1"/>
    <w:rsid w:val="00701842"/>
    <w:rsid w:val="00707FC7"/>
    <w:rsid w:val="00712BCE"/>
    <w:rsid w:val="00723E0A"/>
    <w:rsid w:val="0072405F"/>
    <w:rsid w:val="007241A8"/>
    <w:rsid w:val="00724801"/>
    <w:rsid w:val="007264F4"/>
    <w:rsid w:val="00741C61"/>
    <w:rsid w:val="00741D34"/>
    <w:rsid w:val="007510BA"/>
    <w:rsid w:val="007551EC"/>
    <w:rsid w:val="00757562"/>
    <w:rsid w:val="00757821"/>
    <w:rsid w:val="00757899"/>
    <w:rsid w:val="00762228"/>
    <w:rsid w:val="0076287D"/>
    <w:rsid w:val="00762D7A"/>
    <w:rsid w:val="00763472"/>
    <w:rsid w:val="00766D33"/>
    <w:rsid w:val="00772D79"/>
    <w:rsid w:val="00775028"/>
    <w:rsid w:val="007768DF"/>
    <w:rsid w:val="00790698"/>
    <w:rsid w:val="0079463D"/>
    <w:rsid w:val="0079578F"/>
    <w:rsid w:val="007A10F3"/>
    <w:rsid w:val="007A212E"/>
    <w:rsid w:val="007B0652"/>
    <w:rsid w:val="007B2E72"/>
    <w:rsid w:val="007B6214"/>
    <w:rsid w:val="007B723B"/>
    <w:rsid w:val="007C52C2"/>
    <w:rsid w:val="007D0408"/>
    <w:rsid w:val="007D183F"/>
    <w:rsid w:val="007D2254"/>
    <w:rsid w:val="007D3416"/>
    <w:rsid w:val="007D3C7E"/>
    <w:rsid w:val="007E1876"/>
    <w:rsid w:val="007E18A3"/>
    <w:rsid w:val="007E4C5B"/>
    <w:rsid w:val="007E6159"/>
    <w:rsid w:val="007E6613"/>
    <w:rsid w:val="007E6768"/>
    <w:rsid w:val="007F6662"/>
    <w:rsid w:val="00800B38"/>
    <w:rsid w:val="00802EB8"/>
    <w:rsid w:val="00804CFF"/>
    <w:rsid w:val="00806270"/>
    <w:rsid w:val="00810FE7"/>
    <w:rsid w:val="00822B47"/>
    <w:rsid w:val="0082422A"/>
    <w:rsid w:val="00824426"/>
    <w:rsid w:val="00830123"/>
    <w:rsid w:val="00832641"/>
    <w:rsid w:val="00832BF0"/>
    <w:rsid w:val="00840F96"/>
    <w:rsid w:val="00841B1C"/>
    <w:rsid w:val="008461D1"/>
    <w:rsid w:val="00847193"/>
    <w:rsid w:val="0085049C"/>
    <w:rsid w:val="00852682"/>
    <w:rsid w:val="0085304A"/>
    <w:rsid w:val="008561DB"/>
    <w:rsid w:val="008562E6"/>
    <w:rsid w:val="00860E2E"/>
    <w:rsid w:val="008620E8"/>
    <w:rsid w:val="0086261F"/>
    <w:rsid w:val="008642E8"/>
    <w:rsid w:val="00866E46"/>
    <w:rsid w:val="00870DEC"/>
    <w:rsid w:val="00873140"/>
    <w:rsid w:val="00873FA3"/>
    <w:rsid w:val="008740E2"/>
    <w:rsid w:val="008743F8"/>
    <w:rsid w:val="00874D31"/>
    <w:rsid w:val="00880265"/>
    <w:rsid w:val="008804B8"/>
    <w:rsid w:val="00880D1B"/>
    <w:rsid w:val="008913F3"/>
    <w:rsid w:val="00892AF4"/>
    <w:rsid w:val="008A08C0"/>
    <w:rsid w:val="008A3995"/>
    <w:rsid w:val="008A422E"/>
    <w:rsid w:val="008A4361"/>
    <w:rsid w:val="008A4E04"/>
    <w:rsid w:val="008A5AC7"/>
    <w:rsid w:val="008B015A"/>
    <w:rsid w:val="008B0BE0"/>
    <w:rsid w:val="008B185F"/>
    <w:rsid w:val="008B244B"/>
    <w:rsid w:val="008C0C0E"/>
    <w:rsid w:val="008C108A"/>
    <w:rsid w:val="008C4CB8"/>
    <w:rsid w:val="008D028B"/>
    <w:rsid w:val="008D0B2C"/>
    <w:rsid w:val="008D3023"/>
    <w:rsid w:val="008D645D"/>
    <w:rsid w:val="008D76B6"/>
    <w:rsid w:val="008E1466"/>
    <w:rsid w:val="008E1B60"/>
    <w:rsid w:val="008E3968"/>
    <w:rsid w:val="008E4125"/>
    <w:rsid w:val="008E4F01"/>
    <w:rsid w:val="008E5403"/>
    <w:rsid w:val="008E5FB7"/>
    <w:rsid w:val="008F0D23"/>
    <w:rsid w:val="008F42A1"/>
    <w:rsid w:val="008F7997"/>
    <w:rsid w:val="008F7D77"/>
    <w:rsid w:val="008F7E95"/>
    <w:rsid w:val="00900FFB"/>
    <w:rsid w:val="00903B32"/>
    <w:rsid w:val="00905EB5"/>
    <w:rsid w:val="0090616D"/>
    <w:rsid w:val="00906D3A"/>
    <w:rsid w:val="00922604"/>
    <w:rsid w:val="0092451C"/>
    <w:rsid w:val="00933687"/>
    <w:rsid w:val="009346F7"/>
    <w:rsid w:val="009357AE"/>
    <w:rsid w:val="00935CFB"/>
    <w:rsid w:val="009376C1"/>
    <w:rsid w:val="00941A5B"/>
    <w:rsid w:val="00942666"/>
    <w:rsid w:val="00944B0A"/>
    <w:rsid w:val="00946A63"/>
    <w:rsid w:val="009513A9"/>
    <w:rsid w:val="009515A7"/>
    <w:rsid w:val="00951F7C"/>
    <w:rsid w:val="00961C22"/>
    <w:rsid w:val="009657D5"/>
    <w:rsid w:val="00970E7F"/>
    <w:rsid w:val="00973877"/>
    <w:rsid w:val="00974B22"/>
    <w:rsid w:val="009760A9"/>
    <w:rsid w:val="009760BE"/>
    <w:rsid w:val="00977C16"/>
    <w:rsid w:val="009805AC"/>
    <w:rsid w:val="00982236"/>
    <w:rsid w:val="00983592"/>
    <w:rsid w:val="00987E23"/>
    <w:rsid w:val="00991EA8"/>
    <w:rsid w:val="00994EFC"/>
    <w:rsid w:val="00997574"/>
    <w:rsid w:val="009A7AAA"/>
    <w:rsid w:val="009A7BDE"/>
    <w:rsid w:val="009B53CF"/>
    <w:rsid w:val="009B64E3"/>
    <w:rsid w:val="009B6D57"/>
    <w:rsid w:val="009C0395"/>
    <w:rsid w:val="009C096D"/>
    <w:rsid w:val="009C755E"/>
    <w:rsid w:val="009D3EBC"/>
    <w:rsid w:val="009D54CD"/>
    <w:rsid w:val="009D6D89"/>
    <w:rsid w:val="009D70F3"/>
    <w:rsid w:val="009D71D5"/>
    <w:rsid w:val="009D78EC"/>
    <w:rsid w:val="009E16EB"/>
    <w:rsid w:val="009E47F0"/>
    <w:rsid w:val="009E4A65"/>
    <w:rsid w:val="009E50A4"/>
    <w:rsid w:val="009E637A"/>
    <w:rsid w:val="009E77E9"/>
    <w:rsid w:val="009F0462"/>
    <w:rsid w:val="009F0785"/>
    <w:rsid w:val="009F2871"/>
    <w:rsid w:val="009F64EF"/>
    <w:rsid w:val="00A021DF"/>
    <w:rsid w:val="00A05857"/>
    <w:rsid w:val="00A059B4"/>
    <w:rsid w:val="00A0655B"/>
    <w:rsid w:val="00A0770B"/>
    <w:rsid w:val="00A1071C"/>
    <w:rsid w:val="00A107B1"/>
    <w:rsid w:val="00A139FD"/>
    <w:rsid w:val="00A14646"/>
    <w:rsid w:val="00A14F27"/>
    <w:rsid w:val="00A2128B"/>
    <w:rsid w:val="00A224D5"/>
    <w:rsid w:val="00A25194"/>
    <w:rsid w:val="00A26DDD"/>
    <w:rsid w:val="00A27C87"/>
    <w:rsid w:val="00A30014"/>
    <w:rsid w:val="00A325DD"/>
    <w:rsid w:val="00A3403E"/>
    <w:rsid w:val="00A40939"/>
    <w:rsid w:val="00A44046"/>
    <w:rsid w:val="00A513D4"/>
    <w:rsid w:val="00A5279C"/>
    <w:rsid w:val="00A52F8A"/>
    <w:rsid w:val="00A54B4A"/>
    <w:rsid w:val="00A55CCE"/>
    <w:rsid w:val="00A56AD8"/>
    <w:rsid w:val="00A6116B"/>
    <w:rsid w:val="00A62C1B"/>
    <w:rsid w:val="00A66098"/>
    <w:rsid w:val="00A71A36"/>
    <w:rsid w:val="00A76995"/>
    <w:rsid w:val="00A77B1F"/>
    <w:rsid w:val="00A77B3F"/>
    <w:rsid w:val="00A77E05"/>
    <w:rsid w:val="00A80AA1"/>
    <w:rsid w:val="00A83000"/>
    <w:rsid w:val="00A85B39"/>
    <w:rsid w:val="00A86AF6"/>
    <w:rsid w:val="00A9019C"/>
    <w:rsid w:val="00A935CE"/>
    <w:rsid w:val="00A95879"/>
    <w:rsid w:val="00A96E15"/>
    <w:rsid w:val="00A97C8C"/>
    <w:rsid w:val="00AA0AEC"/>
    <w:rsid w:val="00AA3521"/>
    <w:rsid w:val="00AA49C0"/>
    <w:rsid w:val="00AA4BB3"/>
    <w:rsid w:val="00AA5028"/>
    <w:rsid w:val="00AA5540"/>
    <w:rsid w:val="00AB0030"/>
    <w:rsid w:val="00AB1DCE"/>
    <w:rsid w:val="00AC0BB1"/>
    <w:rsid w:val="00AC19E1"/>
    <w:rsid w:val="00AC26FD"/>
    <w:rsid w:val="00AC2A9E"/>
    <w:rsid w:val="00AC36C2"/>
    <w:rsid w:val="00AC48D8"/>
    <w:rsid w:val="00AC6462"/>
    <w:rsid w:val="00AC688B"/>
    <w:rsid w:val="00AC7012"/>
    <w:rsid w:val="00AD52DC"/>
    <w:rsid w:val="00AD7C3E"/>
    <w:rsid w:val="00AE375C"/>
    <w:rsid w:val="00AE3850"/>
    <w:rsid w:val="00AE42DC"/>
    <w:rsid w:val="00AE4785"/>
    <w:rsid w:val="00AF0AF0"/>
    <w:rsid w:val="00AF0DD1"/>
    <w:rsid w:val="00AF1774"/>
    <w:rsid w:val="00AF53D8"/>
    <w:rsid w:val="00B01270"/>
    <w:rsid w:val="00B02692"/>
    <w:rsid w:val="00B035EF"/>
    <w:rsid w:val="00B0458C"/>
    <w:rsid w:val="00B046CF"/>
    <w:rsid w:val="00B052F4"/>
    <w:rsid w:val="00B06AC3"/>
    <w:rsid w:val="00B06DE0"/>
    <w:rsid w:val="00B13BC9"/>
    <w:rsid w:val="00B14092"/>
    <w:rsid w:val="00B14F84"/>
    <w:rsid w:val="00B159AF"/>
    <w:rsid w:val="00B1745A"/>
    <w:rsid w:val="00B20A34"/>
    <w:rsid w:val="00B21673"/>
    <w:rsid w:val="00B22406"/>
    <w:rsid w:val="00B22651"/>
    <w:rsid w:val="00B22CC6"/>
    <w:rsid w:val="00B27BF6"/>
    <w:rsid w:val="00B30500"/>
    <w:rsid w:val="00B37C1D"/>
    <w:rsid w:val="00B41717"/>
    <w:rsid w:val="00B41B5B"/>
    <w:rsid w:val="00B439AE"/>
    <w:rsid w:val="00B455BB"/>
    <w:rsid w:val="00B46A45"/>
    <w:rsid w:val="00B520B9"/>
    <w:rsid w:val="00B56385"/>
    <w:rsid w:val="00B57F71"/>
    <w:rsid w:val="00B604AF"/>
    <w:rsid w:val="00B6574F"/>
    <w:rsid w:val="00B67A30"/>
    <w:rsid w:val="00B707C7"/>
    <w:rsid w:val="00B70F4B"/>
    <w:rsid w:val="00B71D12"/>
    <w:rsid w:val="00B7266E"/>
    <w:rsid w:val="00B74C2C"/>
    <w:rsid w:val="00B7519C"/>
    <w:rsid w:val="00B75C22"/>
    <w:rsid w:val="00B809AA"/>
    <w:rsid w:val="00B8111E"/>
    <w:rsid w:val="00B82731"/>
    <w:rsid w:val="00B869D7"/>
    <w:rsid w:val="00B90316"/>
    <w:rsid w:val="00B922DF"/>
    <w:rsid w:val="00B947B2"/>
    <w:rsid w:val="00B9583A"/>
    <w:rsid w:val="00B97B38"/>
    <w:rsid w:val="00BA1AB8"/>
    <w:rsid w:val="00BA3062"/>
    <w:rsid w:val="00BA514B"/>
    <w:rsid w:val="00BA5F85"/>
    <w:rsid w:val="00BB2152"/>
    <w:rsid w:val="00BC09F0"/>
    <w:rsid w:val="00BC425F"/>
    <w:rsid w:val="00BC52AF"/>
    <w:rsid w:val="00BC63FE"/>
    <w:rsid w:val="00BD0772"/>
    <w:rsid w:val="00BD3658"/>
    <w:rsid w:val="00BD381B"/>
    <w:rsid w:val="00BD38CC"/>
    <w:rsid w:val="00BD4243"/>
    <w:rsid w:val="00BD6FA4"/>
    <w:rsid w:val="00BD7582"/>
    <w:rsid w:val="00BE0348"/>
    <w:rsid w:val="00BE0E3E"/>
    <w:rsid w:val="00BE1C7F"/>
    <w:rsid w:val="00BE4AC6"/>
    <w:rsid w:val="00BE57ED"/>
    <w:rsid w:val="00BF2DCE"/>
    <w:rsid w:val="00BF3505"/>
    <w:rsid w:val="00BF3DEC"/>
    <w:rsid w:val="00BF4008"/>
    <w:rsid w:val="00BF796A"/>
    <w:rsid w:val="00C026E8"/>
    <w:rsid w:val="00C0315C"/>
    <w:rsid w:val="00C036E4"/>
    <w:rsid w:val="00C03AC7"/>
    <w:rsid w:val="00C0508E"/>
    <w:rsid w:val="00C05F0C"/>
    <w:rsid w:val="00C069BD"/>
    <w:rsid w:val="00C074CE"/>
    <w:rsid w:val="00C07BAC"/>
    <w:rsid w:val="00C117EF"/>
    <w:rsid w:val="00C22B4D"/>
    <w:rsid w:val="00C2355F"/>
    <w:rsid w:val="00C24941"/>
    <w:rsid w:val="00C32BE4"/>
    <w:rsid w:val="00C34CB9"/>
    <w:rsid w:val="00C4139C"/>
    <w:rsid w:val="00C451AD"/>
    <w:rsid w:val="00C527C6"/>
    <w:rsid w:val="00C60D03"/>
    <w:rsid w:val="00C6355F"/>
    <w:rsid w:val="00C64B04"/>
    <w:rsid w:val="00C65D49"/>
    <w:rsid w:val="00C6653F"/>
    <w:rsid w:val="00C6674A"/>
    <w:rsid w:val="00C71A0C"/>
    <w:rsid w:val="00C73ADD"/>
    <w:rsid w:val="00C744D7"/>
    <w:rsid w:val="00C74FEF"/>
    <w:rsid w:val="00C75507"/>
    <w:rsid w:val="00C76B86"/>
    <w:rsid w:val="00C81DA5"/>
    <w:rsid w:val="00C83BD9"/>
    <w:rsid w:val="00C8558D"/>
    <w:rsid w:val="00C86967"/>
    <w:rsid w:val="00C877C9"/>
    <w:rsid w:val="00C94C19"/>
    <w:rsid w:val="00C94EE9"/>
    <w:rsid w:val="00CA309E"/>
    <w:rsid w:val="00CA314E"/>
    <w:rsid w:val="00CA410B"/>
    <w:rsid w:val="00CA53C9"/>
    <w:rsid w:val="00CB1538"/>
    <w:rsid w:val="00CC0862"/>
    <w:rsid w:val="00CC09C2"/>
    <w:rsid w:val="00CC23B8"/>
    <w:rsid w:val="00CC32D6"/>
    <w:rsid w:val="00CC3657"/>
    <w:rsid w:val="00CD086C"/>
    <w:rsid w:val="00CD61D1"/>
    <w:rsid w:val="00CD7102"/>
    <w:rsid w:val="00CD7A37"/>
    <w:rsid w:val="00CE1757"/>
    <w:rsid w:val="00CE36B3"/>
    <w:rsid w:val="00CE37D5"/>
    <w:rsid w:val="00CE519B"/>
    <w:rsid w:val="00CF69C7"/>
    <w:rsid w:val="00D00FF4"/>
    <w:rsid w:val="00D01DE6"/>
    <w:rsid w:val="00D038B8"/>
    <w:rsid w:val="00D054EC"/>
    <w:rsid w:val="00D06A1E"/>
    <w:rsid w:val="00D07247"/>
    <w:rsid w:val="00D1031C"/>
    <w:rsid w:val="00D1434E"/>
    <w:rsid w:val="00D14C3E"/>
    <w:rsid w:val="00D168D7"/>
    <w:rsid w:val="00D16BC4"/>
    <w:rsid w:val="00D17163"/>
    <w:rsid w:val="00D235E1"/>
    <w:rsid w:val="00D25DEB"/>
    <w:rsid w:val="00D26858"/>
    <w:rsid w:val="00D2751B"/>
    <w:rsid w:val="00D27B62"/>
    <w:rsid w:val="00D27F27"/>
    <w:rsid w:val="00D32A46"/>
    <w:rsid w:val="00D33032"/>
    <w:rsid w:val="00D35207"/>
    <w:rsid w:val="00D411B7"/>
    <w:rsid w:val="00D4471A"/>
    <w:rsid w:val="00D449CD"/>
    <w:rsid w:val="00D46B04"/>
    <w:rsid w:val="00D47858"/>
    <w:rsid w:val="00D520E7"/>
    <w:rsid w:val="00D537DB"/>
    <w:rsid w:val="00D57C80"/>
    <w:rsid w:val="00D628F4"/>
    <w:rsid w:val="00D64760"/>
    <w:rsid w:val="00D64D5E"/>
    <w:rsid w:val="00D64EA3"/>
    <w:rsid w:val="00D67B88"/>
    <w:rsid w:val="00D71F0F"/>
    <w:rsid w:val="00D729FC"/>
    <w:rsid w:val="00D73657"/>
    <w:rsid w:val="00D740E6"/>
    <w:rsid w:val="00D74718"/>
    <w:rsid w:val="00D82259"/>
    <w:rsid w:val="00D90B1F"/>
    <w:rsid w:val="00D90FDD"/>
    <w:rsid w:val="00D923C0"/>
    <w:rsid w:val="00D92F8A"/>
    <w:rsid w:val="00D95797"/>
    <w:rsid w:val="00D964E7"/>
    <w:rsid w:val="00D97947"/>
    <w:rsid w:val="00DA0919"/>
    <w:rsid w:val="00DA0D62"/>
    <w:rsid w:val="00DA18BF"/>
    <w:rsid w:val="00DB2322"/>
    <w:rsid w:val="00DB515D"/>
    <w:rsid w:val="00DB5924"/>
    <w:rsid w:val="00DC0906"/>
    <w:rsid w:val="00DC0F70"/>
    <w:rsid w:val="00DC5709"/>
    <w:rsid w:val="00DC6BCB"/>
    <w:rsid w:val="00DD2C71"/>
    <w:rsid w:val="00DD66E5"/>
    <w:rsid w:val="00DE05A7"/>
    <w:rsid w:val="00DE339E"/>
    <w:rsid w:val="00DE3D36"/>
    <w:rsid w:val="00DE6138"/>
    <w:rsid w:val="00DE614F"/>
    <w:rsid w:val="00DE6A6E"/>
    <w:rsid w:val="00DF01CB"/>
    <w:rsid w:val="00DF201D"/>
    <w:rsid w:val="00DF4670"/>
    <w:rsid w:val="00DF4982"/>
    <w:rsid w:val="00E01BE5"/>
    <w:rsid w:val="00E03396"/>
    <w:rsid w:val="00E03F9B"/>
    <w:rsid w:val="00E040CA"/>
    <w:rsid w:val="00E0570E"/>
    <w:rsid w:val="00E10747"/>
    <w:rsid w:val="00E12E57"/>
    <w:rsid w:val="00E13B8B"/>
    <w:rsid w:val="00E13E9B"/>
    <w:rsid w:val="00E154DA"/>
    <w:rsid w:val="00E16CDB"/>
    <w:rsid w:val="00E17B06"/>
    <w:rsid w:val="00E21634"/>
    <w:rsid w:val="00E25049"/>
    <w:rsid w:val="00E31F0F"/>
    <w:rsid w:val="00E32606"/>
    <w:rsid w:val="00E3374E"/>
    <w:rsid w:val="00E33C29"/>
    <w:rsid w:val="00E35D02"/>
    <w:rsid w:val="00E368DD"/>
    <w:rsid w:val="00E37972"/>
    <w:rsid w:val="00E40396"/>
    <w:rsid w:val="00E44A67"/>
    <w:rsid w:val="00E44CD3"/>
    <w:rsid w:val="00E45FF5"/>
    <w:rsid w:val="00E46DA0"/>
    <w:rsid w:val="00E507B2"/>
    <w:rsid w:val="00E50EAC"/>
    <w:rsid w:val="00E562E3"/>
    <w:rsid w:val="00E56866"/>
    <w:rsid w:val="00E62E22"/>
    <w:rsid w:val="00E64A22"/>
    <w:rsid w:val="00E65174"/>
    <w:rsid w:val="00E70450"/>
    <w:rsid w:val="00E70BB5"/>
    <w:rsid w:val="00E70DB3"/>
    <w:rsid w:val="00E71104"/>
    <w:rsid w:val="00E731F5"/>
    <w:rsid w:val="00E74115"/>
    <w:rsid w:val="00E7603D"/>
    <w:rsid w:val="00E76D14"/>
    <w:rsid w:val="00E807B9"/>
    <w:rsid w:val="00E83C06"/>
    <w:rsid w:val="00E86346"/>
    <w:rsid w:val="00E9216B"/>
    <w:rsid w:val="00E960A7"/>
    <w:rsid w:val="00E9672D"/>
    <w:rsid w:val="00EA0616"/>
    <w:rsid w:val="00EA356F"/>
    <w:rsid w:val="00EA3754"/>
    <w:rsid w:val="00EA463B"/>
    <w:rsid w:val="00EA5D65"/>
    <w:rsid w:val="00EB10C8"/>
    <w:rsid w:val="00EB1CF6"/>
    <w:rsid w:val="00EB4D39"/>
    <w:rsid w:val="00EC1B06"/>
    <w:rsid w:val="00EC22EE"/>
    <w:rsid w:val="00EC58FC"/>
    <w:rsid w:val="00ED036C"/>
    <w:rsid w:val="00ED149A"/>
    <w:rsid w:val="00ED6318"/>
    <w:rsid w:val="00EF1315"/>
    <w:rsid w:val="00EF423D"/>
    <w:rsid w:val="00EF519E"/>
    <w:rsid w:val="00EF5DBF"/>
    <w:rsid w:val="00F00837"/>
    <w:rsid w:val="00F01B2D"/>
    <w:rsid w:val="00F02E2F"/>
    <w:rsid w:val="00F04632"/>
    <w:rsid w:val="00F05809"/>
    <w:rsid w:val="00F05A70"/>
    <w:rsid w:val="00F061AC"/>
    <w:rsid w:val="00F06480"/>
    <w:rsid w:val="00F07BDC"/>
    <w:rsid w:val="00F07D42"/>
    <w:rsid w:val="00F17628"/>
    <w:rsid w:val="00F17D51"/>
    <w:rsid w:val="00F222DE"/>
    <w:rsid w:val="00F2567C"/>
    <w:rsid w:val="00F307FE"/>
    <w:rsid w:val="00F31897"/>
    <w:rsid w:val="00F35C27"/>
    <w:rsid w:val="00F36467"/>
    <w:rsid w:val="00F37E3F"/>
    <w:rsid w:val="00F42032"/>
    <w:rsid w:val="00F4219A"/>
    <w:rsid w:val="00F43D39"/>
    <w:rsid w:val="00F504A4"/>
    <w:rsid w:val="00F50EC6"/>
    <w:rsid w:val="00F52B0F"/>
    <w:rsid w:val="00F544E5"/>
    <w:rsid w:val="00F5796C"/>
    <w:rsid w:val="00F57EC5"/>
    <w:rsid w:val="00F602DC"/>
    <w:rsid w:val="00F62F6B"/>
    <w:rsid w:val="00F634FE"/>
    <w:rsid w:val="00F6544A"/>
    <w:rsid w:val="00F67B5B"/>
    <w:rsid w:val="00F7040E"/>
    <w:rsid w:val="00F72F30"/>
    <w:rsid w:val="00F807A8"/>
    <w:rsid w:val="00F864D1"/>
    <w:rsid w:val="00F9105B"/>
    <w:rsid w:val="00F92948"/>
    <w:rsid w:val="00F93317"/>
    <w:rsid w:val="00F9340B"/>
    <w:rsid w:val="00F95289"/>
    <w:rsid w:val="00F96925"/>
    <w:rsid w:val="00FA33AC"/>
    <w:rsid w:val="00FA6E30"/>
    <w:rsid w:val="00FA7959"/>
    <w:rsid w:val="00FB238F"/>
    <w:rsid w:val="00FB2F25"/>
    <w:rsid w:val="00FB5DD6"/>
    <w:rsid w:val="00FB5EDB"/>
    <w:rsid w:val="00FB6084"/>
    <w:rsid w:val="00FB74C2"/>
    <w:rsid w:val="00FC4C4D"/>
    <w:rsid w:val="00FC544A"/>
    <w:rsid w:val="00FC592A"/>
    <w:rsid w:val="00FC6D2D"/>
    <w:rsid w:val="00FC71AB"/>
    <w:rsid w:val="00FC7773"/>
    <w:rsid w:val="00FC7E6C"/>
    <w:rsid w:val="00FD0572"/>
    <w:rsid w:val="00FD4CFA"/>
    <w:rsid w:val="00FD629D"/>
    <w:rsid w:val="00FE0380"/>
    <w:rsid w:val="00FE5D43"/>
    <w:rsid w:val="00FE685F"/>
    <w:rsid w:val="00FE6E7D"/>
    <w:rsid w:val="00FE761D"/>
    <w:rsid w:val="00FF17DA"/>
    <w:rsid w:val="00FF3CCA"/>
    <w:rsid w:val="00FF4B11"/>
    <w:rsid w:val="00FF6230"/>
    <w:rsid w:val="01300109"/>
    <w:rsid w:val="015A2A06"/>
    <w:rsid w:val="016D27FF"/>
    <w:rsid w:val="017139BE"/>
    <w:rsid w:val="01A31CEB"/>
    <w:rsid w:val="01AF5454"/>
    <w:rsid w:val="023D7F7D"/>
    <w:rsid w:val="0253649D"/>
    <w:rsid w:val="0258688B"/>
    <w:rsid w:val="025F5498"/>
    <w:rsid w:val="02A44AA4"/>
    <w:rsid w:val="02D765CF"/>
    <w:rsid w:val="02F70316"/>
    <w:rsid w:val="03407FEF"/>
    <w:rsid w:val="034E2884"/>
    <w:rsid w:val="03516EA1"/>
    <w:rsid w:val="03533C82"/>
    <w:rsid w:val="039D5FC3"/>
    <w:rsid w:val="03B1717C"/>
    <w:rsid w:val="03BA4F7C"/>
    <w:rsid w:val="03C012FD"/>
    <w:rsid w:val="03CB6FD5"/>
    <w:rsid w:val="03DD7CD4"/>
    <w:rsid w:val="04307DED"/>
    <w:rsid w:val="04491492"/>
    <w:rsid w:val="045914B6"/>
    <w:rsid w:val="046C714E"/>
    <w:rsid w:val="04CF7CD0"/>
    <w:rsid w:val="04D807A7"/>
    <w:rsid w:val="04F575EB"/>
    <w:rsid w:val="050C6829"/>
    <w:rsid w:val="05412C3A"/>
    <w:rsid w:val="05A13421"/>
    <w:rsid w:val="06274CD2"/>
    <w:rsid w:val="06AF1FD4"/>
    <w:rsid w:val="06C93AC7"/>
    <w:rsid w:val="06E27392"/>
    <w:rsid w:val="06F45606"/>
    <w:rsid w:val="06F75733"/>
    <w:rsid w:val="06FA206B"/>
    <w:rsid w:val="07764646"/>
    <w:rsid w:val="077A1E53"/>
    <w:rsid w:val="079B6AE1"/>
    <w:rsid w:val="07B06FD7"/>
    <w:rsid w:val="07C95455"/>
    <w:rsid w:val="07CB6784"/>
    <w:rsid w:val="086A002C"/>
    <w:rsid w:val="088004FE"/>
    <w:rsid w:val="08B01ED0"/>
    <w:rsid w:val="08DC1FEB"/>
    <w:rsid w:val="092C404E"/>
    <w:rsid w:val="09646F37"/>
    <w:rsid w:val="09822228"/>
    <w:rsid w:val="09AC1F9F"/>
    <w:rsid w:val="09B1507C"/>
    <w:rsid w:val="09C16D1E"/>
    <w:rsid w:val="09C95DF8"/>
    <w:rsid w:val="0A295EB9"/>
    <w:rsid w:val="0A2B37BF"/>
    <w:rsid w:val="0A5416DA"/>
    <w:rsid w:val="0A82390B"/>
    <w:rsid w:val="0A99057E"/>
    <w:rsid w:val="0AC2190F"/>
    <w:rsid w:val="0AD178D9"/>
    <w:rsid w:val="0B1326F0"/>
    <w:rsid w:val="0B734D08"/>
    <w:rsid w:val="0B9C030B"/>
    <w:rsid w:val="0BB856CB"/>
    <w:rsid w:val="0BD4655A"/>
    <w:rsid w:val="0BE53D18"/>
    <w:rsid w:val="0C062CAD"/>
    <w:rsid w:val="0C3B6657"/>
    <w:rsid w:val="0C67716A"/>
    <w:rsid w:val="0C810C56"/>
    <w:rsid w:val="0C814038"/>
    <w:rsid w:val="0C8B34A5"/>
    <w:rsid w:val="0D082A6E"/>
    <w:rsid w:val="0D18175F"/>
    <w:rsid w:val="0D7F5F04"/>
    <w:rsid w:val="0D811433"/>
    <w:rsid w:val="0D920BA8"/>
    <w:rsid w:val="0DC87842"/>
    <w:rsid w:val="0DE70F17"/>
    <w:rsid w:val="0E050AD5"/>
    <w:rsid w:val="0E411871"/>
    <w:rsid w:val="0E79744D"/>
    <w:rsid w:val="0E80265B"/>
    <w:rsid w:val="0E8C2BEA"/>
    <w:rsid w:val="0E8E54E3"/>
    <w:rsid w:val="0E8E7318"/>
    <w:rsid w:val="0E96103F"/>
    <w:rsid w:val="0F0B4360"/>
    <w:rsid w:val="0F27559C"/>
    <w:rsid w:val="0F7F66B7"/>
    <w:rsid w:val="0FD710C2"/>
    <w:rsid w:val="100D5E2E"/>
    <w:rsid w:val="108D5F93"/>
    <w:rsid w:val="10A16086"/>
    <w:rsid w:val="10D07561"/>
    <w:rsid w:val="10F26BDC"/>
    <w:rsid w:val="111E2F24"/>
    <w:rsid w:val="119D1273"/>
    <w:rsid w:val="11DF4595"/>
    <w:rsid w:val="1246108B"/>
    <w:rsid w:val="124B0C2E"/>
    <w:rsid w:val="12DB1F3C"/>
    <w:rsid w:val="12FE4FCF"/>
    <w:rsid w:val="131B16E4"/>
    <w:rsid w:val="133144BE"/>
    <w:rsid w:val="138A3A1F"/>
    <w:rsid w:val="13982333"/>
    <w:rsid w:val="13B10CDE"/>
    <w:rsid w:val="13B13222"/>
    <w:rsid w:val="13BA3C90"/>
    <w:rsid w:val="13C43422"/>
    <w:rsid w:val="13F67B78"/>
    <w:rsid w:val="14231760"/>
    <w:rsid w:val="14823B64"/>
    <w:rsid w:val="14982DBA"/>
    <w:rsid w:val="14BF5D16"/>
    <w:rsid w:val="15091921"/>
    <w:rsid w:val="151F30D9"/>
    <w:rsid w:val="15437384"/>
    <w:rsid w:val="155B07CB"/>
    <w:rsid w:val="15810707"/>
    <w:rsid w:val="158C14E9"/>
    <w:rsid w:val="15A97859"/>
    <w:rsid w:val="15E264D0"/>
    <w:rsid w:val="15EB7E1A"/>
    <w:rsid w:val="165F1509"/>
    <w:rsid w:val="16907930"/>
    <w:rsid w:val="16C8142F"/>
    <w:rsid w:val="16D52888"/>
    <w:rsid w:val="17107E9E"/>
    <w:rsid w:val="17163A61"/>
    <w:rsid w:val="173417D6"/>
    <w:rsid w:val="177D2462"/>
    <w:rsid w:val="17A36655"/>
    <w:rsid w:val="17BB3CFC"/>
    <w:rsid w:val="18023229"/>
    <w:rsid w:val="185815FC"/>
    <w:rsid w:val="18B05A77"/>
    <w:rsid w:val="19037DA0"/>
    <w:rsid w:val="19231FC9"/>
    <w:rsid w:val="196728F8"/>
    <w:rsid w:val="1984089D"/>
    <w:rsid w:val="199E7503"/>
    <w:rsid w:val="19DD6BFB"/>
    <w:rsid w:val="1A195E65"/>
    <w:rsid w:val="1AA8344A"/>
    <w:rsid w:val="1AF239EF"/>
    <w:rsid w:val="1B1E790D"/>
    <w:rsid w:val="1B243046"/>
    <w:rsid w:val="1B3F6E41"/>
    <w:rsid w:val="1B78309A"/>
    <w:rsid w:val="1B974E00"/>
    <w:rsid w:val="1BA0449E"/>
    <w:rsid w:val="1BC77128"/>
    <w:rsid w:val="1BD7726B"/>
    <w:rsid w:val="1C1F10A0"/>
    <w:rsid w:val="1C7B2385"/>
    <w:rsid w:val="1C7B2C32"/>
    <w:rsid w:val="1CC044BB"/>
    <w:rsid w:val="1D444093"/>
    <w:rsid w:val="1D9933F6"/>
    <w:rsid w:val="1DA575B0"/>
    <w:rsid w:val="1DCA181A"/>
    <w:rsid w:val="1DCE222D"/>
    <w:rsid w:val="1E43335C"/>
    <w:rsid w:val="1E5E6B91"/>
    <w:rsid w:val="1E7F70C9"/>
    <w:rsid w:val="1F300B47"/>
    <w:rsid w:val="1F720C8D"/>
    <w:rsid w:val="201D0F3D"/>
    <w:rsid w:val="20370A76"/>
    <w:rsid w:val="203E1472"/>
    <w:rsid w:val="204A5370"/>
    <w:rsid w:val="2098613F"/>
    <w:rsid w:val="216D7966"/>
    <w:rsid w:val="21D50851"/>
    <w:rsid w:val="22B92236"/>
    <w:rsid w:val="22C72039"/>
    <w:rsid w:val="23F15106"/>
    <w:rsid w:val="23F21521"/>
    <w:rsid w:val="23FC6533"/>
    <w:rsid w:val="24017D60"/>
    <w:rsid w:val="240A45EE"/>
    <w:rsid w:val="243335F1"/>
    <w:rsid w:val="243B0014"/>
    <w:rsid w:val="24784EE9"/>
    <w:rsid w:val="24BA2988"/>
    <w:rsid w:val="24EC01AC"/>
    <w:rsid w:val="24EC01F7"/>
    <w:rsid w:val="25645EC9"/>
    <w:rsid w:val="25C66622"/>
    <w:rsid w:val="25DE6EB0"/>
    <w:rsid w:val="26456830"/>
    <w:rsid w:val="265A67F9"/>
    <w:rsid w:val="26C458E2"/>
    <w:rsid w:val="26CE78BA"/>
    <w:rsid w:val="271409AE"/>
    <w:rsid w:val="27475DCF"/>
    <w:rsid w:val="27B46D8B"/>
    <w:rsid w:val="27BF74E7"/>
    <w:rsid w:val="27D44FF3"/>
    <w:rsid w:val="28095B34"/>
    <w:rsid w:val="284B6AB1"/>
    <w:rsid w:val="285F5C4A"/>
    <w:rsid w:val="28B2484D"/>
    <w:rsid w:val="28C62FB8"/>
    <w:rsid w:val="28EE518D"/>
    <w:rsid w:val="291D457B"/>
    <w:rsid w:val="29440A64"/>
    <w:rsid w:val="296A1225"/>
    <w:rsid w:val="29C658CF"/>
    <w:rsid w:val="29CF524F"/>
    <w:rsid w:val="2A194800"/>
    <w:rsid w:val="2A263866"/>
    <w:rsid w:val="2A49689F"/>
    <w:rsid w:val="2A60090E"/>
    <w:rsid w:val="2A677016"/>
    <w:rsid w:val="2A7073E2"/>
    <w:rsid w:val="2ACF0230"/>
    <w:rsid w:val="2B4E3548"/>
    <w:rsid w:val="2B6E30A2"/>
    <w:rsid w:val="2C5179BC"/>
    <w:rsid w:val="2C834A9A"/>
    <w:rsid w:val="2C8E16F5"/>
    <w:rsid w:val="2CFC6D95"/>
    <w:rsid w:val="2D0F642C"/>
    <w:rsid w:val="2D4A0E29"/>
    <w:rsid w:val="2D69660C"/>
    <w:rsid w:val="2D861AC8"/>
    <w:rsid w:val="2DE34406"/>
    <w:rsid w:val="2E0370A8"/>
    <w:rsid w:val="2E090714"/>
    <w:rsid w:val="2E2C0D3D"/>
    <w:rsid w:val="2E326B5C"/>
    <w:rsid w:val="2E6E75CF"/>
    <w:rsid w:val="2EDC0FD3"/>
    <w:rsid w:val="2F280E38"/>
    <w:rsid w:val="2F7F157A"/>
    <w:rsid w:val="2FB84BD7"/>
    <w:rsid w:val="2FBC361A"/>
    <w:rsid w:val="2FC61CC0"/>
    <w:rsid w:val="2FF50535"/>
    <w:rsid w:val="308440C8"/>
    <w:rsid w:val="30B31CCB"/>
    <w:rsid w:val="30C41219"/>
    <w:rsid w:val="30C67313"/>
    <w:rsid w:val="30C70618"/>
    <w:rsid w:val="30D74E10"/>
    <w:rsid w:val="310E3C67"/>
    <w:rsid w:val="311C1F35"/>
    <w:rsid w:val="31337697"/>
    <w:rsid w:val="315423AD"/>
    <w:rsid w:val="31601751"/>
    <w:rsid w:val="31DB35D8"/>
    <w:rsid w:val="31DF11B1"/>
    <w:rsid w:val="32194741"/>
    <w:rsid w:val="325D2DA0"/>
    <w:rsid w:val="3278210D"/>
    <w:rsid w:val="32A54325"/>
    <w:rsid w:val="32C338D5"/>
    <w:rsid w:val="32DC4898"/>
    <w:rsid w:val="32FE477D"/>
    <w:rsid w:val="33050B43"/>
    <w:rsid w:val="33334762"/>
    <w:rsid w:val="334810C0"/>
    <w:rsid w:val="335B3A0E"/>
    <w:rsid w:val="337E580A"/>
    <w:rsid w:val="33A22B04"/>
    <w:rsid w:val="33BB606C"/>
    <w:rsid w:val="33D44A17"/>
    <w:rsid w:val="34103577"/>
    <w:rsid w:val="34313AAC"/>
    <w:rsid w:val="343276FC"/>
    <w:rsid w:val="346D4FAF"/>
    <w:rsid w:val="34705D71"/>
    <w:rsid w:val="34D039B6"/>
    <w:rsid w:val="35C6068D"/>
    <w:rsid w:val="35C730E2"/>
    <w:rsid w:val="361636DB"/>
    <w:rsid w:val="3637097E"/>
    <w:rsid w:val="366C6C5A"/>
    <w:rsid w:val="367B7EA0"/>
    <w:rsid w:val="36CA6CCB"/>
    <w:rsid w:val="36F05217"/>
    <w:rsid w:val="36F16EB3"/>
    <w:rsid w:val="371053CA"/>
    <w:rsid w:val="375458D3"/>
    <w:rsid w:val="37677D7A"/>
    <w:rsid w:val="37B75977"/>
    <w:rsid w:val="37ED7F2E"/>
    <w:rsid w:val="38053237"/>
    <w:rsid w:val="381C64AE"/>
    <w:rsid w:val="385B379E"/>
    <w:rsid w:val="38704279"/>
    <w:rsid w:val="38727E18"/>
    <w:rsid w:val="38750C57"/>
    <w:rsid w:val="387547D9"/>
    <w:rsid w:val="388B792B"/>
    <w:rsid w:val="38CD6BED"/>
    <w:rsid w:val="38DA3FC7"/>
    <w:rsid w:val="38E24BB0"/>
    <w:rsid w:val="38EE4BC9"/>
    <w:rsid w:val="391776C6"/>
    <w:rsid w:val="39756BD2"/>
    <w:rsid w:val="39812471"/>
    <w:rsid w:val="39CA780E"/>
    <w:rsid w:val="39E47D95"/>
    <w:rsid w:val="39ED21B7"/>
    <w:rsid w:val="39F554BB"/>
    <w:rsid w:val="3A14325D"/>
    <w:rsid w:val="3A2210A6"/>
    <w:rsid w:val="3A3F3BCE"/>
    <w:rsid w:val="3A5852C1"/>
    <w:rsid w:val="3ACB4A8D"/>
    <w:rsid w:val="3B5530F7"/>
    <w:rsid w:val="3B576E07"/>
    <w:rsid w:val="3B6720C4"/>
    <w:rsid w:val="3B824169"/>
    <w:rsid w:val="3B8330AD"/>
    <w:rsid w:val="3B8F2744"/>
    <w:rsid w:val="3C1A0ED8"/>
    <w:rsid w:val="3C88075E"/>
    <w:rsid w:val="3C925410"/>
    <w:rsid w:val="3CFD619E"/>
    <w:rsid w:val="3D29042E"/>
    <w:rsid w:val="3D382B00"/>
    <w:rsid w:val="3D396ED7"/>
    <w:rsid w:val="3D7859F6"/>
    <w:rsid w:val="3D87032D"/>
    <w:rsid w:val="3DFA2BBE"/>
    <w:rsid w:val="3E4D7787"/>
    <w:rsid w:val="3E772188"/>
    <w:rsid w:val="3E8D2B67"/>
    <w:rsid w:val="3E906DA6"/>
    <w:rsid w:val="3EAA16DD"/>
    <w:rsid w:val="3EB00C93"/>
    <w:rsid w:val="3F0C7816"/>
    <w:rsid w:val="3F2F321C"/>
    <w:rsid w:val="3F3D67A7"/>
    <w:rsid w:val="3F476FDD"/>
    <w:rsid w:val="3F617288"/>
    <w:rsid w:val="3F623FCD"/>
    <w:rsid w:val="4023274B"/>
    <w:rsid w:val="402B3EDA"/>
    <w:rsid w:val="402F708F"/>
    <w:rsid w:val="40BF0D8E"/>
    <w:rsid w:val="413325FF"/>
    <w:rsid w:val="415443BB"/>
    <w:rsid w:val="41674A59"/>
    <w:rsid w:val="41A40141"/>
    <w:rsid w:val="42192EE6"/>
    <w:rsid w:val="421C08B6"/>
    <w:rsid w:val="42D81CB0"/>
    <w:rsid w:val="430C67DF"/>
    <w:rsid w:val="432E5044"/>
    <w:rsid w:val="43497602"/>
    <w:rsid w:val="43747426"/>
    <w:rsid w:val="437C315C"/>
    <w:rsid w:val="43EA47C4"/>
    <w:rsid w:val="44300326"/>
    <w:rsid w:val="44AA55B7"/>
    <w:rsid w:val="44CF0329"/>
    <w:rsid w:val="44FF20C1"/>
    <w:rsid w:val="453437A9"/>
    <w:rsid w:val="45AA6260"/>
    <w:rsid w:val="45AC5A5D"/>
    <w:rsid w:val="45DB25B6"/>
    <w:rsid w:val="461937E2"/>
    <w:rsid w:val="4627540B"/>
    <w:rsid w:val="466D5111"/>
    <w:rsid w:val="466E049A"/>
    <w:rsid w:val="469D546A"/>
    <w:rsid w:val="46C53FAB"/>
    <w:rsid w:val="46D11FBC"/>
    <w:rsid w:val="47241198"/>
    <w:rsid w:val="47885136"/>
    <w:rsid w:val="47C77502"/>
    <w:rsid w:val="47E51BDC"/>
    <w:rsid w:val="482C5BCF"/>
    <w:rsid w:val="483454DE"/>
    <w:rsid w:val="48773016"/>
    <w:rsid w:val="48F5028F"/>
    <w:rsid w:val="491E3CFD"/>
    <w:rsid w:val="492B4123"/>
    <w:rsid w:val="493375A8"/>
    <w:rsid w:val="494C5EF3"/>
    <w:rsid w:val="495D4B69"/>
    <w:rsid w:val="49A444CE"/>
    <w:rsid w:val="49BD2337"/>
    <w:rsid w:val="49BD311D"/>
    <w:rsid w:val="49E0367B"/>
    <w:rsid w:val="49E85F77"/>
    <w:rsid w:val="4A1C24AC"/>
    <w:rsid w:val="4A2B1C30"/>
    <w:rsid w:val="4A372119"/>
    <w:rsid w:val="4A3B14B7"/>
    <w:rsid w:val="4A8355EE"/>
    <w:rsid w:val="4A8D1C7B"/>
    <w:rsid w:val="4AD73CA9"/>
    <w:rsid w:val="4AE7646B"/>
    <w:rsid w:val="4AF074FE"/>
    <w:rsid w:val="4B00558C"/>
    <w:rsid w:val="4B1132B6"/>
    <w:rsid w:val="4B7927EA"/>
    <w:rsid w:val="4B8256B9"/>
    <w:rsid w:val="4BAD3D0D"/>
    <w:rsid w:val="4BC46FDE"/>
    <w:rsid w:val="4BD20946"/>
    <w:rsid w:val="4C4819BB"/>
    <w:rsid w:val="4C673879"/>
    <w:rsid w:val="4C773E82"/>
    <w:rsid w:val="4CBE2078"/>
    <w:rsid w:val="4D6B5D6D"/>
    <w:rsid w:val="4D796F28"/>
    <w:rsid w:val="4DC52912"/>
    <w:rsid w:val="4DDE7617"/>
    <w:rsid w:val="4DEA5F62"/>
    <w:rsid w:val="4DF73079"/>
    <w:rsid w:val="4E4D57DF"/>
    <w:rsid w:val="4E501D07"/>
    <w:rsid w:val="4E505293"/>
    <w:rsid w:val="4EAE4DA6"/>
    <w:rsid w:val="4EBC40BC"/>
    <w:rsid w:val="4EBF3CD1"/>
    <w:rsid w:val="4EFF3B21"/>
    <w:rsid w:val="4F0F02C3"/>
    <w:rsid w:val="4F1D03E4"/>
    <w:rsid w:val="4F774D01"/>
    <w:rsid w:val="4F9C17C2"/>
    <w:rsid w:val="4FE02C8E"/>
    <w:rsid w:val="4FE479B6"/>
    <w:rsid w:val="502F13CB"/>
    <w:rsid w:val="50456F38"/>
    <w:rsid w:val="5099184C"/>
    <w:rsid w:val="50A06435"/>
    <w:rsid w:val="50DB5243"/>
    <w:rsid w:val="50E14AA5"/>
    <w:rsid w:val="5106297C"/>
    <w:rsid w:val="51B04F15"/>
    <w:rsid w:val="51E40D70"/>
    <w:rsid w:val="51F91145"/>
    <w:rsid w:val="5254009F"/>
    <w:rsid w:val="525C2540"/>
    <w:rsid w:val="529F37A1"/>
    <w:rsid w:val="5353640D"/>
    <w:rsid w:val="53552672"/>
    <w:rsid w:val="535527F0"/>
    <w:rsid w:val="53AE5FE6"/>
    <w:rsid w:val="53C92E72"/>
    <w:rsid w:val="54113878"/>
    <w:rsid w:val="542501D0"/>
    <w:rsid w:val="543750C2"/>
    <w:rsid w:val="54471404"/>
    <w:rsid w:val="545926D0"/>
    <w:rsid w:val="54695A16"/>
    <w:rsid w:val="54863837"/>
    <w:rsid w:val="54934654"/>
    <w:rsid w:val="54AE49FC"/>
    <w:rsid w:val="54E827E4"/>
    <w:rsid w:val="54F93B76"/>
    <w:rsid w:val="54FF3501"/>
    <w:rsid w:val="55600F9B"/>
    <w:rsid w:val="55B442A9"/>
    <w:rsid w:val="55B5662C"/>
    <w:rsid w:val="55DF49C6"/>
    <w:rsid w:val="561870B3"/>
    <w:rsid w:val="561E7DBE"/>
    <w:rsid w:val="565D5B37"/>
    <w:rsid w:val="565E4742"/>
    <w:rsid w:val="568E5C7C"/>
    <w:rsid w:val="56A623E9"/>
    <w:rsid w:val="56EF6D5A"/>
    <w:rsid w:val="57691C3A"/>
    <w:rsid w:val="57704EAE"/>
    <w:rsid w:val="577A48BC"/>
    <w:rsid w:val="579B08C7"/>
    <w:rsid w:val="57C15010"/>
    <w:rsid w:val="57EC042E"/>
    <w:rsid w:val="57FE5FF4"/>
    <w:rsid w:val="58104109"/>
    <w:rsid w:val="581C2E3F"/>
    <w:rsid w:val="58587D80"/>
    <w:rsid w:val="58695A9C"/>
    <w:rsid w:val="58E7547A"/>
    <w:rsid w:val="59492EB6"/>
    <w:rsid w:val="594D55A8"/>
    <w:rsid w:val="595A2E26"/>
    <w:rsid w:val="596A0A97"/>
    <w:rsid w:val="59F44301"/>
    <w:rsid w:val="5A1767E5"/>
    <w:rsid w:val="5A397296"/>
    <w:rsid w:val="5A803F9C"/>
    <w:rsid w:val="5AAD7BA5"/>
    <w:rsid w:val="5AFC6B2D"/>
    <w:rsid w:val="5B0E610D"/>
    <w:rsid w:val="5B247268"/>
    <w:rsid w:val="5B293EF0"/>
    <w:rsid w:val="5B4B72F9"/>
    <w:rsid w:val="5B5C699F"/>
    <w:rsid w:val="5B643ABF"/>
    <w:rsid w:val="5B714EF2"/>
    <w:rsid w:val="5BB3647D"/>
    <w:rsid w:val="5C0F2E1E"/>
    <w:rsid w:val="5C224A91"/>
    <w:rsid w:val="5C3B3456"/>
    <w:rsid w:val="5C426086"/>
    <w:rsid w:val="5C8F718F"/>
    <w:rsid w:val="5CAC7F8B"/>
    <w:rsid w:val="5CCD04A0"/>
    <w:rsid w:val="5D110756"/>
    <w:rsid w:val="5D2A7983"/>
    <w:rsid w:val="5D85547F"/>
    <w:rsid w:val="5E0302CC"/>
    <w:rsid w:val="5E1D411A"/>
    <w:rsid w:val="5E321C4C"/>
    <w:rsid w:val="5E3A4A16"/>
    <w:rsid w:val="5E934E6C"/>
    <w:rsid w:val="5E9C4971"/>
    <w:rsid w:val="5F8269A1"/>
    <w:rsid w:val="5FAB1581"/>
    <w:rsid w:val="5FB7664A"/>
    <w:rsid w:val="5FC01DAF"/>
    <w:rsid w:val="5FC51590"/>
    <w:rsid w:val="5FE8563A"/>
    <w:rsid w:val="603E7BF6"/>
    <w:rsid w:val="60586B78"/>
    <w:rsid w:val="61261732"/>
    <w:rsid w:val="614C4ECC"/>
    <w:rsid w:val="618D7700"/>
    <w:rsid w:val="61A15679"/>
    <w:rsid w:val="61DD1577"/>
    <w:rsid w:val="61E412C6"/>
    <w:rsid w:val="620826E5"/>
    <w:rsid w:val="624D0CCD"/>
    <w:rsid w:val="629E24B6"/>
    <w:rsid w:val="62BB7A35"/>
    <w:rsid w:val="62BD4526"/>
    <w:rsid w:val="62DF3875"/>
    <w:rsid w:val="62F65F5C"/>
    <w:rsid w:val="63113158"/>
    <w:rsid w:val="6377613F"/>
    <w:rsid w:val="63C16B69"/>
    <w:rsid w:val="63DA25E0"/>
    <w:rsid w:val="640F028E"/>
    <w:rsid w:val="642D0F5A"/>
    <w:rsid w:val="64367476"/>
    <w:rsid w:val="643F5B88"/>
    <w:rsid w:val="644464B4"/>
    <w:rsid w:val="644A0834"/>
    <w:rsid w:val="64BB3FC5"/>
    <w:rsid w:val="64C676BB"/>
    <w:rsid w:val="64CD5DD8"/>
    <w:rsid w:val="64D962F2"/>
    <w:rsid w:val="652F488E"/>
    <w:rsid w:val="655D2DD3"/>
    <w:rsid w:val="65637F54"/>
    <w:rsid w:val="65EC18C9"/>
    <w:rsid w:val="65F94989"/>
    <w:rsid w:val="660E40A9"/>
    <w:rsid w:val="66544AD1"/>
    <w:rsid w:val="667243FC"/>
    <w:rsid w:val="66CE715D"/>
    <w:rsid w:val="66DF578D"/>
    <w:rsid w:val="67337578"/>
    <w:rsid w:val="677471CD"/>
    <w:rsid w:val="679328A0"/>
    <w:rsid w:val="67F24AF2"/>
    <w:rsid w:val="6820099F"/>
    <w:rsid w:val="68623A12"/>
    <w:rsid w:val="689B11B3"/>
    <w:rsid w:val="68AD66CB"/>
    <w:rsid w:val="68AE414D"/>
    <w:rsid w:val="68B872AA"/>
    <w:rsid w:val="68C309D3"/>
    <w:rsid w:val="68DE1782"/>
    <w:rsid w:val="68E701AB"/>
    <w:rsid w:val="68FB09C9"/>
    <w:rsid w:val="698B1BDD"/>
    <w:rsid w:val="69992A45"/>
    <w:rsid w:val="69A91ABE"/>
    <w:rsid w:val="69D47AC7"/>
    <w:rsid w:val="69FF68CA"/>
    <w:rsid w:val="6A8E7670"/>
    <w:rsid w:val="6A9B3015"/>
    <w:rsid w:val="6ABA5127"/>
    <w:rsid w:val="6AFE6C63"/>
    <w:rsid w:val="6B192F42"/>
    <w:rsid w:val="6B2D4453"/>
    <w:rsid w:val="6B520742"/>
    <w:rsid w:val="6C2C1C42"/>
    <w:rsid w:val="6C377559"/>
    <w:rsid w:val="6C48224E"/>
    <w:rsid w:val="6C647D36"/>
    <w:rsid w:val="6C683D48"/>
    <w:rsid w:val="6C760C80"/>
    <w:rsid w:val="6CDF16F9"/>
    <w:rsid w:val="6CFB1689"/>
    <w:rsid w:val="6D4F54F6"/>
    <w:rsid w:val="6D621B82"/>
    <w:rsid w:val="6DEE7589"/>
    <w:rsid w:val="6E243A43"/>
    <w:rsid w:val="6E2522A5"/>
    <w:rsid w:val="6E6439FD"/>
    <w:rsid w:val="6ED72644"/>
    <w:rsid w:val="6F4D2BCD"/>
    <w:rsid w:val="6F7A7278"/>
    <w:rsid w:val="6FBA56AA"/>
    <w:rsid w:val="70445D37"/>
    <w:rsid w:val="708539A9"/>
    <w:rsid w:val="70C93CA8"/>
    <w:rsid w:val="70EE4F40"/>
    <w:rsid w:val="70F36201"/>
    <w:rsid w:val="70F83C1E"/>
    <w:rsid w:val="71526732"/>
    <w:rsid w:val="718240FE"/>
    <w:rsid w:val="71867DD2"/>
    <w:rsid w:val="71EE5E99"/>
    <w:rsid w:val="72590EB7"/>
    <w:rsid w:val="725A0FBE"/>
    <w:rsid w:val="7296248F"/>
    <w:rsid w:val="72EC15D5"/>
    <w:rsid w:val="72F95D12"/>
    <w:rsid w:val="73325992"/>
    <w:rsid w:val="73376E36"/>
    <w:rsid w:val="73676514"/>
    <w:rsid w:val="738338FD"/>
    <w:rsid w:val="73A26050"/>
    <w:rsid w:val="740D2012"/>
    <w:rsid w:val="74144E7E"/>
    <w:rsid w:val="7470131D"/>
    <w:rsid w:val="74CC6762"/>
    <w:rsid w:val="74F87AE3"/>
    <w:rsid w:val="74FC730A"/>
    <w:rsid w:val="74FF3244"/>
    <w:rsid w:val="75473F77"/>
    <w:rsid w:val="755C0699"/>
    <w:rsid w:val="756C2136"/>
    <w:rsid w:val="75790EAC"/>
    <w:rsid w:val="75803AEC"/>
    <w:rsid w:val="75805223"/>
    <w:rsid w:val="75AC5B7C"/>
    <w:rsid w:val="75CF00F2"/>
    <w:rsid w:val="75D87D82"/>
    <w:rsid w:val="75DB3592"/>
    <w:rsid w:val="76314344"/>
    <w:rsid w:val="76520112"/>
    <w:rsid w:val="76B609C6"/>
    <w:rsid w:val="76BB6793"/>
    <w:rsid w:val="77054202"/>
    <w:rsid w:val="772028FD"/>
    <w:rsid w:val="777C3638"/>
    <w:rsid w:val="77FC5A98"/>
    <w:rsid w:val="783801B4"/>
    <w:rsid w:val="785C2B78"/>
    <w:rsid w:val="788E2DC1"/>
    <w:rsid w:val="78C403E4"/>
    <w:rsid w:val="78C86137"/>
    <w:rsid w:val="78E44890"/>
    <w:rsid w:val="791B0EB5"/>
    <w:rsid w:val="79276434"/>
    <w:rsid w:val="792B03DA"/>
    <w:rsid w:val="796A5D19"/>
    <w:rsid w:val="79CE24B8"/>
    <w:rsid w:val="79E92EFC"/>
    <w:rsid w:val="79FB5128"/>
    <w:rsid w:val="7A31735C"/>
    <w:rsid w:val="7A330D80"/>
    <w:rsid w:val="7A491B93"/>
    <w:rsid w:val="7A7E1C99"/>
    <w:rsid w:val="7A9E2C24"/>
    <w:rsid w:val="7ABB6200"/>
    <w:rsid w:val="7B070BE4"/>
    <w:rsid w:val="7B370854"/>
    <w:rsid w:val="7B3A312D"/>
    <w:rsid w:val="7B693576"/>
    <w:rsid w:val="7B996507"/>
    <w:rsid w:val="7BAE47E5"/>
    <w:rsid w:val="7BFD7A25"/>
    <w:rsid w:val="7C1B5FDC"/>
    <w:rsid w:val="7C432749"/>
    <w:rsid w:val="7C451187"/>
    <w:rsid w:val="7C6A62AD"/>
    <w:rsid w:val="7C9C6CF2"/>
    <w:rsid w:val="7CA60BF3"/>
    <w:rsid w:val="7CB671D4"/>
    <w:rsid w:val="7CC03A55"/>
    <w:rsid w:val="7CC04FB7"/>
    <w:rsid w:val="7CEE7CE3"/>
    <w:rsid w:val="7CFB3458"/>
    <w:rsid w:val="7D4B5092"/>
    <w:rsid w:val="7DA07A0E"/>
    <w:rsid w:val="7DFB1EBB"/>
    <w:rsid w:val="7E093287"/>
    <w:rsid w:val="7E3B5AC9"/>
    <w:rsid w:val="7E66083D"/>
    <w:rsid w:val="7E9931F2"/>
    <w:rsid w:val="7EBF4B0E"/>
    <w:rsid w:val="7EC71CF5"/>
    <w:rsid w:val="7EEE11F5"/>
    <w:rsid w:val="7EF01124"/>
    <w:rsid w:val="7F107493"/>
    <w:rsid w:val="7F1A0E4F"/>
    <w:rsid w:val="7F604A2F"/>
    <w:rsid w:val="7F8F0343"/>
    <w:rsid w:val="7FA835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1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6">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7">
    <w:name w:val="heading 6"/>
    <w:basedOn w:val="1"/>
    <w:next w:val="8"/>
    <w:qFormat/>
    <w:uiPriority w:val="0"/>
    <w:pPr>
      <w:keepNext/>
      <w:jc w:val="center"/>
      <w:outlineLvl w:val="5"/>
    </w:pPr>
    <w:rPr>
      <w:b/>
      <w:kern w:val="0"/>
      <w:sz w:val="44"/>
      <w:szCs w:val="20"/>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afterLines="0"/>
      <w:ind w:left="420" w:leftChars="200"/>
    </w:pPr>
  </w:style>
  <w:style w:type="paragraph" w:customStyle="1" w:styleId="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8">
    <w:name w:val="Normal Indent"/>
    <w:basedOn w:val="1"/>
    <w:qFormat/>
    <w:uiPriority w:val="0"/>
    <w:pPr>
      <w:ind w:firstLine="420"/>
    </w:pPr>
    <w:rPr>
      <w:rFonts w:ascii="Calibri" w:hAnsi="Calibri"/>
      <w:szCs w:val="20"/>
    </w:rPr>
  </w:style>
  <w:style w:type="paragraph" w:styleId="9">
    <w:name w:val="Body Text"/>
    <w:basedOn w:val="1"/>
    <w:next w:val="1"/>
    <w:qFormat/>
    <w:uiPriority w:val="1"/>
    <w:rPr>
      <w:rFonts w:ascii="楷体_GB2312" w:hAnsi="Arial" w:eastAsia="楷体_GB2312"/>
      <w:sz w:val="28"/>
      <w:szCs w:val="28"/>
    </w:rPr>
  </w:style>
  <w:style w:type="paragraph" w:styleId="10">
    <w:name w:val="Plain Text"/>
    <w:basedOn w:val="1"/>
    <w:qFormat/>
    <w:uiPriority w:val="0"/>
    <w:rPr>
      <w:rFonts w:ascii="宋体" w:hAnsi="Courier New" w:cs="Courier New"/>
      <w:szCs w:val="21"/>
    </w:rPr>
  </w:style>
  <w:style w:type="paragraph" w:styleId="11">
    <w:name w:val="Date"/>
    <w:basedOn w:val="1"/>
    <w:next w:val="1"/>
    <w:qFormat/>
    <w:uiPriority w:val="0"/>
    <w:pPr>
      <w:ind w:left="100" w:leftChars="2500"/>
    </w:pPr>
  </w:style>
  <w:style w:type="paragraph" w:styleId="12">
    <w:name w:val="Balloon Text"/>
    <w:basedOn w:val="1"/>
    <w:semiHidden/>
    <w:qFormat/>
    <w:uiPriority w:val="0"/>
    <w:rPr>
      <w:sz w:val="18"/>
      <w:szCs w:val="18"/>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w:basedOn w:val="9"/>
    <w:next w:val="2"/>
    <w:qFormat/>
    <w:uiPriority w:val="0"/>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page number"/>
    <w:basedOn w:val="22"/>
    <w:semiHidden/>
    <w:qFormat/>
    <w:uiPriority w:val="0"/>
  </w:style>
  <w:style w:type="character" w:styleId="25">
    <w:name w:val="Hyperlink"/>
    <w:basedOn w:val="22"/>
    <w:qFormat/>
    <w:uiPriority w:val="0"/>
    <w:rPr>
      <w:color w:val="003366"/>
      <w:u w:val="none"/>
    </w:rPr>
  </w:style>
  <w:style w:type="paragraph" w:styleId="26">
    <w:name w:val="List Paragraph"/>
    <w:basedOn w:val="1"/>
    <w:qFormat/>
    <w:uiPriority w:val="0"/>
    <w:pPr>
      <w:ind w:firstLine="420" w:firstLineChars="200"/>
    </w:pPr>
    <w:rPr>
      <w:rFonts w:ascii="Calibri" w:hAnsi="Calibri"/>
      <w:szCs w:val="22"/>
    </w:rPr>
  </w:style>
  <w:style w:type="paragraph" w:customStyle="1" w:styleId="27">
    <w:name w:val="正文（缩进）"/>
    <w:basedOn w:val="1"/>
    <w:qFormat/>
    <w:uiPriority w:val="0"/>
    <w:pPr>
      <w:ind w:firstLine="480" w:firstLineChars="200"/>
    </w:pPr>
  </w:style>
  <w:style w:type="character" w:customStyle="1" w:styleId="28">
    <w:name w:val="pagetitle"/>
    <w:basedOn w:val="22"/>
    <w:qFormat/>
    <w:uiPriority w:val="0"/>
  </w:style>
  <w:style w:type="character" w:customStyle="1" w:styleId="29">
    <w:name w:val="Char Char"/>
    <w:basedOn w:val="22"/>
    <w:semiHidden/>
    <w:qFormat/>
    <w:uiPriority w:val="0"/>
    <w:rPr>
      <w:kern w:val="2"/>
      <w:sz w:val="18"/>
      <w:szCs w:val="18"/>
    </w:rPr>
  </w:style>
  <w:style w:type="character" w:customStyle="1" w:styleId="30">
    <w:name w:val="font11"/>
    <w:basedOn w:val="22"/>
    <w:qFormat/>
    <w:uiPriority w:val="0"/>
    <w:rPr>
      <w:rFonts w:hint="eastAsia" w:ascii="宋体" w:hAnsi="宋体" w:eastAsia="宋体" w:cs="宋体"/>
      <w:color w:val="000000"/>
      <w:sz w:val="22"/>
      <w:szCs w:val="22"/>
      <w:u w:val="none"/>
    </w:rPr>
  </w:style>
  <w:style w:type="character" w:customStyle="1" w:styleId="31">
    <w:name w:val="title_emph1"/>
    <w:basedOn w:val="22"/>
    <w:qFormat/>
    <w:uiPriority w:val="0"/>
    <w:rPr>
      <w:rFonts w:hint="default" w:ascii="Arial" w:hAnsi="Arial" w:cs="Arial"/>
      <w:b/>
      <w:bCs/>
      <w:sz w:val="18"/>
      <w:szCs w:val="18"/>
    </w:rPr>
  </w:style>
  <w:style w:type="character" w:customStyle="1" w:styleId="32">
    <w:name w:val="font21"/>
    <w:basedOn w:val="22"/>
    <w:qFormat/>
    <w:uiPriority w:val="0"/>
    <w:rPr>
      <w:rFonts w:hint="eastAsia" w:ascii="宋体" w:hAnsi="宋体" w:eastAsia="宋体" w:cs="宋体"/>
      <w:color w:val="000000"/>
      <w:sz w:val="20"/>
      <w:szCs w:val="20"/>
      <w:u w:val="none"/>
    </w:rPr>
  </w:style>
  <w:style w:type="character" w:customStyle="1" w:styleId="33">
    <w:name w:val="tit1"/>
    <w:basedOn w:val="22"/>
    <w:qFormat/>
    <w:uiPriority w:val="0"/>
    <w:rPr>
      <w:rFonts w:hint="eastAsia" w:ascii="宋体" w:hAnsi="宋体" w:eastAsia="宋体"/>
      <w:b/>
      <w:bCs/>
      <w:color w:val="000000"/>
      <w:sz w:val="21"/>
      <w:szCs w:val="21"/>
    </w:rPr>
  </w:style>
  <w:style w:type="character" w:customStyle="1" w:styleId="34">
    <w:name w:val="Char Char1"/>
    <w:basedOn w:val="22"/>
    <w:semiHidden/>
    <w:qFormat/>
    <w:uiPriority w:val="0"/>
    <w:rPr>
      <w:kern w:val="2"/>
      <w:sz w:val="18"/>
      <w:szCs w:val="18"/>
    </w:rPr>
  </w:style>
  <w:style w:type="paragraph" w:customStyle="1" w:styleId="35">
    <w:name w:val="p0"/>
    <w:basedOn w:val="1"/>
    <w:qFormat/>
    <w:uiPriority w:val="0"/>
    <w:pPr>
      <w:widowControl/>
    </w:pPr>
    <w:rPr>
      <w:kern w:val="0"/>
      <w:szCs w:val="21"/>
    </w:rPr>
  </w:style>
  <w:style w:type="paragraph" w:customStyle="1" w:styleId="36">
    <w:name w:val="列出段落1"/>
    <w:basedOn w:val="1"/>
    <w:qFormat/>
    <w:uiPriority w:val="0"/>
    <w:pPr>
      <w:ind w:firstLine="420" w:firstLineChars="200"/>
    </w:pPr>
    <w:rPr>
      <w:sz w:val="20"/>
      <w:szCs w:val="20"/>
    </w:rPr>
  </w:style>
  <w:style w:type="paragraph" w:customStyle="1" w:styleId="37">
    <w:name w:val="列出段落11"/>
    <w:basedOn w:val="1"/>
    <w:qFormat/>
    <w:uiPriority w:val="0"/>
    <w:pPr>
      <w:widowControl/>
      <w:ind w:firstLine="420"/>
    </w:pPr>
    <w:rPr>
      <w:rFonts w:ascii="Calibri" w:hAnsi="Calibri" w:cs="Calibri"/>
      <w:kern w:val="0"/>
      <w:szCs w:val="21"/>
    </w:rPr>
  </w:style>
  <w:style w:type="paragraph" w:customStyle="1" w:styleId="38">
    <w:name w:val="正文 New"/>
    <w:basedOn w:val="1"/>
    <w:qFormat/>
    <w:uiPriority w:val="0"/>
    <w:pPr>
      <w:widowControl/>
    </w:pPr>
    <w:rPr>
      <w:kern w:val="0"/>
      <w:szCs w:val="21"/>
    </w:rPr>
  </w:style>
  <w:style w:type="paragraph" w:customStyle="1" w:styleId="39">
    <w:name w:val="样式5"/>
    <w:basedOn w:val="1"/>
    <w:qFormat/>
    <w:uiPriority w:val="0"/>
    <w:rPr>
      <w:rFonts w:ascii="宋体" w:cs="宋体"/>
      <w:sz w:val="24"/>
    </w:rPr>
  </w:style>
  <w:style w:type="paragraph" w:customStyle="1" w:styleId="40">
    <w:name w:val="列表内容"/>
    <w:basedOn w:val="1"/>
    <w:next w:val="1"/>
    <w:qFormat/>
    <w:uiPriority w:val="0"/>
    <w:pPr>
      <w:widowControl/>
      <w:tabs>
        <w:tab w:val="left" w:pos="840"/>
      </w:tabs>
      <w:ind w:left="840" w:hanging="420"/>
      <w:jc w:val="left"/>
    </w:pPr>
    <w:rPr>
      <w:kern w:val="0"/>
      <w:sz w:val="18"/>
      <w:szCs w:val="20"/>
    </w:rPr>
  </w:style>
  <w:style w:type="paragraph" w:customStyle="1" w:styleId="41">
    <w:name w:val="正文 A"/>
    <w:next w:val="42"/>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2">
    <w:name w:val="正文文本1"/>
    <w:next w:val="4"/>
    <w:qFormat/>
    <w:uiPriority w:val="0"/>
    <w:pPr>
      <w:widowControl w:val="0"/>
      <w:spacing w:after="120"/>
      <w:jc w:val="both"/>
    </w:pPr>
    <w:rPr>
      <w:rFonts w:ascii="Calibri" w:hAnsi="Calibri" w:eastAsia="Calibri" w:cs="Calibri"/>
      <w:color w:val="000000"/>
      <w:kern w:val="2"/>
      <w:sz w:val="21"/>
      <w:szCs w:val="21"/>
      <w:u w:color="000000"/>
      <w:lang w:val="en-US" w:eastAsia="zh-CN" w:bidi="ar-SA"/>
    </w:rPr>
  </w:style>
  <w:style w:type="character" w:customStyle="1" w:styleId="43">
    <w:name w:val="font51"/>
    <w:basedOn w:val="22"/>
    <w:qFormat/>
    <w:uiPriority w:val="0"/>
    <w:rPr>
      <w:rFonts w:hint="eastAsia" w:ascii="仿宋" w:hAnsi="仿宋" w:eastAsia="仿宋" w:cs="仿宋"/>
      <w:color w:val="000000"/>
      <w:sz w:val="18"/>
      <w:szCs w:val="18"/>
      <w:u w:val="none"/>
    </w:rPr>
  </w:style>
  <w:style w:type="paragraph" w:customStyle="1" w:styleId="44">
    <w:name w:val="首行缩进"/>
    <w:basedOn w:val="1"/>
    <w:qFormat/>
    <w:uiPriority w:val="0"/>
    <w:pPr>
      <w:spacing w:line="360" w:lineRule="auto"/>
      <w:ind w:firstLine="480" w:firstLineChars="200"/>
      <w:jc w:val="left"/>
    </w:pPr>
    <w:rPr>
      <w:rFonts w:ascii="宋体" w:hAnsi="宋体"/>
      <w:sz w:val="24"/>
    </w:rPr>
  </w:style>
  <w:style w:type="paragraph" w:customStyle="1" w:styleId="45">
    <w:name w:val="图片"/>
    <w:basedOn w:val="1"/>
    <w:qFormat/>
    <w:uiPriority w:val="0"/>
    <w:pPr>
      <w:jc w:val="center"/>
    </w:pPr>
    <w:rPr>
      <w:rFonts w:ascii="仿宋" w:hAnsi="仿宋" w:eastAsia="仿宋" w:cs="仿宋"/>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65" textRotate="1"/>
    <customShpInfo spid="_x0000_s2066" textRotate="1"/>
    <customShpInfo spid="_x0000_s2070" textRotate="1"/>
    <customShpInfo spid="_x0000_s1026"/>
    <customShpInfo spid="_x0000_s1041"/>
    <customShpInfo spid="_x0000_s1040"/>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63CCB-CE55-4603-8283-A56AF6268FE2}">
  <ds:schemaRefs/>
</ds:datastoreItem>
</file>

<file path=docProps/app.xml><?xml version="1.0" encoding="utf-8"?>
<Properties xmlns="http://schemas.openxmlformats.org/officeDocument/2006/extended-properties" xmlns:vt="http://schemas.openxmlformats.org/officeDocument/2006/docPropsVTypes">
  <Template>Normal</Template>
  <Company>ZBB</Company>
  <Pages>13</Pages>
  <Words>5365</Words>
  <Characters>1363</Characters>
  <Lines>11</Lines>
  <Paragraphs>13</Paragraphs>
  <TotalTime>10</TotalTime>
  <ScaleCrop>false</ScaleCrop>
  <LinksUpToDate>false</LinksUpToDate>
  <CharactersWithSpaces>6715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2022-10-11T01:22:00Z</dcterms:created>
  <dc:creator>SZH</dc:creator>
  <cp:lastModifiedBy>杨丹</cp:lastModifiedBy>
  <cp:lastPrinted>2021-09-30T00:54:00Z</cp:lastPrinted>
  <dcterms:modified xsi:type="dcterms:W3CDTF">2023-08-30T06:22:51Z</dcterms:modified>
  <dc:title>启东市政府采购与招投标交易所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2BAD78236B86454899CDE9EA589F02C8</vt:lpwstr>
  </property>
</Properties>
</file>