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市政府办公室关于印发启东市2018年度农村水利建设实施意见的通知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启政办发〔2017〕102号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各镇人民政府，各园区管委会，各街道办事处，市各委办局，市各直属单位：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经市政府同意，现将《启东市2018年度农村水利建设实施意见》现印发给你们，请认真组织实施。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160" w:firstLineChars="13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启东市人民政府办公室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2017年9月29日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启东市2018年度农村水利建设实施意见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为加快我市生态水利建设，及早掀起今冬明春农田水利基本建设高潮，不断提升人民群众生活质量，决定全面开展2018年度农村水利建设，现就2018年度全市农村水利建设提出如下实施意见：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以科学发展观为指导，深入贯彻党的十八届六中全会精神和中央新时期水利工作方针，围绕全面深化水利改革、加快推进水生态文明建设，以高标准农田建设、畅通河网水系和水利改革发展为重点，进一步加强领导、增加投入、强化管理、创新机制，全面加快冬春农田水利基本建设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2018年度，全市下达村庄河道疏浚土方400万方，整治宅垅个数5000个（其中宅垅回填不少于1000个）;回填泯沟200公里;每镇（园区）完成至少一只埭范围的沟河合并示范点工程；实施39.2公里主干道沿线河道整治；每镇完成至少三只埭的盲区沟河整治；全面完成粪污沟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要认真编制农村水利建设规划，结合耕地占补平衡项目，重点服务于高标准农田建设，推进包括填小拓大、宅垅整治、贯通工程三大建设内容的高标准泯沟整治和横河疏浚整治工程，逐步拉大泯沟间距，从根本上解决农田沟小水浅、抗旱防涝能力差的问题，全面改善农业生产条件和居民生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四、时间部署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（一）规划测量阶段。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各镇（园区）认真调查摸底，编制年度实施计划后报市农水指挥部备案。组织人员完成年度建设任务的测量工作，确定工程量。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（二）宣传发动阶段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（2017年9月～10月）。充分发挥“两台一中心”新闻媒体的作用，加大宣传发动力度，积极营造“人人理解、个个支持、全民参与”农村水利建设的浓烈氛围。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（三）工程招标阶段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（2017年9月）。各镇（园区）按照有关规定做好招投标工作，落实施工单位。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（四）施工建设阶段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（2017年10月～2018年3月）。各镇（园区）全面组织工程施工建设，春节前完成土方疏浚，春节后完成配套建筑物施工，并结合农村环境长效管理工作要求，落实沟河长效管护。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（五）总结验收阶段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（2018年4月～8月）。各镇（园区）组织人员先行自查，合格后报市农水指挥部安排第三方检测机构复核，最后由市农水指挥部组织总体验收。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（一）高标准泯沟疏浚整治。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规划合并沟面过窄、间距过小的泯沟，提高泯沟疏浚标准，疏浚后水面宽不小于4米，坡比1：1.5，水深1米以上。其中高标准农田建设区域，一般区域泯沟间距不小于60米，水面宽度不小于4米；核心区域不小于80米，水面宽度不小于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（二）示范点工程。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示范点区域内泯沟疏浚按照高标准泯沟疏浚整治标准实施，且要求同时满足每2～3条泯沟填埋1条、宅垅整治达不到疏浚标准的必须进行填埋。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（三）横河疏浚。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横河以清淤、整坡为主，水深不小于1.5米。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（四）泯沟贯通。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每座埋设长度不超过12米，埋设深度要求涵管上沿不高于常水位。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（五）主干道沿线河道疏浚整治。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沿江公路、336省道、沪陕高速、通海大道、南海公路、王海公路沿线泯沟进行专项整治，确保泯沟建设标准水面宽不小于5米，水深不小于1米。实施填小拓大，泯沟间平均间距不小于80米。绿化带区域泯沟必须填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（六）泯沟盲区整治。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各镇（园区）加大对泯沟整治盲区的排查力度，加大盲区内泯沟疏浚整治。鼓励同步实施“拓大填小”，不提倡泯沟条条疏浚，且疏浚间距不得小于60米。为今后“占补平衡”预留空间。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（一）泯沟疏浚整治工程。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宅垅段采取回填方式的，疏浚土方补助标准4元/方；宅垅段未采取回填方式的，疏浚土方补助标准2元/方（宅垅段不计入补助范围）；涉及泯沟回填的按60元/米标准补助。对验收合格的示范点工程，在上述经费补助标准的基础上，另行给予15%的补助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（二）横河疏浚工程。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市财政按主体工程审计金额80%补助（不包括赔青、拆迁、二次挖运等费用），或实施定额补助3元/方。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（三）乡级河、粪污沟、黑臭沟疏浚工程。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按主体工程审计金额80%补助（不包括赔青、拆迁、二次挖运等费用），或实施定额补助5元/方。其中对粪污沟、黑臭沟的资金实行分期拨付，即项目完工验收合格的付50%补助资金，半年后由市政府办牵头监察、农委、环保、财政、水务等相关部门，复查建后管理情况合格的，付清剩余补助资金，否则不再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（四）泯沟贯通。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市财政补助60%管材资金。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（五）主干道沿线整治。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河道疏浚按审计价80%予以补助；废沟填埋按100元/米标准补助。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立健全农田水利建设行政首长负责制。要建立党政领导参加的指挥机构，一把手亲自抓，分管领导具体抓。各有关部门分工协作、齐抓共管。财政、水务、监察、国土、电力等有关部门要协同配合，发挥各自优势，提供政策、技术、资金等服务，确保农田水利基本建设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二）细化年度规划。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要依据本镇“农田水利建设规划”，深入调研，全面掌握工程现状，从农民群众最关心、要求最迫切、最容易见效的事情抓起，安排切实可行的年度水利建设计划，切实解决农业生产和农民生活最急需的问题。水务部门要督促、指导做好水利工程规划和年度计划，合理调配和组织实施，确保工程及时发挥整体综合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（三）规范资金管理。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要严格执行省政府关于“一事一议”筹资、筹劳的使用规定，确保农村水利建设资金足额提取，建立健全资金使用管理的各项规章制度，严格按照批准的工程建设内容和规模使用资金，严禁截留、挤占和挪用，做到专人管理、专账核算、专款专用。市财政局加强对补助资金的核算验收以及使用情况的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（四）强化建设监管。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建立健全水利工程建设管理和质量保证制度，严格规范建设程序，把好项目规划、设计、审批、招投标、施工质量和竣工验收关，打造一批精品工程、亮点工程。通过开展技术人员驻点指导、巡回检查等方式，加强施工监督，各镇（园区）要制定水利工程质量举报制度，接受社会和群众的广泛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（五）重视舆论宣传。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要及时总结好基层的经验和做法，并加以完善和推广。充分发挥报纸、广播、电视和网络等各类新闻媒体的作用，积极营造全社会关注水利、重视水利，齐心协力办水利的良好氛围。要及时召开汇报会、现场会等，交流先进经验、学习先进做法，推动农田水利基本建设不断取得新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（六）完善建后管理。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各镇（园区）要切实做好农村河道疏浚整治后的长效管护工作，完善管护机制，落实管护队伍和责任人，要做到疏浚整治一条，移交管护一条，加强日常巡查考核，确保农村河道运行安全和充分发挥效益。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（七）实行奖惩机制。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2018年度农村水利建设实行百分制考核，考核由市农水指挥部制订考核细则，具体负责实施。市农水指挥部对农村水利建设先进单位和个人予以表彰激励。考核分不满60分的，视为农村水利建设不合格，下年度减少或停止安排上级财政补助水利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附件：2018年度农村水利建设任务分解表</w:t>
      </w:r>
    </w:p>
    <w:p>
      <w:pPr>
        <w:pStyle w:val="5"/>
        <w:keepNext w:val="0"/>
        <w:keepLines w:val="0"/>
        <w:widowControl/>
        <w:suppressLineNumbers w:val="0"/>
        <w:spacing w:after="75" w:afterAutospacing="0" w:line="300" w:lineRule="atLeast"/>
        <w:ind w:left="0" w:firstLine="420"/>
        <w:rPr>
          <w:rFonts w:hint="default" w:ascii="Times New Roman" w:hAnsi="Times New Roman" w:eastAsia="宋体" w:cs="Times New Roman"/>
          <w:color w:val="545454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after="75" w:afterAutospacing="0" w:line="300" w:lineRule="atLeast"/>
        <w:ind w:left="0" w:firstLine="420"/>
        <w:rPr>
          <w:rFonts w:hint="default" w:ascii="Times New Roman" w:hAnsi="Times New Roman" w:eastAsia="宋体" w:cs="Times New Roman"/>
          <w:color w:val="545454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spacing w:after="75" w:afterAutospacing="0" w:line="300" w:lineRule="atLeast"/>
        <w:ind w:left="0" w:firstLine="420"/>
        <w:rPr>
          <w:rFonts w:hint="default" w:ascii="Times New Roman" w:hAnsi="Times New Roman" w:cs="Times New Roman"/>
          <w:color w:val="54545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545454"/>
          <w:sz w:val="24"/>
          <w:szCs w:val="24"/>
        </w:rPr>
        <w:t>附件：</w:t>
      </w:r>
    </w:p>
    <w:p>
      <w:pPr>
        <w:pStyle w:val="5"/>
        <w:keepNext w:val="0"/>
        <w:keepLines w:val="0"/>
        <w:widowControl/>
        <w:suppressLineNumbers w:val="0"/>
        <w:spacing w:after="75" w:afterAutospacing="0" w:line="300" w:lineRule="atLeast"/>
        <w:jc w:val="center"/>
        <w:rPr>
          <w:rFonts w:hint="eastAsia" w:ascii="方正小标宋_GBK" w:hAnsi="方正小标宋_GBK" w:eastAsia="方正小标宋_GBK" w:cs="方正小标宋_GBK"/>
          <w:color w:val="545454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545454"/>
          <w:sz w:val="24"/>
          <w:szCs w:val="24"/>
        </w:rPr>
        <w:t>2018年度农村水利建设任务分解表</w:t>
      </w:r>
    </w:p>
    <w:tbl>
      <w:tblPr>
        <w:tblStyle w:val="16"/>
        <w:tblW w:w="8302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298"/>
        <w:gridCol w:w="1191"/>
        <w:gridCol w:w="1105"/>
        <w:gridCol w:w="1171"/>
        <w:gridCol w:w="1218"/>
        <w:gridCol w:w="124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单位</w:t>
            </w:r>
          </w:p>
        </w:tc>
        <w:tc>
          <w:tcPr>
            <w:tcW w:w="129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耕地面积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(万亩）</w:t>
            </w:r>
          </w:p>
        </w:tc>
        <w:tc>
          <w:tcPr>
            <w:tcW w:w="119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沟河疏浚土方（万方）</w:t>
            </w:r>
          </w:p>
        </w:tc>
        <w:tc>
          <w:tcPr>
            <w:tcW w:w="22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宅垅整治数（个）</w:t>
            </w:r>
          </w:p>
        </w:tc>
        <w:tc>
          <w:tcPr>
            <w:tcW w:w="121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泯沟回填长度（公里）</w:t>
            </w:r>
          </w:p>
        </w:tc>
        <w:tc>
          <w:tcPr>
            <w:tcW w:w="124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主干道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沿线整治长度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（公里）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Tahoma" w:cs="Times New Roman"/>
                <w:sz w:val="18"/>
                <w:szCs w:val="18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Tahoma" w:cs="Times New Roman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Tahoma" w:cs="Times New Roman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总数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回填数</w:t>
            </w:r>
          </w:p>
        </w:tc>
        <w:tc>
          <w:tcPr>
            <w:tcW w:w="121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Tahoma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eastAsia="Tahoma" w:cs="Times New Roman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汇龙镇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8.36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34.68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399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81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17.15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1.9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南阳镇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11.74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48.46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723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142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23.77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6.3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王鲍镇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10.47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43.52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606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121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21.56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合作镇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6.99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29.05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264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51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14.11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惠萍镇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8.12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33.75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375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16.52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东海镇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8.15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33.84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378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73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16.52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海复镇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6.16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25.57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183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35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12.32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吕四港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10.95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45.5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662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132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22.19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近海镇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7.86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350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69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16.1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北新镇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9.15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38.01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477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95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18.62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寅阳镇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10.23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42.5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583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128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21.14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启隆镇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1.88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7.81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圆陀角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1.76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7.31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——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合计</w:t>
            </w:r>
          </w:p>
        </w:tc>
        <w:tc>
          <w:tcPr>
            <w:tcW w:w="129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101.82</w:t>
            </w:r>
          </w:p>
        </w:tc>
        <w:tc>
          <w:tcPr>
            <w:tcW w:w="11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400</w:t>
            </w:r>
          </w:p>
        </w:tc>
        <w:tc>
          <w:tcPr>
            <w:tcW w:w="1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5000</w:t>
            </w:r>
          </w:p>
        </w:tc>
        <w:tc>
          <w:tcPr>
            <w:tcW w:w="11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1000</w:t>
            </w:r>
          </w:p>
        </w:tc>
        <w:tc>
          <w:tcPr>
            <w:tcW w:w="12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200</w:t>
            </w:r>
          </w:p>
        </w:tc>
        <w:tc>
          <w:tcPr>
            <w:tcW w:w="12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after="75" w:afterAutospacing="0" w:line="300" w:lineRule="atLeast"/>
              <w:jc w:val="center"/>
              <w:rPr>
                <w:rFonts w:hint="default" w:ascii="Times New Roman" w:hAnsi="Times New Roman" w:cs="Times New Roman"/>
                <w:color w:val="545454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color w:val="545454"/>
                <w:sz w:val="24"/>
                <w:szCs w:val="24"/>
              </w:rPr>
              <w:t>39.2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D3E27"/>
    <w:rsid w:val="7BA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uiPriority w:val="0"/>
    <w:rPr>
      <w:color w:val="000000"/>
      <w:u w:val="none"/>
    </w:rPr>
  </w:style>
  <w:style w:type="character" w:styleId="12">
    <w:name w:val="HTML Code"/>
    <w:basedOn w:val="6"/>
    <w:uiPriority w:val="0"/>
    <w:rPr>
      <w:rFonts w:ascii="Courier New" w:hAnsi="Courier New" w:eastAsia="Courier New" w:cs="Courier New"/>
      <w:sz w:val="20"/>
    </w:rPr>
  </w:style>
  <w:style w:type="character" w:styleId="13">
    <w:name w:val="HTML Cite"/>
    <w:basedOn w:val="6"/>
    <w:uiPriority w:val="0"/>
  </w:style>
  <w:style w:type="character" w:styleId="14">
    <w:name w:val="HTML Keyboard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6"/>
    <w:uiPriority w:val="0"/>
    <w:rPr>
      <w:rFonts w:hint="default" w:ascii="Courier New" w:hAnsi="Courier New" w:eastAsia="Courier New" w:cs="Courier New"/>
    </w:rPr>
  </w:style>
  <w:style w:type="character" w:customStyle="1" w:styleId="17">
    <w:name w:val="hao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2017-12-12T03:58:00Z</dcterms:created>
  <dc:creator>user</dc:creator>
  <cp:lastModifiedBy>user</cp:lastModifiedBy>
  <dcterms:modified xsi:type="dcterms:W3CDTF">2017-12-12T04:03:31Z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