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A3593C">
      <w:pPr>
        <w:ind w:left="0" w:leftChars="0" w:firstLine="0" w:firstLineChars="0"/>
        <w:jc w:val="center"/>
        <w:rPr>
          <w:rFonts w:hint="eastAsia" w:ascii="Times New Roman" w:hAnsi="Times New Roman" w:cs="Times New Roman" w:eastAsiaTheme="minorEastAsia"/>
          <w:sz w:val="32"/>
          <w:szCs w:val="32"/>
          <w:shd w:val="clear" w:color="auto" w:fill="FFFFFF"/>
          <w:lang w:eastAsia="zh-CN"/>
        </w:rPr>
      </w:pPr>
      <w:r>
        <w:rPr>
          <w:rFonts w:hint="eastAsia" w:ascii="Times New Roman" w:hAnsi="Times New Roman" w:cs="Times New Roman"/>
          <w:b/>
          <w:bCs/>
          <w:sz w:val="32"/>
          <w:szCs w:val="32"/>
          <w:shd w:val="clear" w:color="auto" w:fill="FFFFFF"/>
        </w:rPr>
        <w:t>江苏产控新能源光伏一期项目市场询价公告</w:t>
      </w:r>
      <w:r>
        <w:rPr>
          <w:rFonts w:hint="eastAsia" w:ascii="Times New Roman" w:hAnsi="Times New Roman" w:cs="Times New Roman"/>
          <w:b/>
          <w:bCs/>
          <w:sz w:val="32"/>
          <w:szCs w:val="32"/>
          <w:shd w:val="clear" w:color="auto" w:fill="FFFFFF"/>
          <w:lang w:eastAsia="zh-CN"/>
        </w:rPr>
        <w:t>（二次重发）</w:t>
      </w:r>
    </w:p>
    <w:p w14:paraId="3571A13C">
      <w:pPr>
        <w:spacing w:line="360" w:lineRule="auto"/>
        <w:ind w:firstLine="480" w:firstLineChars="200"/>
        <w:rPr>
          <w:rFonts w:ascii="Times New Roman" w:hAnsi="Times New Roman" w:cs="Times New Roman"/>
          <w:color w:val="000000" w:themeColor="text1"/>
          <w:sz w:val="24"/>
          <w:szCs w:val="24"/>
          <w:highlight w:val="none"/>
          <w:shd w:val="clear" w:color="auto" w:fill="FFFFFF"/>
          <w14:textFill>
            <w14:solidFill>
              <w14:schemeClr w14:val="tx1"/>
            </w14:solidFill>
          </w14:textFill>
        </w:rPr>
      </w:pPr>
      <w:r>
        <w:rPr>
          <w:rFonts w:hint="eastAsia" w:ascii="Times New Roman" w:hAnsi="Times New Roman" w:cs="Times New Roman"/>
          <w:color w:val="000000" w:themeColor="text1"/>
          <w:sz w:val="24"/>
          <w:szCs w:val="24"/>
          <w:highlight w:val="none"/>
          <w:shd w:val="clear" w:color="auto" w:fill="FFFFFF"/>
          <w14:textFill>
            <w14:solidFill>
              <w14:schemeClr w14:val="tx1"/>
            </w14:solidFill>
          </w14:textFill>
        </w:rPr>
        <w:t>江苏产控新能源光伏一期项目</w:t>
      </w:r>
      <w:r>
        <w:rPr>
          <w:rFonts w:ascii="Times New Roman" w:hAnsi="Times New Roman" w:cs="Times New Roman"/>
          <w:color w:val="000000" w:themeColor="text1"/>
          <w:sz w:val="24"/>
          <w:szCs w:val="24"/>
          <w:highlight w:val="none"/>
          <w:shd w:val="clear" w:color="auto" w:fill="FFFFFF"/>
          <w14:textFill>
            <w14:solidFill>
              <w14:schemeClr w14:val="tx1"/>
            </w14:solidFill>
          </w14:textFill>
        </w:rPr>
        <w:t>即将实施，现就</w:t>
      </w:r>
      <w:r>
        <w:rPr>
          <w:rFonts w:hint="eastAsia" w:ascii="Times New Roman" w:hAnsi="Times New Roman" w:cs="Times New Roman"/>
          <w:color w:val="000000" w:themeColor="text1"/>
          <w:sz w:val="24"/>
          <w:szCs w:val="24"/>
          <w:highlight w:val="none"/>
          <w:shd w:val="clear" w:color="auto" w:fill="FFFFFF"/>
          <w14:textFill>
            <w14:solidFill>
              <w14:schemeClr w14:val="tx1"/>
            </w14:solidFill>
          </w14:textFill>
        </w:rPr>
        <w:t>本项目</w:t>
      </w:r>
      <w:r>
        <w:rPr>
          <w:rFonts w:ascii="Times New Roman" w:hAnsi="Times New Roman" w:cs="Times New Roman"/>
          <w:color w:val="000000" w:themeColor="text1"/>
          <w:sz w:val="24"/>
          <w:szCs w:val="24"/>
          <w:highlight w:val="none"/>
          <w:shd w:val="clear" w:color="auto" w:fill="FFFFFF"/>
          <w14:textFill>
            <w14:solidFill>
              <w14:schemeClr w14:val="tx1"/>
            </w14:solidFill>
          </w14:textFill>
        </w:rPr>
        <w:t>进行市场询价调研。</w:t>
      </w:r>
    </w:p>
    <w:p w14:paraId="004093FF">
      <w:pPr>
        <w:spacing w:line="440" w:lineRule="exact"/>
        <w:ind w:firstLine="422" w:firstLineChars="175"/>
        <w:rPr>
          <w:rFonts w:hint="eastAsia" w:ascii="Times New Roman" w:hAnsi="Times New Roman" w:cs="Times New Roman"/>
          <w:color w:val="000000" w:themeColor="text1"/>
          <w:sz w:val="24"/>
          <w:szCs w:val="24"/>
          <w:highlight w:val="none"/>
          <w:shd w:val="clear" w:color="auto" w:fill="FFFFFF"/>
          <w14:textFill>
            <w14:solidFill>
              <w14:schemeClr w14:val="tx1"/>
            </w14:solidFill>
          </w14:textFill>
        </w:rPr>
      </w:pPr>
      <w:r>
        <w:rPr>
          <w:rFonts w:hint="eastAsia" w:ascii="Times New Roman" w:hAnsi="Times New Roman" w:cs="Times New Roman"/>
          <w:b/>
          <w:bCs/>
          <w:color w:val="000000" w:themeColor="text1"/>
          <w:sz w:val="24"/>
          <w:szCs w:val="24"/>
          <w:highlight w:val="none"/>
          <w:shd w:val="clear" w:color="auto" w:fill="FFFFFF"/>
          <w14:textFill>
            <w14:solidFill>
              <w14:schemeClr w14:val="tx1"/>
            </w14:solidFill>
          </w14:textFill>
        </w:rPr>
        <w:t>一、项目需求</w:t>
      </w:r>
      <w:r>
        <w:rPr>
          <w:rFonts w:hint="eastAsia" w:ascii="Times New Roman" w:hAnsi="Times New Roman" w:cs="Times New Roman"/>
          <w:color w:val="000000" w:themeColor="text1"/>
          <w:sz w:val="24"/>
          <w:szCs w:val="24"/>
          <w:highlight w:val="none"/>
          <w:shd w:val="clear" w:color="auto" w:fill="FFFFFF"/>
          <w14:textFill>
            <w14:solidFill>
              <w14:schemeClr w14:val="tx1"/>
            </w14:solidFill>
          </w14:textFill>
        </w:rPr>
        <w:t>：</w:t>
      </w:r>
    </w:p>
    <w:p w14:paraId="20F07807">
      <w:pPr>
        <w:spacing w:line="440" w:lineRule="exact"/>
        <w:ind w:firstLine="480" w:firstLineChars="200"/>
        <w:rPr>
          <w:rFonts w:hint="eastAsia" w:ascii="Times New Roman" w:hAnsi="Times New Roman" w:cs="Times New Roman"/>
          <w:color w:val="auto"/>
          <w:sz w:val="24"/>
          <w:szCs w:val="24"/>
          <w:highlight w:val="none"/>
          <w:shd w:val="clear" w:color="auto" w:fill="FFFFFF"/>
          <w:lang w:val="en-US" w:eastAsia="zh-CN"/>
        </w:rPr>
      </w:pPr>
      <w:r>
        <w:rPr>
          <w:rFonts w:hint="eastAsia" w:ascii="Times New Roman" w:hAnsi="Times New Roman" w:cs="Times New Roman"/>
          <w:color w:val="auto"/>
          <w:sz w:val="24"/>
          <w:szCs w:val="24"/>
          <w:highlight w:val="none"/>
          <w:shd w:val="clear" w:color="auto" w:fill="FFFFFF"/>
          <w:lang w:val="en-US" w:eastAsia="zh-CN"/>
        </w:rPr>
        <w:t xml:space="preserve"> 1、本项目拟采购以下四处点位的屋顶分布式光伏发电设施设备并安装，总计划装机容量约5402.58 kW，具体分布为：</w:t>
      </w:r>
      <w:bookmarkStart w:id="3" w:name="_GoBack"/>
      <w:bookmarkEnd w:id="3"/>
    </w:p>
    <w:p w14:paraId="79EE6EBD">
      <w:pPr>
        <w:spacing w:line="440" w:lineRule="exact"/>
        <w:ind w:firstLine="480" w:firstLineChars="200"/>
        <w:rPr>
          <w:rFonts w:hint="eastAsia" w:ascii="Times New Roman" w:hAnsi="Times New Roman" w:cs="Times New Roman"/>
          <w:color w:val="auto"/>
          <w:sz w:val="24"/>
          <w:szCs w:val="24"/>
          <w:highlight w:val="none"/>
          <w:shd w:val="clear" w:color="auto" w:fill="FFFFFF"/>
          <w:lang w:val="en-US" w:eastAsia="zh-CN"/>
        </w:rPr>
      </w:pPr>
      <w:r>
        <w:rPr>
          <w:rFonts w:hint="eastAsia" w:ascii="Times New Roman" w:hAnsi="Times New Roman" w:cs="Times New Roman"/>
          <w:color w:val="auto"/>
          <w:sz w:val="24"/>
          <w:szCs w:val="24"/>
          <w:highlight w:val="none"/>
          <w:shd w:val="clear" w:color="auto" w:fill="FFFFFF"/>
          <w:lang w:val="en-US" w:eastAsia="zh-CN"/>
        </w:rPr>
        <w:t>（1）吴江高端制造产业园：涉及1-6幢，计划总装机容量 1844.04 kW；</w:t>
      </w:r>
    </w:p>
    <w:p w14:paraId="1AE18B94">
      <w:pPr>
        <w:spacing w:line="440" w:lineRule="exact"/>
        <w:ind w:firstLine="480" w:firstLineChars="200"/>
        <w:rPr>
          <w:rFonts w:hint="eastAsia" w:ascii="Times New Roman" w:hAnsi="Times New Roman" w:cs="Times New Roman"/>
          <w:color w:val="auto"/>
          <w:sz w:val="24"/>
          <w:szCs w:val="24"/>
          <w:highlight w:val="none"/>
          <w:shd w:val="clear" w:color="auto" w:fill="FFFFFF"/>
          <w:lang w:val="en-US" w:eastAsia="zh-CN"/>
        </w:rPr>
      </w:pPr>
      <w:r>
        <w:rPr>
          <w:rFonts w:hint="eastAsia" w:ascii="Times New Roman" w:hAnsi="Times New Roman" w:cs="Times New Roman"/>
          <w:color w:val="auto"/>
          <w:sz w:val="24"/>
          <w:szCs w:val="24"/>
          <w:highlight w:val="none"/>
          <w:shd w:val="clear" w:color="auto" w:fill="FFFFFF"/>
          <w:lang w:val="en-US" w:eastAsia="zh-CN"/>
        </w:rPr>
        <w:t>（2）东晟智造产业园：涉及车间A2、A3、B2、B3、C2、C3，计划总装机容量 3078.48 kW；</w:t>
      </w:r>
    </w:p>
    <w:p w14:paraId="17E68629">
      <w:pPr>
        <w:spacing w:line="440" w:lineRule="exact"/>
        <w:ind w:firstLine="480" w:firstLineChars="200"/>
        <w:rPr>
          <w:rFonts w:hint="eastAsia" w:ascii="Times New Roman" w:hAnsi="Times New Roman" w:cs="Times New Roman"/>
          <w:color w:val="auto"/>
          <w:sz w:val="24"/>
          <w:szCs w:val="24"/>
          <w:highlight w:val="none"/>
          <w:shd w:val="clear" w:color="auto" w:fill="FFFFFF"/>
          <w:lang w:val="en-US" w:eastAsia="zh-CN"/>
        </w:rPr>
      </w:pPr>
      <w:r>
        <w:rPr>
          <w:rFonts w:hint="eastAsia" w:ascii="Times New Roman" w:hAnsi="Times New Roman" w:cs="Times New Roman"/>
          <w:color w:val="auto"/>
          <w:sz w:val="24"/>
          <w:szCs w:val="24"/>
          <w:highlight w:val="none"/>
          <w:shd w:val="clear" w:color="auto" w:fill="FFFFFF"/>
          <w:lang w:val="en-US" w:eastAsia="zh-CN"/>
        </w:rPr>
        <w:t>（3）北新镇中心镇农贸菜场：计划总装机容量 260.35 kW；</w:t>
      </w:r>
    </w:p>
    <w:p w14:paraId="6B880A27">
      <w:pPr>
        <w:spacing w:line="440" w:lineRule="exact"/>
        <w:ind w:firstLine="480" w:firstLineChars="200"/>
        <w:rPr>
          <w:rFonts w:hint="eastAsia" w:ascii="Times New Roman" w:hAnsi="Times New Roman" w:cs="Times New Roman"/>
          <w:color w:val="auto"/>
          <w:sz w:val="24"/>
          <w:szCs w:val="24"/>
          <w:highlight w:val="none"/>
          <w:shd w:val="clear" w:color="auto" w:fill="FFFFFF"/>
          <w:lang w:val="en-US" w:eastAsia="zh-CN"/>
        </w:rPr>
      </w:pPr>
      <w:r>
        <w:rPr>
          <w:rFonts w:hint="eastAsia" w:ascii="Times New Roman" w:hAnsi="Times New Roman" w:cs="Times New Roman"/>
          <w:color w:val="auto"/>
          <w:sz w:val="24"/>
          <w:szCs w:val="24"/>
          <w:highlight w:val="none"/>
          <w:shd w:val="clear" w:color="auto" w:fill="FFFFFF"/>
          <w:lang w:val="en-US" w:eastAsia="zh-CN"/>
        </w:rPr>
        <w:t>（4）海工园西功能区一期菜市场：计划总装机容量 219.71 kW。</w:t>
      </w:r>
    </w:p>
    <w:p w14:paraId="5ECB7A6C">
      <w:pPr>
        <w:spacing w:line="440" w:lineRule="exact"/>
        <w:ind w:firstLine="480" w:firstLineChars="200"/>
        <w:rPr>
          <w:rFonts w:hint="eastAsia" w:ascii="Times New Roman" w:hAnsi="Times New Roman" w:cs="Times New Roman"/>
          <w:color w:val="auto"/>
          <w:sz w:val="24"/>
          <w:szCs w:val="24"/>
          <w:highlight w:val="none"/>
          <w:shd w:val="clear" w:color="auto" w:fill="FFFFFF"/>
          <w:lang w:val="en-US" w:eastAsia="zh-CN"/>
        </w:rPr>
      </w:pPr>
      <w:r>
        <w:rPr>
          <w:rFonts w:hint="eastAsia" w:ascii="Times New Roman" w:hAnsi="Times New Roman" w:cs="Times New Roman"/>
          <w:color w:val="auto"/>
          <w:sz w:val="24"/>
          <w:szCs w:val="24"/>
          <w:highlight w:val="none"/>
          <w:shd w:val="clear" w:color="auto" w:fill="FFFFFF"/>
          <w:lang w:val="en-US" w:eastAsia="zh-CN"/>
        </w:rPr>
        <w:t>2、具体项目要求详见附件采购清单、技术参数要求、图纸。</w:t>
      </w:r>
    </w:p>
    <w:p w14:paraId="6F3DCC89">
      <w:pPr>
        <w:spacing w:line="440" w:lineRule="exact"/>
        <w:ind w:firstLine="482" w:firstLineChars="200"/>
        <w:rPr>
          <w:rFonts w:hint="eastAsia" w:ascii="Times New Roman" w:hAnsi="Times New Roman" w:cs="Times New Roman"/>
          <w:b/>
          <w:bCs/>
          <w:color w:val="auto"/>
          <w:sz w:val="24"/>
          <w:szCs w:val="24"/>
          <w:highlight w:val="none"/>
          <w:shd w:val="clear" w:color="auto" w:fill="FFFFFF"/>
          <w:lang w:val="en-US" w:eastAsia="zh-CN"/>
        </w:rPr>
      </w:pPr>
      <w:r>
        <w:rPr>
          <w:rFonts w:hint="eastAsia" w:ascii="Times New Roman" w:hAnsi="Times New Roman" w:cs="Times New Roman"/>
          <w:b/>
          <w:bCs/>
          <w:color w:val="auto"/>
          <w:sz w:val="24"/>
          <w:szCs w:val="24"/>
          <w:highlight w:val="none"/>
          <w:shd w:val="clear" w:color="auto" w:fill="FFFFFF"/>
          <w:lang w:val="en-US" w:eastAsia="zh-CN"/>
        </w:rPr>
        <w:t>采购清单所列出的各单体清单为根据图纸暂估数量，仅供参考。本项目报价以发电功率，按单价报价。</w:t>
      </w:r>
    </w:p>
    <w:p w14:paraId="4BF6DDA4">
      <w:pPr>
        <w:spacing w:line="440" w:lineRule="exact"/>
        <w:ind w:firstLine="480" w:firstLineChars="200"/>
        <w:rPr>
          <w:rFonts w:ascii="Times New Roman" w:hAnsi="Times New Roman" w:cs="Times New Roman"/>
          <w:color w:val="000000" w:themeColor="text1"/>
          <w:sz w:val="24"/>
          <w:szCs w:val="24"/>
          <w:highlight w:val="none"/>
          <w:shd w:val="clear" w:color="auto" w:fill="FFFFFF"/>
          <w14:textFill>
            <w14:solidFill>
              <w14:schemeClr w14:val="tx1"/>
            </w14:solidFill>
          </w14:textFill>
        </w:rPr>
      </w:pPr>
      <w:r>
        <w:rPr>
          <w:rFonts w:hint="eastAsia" w:ascii="Times New Roman" w:hAnsi="Times New Roman" w:cs="Times New Roman"/>
          <w:color w:val="000000" w:themeColor="text1"/>
          <w:sz w:val="24"/>
          <w:szCs w:val="24"/>
          <w:highlight w:val="none"/>
          <w:shd w:val="clear" w:color="auto" w:fill="FFFFFF"/>
          <w:lang w:val="en-US" w:eastAsia="zh-CN"/>
          <w14:textFill>
            <w14:solidFill>
              <w14:schemeClr w14:val="tx1"/>
            </w14:solidFill>
          </w14:textFill>
        </w:rPr>
        <w:t>3</w:t>
      </w:r>
      <w:r>
        <w:rPr>
          <w:rFonts w:hint="eastAsia" w:ascii="Times New Roman" w:hAnsi="Times New Roman" w:cs="Times New Roman"/>
          <w:color w:val="000000" w:themeColor="text1"/>
          <w:sz w:val="24"/>
          <w:szCs w:val="24"/>
          <w:highlight w:val="none"/>
          <w:shd w:val="clear" w:color="auto" w:fill="FFFFFF"/>
          <w14:textFill>
            <w14:solidFill>
              <w14:schemeClr w14:val="tx1"/>
            </w14:solidFill>
          </w14:textFill>
        </w:rPr>
        <w:t>、下列材料设备采购人拟建议品牌：</w:t>
      </w:r>
    </w:p>
    <w:tbl>
      <w:tblPr>
        <w:tblStyle w:val="16"/>
        <w:tblW w:w="8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1580"/>
        <w:gridCol w:w="6505"/>
      </w:tblGrid>
      <w:tr w14:paraId="18823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729" w:type="dxa"/>
          </w:tcPr>
          <w:p w14:paraId="1A99EFF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580" w:type="dxa"/>
          </w:tcPr>
          <w:p w14:paraId="2B74EA5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材料设备名称</w:t>
            </w:r>
          </w:p>
        </w:tc>
        <w:tc>
          <w:tcPr>
            <w:tcW w:w="6505" w:type="dxa"/>
          </w:tcPr>
          <w:p w14:paraId="0F52F6E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建议品牌</w:t>
            </w:r>
          </w:p>
        </w:tc>
      </w:tr>
      <w:tr w14:paraId="7057A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29" w:type="dxa"/>
            <w:shd w:val="clear" w:color="auto" w:fill="auto"/>
            <w:vAlign w:val="center"/>
          </w:tcPr>
          <w:p w14:paraId="2EAA6AC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580" w:type="dxa"/>
            <w:vAlign w:val="center"/>
          </w:tcPr>
          <w:p w14:paraId="04D8D91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电力电缆</w:t>
            </w:r>
          </w:p>
        </w:tc>
        <w:tc>
          <w:tcPr>
            <w:tcW w:w="6505" w:type="dxa"/>
            <w:vAlign w:val="center"/>
          </w:tcPr>
          <w:p w14:paraId="2C34E7C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远东、江南、远程、上上、泰山、熊猫、华美、中天科技、瑞畅、</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无锡黄浦（申江牌）、科驰、通光</w:t>
            </w:r>
          </w:p>
        </w:tc>
      </w:tr>
      <w:tr w14:paraId="68AE4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29" w:type="dxa"/>
            <w:shd w:val="clear" w:color="auto" w:fill="auto"/>
            <w:vAlign w:val="center"/>
          </w:tcPr>
          <w:p w14:paraId="2BDE0E7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580" w:type="dxa"/>
            <w:vAlign w:val="center"/>
          </w:tcPr>
          <w:p w14:paraId="7A97A7C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并网柜所用</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断路器 </w:t>
            </w:r>
          </w:p>
        </w:tc>
        <w:tc>
          <w:tcPr>
            <w:tcW w:w="6505" w:type="dxa"/>
            <w:vAlign w:val="center"/>
          </w:tcPr>
          <w:p w14:paraId="3086A57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正泰、德力西、上海人民电气（上海上联）、常熟开关、</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苏梅（苏州梅兰日兰）、无锡韩光、杭申电气、中天电气、中顺</w:t>
            </w:r>
          </w:p>
        </w:tc>
      </w:tr>
      <w:tr w14:paraId="36215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29" w:type="dxa"/>
            <w:shd w:val="clear" w:color="auto" w:fill="auto"/>
            <w:vAlign w:val="center"/>
          </w:tcPr>
          <w:p w14:paraId="3A4DCF4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580" w:type="dxa"/>
            <w:vAlign w:val="center"/>
          </w:tcPr>
          <w:p w14:paraId="3960629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桥架</w:t>
            </w:r>
          </w:p>
        </w:tc>
        <w:tc>
          <w:tcPr>
            <w:tcW w:w="6505" w:type="dxa"/>
            <w:vAlign w:val="center"/>
          </w:tcPr>
          <w:p w14:paraId="02414E2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南通德力、津日、江苏士林、镇江施耐德、江苏亚东、力傲、中顺、了忧</w:t>
            </w:r>
          </w:p>
        </w:tc>
      </w:tr>
      <w:tr w14:paraId="5C065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9" w:type="dxa"/>
            <w:vAlign w:val="center"/>
          </w:tcPr>
          <w:p w14:paraId="6C560AE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bookmarkStart w:id="0" w:name="_Toc20050"/>
            <w:bookmarkStart w:id="1" w:name="_Toc421519552"/>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1580" w:type="dxa"/>
            <w:vAlign w:val="center"/>
          </w:tcPr>
          <w:p w14:paraId="5CD3937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防水材料</w:t>
            </w:r>
          </w:p>
        </w:tc>
        <w:tc>
          <w:tcPr>
            <w:tcW w:w="6505" w:type="dxa"/>
            <w:vAlign w:val="center"/>
          </w:tcPr>
          <w:p w14:paraId="18413B9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江苏宏源、东方雨虹、卓宝、科顺、禹王、迪宝防水、亚士、新三亚、大禹、上海豫宏防水</w:t>
            </w:r>
          </w:p>
        </w:tc>
      </w:tr>
      <w:tr w14:paraId="565FC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29" w:type="dxa"/>
            <w:vAlign w:val="center"/>
          </w:tcPr>
          <w:p w14:paraId="0506FD4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p>
        </w:tc>
        <w:tc>
          <w:tcPr>
            <w:tcW w:w="1580" w:type="dxa"/>
            <w:shd w:val="clear" w:color="auto" w:fill="auto"/>
            <w:vAlign w:val="center"/>
          </w:tcPr>
          <w:p w14:paraId="014E21C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户外高速球机</w:t>
            </w:r>
          </w:p>
          <w:p w14:paraId="51FFE33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（摄像机）</w:t>
            </w:r>
          </w:p>
        </w:tc>
        <w:tc>
          <w:tcPr>
            <w:tcW w:w="6505" w:type="dxa"/>
            <w:shd w:val="clear" w:color="auto" w:fill="auto"/>
            <w:vAlign w:val="center"/>
          </w:tcPr>
          <w:p w14:paraId="4FF3993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海康威视、大华、宇视</w:t>
            </w:r>
          </w:p>
        </w:tc>
      </w:tr>
      <w:bookmarkEnd w:id="0"/>
      <w:bookmarkEnd w:id="1"/>
    </w:tbl>
    <w:p w14:paraId="7C3EADCB">
      <w:pPr>
        <w:pStyle w:val="13"/>
        <w:widowControl/>
        <w:spacing w:line="440" w:lineRule="exact"/>
        <w:ind w:firstLine="420"/>
        <w:jc w:val="both"/>
        <w:rPr>
          <w:rFonts w:ascii="Times New Roman" w:hAnsi="Times New Roman"/>
          <w:color w:val="000000" w:themeColor="text1"/>
          <w:kern w:val="2"/>
          <w:szCs w:val="24"/>
          <w:highlight w:val="none"/>
          <w14:textFill>
            <w14:solidFill>
              <w14:schemeClr w14:val="tx1"/>
            </w14:solidFill>
          </w14:textFill>
        </w:rPr>
      </w:pPr>
      <w:r>
        <w:rPr>
          <w:rFonts w:hint="eastAsia" w:ascii="Times New Roman" w:hAnsi="Times New Roman"/>
          <w:color w:val="000000" w:themeColor="text1"/>
          <w:kern w:val="2"/>
          <w:szCs w:val="24"/>
          <w:highlight w:val="none"/>
          <w14:textFill>
            <w14:solidFill>
              <w14:schemeClr w14:val="tx1"/>
            </w14:solidFill>
          </w14:textFill>
        </w:rPr>
        <w:t>4、质量要求：本项目光伏安装质量要求合格，相关设施设备应当是原装、原封、原标记完好无异状的现物，须有厂家出厂合格证和质量保证书等随机资料齐全，其中：光伏组件、逆变器、电缆供货时应提供厂家检测报告，满足国家或行业相关标准、规范、招标文件要求且光伏发电并网运行正常。</w:t>
      </w:r>
    </w:p>
    <w:p w14:paraId="6945BC6A">
      <w:pPr>
        <w:snapToGrid w:val="0"/>
        <w:spacing w:line="440" w:lineRule="exact"/>
        <w:ind w:firstLine="482" w:firstLineChars="200"/>
        <w:rPr>
          <w:rFonts w:ascii="Times New Roman" w:hAnsi="Times New Roman" w:cs="Times New Roman"/>
          <w:color w:val="000000" w:themeColor="text1"/>
          <w:szCs w:val="24"/>
          <w:highlight w:val="none"/>
          <w14:textFill>
            <w14:solidFill>
              <w14:schemeClr w14:val="tx1"/>
            </w14:solidFill>
          </w14:textFill>
        </w:rPr>
      </w:pPr>
      <w:r>
        <w:rPr>
          <w:rFonts w:hint="eastAsia" w:ascii="Times New Roman" w:hAnsi="Times New Roman" w:cs="Times New Roman"/>
          <w:b/>
          <w:bCs/>
          <w:color w:val="000000" w:themeColor="text1"/>
          <w:sz w:val="24"/>
          <w:szCs w:val="24"/>
          <w:highlight w:val="none"/>
          <w14:textFill>
            <w14:solidFill>
              <w14:schemeClr w14:val="tx1"/>
            </w14:solidFill>
          </w14:textFill>
        </w:rPr>
        <w:t>5、</w:t>
      </w:r>
      <w:r>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t>免费</w:t>
      </w:r>
      <w:r>
        <w:rPr>
          <w:rFonts w:hint="eastAsia" w:ascii="Times New Roman" w:hAnsi="Times New Roman" w:cs="Times New Roman"/>
          <w:b/>
          <w:bCs/>
          <w:color w:val="000000" w:themeColor="text1"/>
          <w:sz w:val="24"/>
          <w:szCs w:val="24"/>
          <w:highlight w:val="none"/>
          <w14:textFill>
            <w14:solidFill>
              <w14:schemeClr w14:val="tx1"/>
            </w14:solidFill>
          </w14:textFill>
        </w:rPr>
        <w:t>质保及售后服务要求</w:t>
      </w:r>
      <w:r>
        <w:rPr>
          <w:rFonts w:hint="eastAsia" w:ascii="Times New Roman" w:hAnsi="Times New Roman" w:cs="Times New Roman"/>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kern w:val="0"/>
          <w:sz w:val="24"/>
          <w:szCs w:val="24"/>
          <w:highlight w:val="none"/>
          <w:shd w:val="clear" w:color="auto" w:fill="FFFFFF"/>
          <w14:textFill>
            <w14:solidFill>
              <w14:schemeClr w14:val="tx1"/>
            </w14:solidFill>
          </w14:textFill>
        </w:rPr>
        <w:t>不低于以下年限）：</w:t>
      </w:r>
    </w:p>
    <w:p w14:paraId="49F239E0">
      <w:pPr>
        <w:pStyle w:val="13"/>
        <w:widowControl/>
        <w:spacing w:line="440" w:lineRule="exact"/>
        <w:ind w:firstLine="480" w:firstLineChars="200"/>
        <w:jc w:val="both"/>
        <w:rPr>
          <w:rFonts w:ascii="Times New Roman" w:hAnsi="Times New Roman"/>
          <w:color w:val="auto"/>
          <w:kern w:val="2"/>
          <w:szCs w:val="24"/>
          <w:highlight w:val="none"/>
        </w:rPr>
      </w:pPr>
      <w:r>
        <w:rPr>
          <w:rFonts w:hint="eastAsia" w:ascii="Times New Roman" w:hAnsi="Times New Roman"/>
          <w:color w:val="auto"/>
          <w:kern w:val="2"/>
          <w:szCs w:val="24"/>
          <w:highlight w:val="none"/>
        </w:rPr>
        <w:t>（1）</w:t>
      </w:r>
      <w:r>
        <w:rPr>
          <w:rFonts w:hint="eastAsia" w:ascii="宋体" w:hAnsi="宋体" w:eastAsia="宋体" w:cs="宋体"/>
          <w:color w:val="auto"/>
          <w:szCs w:val="24"/>
          <w:highlight w:val="none"/>
        </w:rPr>
        <w:t>本项目光伏电站整体免费质保期</w:t>
      </w:r>
      <w:r>
        <w:rPr>
          <w:rFonts w:hint="eastAsia" w:ascii="Times New Roman" w:hAnsi="Times New Roman" w:eastAsia="宋体"/>
          <w:color w:val="auto"/>
          <w:kern w:val="2"/>
          <w:szCs w:val="24"/>
          <w:highlight w:val="none"/>
          <w:u w:val="single"/>
          <w:lang w:val="en-US" w:eastAsia="zh-CN"/>
        </w:rPr>
        <w:t>5</w:t>
      </w:r>
      <w:r>
        <w:rPr>
          <w:rFonts w:hint="eastAsia" w:ascii="Times New Roman" w:hAnsi="Times New Roman"/>
          <w:color w:val="auto"/>
          <w:kern w:val="2"/>
          <w:szCs w:val="24"/>
          <w:highlight w:val="none"/>
          <w:u w:val="single"/>
        </w:rPr>
        <w:t>年</w:t>
      </w:r>
      <w:r>
        <w:rPr>
          <w:rFonts w:hint="eastAsia" w:ascii="Times New Roman" w:hAnsi="Times New Roman"/>
          <w:color w:val="auto"/>
          <w:kern w:val="2"/>
          <w:szCs w:val="24"/>
          <w:highlight w:val="none"/>
        </w:rPr>
        <w:t>；</w:t>
      </w:r>
    </w:p>
    <w:p w14:paraId="1B269CBA">
      <w:pPr>
        <w:snapToGrid w:val="0"/>
        <w:spacing w:line="440" w:lineRule="exact"/>
        <w:ind w:firstLine="480" w:firstLineChars="200"/>
        <w:rPr>
          <w:rFonts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（2）光伏组</w:t>
      </w:r>
      <w:r>
        <w:rPr>
          <w:rFonts w:hint="eastAsia" w:ascii="Times New Roman" w:hAnsi="Times New Roman" w:cs="Times New Roman"/>
          <w:color w:val="auto"/>
          <w:sz w:val="24"/>
          <w:szCs w:val="24"/>
          <w:highlight w:val="none"/>
        </w:rPr>
        <w:t>件免费质保</w:t>
      </w:r>
      <w:r>
        <w:rPr>
          <w:rFonts w:hint="eastAsia" w:ascii="宋体" w:hAnsi="宋体" w:eastAsia="宋体" w:cs="宋体"/>
          <w:color w:val="auto"/>
          <w:kern w:val="0"/>
          <w:sz w:val="24"/>
          <w:szCs w:val="24"/>
          <w:highlight w:val="none"/>
          <w:shd w:val="clear" w:color="auto" w:fill="FFFFFF"/>
        </w:rPr>
        <w:t>期</w:t>
      </w:r>
      <w:r>
        <w:rPr>
          <w:rFonts w:hint="eastAsia" w:ascii="宋体" w:hAnsi="宋体" w:eastAsia="宋体" w:cs="宋体"/>
          <w:color w:val="auto"/>
          <w:kern w:val="0"/>
          <w:sz w:val="24"/>
          <w:szCs w:val="24"/>
          <w:highlight w:val="none"/>
          <w:u w:val="single"/>
          <w:shd w:val="clear" w:color="auto" w:fill="FFFFFF"/>
        </w:rPr>
        <w:t>1</w:t>
      </w:r>
      <w:r>
        <w:rPr>
          <w:rFonts w:hint="eastAsia" w:ascii="宋体" w:hAnsi="宋体" w:eastAsia="宋体" w:cs="宋体"/>
          <w:color w:val="auto"/>
          <w:kern w:val="0"/>
          <w:sz w:val="24"/>
          <w:szCs w:val="24"/>
          <w:highlight w:val="none"/>
          <w:u w:val="single"/>
          <w:shd w:val="clear" w:color="auto" w:fill="FFFFFF"/>
          <w:lang w:val="en-US" w:eastAsia="zh-CN"/>
        </w:rPr>
        <w:t>0</w:t>
      </w:r>
      <w:r>
        <w:rPr>
          <w:rFonts w:hint="eastAsia" w:ascii="宋体" w:hAnsi="宋体" w:eastAsia="宋体" w:cs="宋体"/>
          <w:color w:val="auto"/>
          <w:kern w:val="0"/>
          <w:sz w:val="24"/>
          <w:szCs w:val="24"/>
          <w:highlight w:val="none"/>
          <w:u w:val="single"/>
          <w:shd w:val="clear" w:color="auto" w:fill="FFFFFF"/>
        </w:rPr>
        <w:t>年</w:t>
      </w:r>
      <w:r>
        <w:rPr>
          <w:rFonts w:hint="eastAsia" w:ascii="宋体" w:hAnsi="宋体" w:eastAsia="宋体" w:cs="宋体"/>
          <w:color w:val="auto"/>
          <w:kern w:val="0"/>
          <w:sz w:val="24"/>
          <w:szCs w:val="24"/>
          <w:highlight w:val="none"/>
          <w:shd w:val="clear" w:color="auto" w:fill="FFFFFF"/>
        </w:rPr>
        <w:t>；</w:t>
      </w:r>
    </w:p>
    <w:p w14:paraId="3F2C1D34">
      <w:pPr>
        <w:snapToGrid w:val="0"/>
        <w:spacing w:line="440" w:lineRule="exact"/>
        <w:ind w:firstLine="480" w:firstLineChars="200"/>
        <w:rPr>
          <w:rFonts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（3）逆变器</w:t>
      </w:r>
      <w:r>
        <w:rPr>
          <w:rFonts w:hint="eastAsia" w:ascii="Times New Roman" w:hAnsi="Times New Roman" w:cs="Times New Roman"/>
          <w:color w:val="auto"/>
          <w:sz w:val="24"/>
          <w:szCs w:val="24"/>
          <w:highlight w:val="none"/>
        </w:rPr>
        <w:t>免费质</w:t>
      </w:r>
      <w:r>
        <w:rPr>
          <w:rFonts w:hint="eastAsia" w:ascii="宋体" w:hAnsi="宋体" w:eastAsia="宋体" w:cs="宋体"/>
          <w:color w:val="auto"/>
          <w:kern w:val="0"/>
          <w:sz w:val="24"/>
          <w:szCs w:val="24"/>
          <w:highlight w:val="none"/>
          <w:shd w:val="clear" w:color="auto" w:fill="FFFFFF"/>
        </w:rPr>
        <w:t>保期</w:t>
      </w:r>
      <w:r>
        <w:rPr>
          <w:rFonts w:hint="eastAsia" w:ascii="宋体" w:hAnsi="宋体" w:eastAsia="宋体" w:cs="宋体"/>
          <w:color w:val="auto"/>
          <w:kern w:val="0"/>
          <w:sz w:val="24"/>
          <w:szCs w:val="24"/>
          <w:highlight w:val="none"/>
          <w:u w:val="single"/>
          <w:shd w:val="clear" w:color="auto" w:fill="FFFFFF"/>
        </w:rPr>
        <w:t>5年</w:t>
      </w:r>
      <w:r>
        <w:rPr>
          <w:rFonts w:hint="eastAsia" w:ascii="宋体" w:hAnsi="宋体" w:eastAsia="宋体" w:cs="宋体"/>
          <w:color w:val="auto"/>
          <w:kern w:val="0"/>
          <w:sz w:val="24"/>
          <w:szCs w:val="24"/>
          <w:highlight w:val="none"/>
          <w:shd w:val="clear" w:color="auto" w:fill="FFFFFF"/>
        </w:rPr>
        <w:t>；</w:t>
      </w:r>
    </w:p>
    <w:p w14:paraId="2BBE3577">
      <w:pPr>
        <w:snapToGrid w:val="0"/>
        <w:spacing w:line="440" w:lineRule="exact"/>
        <w:ind w:firstLine="480" w:firstLineChars="200"/>
        <w:rPr>
          <w:rFonts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（4）确保光伏电</w:t>
      </w:r>
      <w:r>
        <w:rPr>
          <w:rFonts w:hint="eastAsia" w:ascii="Times New Roman" w:hAnsi="Times New Roman" w:cs="Times New Roman"/>
          <w:color w:val="auto"/>
          <w:sz w:val="24"/>
          <w:szCs w:val="24"/>
          <w:highlight w:val="none"/>
        </w:rPr>
        <w:t>站使用年限</w:t>
      </w:r>
      <w:r>
        <w:rPr>
          <w:rFonts w:hint="eastAsia" w:ascii="宋体" w:hAnsi="宋体" w:eastAsia="宋体" w:cs="宋体"/>
          <w:color w:val="auto"/>
          <w:kern w:val="0"/>
          <w:sz w:val="24"/>
          <w:szCs w:val="24"/>
          <w:highlight w:val="none"/>
          <w:u w:val="single"/>
          <w:shd w:val="clear" w:color="auto" w:fill="FFFFFF"/>
        </w:rPr>
        <w:t>25年</w:t>
      </w:r>
      <w:r>
        <w:rPr>
          <w:rFonts w:hint="eastAsia" w:ascii="宋体" w:hAnsi="宋体" w:eastAsia="宋体" w:cs="宋体"/>
          <w:color w:val="auto"/>
          <w:kern w:val="0"/>
          <w:sz w:val="24"/>
          <w:szCs w:val="24"/>
          <w:highlight w:val="none"/>
          <w:shd w:val="clear" w:color="auto" w:fill="FFFFFF"/>
        </w:rPr>
        <w:t>。</w:t>
      </w:r>
    </w:p>
    <w:p w14:paraId="60C002D4">
      <w:pPr>
        <w:pStyle w:val="13"/>
        <w:keepNext w:val="0"/>
        <w:keepLines w:val="0"/>
        <w:pageBreakBefore w:val="0"/>
        <w:widowControl w:val="0"/>
        <w:kinsoku/>
        <w:wordWrap/>
        <w:overflowPunct/>
        <w:topLinePunct w:val="0"/>
        <w:autoSpaceDE/>
        <w:autoSpaceDN/>
        <w:bidi w:val="0"/>
        <w:adjustRightInd/>
        <w:snapToGrid/>
        <w:spacing w:line="440" w:lineRule="exact"/>
        <w:ind w:firstLine="561"/>
        <w:jc w:val="both"/>
        <w:textAlignment w:val="auto"/>
        <w:rPr>
          <w:rFonts w:hint="eastAsia" w:ascii="Times New Roman" w:hAnsi="Times New Roman"/>
          <w:color w:val="000000" w:themeColor="text1"/>
          <w:kern w:val="2"/>
          <w:szCs w:val="24"/>
          <w:highlight w:val="none"/>
          <w14:textFill>
            <w14:solidFill>
              <w14:schemeClr w14:val="tx1"/>
            </w14:solidFill>
          </w14:textFill>
        </w:rPr>
      </w:pPr>
      <w:r>
        <w:rPr>
          <w:rFonts w:hint="eastAsia" w:ascii="Times New Roman" w:hAnsi="Times New Roman"/>
          <w:color w:val="000000" w:themeColor="text1"/>
          <w:kern w:val="2"/>
          <w:szCs w:val="24"/>
          <w:highlight w:val="none"/>
          <w14:textFill>
            <w14:solidFill>
              <w14:schemeClr w14:val="tx1"/>
            </w14:solidFill>
          </w14:textFill>
        </w:rPr>
        <w:t>免费质保期</w:t>
      </w:r>
      <w:r>
        <w:rPr>
          <w:rFonts w:hint="eastAsia" w:ascii="Times New Roman" w:hAnsi="Times New Roman"/>
          <w:color w:val="000000" w:themeColor="text1"/>
          <w:kern w:val="2"/>
          <w:szCs w:val="24"/>
          <w:highlight w:val="none"/>
          <w:lang w:val="en-US" w:eastAsia="zh-CN"/>
          <w14:textFill>
            <w14:solidFill>
              <w14:schemeClr w14:val="tx1"/>
            </w14:solidFill>
          </w14:textFill>
        </w:rPr>
        <w:t>从</w:t>
      </w:r>
      <w:r>
        <w:rPr>
          <w:rFonts w:hint="eastAsia" w:ascii="Times New Roman" w:hAnsi="Times New Roman"/>
          <w:color w:val="000000" w:themeColor="text1"/>
          <w:kern w:val="2"/>
          <w:szCs w:val="24"/>
          <w:highlight w:val="none"/>
          <w14:textFill>
            <w14:solidFill>
              <w14:schemeClr w14:val="tx1"/>
            </w14:solidFill>
          </w14:textFill>
        </w:rPr>
        <w:t>单个批次项目</w:t>
      </w: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并网试运行结束之日起算（试运行时间为并网之日起 30 天）</w:t>
      </w:r>
      <w:r>
        <w:rPr>
          <w:rFonts w:hint="eastAsia" w:ascii="Times New Roman" w:hAnsi="Times New Roman"/>
          <w:color w:val="000000" w:themeColor="text1"/>
          <w:kern w:val="2"/>
          <w:szCs w:val="24"/>
          <w:highlight w:val="none"/>
          <w14:textFill>
            <w14:solidFill>
              <w14:schemeClr w14:val="tx1"/>
            </w14:solidFill>
          </w14:textFill>
        </w:rPr>
        <w:t>。其中相关材料设备原厂质保期高于要求的质保期的，严格执行厂家质保规定，质保期内出现产品质量问题，由成交供应商负责联系厂家解决。在光伏电站使用年限内，成交供应商应确保其质量，因成交供应商原因致使光伏电站在使用年限内造成人身和财产损害的，成交供应商应承担损害赔偿责任。若非成交供应商原因引起的事故，由采购人承担。</w:t>
      </w:r>
    </w:p>
    <w:p w14:paraId="67C0EBFA">
      <w:pPr>
        <w:pStyle w:val="13"/>
        <w:widowControl/>
        <w:spacing w:line="440" w:lineRule="exact"/>
        <w:ind w:firstLine="560"/>
        <w:jc w:val="both"/>
        <w:rPr>
          <w:rFonts w:ascii="Times New Roman" w:hAnsi="Times New Roman"/>
          <w:color w:val="000000" w:themeColor="text1"/>
          <w:kern w:val="2"/>
          <w:szCs w:val="24"/>
          <w:highlight w:val="none"/>
          <w14:textFill>
            <w14:solidFill>
              <w14:schemeClr w14:val="tx1"/>
            </w14:solidFill>
          </w14:textFill>
        </w:rPr>
      </w:pPr>
      <w:r>
        <w:rPr>
          <w:rFonts w:hint="eastAsia" w:ascii="Times New Roman" w:hAnsi="Times New Roman"/>
          <w:color w:val="000000" w:themeColor="text1"/>
          <w:kern w:val="2"/>
          <w:szCs w:val="24"/>
          <w:highlight w:val="none"/>
          <w14:textFill>
            <w14:solidFill>
              <w14:schemeClr w14:val="tx1"/>
            </w14:solidFill>
          </w14:textFill>
        </w:rPr>
        <w:t>（5）设备、材料、零部件或软件在单</w:t>
      </w:r>
      <w:r>
        <w:rPr>
          <w:rFonts w:hint="eastAsia" w:ascii="Times New Roman" w:hAnsi="Times New Roman"/>
          <w:color w:val="000000" w:themeColor="text1"/>
          <w:kern w:val="2"/>
          <w:szCs w:val="24"/>
          <w:highlight w:val="none"/>
          <w:lang w:val="en-US" w:eastAsia="zh-CN"/>
          <w14:textFill>
            <w14:solidFill>
              <w14:schemeClr w14:val="tx1"/>
            </w14:solidFill>
          </w14:textFill>
        </w:rPr>
        <w:t>个批次</w:t>
      </w:r>
      <w:r>
        <w:rPr>
          <w:rFonts w:hint="eastAsia" w:ascii="Times New Roman" w:hAnsi="Times New Roman"/>
          <w:color w:val="000000" w:themeColor="text1"/>
          <w:kern w:val="2"/>
          <w:szCs w:val="24"/>
          <w:highlight w:val="none"/>
          <w14:textFill>
            <w14:solidFill>
              <w14:schemeClr w14:val="tx1"/>
            </w14:solidFill>
          </w14:textFill>
        </w:rPr>
        <w:t>项目竣工验收后，连续6个月之内运行期出现两次故障（除不可抗力因素外），则该设备、材料、零部件或软件的质保期自第二个修复日起重新计算。</w:t>
      </w:r>
    </w:p>
    <w:p w14:paraId="7E90722B">
      <w:pPr>
        <w:pStyle w:val="13"/>
        <w:widowControl/>
        <w:spacing w:line="440" w:lineRule="exact"/>
        <w:ind w:firstLine="560"/>
        <w:jc w:val="both"/>
        <w:rPr>
          <w:rFonts w:hint="eastAsia" w:ascii="Times New Roman" w:hAnsi="Times New Roman"/>
          <w:color w:val="000000" w:themeColor="text1"/>
          <w:kern w:val="2"/>
          <w:szCs w:val="24"/>
          <w:highlight w:val="none"/>
          <w14:textFill>
            <w14:solidFill>
              <w14:schemeClr w14:val="tx1"/>
            </w14:solidFill>
          </w14:textFill>
        </w:rPr>
      </w:pPr>
      <w:r>
        <w:rPr>
          <w:rFonts w:hint="eastAsia" w:ascii="Times New Roman" w:hAnsi="Times New Roman"/>
          <w:color w:val="000000" w:themeColor="text1"/>
          <w:kern w:val="2"/>
          <w:szCs w:val="24"/>
          <w:highlight w:val="none"/>
          <w14:textFill>
            <w14:solidFill>
              <w14:schemeClr w14:val="tx1"/>
            </w14:solidFill>
          </w14:textFill>
        </w:rPr>
        <w:t>6、本项目设备组件的发电功率：保证设备实际功率输出在前5年内不低于标称值的95%，自第5年至第10年内设备实际功率输出不低于标称值的90%，自第10年至第25年内设备实际功率输出不低于标称值的80%；采购人可在任一时间对设备组件进行随机抽检，检测单位为光伏组件行业认可的第三方检测机构，对于第三方检测结果确认属于供应商责任的产品质量问题，或因安装不当因素引起的产品破损、功率低下、发电异常等情况，成交供应商应在15日历天内完成维修更换，相应维修更换费用,及检测和退换货运输等相关费用均由成交供应商承担，若未按规定要求完成同意采购人委托其他单位进行维修更换，同意在合同价款中扣除维修更换费用。对于第三方检测结果确认因不可抗力因素引起的产品破损、功率低下、发电异常等情况，由供应商在15日历天内完成维修更换，相应维修更换费用,及检测和退换货运输等相关费用均由采购人承担。</w:t>
      </w:r>
    </w:p>
    <w:p w14:paraId="4A7DD142">
      <w:pPr>
        <w:pStyle w:val="13"/>
        <w:widowControl/>
        <w:spacing w:line="440" w:lineRule="exact"/>
        <w:ind w:firstLine="560"/>
        <w:jc w:val="both"/>
        <w:rPr>
          <w:rFonts w:hint="default" w:ascii="Times New Roman" w:hAnsi="Times New Roman" w:eastAsiaTheme="minorEastAsia"/>
          <w:color w:val="000000" w:themeColor="text1"/>
          <w:kern w:val="2"/>
          <w:szCs w:val="24"/>
          <w:highlight w:val="none"/>
          <w:lang w:val="en-US" w:eastAsia="zh-CN"/>
          <w14:textFill>
            <w14:solidFill>
              <w14:schemeClr w14:val="tx1"/>
            </w14:solidFill>
          </w14:textFill>
        </w:rPr>
      </w:pPr>
      <w:r>
        <w:rPr>
          <w:rFonts w:hint="eastAsia" w:ascii="Times New Roman" w:hAnsi="Times New Roman"/>
          <w:color w:val="000000" w:themeColor="text1"/>
          <w:kern w:val="2"/>
          <w:szCs w:val="24"/>
          <w:highlight w:val="none"/>
          <w:lang w:val="en-US" w:eastAsia="zh-CN"/>
          <w14:textFill>
            <w14:solidFill>
              <w14:schemeClr w14:val="tx1"/>
            </w14:solidFill>
          </w14:textFill>
        </w:rPr>
        <w:t>7</w:t>
      </w:r>
      <w:r>
        <w:rPr>
          <w:rFonts w:hint="eastAsia" w:ascii="Times New Roman" w:hAnsi="Times New Roman"/>
          <w:color w:val="000000" w:themeColor="text1"/>
          <w:kern w:val="2"/>
          <w:szCs w:val="24"/>
          <w:highlight w:val="none"/>
          <w14:textFill>
            <w14:solidFill>
              <w14:schemeClr w14:val="tx1"/>
            </w14:solidFill>
          </w14:textFill>
        </w:rPr>
        <w:t>、在项目安装过程、质保期内，因成交供应商原因导致第三方财产损失或人身伤亡的由成交供应商全权负责，与采购人无关。</w:t>
      </w:r>
    </w:p>
    <w:p w14:paraId="1A6C8BB3">
      <w:pPr>
        <w:pStyle w:val="13"/>
        <w:widowControl/>
        <w:spacing w:line="440" w:lineRule="exact"/>
        <w:ind w:firstLine="560"/>
        <w:jc w:val="both"/>
        <w:rPr>
          <w:rFonts w:hint="eastAsia" w:ascii="Times New Roman" w:hAnsi="Times New Roman"/>
          <w:color w:val="000000" w:themeColor="text1"/>
          <w:kern w:val="2"/>
          <w:szCs w:val="24"/>
          <w:highlight w:val="none"/>
          <w14:textFill>
            <w14:solidFill>
              <w14:schemeClr w14:val="tx1"/>
            </w14:solidFill>
          </w14:textFill>
        </w:rPr>
      </w:pPr>
      <w:r>
        <w:rPr>
          <w:rFonts w:hint="eastAsia" w:ascii="Times New Roman" w:hAnsi="Times New Roman"/>
          <w:color w:val="000000" w:themeColor="text1"/>
          <w:kern w:val="2"/>
          <w:szCs w:val="24"/>
          <w:highlight w:val="none"/>
          <w:lang w:val="en-US" w:eastAsia="zh-CN"/>
          <w14:textFill>
            <w14:solidFill>
              <w14:schemeClr w14:val="tx1"/>
            </w14:solidFill>
          </w14:textFill>
        </w:rPr>
        <w:t>8</w:t>
      </w:r>
      <w:r>
        <w:rPr>
          <w:rFonts w:hint="eastAsia" w:ascii="Times New Roman" w:hAnsi="Times New Roman"/>
          <w:color w:val="000000" w:themeColor="text1"/>
          <w:kern w:val="2"/>
          <w:szCs w:val="24"/>
          <w:highlight w:val="none"/>
          <w14:textFill>
            <w14:solidFill>
              <w14:schemeClr w14:val="tx1"/>
            </w14:solidFill>
          </w14:textFill>
        </w:rPr>
        <w:t>、免费质保期内，成交供应商须按规定完成以下工作：</w:t>
      </w:r>
    </w:p>
    <w:p w14:paraId="5D51BA65">
      <w:pPr>
        <w:pStyle w:val="13"/>
        <w:widowControl/>
        <w:spacing w:line="440" w:lineRule="exact"/>
        <w:ind w:firstLine="560"/>
        <w:jc w:val="both"/>
        <w:rPr>
          <w:rFonts w:hint="eastAsia" w:ascii="Times New Roman" w:hAnsi="Times New Roman"/>
          <w:color w:val="000000" w:themeColor="text1"/>
          <w:kern w:val="2"/>
          <w:szCs w:val="24"/>
          <w:highlight w:val="none"/>
          <w14:textFill>
            <w14:solidFill>
              <w14:schemeClr w14:val="tx1"/>
            </w14:solidFill>
          </w14:textFill>
        </w:rPr>
      </w:pPr>
      <w:r>
        <w:rPr>
          <w:rFonts w:hint="eastAsia" w:ascii="Times New Roman" w:hAnsi="Times New Roman"/>
          <w:color w:val="000000" w:themeColor="text1"/>
          <w:kern w:val="2"/>
          <w:szCs w:val="24"/>
          <w:highlight w:val="none"/>
          <w14:textFill>
            <w14:solidFill>
              <w14:schemeClr w14:val="tx1"/>
            </w14:solidFill>
          </w14:textFill>
        </w:rPr>
        <w:t>①提供免费维修服务、零配件的更换及安装。</w:t>
      </w:r>
    </w:p>
    <w:p w14:paraId="3CB4A0B3">
      <w:pPr>
        <w:pStyle w:val="13"/>
        <w:widowControl/>
        <w:spacing w:line="440" w:lineRule="exact"/>
        <w:ind w:firstLine="560"/>
        <w:jc w:val="both"/>
        <w:rPr>
          <w:rFonts w:hint="eastAsia" w:ascii="Times New Roman" w:hAnsi="Times New Roman"/>
          <w:color w:val="000000" w:themeColor="text1"/>
          <w:kern w:val="2"/>
          <w:szCs w:val="24"/>
          <w:highlight w:val="none"/>
          <w14:textFill>
            <w14:solidFill>
              <w14:schemeClr w14:val="tx1"/>
            </w14:solidFill>
          </w14:textFill>
        </w:rPr>
      </w:pPr>
      <w:r>
        <w:rPr>
          <w:rFonts w:hint="eastAsia" w:ascii="Times New Roman" w:hAnsi="Times New Roman"/>
          <w:color w:val="000000" w:themeColor="text1"/>
          <w:kern w:val="2"/>
          <w:szCs w:val="24"/>
          <w:highlight w:val="none"/>
          <w14:textFill>
            <w14:solidFill>
              <w14:schemeClr w14:val="tx1"/>
            </w14:solidFill>
          </w14:textFill>
        </w:rPr>
        <w:t>②在接到使用单位维修通知的4个小时内做出答复，并提出处理意见和维修措施，并须在24小时内上门维修，48 小时内予以修复，排除故障。若成交供应商未能在采购人规定的时间内及时到场维修、抢修，或连续两次维修仍未能解决问题的，采购人可自行委托第三方进行维修，由此产生的全部费用均由成交供应商承担。</w:t>
      </w:r>
    </w:p>
    <w:p w14:paraId="1F39736F">
      <w:pPr>
        <w:pStyle w:val="13"/>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color w:val="000000" w:themeColor="text1"/>
          <w:kern w:val="2"/>
          <w:szCs w:val="24"/>
          <w:highlight w:val="none"/>
          <w:lang w:val="en-US" w:eastAsia="zh-CN"/>
          <w14:textFill>
            <w14:solidFill>
              <w14:schemeClr w14:val="tx1"/>
            </w14:solidFill>
          </w14:textFill>
        </w:rPr>
      </w:pPr>
      <w:r>
        <w:rPr>
          <w:rFonts w:hint="eastAsia" w:ascii="Times New Roman" w:hAnsi="Times New Roman"/>
          <w:color w:val="000000" w:themeColor="text1"/>
          <w:kern w:val="2"/>
          <w:szCs w:val="24"/>
          <w:highlight w:val="none"/>
          <w:lang w:val="en-US" w:eastAsia="zh-CN"/>
          <w14:textFill>
            <w14:solidFill>
              <w14:schemeClr w14:val="tx1"/>
            </w14:solidFill>
          </w14:textFill>
        </w:rPr>
        <w:t>9、成交供应商须应在安装前对项目所涉及的全部屋面进行全面的现场勘察，细致排查所有现存的渗水、漏水点位以及潜在的防水隐患，并以书面形式详细列出，同时提交给物业方。物业方在约定的期限内完成渗水点位的整改工作，整改完成后，经成交供应商与物业方共同检查确认无异议，方可启动光伏支架及组件的安装。</w:t>
      </w:r>
    </w:p>
    <w:p w14:paraId="6C050804">
      <w:pPr>
        <w:pStyle w:val="13"/>
        <w:widowControl/>
        <w:numPr>
          <w:ilvl w:val="0"/>
          <w:numId w:val="0"/>
        </w:numPr>
        <w:spacing w:line="440" w:lineRule="exact"/>
        <w:ind w:firstLine="480" w:firstLineChars="200"/>
        <w:jc w:val="both"/>
        <w:rPr>
          <w:rFonts w:ascii="Times New Roman" w:hAnsi="Times New Roman"/>
          <w:color w:val="000000" w:themeColor="text1"/>
          <w:kern w:val="2"/>
          <w:szCs w:val="24"/>
          <w:highlight w:val="none"/>
          <w14:textFill>
            <w14:solidFill>
              <w14:schemeClr w14:val="tx1"/>
            </w14:solidFill>
          </w14:textFill>
        </w:rPr>
      </w:pPr>
      <w:r>
        <w:rPr>
          <w:rFonts w:hint="eastAsia" w:ascii="Times New Roman" w:hAnsi="Times New Roman"/>
          <w:color w:val="000000" w:themeColor="text1"/>
          <w:kern w:val="2"/>
          <w:szCs w:val="24"/>
          <w:highlight w:val="none"/>
          <w:lang w:val="en-US" w:eastAsia="zh-CN"/>
          <w14:textFill>
            <w14:solidFill>
              <w14:schemeClr w14:val="tx1"/>
            </w14:solidFill>
          </w14:textFill>
        </w:rPr>
        <w:t>10、</w:t>
      </w:r>
      <w:r>
        <w:rPr>
          <w:rFonts w:hint="eastAsia" w:ascii="Times New Roman" w:hAnsi="Times New Roman"/>
          <w:b/>
          <w:bCs/>
          <w:color w:val="000000" w:themeColor="text1"/>
          <w:kern w:val="2"/>
          <w:szCs w:val="24"/>
          <w:highlight w:val="none"/>
          <w:lang w:val="en-US" w:eastAsia="zh-CN"/>
          <w14:textFill>
            <w14:solidFill>
              <w14:schemeClr w14:val="tx1"/>
            </w14:solidFill>
          </w14:textFill>
        </w:rPr>
        <w:t>光伏系统安装完成后，成交供应商需保证屋面无渗水、漏水现象，且屋面的防水性能符合项目设计要求以及国家相关规范标准。</w:t>
      </w:r>
      <w:r>
        <w:rPr>
          <w:rFonts w:hint="eastAsia" w:ascii="Times New Roman" w:hAnsi="Times New Roman"/>
          <w:color w:val="000000" w:themeColor="text1"/>
          <w:kern w:val="2"/>
          <w:szCs w:val="24"/>
          <w:highlight w:val="none"/>
          <w:lang w:val="en-US" w:eastAsia="zh-CN"/>
          <w14:textFill>
            <w14:solidFill>
              <w14:schemeClr w14:val="tx1"/>
            </w14:solidFill>
          </w14:textFill>
        </w:rPr>
        <w:t>在质保期内，若屋面出现因安装操作失误或光伏系统设施布置不当导致的渗水、漏水问题，成交供应商应承担全部责任，需在接到采购人通知后约定时间内制定修缮方案并完成修缮工作（使屋面恢复正常防水功能），同时承担所有人工、材料及相关费用，</w:t>
      </w:r>
      <w:r>
        <w:rPr>
          <w:rFonts w:hint="eastAsia" w:ascii="Times New Roman" w:hAnsi="Times New Roman"/>
          <w:color w:val="000000" w:themeColor="text1"/>
          <w:kern w:val="2"/>
          <w:szCs w:val="24"/>
          <w:highlight w:val="none"/>
          <w14:textFill>
            <w14:solidFill>
              <w14:schemeClr w14:val="tx1"/>
            </w14:solidFill>
          </w14:textFill>
        </w:rPr>
        <w:t>若未按规定要求完成</w:t>
      </w:r>
      <w:r>
        <w:rPr>
          <w:rFonts w:hint="eastAsia" w:ascii="Times New Roman" w:hAnsi="Times New Roman"/>
          <w:color w:val="000000" w:themeColor="text1"/>
          <w:kern w:val="2"/>
          <w:szCs w:val="24"/>
          <w:highlight w:val="none"/>
          <w:lang w:eastAsia="zh-CN"/>
          <w14:textFill>
            <w14:solidFill>
              <w14:schemeClr w14:val="tx1"/>
            </w14:solidFill>
          </w14:textFill>
        </w:rPr>
        <w:t>，须</w:t>
      </w:r>
      <w:r>
        <w:rPr>
          <w:rFonts w:hint="eastAsia" w:ascii="Times New Roman" w:hAnsi="Times New Roman"/>
          <w:color w:val="000000" w:themeColor="text1"/>
          <w:kern w:val="2"/>
          <w:szCs w:val="24"/>
          <w:highlight w:val="none"/>
          <w14:textFill>
            <w14:solidFill>
              <w14:schemeClr w14:val="tx1"/>
            </w14:solidFill>
          </w14:textFill>
        </w:rPr>
        <w:t>同意采购人委托其他单位进行维修，同意在合同价款中扣除维修费用。</w:t>
      </w:r>
      <w:r>
        <w:rPr>
          <w:rFonts w:hint="eastAsia" w:ascii="Times New Roman" w:hAnsi="Times New Roman"/>
          <w:color w:val="000000" w:themeColor="text1"/>
          <w:kern w:val="2"/>
          <w:szCs w:val="24"/>
          <w:highlight w:val="none"/>
          <w:lang w:val="en-US" w:eastAsia="zh-CN"/>
          <w14:textFill>
            <w14:solidFill>
              <w14:schemeClr w14:val="tx1"/>
            </w14:solidFill>
          </w14:textFill>
        </w:rPr>
        <w:t>若因成交供应商未按照规范安装或使用存在缺陷的材料导致屋面损坏及其他财产损失，其应依法承担相应的赔偿责任。</w:t>
      </w:r>
    </w:p>
    <w:p w14:paraId="03BDB89C">
      <w:pPr>
        <w:pStyle w:val="13"/>
        <w:widowControl/>
        <w:spacing w:line="440" w:lineRule="exact"/>
        <w:ind w:firstLine="560"/>
        <w:jc w:val="both"/>
        <w:rPr>
          <w:rFonts w:ascii="Times New Roman" w:hAnsi="Times New Roman"/>
          <w:color w:val="000000" w:themeColor="text1"/>
          <w:kern w:val="2"/>
          <w:szCs w:val="24"/>
          <w:highlight w:val="none"/>
          <w14:textFill>
            <w14:solidFill>
              <w14:schemeClr w14:val="tx1"/>
            </w14:solidFill>
          </w14:textFill>
        </w:rPr>
      </w:pPr>
      <w:r>
        <w:rPr>
          <w:rFonts w:hint="eastAsia" w:ascii="Times New Roman" w:hAnsi="Times New Roman"/>
          <w:color w:val="000000" w:themeColor="text1"/>
          <w:kern w:val="2"/>
          <w:szCs w:val="24"/>
          <w:highlight w:val="none"/>
          <w14:textFill>
            <w14:solidFill>
              <w14:schemeClr w14:val="tx1"/>
            </w14:solidFill>
          </w14:textFill>
        </w:rPr>
        <w:t>1</w:t>
      </w:r>
      <w:r>
        <w:rPr>
          <w:rFonts w:hint="eastAsia" w:ascii="Times New Roman" w:hAnsi="Times New Roman"/>
          <w:color w:val="000000" w:themeColor="text1"/>
          <w:kern w:val="2"/>
          <w:szCs w:val="24"/>
          <w:highlight w:val="none"/>
          <w:lang w:val="en-US" w:eastAsia="zh-CN"/>
          <w14:textFill>
            <w14:solidFill>
              <w14:schemeClr w14:val="tx1"/>
            </w14:solidFill>
          </w14:textFill>
        </w:rPr>
        <w:t>1</w:t>
      </w:r>
      <w:r>
        <w:rPr>
          <w:rFonts w:hint="eastAsia" w:ascii="Times New Roman" w:hAnsi="Times New Roman"/>
          <w:color w:val="000000" w:themeColor="text1"/>
          <w:kern w:val="2"/>
          <w:szCs w:val="24"/>
          <w:highlight w:val="none"/>
          <w14:textFill>
            <w14:solidFill>
              <w14:schemeClr w14:val="tx1"/>
            </w14:solidFill>
          </w14:textFill>
        </w:rPr>
        <w:t>、项目的培训方案：由成交供应商提供日常运行、维护、保养等基础知识培训方案，并对用户进行专业培训。</w:t>
      </w:r>
    </w:p>
    <w:p w14:paraId="78683D46">
      <w:pPr>
        <w:pStyle w:val="13"/>
        <w:widowControl/>
        <w:spacing w:line="440" w:lineRule="exact"/>
        <w:ind w:firstLine="560"/>
        <w:jc w:val="both"/>
        <w:rPr>
          <w:rFonts w:ascii="Times New Roman" w:hAnsi="Times New Roman"/>
          <w:color w:val="000000" w:themeColor="text1"/>
          <w:kern w:val="2"/>
          <w:szCs w:val="24"/>
          <w:highlight w:val="none"/>
          <w14:textFill>
            <w14:solidFill>
              <w14:schemeClr w14:val="tx1"/>
            </w14:solidFill>
          </w14:textFill>
        </w:rPr>
      </w:pPr>
      <w:r>
        <w:rPr>
          <w:rFonts w:hint="eastAsia" w:ascii="Times New Roman" w:hAnsi="Times New Roman"/>
          <w:color w:val="000000" w:themeColor="text1"/>
          <w:kern w:val="2"/>
          <w:szCs w:val="24"/>
          <w:highlight w:val="none"/>
          <w:lang w:val="en-US" w:eastAsia="zh-CN"/>
          <w14:textFill>
            <w14:solidFill>
              <w14:schemeClr w14:val="tx1"/>
            </w14:solidFill>
          </w14:textFill>
        </w:rPr>
        <w:t>注：</w:t>
      </w:r>
      <w:r>
        <w:rPr>
          <w:rFonts w:hint="eastAsia" w:ascii="Times New Roman" w:hAnsi="Times New Roman"/>
          <w:color w:val="000000" w:themeColor="text1"/>
          <w:kern w:val="2"/>
          <w:szCs w:val="24"/>
          <w:highlight w:val="none"/>
          <w14:textFill>
            <w14:solidFill>
              <w14:schemeClr w14:val="tx1"/>
            </w14:solidFill>
          </w14:textFill>
        </w:rPr>
        <w:t>上述采购要求为最低要求，不得负偏离，否则视为无效报价。</w:t>
      </w:r>
    </w:p>
    <w:p w14:paraId="389DE49E">
      <w:pPr>
        <w:pStyle w:val="13"/>
        <w:widowControl/>
        <w:spacing w:line="440" w:lineRule="exact"/>
        <w:ind w:firstLine="560"/>
        <w:jc w:val="both"/>
        <w:rPr>
          <w:rFonts w:ascii="Times New Roman" w:hAnsi="Times New Roman"/>
          <w:color w:val="000000" w:themeColor="text1"/>
          <w:kern w:val="2"/>
          <w:szCs w:val="24"/>
          <w:highlight w:val="none"/>
          <w14:textFill>
            <w14:solidFill>
              <w14:schemeClr w14:val="tx1"/>
            </w14:solidFill>
          </w14:textFill>
        </w:rPr>
      </w:pPr>
      <w:r>
        <w:rPr>
          <w:rFonts w:hint="eastAsia" w:ascii="Times New Roman" w:hAnsi="Times New Roman"/>
          <w:b/>
          <w:bCs/>
          <w:color w:val="000000" w:themeColor="text1"/>
          <w:kern w:val="2"/>
          <w:szCs w:val="24"/>
          <w:highlight w:val="none"/>
          <w:lang w:eastAsia="zh-CN"/>
          <w14:textFill>
            <w14:solidFill>
              <w14:schemeClr w14:val="tx1"/>
            </w14:solidFill>
          </w14:textFill>
        </w:rPr>
        <w:t>二</w:t>
      </w:r>
      <w:r>
        <w:rPr>
          <w:rFonts w:hint="eastAsia" w:ascii="Times New Roman" w:hAnsi="Times New Roman"/>
          <w:b/>
          <w:bCs/>
          <w:color w:val="000000" w:themeColor="text1"/>
          <w:kern w:val="2"/>
          <w:szCs w:val="24"/>
          <w:highlight w:val="none"/>
          <w14:textFill>
            <w14:solidFill>
              <w14:schemeClr w14:val="tx1"/>
            </w14:solidFill>
          </w14:textFill>
        </w:rPr>
        <w:t>、报价供应商的要求</w:t>
      </w:r>
      <w:r>
        <w:rPr>
          <w:rFonts w:hint="eastAsia" w:ascii="Times New Roman" w:hAnsi="Times New Roman"/>
          <w:color w:val="000000" w:themeColor="text1"/>
          <w:kern w:val="2"/>
          <w:szCs w:val="24"/>
          <w:highlight w:val="none"/>
          <w14:textFill>
            <w14:solidFill>
              <w14:schemeClr w14:val="tx1"/>
            </w14:solidFill>
          </w14:textFill>
        </w:rPr>
        <w:t>：报价供应商应有能力提供本项目中所采购的货物及服务，提供有效的营业执照。</w:t>
      </w:r>
    </w:p>
    <w:p w14:paraId="13B968D5">
      <w:pPr>
        <w:pStyle w:val="13"/>
        <w:widowControl/>
        <w:spacing w:line="440" w:lineRule="exact"/>
        <w:ind w:firstLine="560"/>
        <w:jc w:val="both"/>
        <w:rPr>
          <w:rFonts w:ascii="Times New Roman" w:hAnsi="Times New Roman"/>
          <w:b/>
          <w:bCs/>
          <w:color w:val="000000" w:themeColor="text1"/>
          <w:kern w:val="2"/>
          <w:szCs w:val="24"/>
          <w:highlight w:val="none"/>
          <w14:textFill>
            <w14:solidFill>
              <w14:schemeClr w14:val="tx1"/>
            </w14:solidFill>
          </w14:textFill>
        </w:rPr>
      </w:pPr>
      <w:r>
        <w:rPr>
          <w:rFonts w:hint="eastAsia" w:ascii="Times New Roman" w:hAnsi="Times New Roman"/>
          <w:b/>
          <w:bCs/>
          <w:color w:val="000000" w:themeColor="text1"/>
          <w:kern w:val="2"/>
          <w:szCs w:val="24"/>
          <w:highlight w:val="none"/>
          <w:lang w:eastAsia="zh-CN"/>
          <w14:textFill>
            <w14:solidFill>
              <w14:schemeClr w14:val="tx1"/>
            </w14:solidFill>
          </w14:textFill>
        </w:rPr>
        <w:t>三</w:t>
      </w:r>
      <w:r>
        <w:rPr>
          <w:rFonts w:hint="eastAsia" w:ascii="Times New Roman" w:hAnsi="Times New Roman"/>
          <w:b/>
          <w:bCs/>
          <w:color w:val="000000" w:themeColor="text1"/>
          <w:kern w:val="2"/>
          <w:szCs w:val="24"/>
          <w:highlight w:val="none"/>
          <w14:textFill>
            <w14:solidFill>
              <w14:schemeClr w14:val="tx1"/>
            </w14:solidFill>
          </w14:textFill>
        </w:rPr>
        <w:t>、约定事项</w:t>
      </w:r>
    </w:p>
    <w:p w14:paraId="53B6F024">
      <w:pPr>
        <w:pStyle w:val="13"/>
        <w:widowControl/>
        <w:spacing w:line="440" w:lineRule="exact"/>
        <w:ind w:firstLine="560"/>
        <w:jc w:val="both"/>
        <w:rPr>
          <w:rFonts w:ascii="Times New Roman" w:hAnsi="Times New Roman"/>
          <w:color w:val="000000" w:themeColor="text1"/>
          <w:kern w:val="2"/>
          <w:szCs w:val="24"/>
          <w:highlight w:val="none"/>
          <w14:textFill>
            <w14:solidFill>
              <w14:schemeClr w14:val="tx1"/>
            </w14:solidFill>
          </w14:textFill>
        </w:rPr>
      </w:pPr>
      <w:r>
        <w:rPr>
          <w:rFonts w:hint="eastAsia" w:ascii="Times New Roman" w:hAnsi="Times New Roman"/>
          <w:color w:val="000000" w:themeColor="text1"/>
          <w:kern w:val="2"/>
          <w:szCs w:val="24"/>
          <w:highlight w:val="none"/>
          <w14:textFill>
            <w14:solidFill>
              <w14:schemeClr w14:val="tx1"/>
            </w14:solidFill>
          </w14:textFill>
        </w:rPr>
        <w:t>1、参与报价的单位需将单位</w:t>
      </w:r>
      <w:r>
        <w:rPr>
          <w:rFonts w:hint="eastAsia" w:ascii="Times New Roman" w:hAnsi="Times New Roman"/>
          <w:b/>
          <w:bCs/>
          <w:color w:val="000000" w:themeColor="text1"/>
          <w:kern w:val="2"/>
          <w:szCs w:val="24"/>
          <w:highlight w:val="none"/>
          <w14:textFill>
            <w14:solidFill>
              <w14:schemeClr w14:val="tx1"/>
            </w14:solidFill>
          </w14:textFill>
        </w:rPr>
        <w:t>营业执照复印件、市场询价报价表</w:t>
      </w:r>
      <w:r>
        <w:rPr>
          <w:rFonts w:hint="eastAsia" w:ascii="Times New Roman" w:hAnsi="Times New Roman"/>
          <w:b/>
          <w:bCs/>
          <w:color w:val="000000" w:themeColor="text1"/>
          <w:kern w:val="2"/>
          <w:szCs w:val="24"/>
          <w:highlight w:val="none"/>
          <w:lang w:eastAsia="zh-CN"/>
          <w14:textFill>
            <w14:solidFill>
              <w14:schemeClr w14:val="tx1"/>
            </w14:solidFill>
          </w14:textFill>
        </w:rPr>
        <w:t>（</w:t>
      </w:r>
      <w:r>
        <w:rPr>
          <w:rFonts w:hint="eastAsia" w:ascii="Times New Roman" w:hAnsi="Times New Roman"/>
          <w:b/>
          <w:bCs/>
          <w:color w:val="000000" w:themeColor="text1"/>
          <w:kern w:val="2"/>
          <w:szCs w:val="24"/>
          <w:highlight w:val="none"/>
          <w:lang w:val="en-US" w:eastAsia="zh-CN"/>
          <w14:textFill>
            <w14:solidFill>
              <w14:schemeClr w14:val="tx1"/>
            </w14:solidFill>
          </w14:textFill>
        </w:rPr>
        <w:t>格式见附件2）</w:t>
      </w:r>
      <w:r>
        <w:rPr>
          <w:rFonts w:hint="eastAsia" w:ascii="宋体" w:hAnsi="宋体" w:eastAsia="宋体" w:cs="宋体"/>
          <w:b/>
          <w:bCs/>
          <w:color w:val="000000" w:themeColor="text1"/>
          <w:szCs w:val="24"/>
          <w:highlight w:val="none"/>
          <w14:textFill>
            <w14:solidFill>
              <w14:schemeClr w14:val="tx1"/>
            </w14:solidFill>
          </w14:textFill>
        </w:rPr>
        <w:t>及其他相关资料（如有）</w:t>
      </w:r>
      <w:r>
        <w:rPr>
          <w:rFonts w:hint="eastAsia" w:ascii="Times New Roman" w:hAnsi="Times New Roman"/>
          <w:b/>
          <w:bCs/>
          <w:color w:val="000000" w:themeColor="text1"/>
          <w:kern w:val="2"/>
          <w:szCs w:val="24"/>
          <w:highlight w:val="none"/>
          <w14:textFill>
            <w14:solidFill>
              <w14:schemeClr w14:val="tx1"/>
            </w14:solidFill>
          </w14:textFill>
        </w:rPr>
        <w:t>加盖单位公章</w:t>
      </w:r>
      <w:r>
        <w:rPr>
          <w:rFonts w:hint="eastAsia" w:ascii="Times New Roman" w:hAnsi="Times New Roman"/>
          <w:color w:val="000000" w:themeColor="text1"/>
          <w:kern w:val="2"/>
          <w:szCs w:val="24"/>
          <w:highlight w:val="none"/>
          <w14:textFill>
            <w14:solidFill>
              <w14:schemeClr w14:val="tx1"/>
            </w14:solidFill>
          </w14:textFill>
        </w:rPr>
        <w:t>后于</w:t>
      </w:r>
      <w:r>
        <w:rPr>
          <w:rFonts w:hint="eastAsia" w:ascii="Times New Roman" w:hAnsi="Times New Roman"/>
          <w:color w:val="000000" w:themeColor="text1"/>
          <w:kern w:val="2"/>
          <w:szCs w:val="24"/>
          <w:highlight w:val="none"/>
          <w:u w:val="single"/>
          <w14:textFill>
            <w14:solidFill>
              <w14:schemeClr w14:val="tx1"/>
            </w14:solidFill>
          </w14:textFill>
        </w:rPr>
        <w:t>202</w:t>
      </w:r>
      <w:r>
        <w:rPr>
          <w:rFonts w:hint="eastAsia" w:ascii="Times New Roman" w:hAnsi="Times New Roman"/>
          <w:color w:val="000000" w:themeColor="text1"/>
          <w:kern w:val="2"/>
          <w:szCs w:val="24"/>
          <w:highlight w:val="none"/>
          <w:u w:val="single"/>
          <w:lang w:val="en-US" w:eastAsia="zh-CN"/>
          <w14:textFill>
            <w14:solidFill>
              <w14:schemeClr w14:val="tx1"/>
            </w14:solidFill>
          </w14:textFill>
        </w:rPr>
        <w:t>6</w:t>
      </w:r>
      <w:r>
        <w:rPr>
          <w:rFonts w:hint="eastAsia" w:ascii="Times New Roman" w:hAnsi="Times New Roman"/>
          <w:color w:val="000000" w:themeColor="text1"/>
          <w:kern w:val="2"/>
          <w:szCs w:val="24"/>
          <w:highlight w:val="none"/>
          <w:u w:val="single"/>
          <w14:textFill>
            <w14:solidFill>
              <w14:schemeClr w14:val="tx1"/>
            </w14:solidFill>
          </w14:textFill>
        </w:rPr>
        <w:t>年</w:t>
      </w:r>
      <w:r>
        <w:rPr>
          <w:rFonts w:hint="eastAsia" w:ascii="Times New Roman" w:hAnsi="Times New Roman"/>
          <w:color w:val="000000" w:themeColor="text1"/>
          <w:kern w:val="2"/>
          <w:szCs w:val="24"/>
          <w:highlight w:val="none"/>
          <w:u w:val="single"/>
          <w:lang w:val="en-US" w:eastAsia="zh-CN"/>
          <w14:textFill>
            <w14:solidFill>
              <w14:schemeClr w14:val="tx1"/>
            </w14:solidFill>
          </w14:textFill>
        </w:rPr>
        <w:t>1</w:t>
      </w:r>
      <w:r>
        <w:rPr>
          <w:rFonts w:hint="eastAsia" w:ascii="Times New Roman" w:hAnsi="Times New Roman"/>
          <w:color w:val="000000" w:themeColor="text1"/>
          <w:kern w:val="2"/>
          <w:szCs w:val="24"/>
          <w:highlight w:val="none"/>
          <w:u w:val="single"/>
          <w14:textFill>
            <w14:solidFill>
              <w14:schemeClr w14:val="tx1"/>
            </w14:solidFill>
          </w14:textFill>
        </w:rPr>
        <w:t>月</w:t>
      </w:r>
      <w:r>
        <w:rPr>
          <w:rFonts w:hint="eastAsia" w:ascii="Times New Roman" w:hAnsi="Times New Roman"/>
          <w:color w:val="000000" w:themeColor="text1"/>
          <w:kern w:val="2"/>
          <w:szCs w:val="24"/>
          <w:highlight w:val="none"/>
          <w:u w:val="single"/>
          <w:lang w:val="en-US" w:eastAsia="zh-CN"/>
          <w14:textFill>
            <w14:solidFill>
              <w14:schemeClr w14:val="tx1"/>
            </w14:solidFill>
          </w14:textFill>
        </w:rPr>
        <w:t>8</w:t>
      </w:r>
      <w:r>
        <w:rPr>
          <w:rFonts w:hint="eastAsia" w:ascii="Times New Roman" w:hAnsi="Times New Roman"/>
          <w:color w:val="000000" w:themeColor="text1"/>
          <w:kern w:val="2"/>
          <w:szCs w:val="24"/>
          <w:highlight w:val="none"/>
          <w:u w:val="single"/>
          <w14:textFill>
            <w14:solidFill>
              <w14:schemeClr w14:val="tx1"/>
            </w14:solidFill>
          </w14:textFill>
        </w:rPr>
        <w:t>日17:00前</w:t>
      </w:r>
      <w:r>
        <w:rPr>
          <w:rFonts w:hint="eastAsia" w:ascii="Times New Roman" w:hAnsi="Times New Roman"/>
          <w:color w:val="000000" w:themeColor="text1"/>
          <w:kern w:val="2"/>
          <w:szCs w:val="24"/>
          <w:highlight w:val="none"/>
          <w14:textFill>
            <w14:solidFill>
              <w14:schemeClr w14:val="tx1"/>
            </w14:solidFill>
          </w14:textFill>
        </w:rPr>
        <w:t>，送或寄或发送电子邮件，联系地址：</w:t>
      </w:r>
      <w:r>
        <w:rPr>
          <w:rFonts w:hint="eastAsia" w:ascii="Times New Roman" w:hAnsi="Times New Roman"/>
          <w:color w:val="000000" w:themeColor="text1"/>
          <w:kern w:val="2"/>
          <w:szCs w:val="24"/>
          <w:highlight w:val="none"/>
          <w:u w:val="single"/>
          <w14:textFill>
            <w14:solidFill>
              <w14:schemeClr w14:val="tx1"/>
            </w14:solidFill>
          </w14:textFill>
        </w:rPr>
        <w:t>江苏省启东市人民西路1188号中邦金座七层</w:t>
      </w:r>
      <w:r>
        <w:rPr>
          <w:rFonts w:hint="eastAsia" w:ascii="Times New Roman" w:hAnsi="Times New Roman"/>
          <w:color w:val="000000" w:themeColor="text1"/>
          <w:kern w:val="2"/>
          <w:szCs w:val="24"/>
          <w:highlight w:val="none"/>
          <w14:textFill>
            <w14:solidFill>
              <w14:schemeClr w14:val="tx1"/>
            </w14:solidFill>
          </w14:textFill>
        </w:rPr>
        <w:t>，联系人：</w:t>
      </w:r>
      <w:r>
        <w:rPr>
          <w:rFonts w:hint="eastAsia" w:ascii="Times New Roman" w:hAnsi="Times New Roman"/>
          <w:color w:val="000000" w:themeColor="text1"/>
          <w:kern w:val="2"/>
          <w:szCs w:val="24"/>
          <w:highlight w:val="none"/>
          <w:u w:val="single"/>
          <w14:textFill>
            <w14:solidFill>
              <w14:schemeClr w14:val="tx1"/>
            </w14:solidFill>
          </w14:textFill>
        </w:rPr>
        <w:t>龚女士</w:t>
      </w:r>
      <w:r>
        <w:rPr>
          <w:rFonts w:hint="eastAsia" w:ascii="Times New Roman" w:hAnsi="Times New Roman"/>
          <w:color w:val="000000" w:themeColor="text1"/>
          <w:kern w:val="2"/>
          <w:szCs w:val="24"/>
          <w:highlight w:val="none"/>
          <w14:textFill>
            <w14:solidFill>
              <w14:schemeClr w14:val="tx1"/>
            </w14:solidFill>
          </w14:textFill>
        </w:rPr>
        <w:t>，联系电话：</w:t>
      </w:r>
      <w:r>
        <w:rPr>
          <w:rFonts w:hint="eastAsia" w:ascii="Times New Roman" w:hAnsi="Times New Roman"/>
          <w:color w:val="000000" w:themeColor="text1"/>
          <w:kern w:val="2"/>
          <w:szCs w:val="24"/>
          <w:highlight w:val="none"/>
          <w:u w:val="single"/>
          <w14:textFill>
            <w14:solidFill>
              <w14:schemeClr w14:val="tx1"/>
            </w14:solidFill>
          </w14:textFill>
        </w:rPr>
        <w:t xml:space="preserve">13625225063 </w:t>
      </w:r>
      <w:r>
        <w:rPr>
          <w:rFonts w:hint="eastAsia" w:ascii="Times New Roman" w:hAnsi="Times New Roman"/>
          <w:color w:val="000000" w:themeColor="text1"/>
          <w:kern w:val="2"/>
          <w:szCs w:val="24"/>
          <w:highlight w:val="none"/>
          <w14:textFill>
            <w14:solidFill>
              <w14:schemeClr w14:val="tx1"/>
            </w14:solidFill>
          </w14:textFill>
        </w:rPr>
        <w:t>，邮箱：</w:t>
      </w:r>
      <w:r>
        <w:rPr>
          <w:rFonts w:hint="eastAsia" w:ascii="Times New Roman" w:hAnsi="Times New Roman"/>
          <w:color w:val="000000" w:themeColor="text1"/>
          <w:kern w:val="2"/>
          <w:szCs w:val="24"/>
          <w:highlight w:val="none"/>
          <w:u w:val="single"/>
          <w14:textFill>
            <w14:solidFill>
              <w14:schemeClr w14:val="tx1"/>
            </w14:solidFill>
          </w14:textFill>
        </w:rPr>
        <w:t xml:space="preserve">jsyongzheng@126.com </w:t>
      </w:r>
      <w:r>
        <w:rPr>
          <w:rFonts w:hint="eastAsia" w:ascii="Times New Roman" w:hAnsi="Times New Roman"/>
          <w:color w:val="000000" w:themeColor="text1"/>
          <w:kern w:val="2"/>
          <w:szCs w:val="24"/>
          <w:highlight w:val="none"/>
          <w14:textFill>
            <w14:solidFill>
              <w14:schemeClr w14:val="tx1"/>
            </w14:solidFill>
          </w14:textFill>
        </w:rPr>
        <w:t>。</w:t>
      </w:r>
    </w:p>
    <w:p w14:paraId="46275175">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宋体"/>
          <w:b/>
          <w:bCs/>
          <w:color w:val="auto"/>
          <w:kern w:val="0"/>
          <w:sz w:val="24"/>
          <w:shd w:val="clear" w:color="auto" w:fill="FFFFFF"/>
        </w:rPr>
      </w:pPr>
      <w:r>
        <w:rPr>
          <w:rFonts w:hint="eastAsia" w:ascii="Times New Roman" w:hAnsi="Times New Roman"/>
          <w:color w:val="000000" w:themeColor="text1"/>
          <w:kern w:val="2"/>
          <w:szCs w:val="24"/>
          <w:highlight w:val="none"/>
          <w14:textFill>
            <w14:solidFill>
              <w14:schemeClr w14:val="tx1"/>
            </w14:solidFill>
          </w14:textFill>
        </w:rPr>
        <w:t>2、报价费用说明：</w:t>
      </w:r>
      <w:r>
        <w:rPr>
          <w:rFonts w:hint="eastAsia" w:ascii="Times New Roman" w:hAnsi="Times New Roman" w:cs="Times New Roman" w:eastAsiaTheme="minorEastAsia"/>
          <w:color w:val="000000" w:themeColor="text1"/>
          <w:kern w:val="2"/>
          <w:sz w:val="24"/>
          <w:szCs w:val="24"/>
          <w:highlight w:val="none"/>
          <w:lang w:val="en-US" w:eastAsia="zh-CN" w:bidi="ar-SA"/>
          <w14:textFill>
            <w14:solidFill>
              <w14:schemeClr w14:val="tx1"/>
            </w14:solidFill>
          </w14:textFill>
        </w:rPr>
        <w:t>本项目</w:t>
      </w:r>
      <w:r>
        <w:rPr>
          <w:rFonts w:hint="eastAsia" w:ascii="Times New Roman" w:hAnsi="Times New Roman" w:cs="Times New Roman" w:eastAsiaTheme="minorEastAsia"/>
          <w:color w:val="000000" w:themeColor="text1"/>
          <w:kern w:val="2"/>
          <w:sz w:val="24"/>
          <w:szCs w:val="24"/>
          <w:highlight w:val="none"/>
          <w:lang w:val="zh-CN" w:eastAsia="zh-CN" w:bidi="ar-SA"/>
          <w14:textFill>
            <w14:solidFill>
              <w14:schemeClr w14:val="tx1"/>
            </w14:solidFill>
          </w14:textFill>
        </w:rPr>
        <w:t>采用固定单价报价方式（报价中的单位装机容量价格为全费用固定综合单价）</w:t>
      </w:r>
      <w:r>
        <w:rPr>
          <w:rFonts w:hint="eastAsia" w:ascii="Times New Roman" w:hAnsi="Times New Roman" w:cs="Times New Roman" w:eastAsiaTheme="minorEastAsia"/>
          <w:color w:val="000000" w:themeColor="text1"/>
          <w:kern w:val="2"/>
          <w:sz w:val="24"/>
          <w:szCs w:val="24"/>
          <w:highlight w:val="none"/>
          <w:lang w:val="en-US" w:eastAsia="zh-CN" w:bidi="ar-SA"/>
          <w14:textFill>
            <w14:solidFill>
              <w14:schemeClr w14:val="tx1"/>
            </w14:solidFill>
          </w14:textFill>
        </w:rPr>
        <w:t>，报价中包含但不限于项目设备材料的成本（含安装部件、备品备件费）、运输（包括卸货、二次搬运、现场保管）、包装费、劳务费、保险、利润、税金、装卸、措施费（大型机械设备进出场及安拆费、脚手架费、彩钢屋面防滑措施费等）、安装费（包括所有辅材）、保险（意外伤害险等）、成品保护费、检测费、调试和并网验收、使用培训、质保及售后服务（含正式交付业主前的清洁保养费及必备的维修保养专用工具费）及政策性文件规定及合同包含的所有风险、责任等各项应有费用，以及为完成上述内容所必须的附属工程、临时工程、材料、劳务及所需的全部费用。报价供应商应结合现场踏勘情况、本项目设计图纸及技术参数要求，作出自己的判断结论和估价。采用人民币报价。</w:t>
      </w:r>
      <w:r>
        <w:rPr>
          <w:rFonts w:hint="eastAsia" w:ascii="Times New Roman" w:hAnsi="Times New Roman" w:cs="Times New Roman" w:eastAsiaTheme="minorEastAsia"/>
          <w:b/>
          <w:bCs/>
          <w:color w:val="auto"/>
          <w:kern w:val="2"/>
          <w:sz w:val="24"/>
          <w:szCs w:val="24"/>
          <w:highlight w:val="none"/>
          <w:lang w:val="en-US" w:eastAsia="zh-CN" w:bidi="ar-SA"/>
        </w:rPr>
        <w:t>最终按光伏电站实际装机容量进行结算。</w:t>
      </w:r>
    </w:p>
    <w:p w14:paraId="6DE1EE55">
      <w:pPr>
        <w:overflowPunct w:val="0"/>
        <w:spacing w:line="440" w:lineRule="exact"/>
        <w:ind w:firstLine="482" w:firstLineChars="200"/>
        <w:rPr>
          <w:rFonts w:hint="eastAsia" w:ascii="Times New Roman" w:hAnsi="Times New Roman" w:cs="Times New Roman" w:eastAsiaTheme="minorEastAsia"/>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cs="Times New Roman"/>
          <w:b/>
          <w:bCs/>
          <w:color w:val="000000" w:themeColor="text1"/>
          <w:kern w:val="2"/>
          <w:sz w:val="24"/>
          <w:szCs w:val="24"/>
          <w:highlight w:val="none"/>
          <w:lang w:val="en-US" w:eastAsia="zh-CN" w:bidi="ar-SA"/>
          <w14:textFill>
            <w14:solidFill>
              <w14:schemeClr w14:val="tx1"/>
            </w14:solidFill>
          </w14:textFill>
        </w:rPr>
        <w:t>四、</w:t>
      </w:r>
      <w:r>
        <w:rPr>
          <w:rFonts w:hint="eastAsia" w:ascii="Times New Roman" w:hAnsi="Times New Roman" w:cs="Times New Roman" w:eastAsiaTheme="minorEastAsia"/>
          <w:b/>
          <w:bCs/>
          <w:color w:val="000000" w:themeColor="text1"/>
          <w:kern w:val="2"/>
          <w:sz w:val="24"/>
          <w:szCs w:val="24"/>
          <w:highlight w:val="none"/>
          <w:lang w:val="en-US" w:eastAsia="zh-CN" w:bidi="ar-SA"/>
          <w14:textFill>
            <w14:solidFill>
              <w14:schemeClr w14:val="tx1"/>
            </w14:solidFill>
          </w14:textFill>
        </w:rPr>
        <w:t>项目完成周期：</w:t>
      </w:r>
    </w:p>
    <w:p w14:paraId="6EEB3247">
      <w:pPr>
        <w:overflowPunct w:val="0"/>
        <w:spacing w:line="440" w:lineRule="exact"/>
        <w:ind w:firstLine="480" w:firstLineChars="200"/>
        <w:rPr>
          <w:rFonts w:ascii="Times New Roman" w:hAnsi="Times New Roman" w:cs="Times New Roman" w:eastAsiaTheme="minorEastAsia"/>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cs="Times New Roman" w:eastAsiaTheme="minorEastAsia"/>
          <w:color w:val="000000" w:themeColor="text1"/>
          <w:kern w:val="2"/>
          <w:sz w:val="24"/>
          <w:szCs w:val="24"/>
          <w:highlight w:val="none"/>
          <w:lang w:val="en-US" w:eastAsia="zh-CN" w:bidi="ar-SA"/>
          <w14:textFill>
            <w14:solidFill>
              <w14:schemeClr w14:val="tx1"/>
            </w14:solidFill>
          </w14:textFill>
        </w:rPr>
        <w:t>本项目分14个单体，分批实施，分批验收。成交供应商接到采购人针对单个批次项目的进场通知后，</w:t>
      </w:r>
      <w:r>
        <w:rPr>
          <w:rFonts w:hint="eastAsia" w:ascii="Times New Roman" w:hAnsi="Times New Roman" w:cs="Times New Roman" w:eastAsiaTheme="minorEastAsia"/>
          <w:b/>
          <w:bCs/>
          <w:color w:val="000000" w:themeColor="text1"/>
          <w:kern w:val="2"/>
          <w:sz w:val="24"/>
          <w:szCs w:val="24"/>
          <w:highlight w:val="none"/>
          <w:u w:val="single"/>
          <w:lang w:val="en-US" w:eastAsia="zh-CN" w:bidi="ar-SA"/>
          <w14:textFill>
            <w14:solidFill>
              <w14:schemeClr w14:val="tx1"/>
            </w14:solidFill>
          </w14:textFill>
        </w:rPr>
        <w:t>60个日历天</w:t>
      </w:r>
      <w:r>
        <w:rPr>
          <w:rFonts w:hint="eastAsia" w:ascii="Times New Roman" w:hAnsi="Times New Roman" w:cs="Times New Roman" w:eastAsiaTheme="minorEastAsia"/>
          <w:color w:val="000000" w:themeColor="text1"/>
          <w:kern w:val="2"/>
          <w:sz w:val="24"/>
          <w:szCs w:val="24"/>
          <w:highlight w:val="none"/>
          <w:lang w:val="en-US" w:eastAsia="zh-CN" w:bidi="ar-SA"/>
          <w14:textFill>
            <w14:solidFill>
              <w14:schemeClr w14:val="tx1"/>
            </w14:solidFill>
          </w14:textFill>
        </w:rPr>
        <w:t>内按采购人要求完成该批次项目的全容量并网发电。</w:t>
      </w:r>
    </w:p>
    <w:p w14:paraId="574ED096">
      <w:pPr>
        <w:pStyle w:val="13"/>
        <w:widowControl/>
        <w:spacing w:line="440" w:lineRule="exact"/>
        <w:ind w:firstLine="482" w:firstLineChars="200"/>
        <w:jc w:val="both"/>
        <w:rPr>
          <w:rFonts w:ascii="Times New Roman" w:hAnsi="Times New Roman"/>
          <w:color w:val="000000" w:themeColor="text1"/>
          <w:kern w:val="2"/>
          <w:szCs w:val="24"/>
          <w:highlight w:val="none"/>
          <w14:textFill>
            <w14:solidFill>
              <w14:schemeClr w14:val="tx1"/>
            </w14:solidFill>
          </w14:textFill>
        </w:rPr>
      </w:pPr>
      <w:r>
        <w:rPr>
          <w:rFonts w:hint="eastAsia" w:ascii="Times New Roman" w:hAnsi="Times New Roman"/>
          <w:b/>
          <w:bCs/>
          <w:color w:val="000000" w:themeColor="text1"/>
          <w:kern w:val="2"/>
          <w:szCs w:val="24"/>
          <w:highlight w:val="none"/>
          <w:lang w:eastAsia="zh-CN"/>
          <w14:textFill>
            <w14:solidFill>
              <w14:schemeClr w14:val="tx1"/>
            </w14:solidFill>
          </w14:textFill>
        </w:rPr>
        <w:t>五</w:t>
      </w:r>
      <w:r>
        <w:rPr>
          <w:rFonts w:hint="eastAsia" w:ascii="Times New Roman" w:hAnsi="Times New Roman"/>
          <w:color w:val="000000" w:themeColor="text1"/>
          <w:kern w:val="2"/>
          <w:szCs w:val="24"/>
          <w:highlight w:val="none"/>
          <w14:textFill>
            <w14:solidFill>
              <w14:schemeClr w14:val="tx1"/>
            </w14:solidFill>
          </w14:textFill>
        </w:rPr>
        <w:t>、</w:t>
      </w:r>
      <w:r>
        <w:rPr>
          <w:rFonts w:hint="eastAsia" w:ascii="Times New Roman" w:hAnsi="Times New Roman"/>
          <w:b/>
          <w:bCs/>
          <w:color w:val="000000" w:themeColor="text1"/>
          <w:kern w:val="2"/>
          <w:szCs w:val="24"/>
          <w:highlight w:val="none"/>
          <w14:textFill>
            <w14:solidFill>
              <w14:schemeClr w14:val="tx1"/>
            </w14:solidFill>
          </w14:textFill>
        </w:rPr>
        <w:t>暂拟支付方式及期限</w:t>
      </w:r>
      <w:r>
        <w:rPr>
          <w:rFonts w:hint="eastAsia" w:ascii="Times New Roman" w:hAnsi="Times New Roman"/>
          <w:color w:val="000000" w:themeColor="text1"/>
          <w:kern w:val="2"/>
          <w:szCs w:val="24"/>
          <w:highlight w:val="none"/>
          <w14:textFill>
            <w14:solidFill>
              <w14:schemeClr w14:val="tx1"/>
            </w14:solidFill>
          </w14:textFill>
        </w:rPr>
        <w:t>：</w:t>
      </w:r>
    </w:p>
    <w:p w14:paraId="135B5D8A">
      <w:pPr>
        <w:pStyle w:val="27"/>
        <w:snapToGrid w:val="0"/>
        <w:spacing w:before="0" w:after="0" w:line="440" w:lineRule="exact"/>
        <w:ind w:left="0" w:right="0" w:firstLineChars="200"/>
        <w:jc w:val="left"/>
        <w:rPr>
          <w:rFonts w:hint="eastAsia" w:ascii="Times New Roman" w:hAnsi="Times New Roman" w:eastAsiaTheme="minorEastAsia"/>
          <w:b/>
          <w:bCs/>
          <w:color w:val="000000" w:themeColor="text1"/>
          <w:kern w:val="2"/>
          <w:highlight w:val="none"/>
          <w:lang w:val="en-US" w:eastAsia="zh-CN"/>
          <w14:textFill>
            <w14:solidFill>
              <w14:schemeClr w14:val="tx1"/>
            </w14:solidFill>
          </w14:textFill>
        </w:rPr>
      </w:pPr>
      <w:r>
        <w:rPr>
          <w:rFonts w:hint="eastAsia" w:ascii="Times New Roman" w:hAnsi="Times New Roman" w:eastAsiaTheme="minorEastAsia"/>
          <w:b/>
          <w:bCs/>
          <w:color w:val="000000" w:themeColor="text1"/>
          <w:kern w:val="2"/>
          <w:highlight w:val="none"/>
          <w:lang w:val="en-US" w:eastAsia="zh-CN"/>
          <w14:textFill>
            <w14:solidFill>
              <w14:schemeClr w14:val="tx1"/>
            </w14:solidFill>
          </w14:textFill>
        </w:rPr>
        <w:t>本项目分14个单体，统一招标，分批实施，分批验收。自合同签订之日起两年内，开工建设的项目，价格不受市场价格波动调整，成交供应商按采购人实际需求完成采购与安装；若两年期满仍有未实施部分，该部分需重新招标，采购人不负任何违约责任，请报价供应商充分考虑风险。</w:t>
      </w:r>
    </w:p>
    <w:p w14:paraId="5B22829D">
      <w:pPr>
        <w:pStyle w:val="27"/>
        <w:snapToGrid w:val="0"/>
        <w:spacing w:before="0" w:after="0" w:line="440" w:lineRule="exact"/>
        <w:ind w:left="0" w:right="0" w:firstLineChars="200"/>
        <w:jc w:val="left"/>
        <w:rPr>
          <w:rFonts w:hint="default" w:ascii="Times New Roman" w:hAnsi="Times New Roman" w:eastAsia="宋体"/>
          <w:b/>
          <w:bCs/>
          <w:color w:val="auto"/>
          <w:kern w:val="2"/>
          <w:highlight w:val="none"/>
          <w:lang w:val="en-US" w:eastAsia="zh-CN"/>
        </w:rPr>
      </w:pPr>
      <w:r>
        <w:rPr>
          <w:rFonts w:hint="eastAsia" w:ascii="Times New Roman" w:hAnsi="Times New Roman" w:eastAsiaTheme="minorEastAsia"/>
          <w:b w:val="0"/>
          <w:bCs w:val="0"/>
          <w:color w:val="auto"/>
          <w:kern w:val="2"/>
          <w:highlight w:val="none"/>
          <w:lang w:val="en-US" w:eastAsia="zh-CN"/>
        </w:rPr>
        <w:t>合同签订后，成交供应商收到采购人针对单个批次项目的进场通知后，采购人预付该批次项目合同价的10%（付款前，</w:t>
      </w:r>
      <w:r>
        <w:rPr>
          <w:color w:val="auto"/>
          <w:spacing w:val="7"/>
          <w:sz w:val="24"/>
          <w:szCs w:val="24"/>
          <w:highlight w:val="none"/>
        </w:rPr>
        <w:t>供应商</w:t>
      </w:r>
      <w:r>
        <w:rPr>
          <w:rFonts w:hint="eastAsia"/>
          <w:color w:val="auto"/>
          <w:spacing w:val="7"/>
          <w:sz w:val="24"/>
          <w:szCs w:val="24"/>
          <w:highlight w:val="none"/>
          <w:lang w:eastAsia="zh-CN"/>
        </w:rPr>
        <w:t>应先行</w:t>
      </w:r>
      <w:r>
        <w:rPr>
          <w:rFonts w:hint="eastAsia" w:ascii="宋体" w:hAnsi="宋体" w:eastAsia="宋体" w:cs="Times New Roman"/>
          <w:color w:val="auto"/>
          <w:sz w:val="24"/>
          <w:szCs w:val="24"/>
          <w:highlight w:val="none"/>
          <w:lang w:val="zh-CN"/>
        </w:rPr>
        <w:t>提供</w:t>
      </w:r>
      <w:r>
        <w:rPr>
          <w:rFonts w:hint="eastAsia" w:ascii="宋体" w:hAnsi="宋体" w:cs="Times New Roman"/>
          <w:color w:val="auto"/>
          <w:sz w:val="24"/>
          <w:szCs w:val="24"/>
          <w:highlight w:val="none"/>
          <w:lang w:val="zh-CN"/>
        </w:rPr>
        <w:t>等</w:t>
      </w:r>
      <w:r>
        <w:rPr>
          <w:rFonts w:hint="eastAsia" w:ascii="宋体" w:hAnsi="宋体" w:eastAsia="宋体" w:cs="Times New Roman"/>
          <w:color w:val="auto"/>
          <w:sz w:val="24"/>
          <w:szCs w:val="24"/>
          <w:highlight w:val="none"/>
          <w:lang w:val="zh-CN"/>
        </w:rPr>
        <w:t>额的无条件银行或保险保函，保函有效期需覆盖</w:t>
      </w:r>
      <w:r>
        <w:rPr>
          <w:rFonts w:hint="eastAsia" w:ascii="宋体" w:hAnsi="宋体" w:cs="Times New Roman"/>
          <w:color w:val="auto"/>
          <w:sz w:val="24"/>
          <w:szCs w:val="24"/>
          <w:highlight w:val="none"/>
          <w:lang w:val="zh-CN"/>
        </w:rPr>
        <w:t>该批次项目</w:t>
      </w:r>
      <w:r>
        <w:rPr>
          <w:rFonts w:hint="eastAsia" w:ascii="宋体" w:hAnsi="宋体" w:eastAsia="宋体" w:cs="Times New Roman"/>
          <w:color w:val="auto"/>
          <w:sz w:val="24"/>
          <w:szCs w:val="24"/>
          <w:highlight w:val="none"/>
          <w:lang w:val="zh-CN"/>
        </w:rPr>
        <w:t>工期</w:t>
      </w:r>
      <w:r>
        <w:rPr>
          <w:rFonts w:hint="eastAsia" w:ascii="宋体" w:hAnsi="宋体" w:cs="Times New Roman"/>
          <w:color w:val="auto"/>
          <w:sz w:val="24"/>
          <w:szCs w:val="24"/>
          <w:highlight w:val="none"/>
          <w:lang w:val="zh-CN"/>
        </w:rPr>
        <w:t>）</w:t>
      </w:r>
      <w:r>
        <w:rPr>
          <w:rFonts w:hint="eastAsia" w:ascii="宋体" w:hAnsi="宋体" w:eastAsia="宋体" w:cs="Times New Roman"/>
          <w:color w:val="auto"/>
          <w:sz w:val="24"/>
          <w:szCs w:val="24"/>
          <w:highlight w:val="none"/>
          <w:lang w:val="zh-CN"/>
        </w:rPr>
        <w:t>。</w:t>
      </w:r>
      <w:r>
        <w:rPr>
          <w:rFonts w:hint="eastAsia" w:ascii="宋体" w:hAnsi="宋体" w:cs="Times New Roman"/>
          <w:color w:val="auto"/>
          <w:sz w:val="24"/>
          <w:szCs w:val="24"/>
          <w:highlight w:val="none"/>
          <w:lang w:val="zh-CN"/>
        </w:rPr>
        <w:t>项目完工后，支付至该批次项目合同价的</w:t>
      </w:r>
      <w:r>
        <w:rPr>
          <w:rFonts w:hint="eastAsia" w:ascii="宋体" w:hAnsi="宋体" w:cs="Times New Roman"/>
          <w:color w:val="auto"/>
          <w:sz w:val="24"/>
          <w:szCs w:val="24"/>
          <w:highlight w:val="none"/>
          <w:lang w:val="en-US" w:eastAsia="zh-CN"/>
        </w:rPr>
        <w:t>60%，项目施工并网且工程竣工验收合格后付至该批次项目合同价的90%。余款在该批次项目并网试运行无质量问题后分5年付清，每年支付2%。</w:t>
      </w:r>
    </w:p>
    <w:p w14:paraId="0B75E08E">
      <w:pPr>
        <w:spacing w:line="440" w:lineRule="exact"/>
        <w:ind w:firstLine="480" w:firstLineChars="200"/>
        <w:rPr>
          <w:rFonts w:hint="eastAsia" w:ascii="Times New Roman" w:hAnsi="Times New Roman" w:cs="Times New Roman" w:eastAsiaTheme="minorEastAsia"/>
          <w:b/>
          <w:bCs/>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cs="Times New Roman" w:eastAsiaTheme="minorEastAsia"/>
          <w:b w:val="0"/>
          <w:bCs w:val="0"/>
          <w:color w:val="auto"/>
          <w:kern w:val="2"/>
          <w:sz w:val="24"/>
          <w:szCs w:val="24"/>
          <w:highlight w:val="none"/>
          <w:lang w:val="en-US" w:eastAsia="zh-CN" w:bidi="ar-SA"/>
        </w:rPr>
        <w:t>注：付款前成交供应商须向采购人提供有效的增值税专用发票，否则采购人有权不予付款，且不承担任何逾期付款责任。</w:t>
      </w:r>
    </w:p>
    <w:p w14:paraId="56ACD526">
      <w:pPr>
        <w:pStyle w:val="13"/>
        <w:widowControl/>
        <w:numPr>
          <w:ilvl w:val="0"/>
          <w:numId w:val="1"/>
        </w:numPr>
        <w:spacing w:line="440" w:lineRule="exact"/>
        <w:ind w:firstLine="482" w:firstLineChars="200"/>
        <w:jc w:val="both"/>
        <w:rPr>
          <w:rFonts w:hint="eastAsia" w:ascii="Times New Roman" w:hAnsi="Times New Roman"/>
          <w:color w:val="000000" w:themeColor="text1"/>
          <w:kern w:val="2"/>
          <w:szCs w:val="24"/>
          <w:highlight w:val="none"/>
          <w14:textFill>
            <w14:solidFill>
              <w14:schemeClr w14:val="tx1"/>
            </w14:solidFill>
          </w14:textFill>
        </w:rPr>
      </w:pPr>
      <w:r>
        <w:rPr>
          <w:rFonts w:hint="eastAsia" w:ascii="Times New Roman" w:hAnsi="Times New Roman"/>
          <w:b/>
          <w:bCs/>
          <w:color w:val="000000" w:themeColor="text1"/>
          <w:kern w:val="2"/>
          <w:szCs w:val="24"/>
          <w:highlight w:val="none"/>
          <w14:textFill>
            <w14:solidFill>
              <w14:schemeClr w14:val="tx1"/>
            </w14:solidFill>
          </w14:textFill>
        </w:rPr>
        <w:t>其他</w:t>
      </w:r>
      <w:r>
        <w:rPr>
          <w:rFonts w:hint="eastAsia" w:ascii="Times New Roman" w:hAnsi="Times New Roman"/>
          <w:color w:val="000000" w:themeColor="text1"/>
          <w:kern w:val="2"/>
          <w:szCs w:val="24"/>
          <w:highlight w:val="none"/>
          <w14:textFill>
            <w14:solidFill>
              <w14:schemeClr w14:val="tx1"/>
            </w14:solidFill>
          </w14:textFill>
        </w:rPr>
        <w:t>：⑴请报价单位认真核算、如实报价，如发现虚假报价的，</w:t>
      </w:r>
      <w:r>
        <w:rPr>
          <w:rFonts w:hint="eastAsia" w:ascii="宋体" w:hAnsi="宋体" w:eastAsia="宋体" w:cs="宋体"/>
          <w:color w:val="000000" w:themeColor="text1"/>
          <w:szCs w:val="24"/>
          <w:highlight w:val="none"/>
          <w14:textFill>
            <w14:solidFill>
              <w14:schemeClr w14:val="tx1"/>
            </w14:solidFill>
          </w14:textFill>
        </w:rPr>
        <w:t>该单位今后将记入采购单位黑名单</w:t>
      </w:r>
      <w:r>
        <w:rPr>
          <w:rFonts w:hint="eastAsia" w:ascii="Times New Roman" w:hAnsi="Times New Roman"/>
          <w:color w:val="000000" w:themeColor="text1"/>
          <w:kern w:val="2"/>
          <w:szCs w:val="24"/>
          <w:highlight w:val="none"/>
          <w14:textFill>
            <w14:solidFill>
              <w14:schemeClr w14:val="tx1"/>
            </w14:solidFill>
          </w14:textFill>
        </w:rPr>
        <w:t>；⑵本次报价仅作为市场调研用，因此价格仅供参考；⑶本次调研询价不接收质疑函，只接收对本项目的建议。</w:t>
      </w:r>
    </w:p>
    <w:p w14:paraId="46641312">
      <w:pPr>
        <w:pStyle w:val="13"/>
        <w:widowControl/>
        <w:numPr>
          <w:ilvl w:val="0"/>
          <w:numId w:val="0"/>
        </w:numPr>
        <w:spacing w:line="440" w:lineRule="exact"/>
        <w:jc w:val="both"/>
        <w:rPr>
          <w:rFonts w:hint="eastAsia" w:ascii="Times New Roman" w:hAnsi="Times New Roman"/>
          <w:color w:val="000000" w:themeColor="text1"/>
          <w:kern w:val="2"/>
          <w:sz w:val="10"/>
          <w:szCs w:val="10"/>
          <w:highlight w:val="none"/>
          <w14:textFill>
            <w14:solidFill>
              <w14:schemeClr w14:val="tx1"/>
            </w14:solidFill>
          </w14:textFill>
        </w:rPr>
      </w:pPr>
    </w:p>
    <w:p w14:paraId="383D1264">
      <w:pPr>
        <w:pStyle w:val="6"/>
        <w:jc w:val="right"/>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cs="Times New Roman"/>
          <w:color w:val="000000" w:themeColor="text1"/>
          <w:sz w:val="24"/>
          <w:szCs w:val="24"/>
          <w:highlight w:val="none"/>
          <w14:textFill>
            <w14:solidFill>
              <w14:schemeClr w14:val="tx1"/>
            </w14:solidFill>
          </w14:textFill>
        </w:rPr>
        <w:t>江苏产控新能源科技有限公司</w:t>
      </w:r>
      <w:r>
        <w:rPr>
          <w:rFonts w:ascii="Times New Roman" w:hAnsi="Times New Roman" w:cs="Times New Roman"/>
          <w:color w:val="000000" w:themeColor="text1"/>
          <w:sz w:val="24"/>
          <w:szCs w:val="24"/>
          <w:highlight w:val="none"/>
          <w14:textFill>
            <w14:solidFill>
              <w14:schemeClr w14:val="tx1"/>
            </w14:solidFill>
          </w14:textFill>
        </w:rPr>
        <w:t xml:space="preserve">                                   </w:t>
      </w:r>
    </w:p>
    <w:p w14:paraId="4BFEDD74">
      <w:pPr>
        <w:ind w:firstLine="480"/>
        <w:jc w:val="right"/>
        <w:rPr>
          <w:rFonts w:ascii="Times New Roman" w:hAnsi="Times New Roman" w:cs="Times New Roman"/>
          <w:color w:val="000000" w:themeColor="text1"/>
          <w:sz w:val="24"/>
          <w:szCs w:val="24"/>
          <w:highlight w:val="none"/>
          <w14:textFill>
            <w14:solidFill>
              <w14:schemeClr w14:val="tx1"/>
            </w14:solidFill>
          </w14:textFill>
        </w:rPr>
        <w:sectPr>
          <w:footerReference r:id="rId3" w:type="default"/>
          <w:pgSz w:w="11906" w:h="16838"/>
          <w:pgMar w:top="1440" w:right="1800" w:bottom="1440" w:left="1800" w:header="851" w:footer="992" w:gutter="0"/>
          <w:pgNumType w:fmt="numberInDash"/>
          <w:cols w:space="425" w:num="1"/>
          <w:docGrid w:type="lines" w:linePitch="312" w:charSpace="0"/>
        </w:sectPr>
      </w:pPr>
      <w:r>
        <w:rPr>
          <w:rFonts w:ascii="Times New Roman" w:hAnsi="Times New Roman" w:cs="Times New Roman"/>
          <w:color w:val="000000" w:themeColor="text1"/>
          <w:sz w:val="24"/>
          <w:szCs w:val="24"/>
          <w:highlight w:val="none"/>
          <w14:textFill>
            <w14:solidFill>
              <w14:schemeClr w14:val="tx1"/>
            </w14:solidFill>
          </w14:textFill>
        </w:rPr>
        <w:t xml:space="preserve">       202</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6</w:t>
      </w:r>
      <w:r>
        <w:rPr>
          <w:rFonts w:ascii="Times New Roman" w:hAnsi="Times New Roman" w:cs="Times New Roman"/>
          <w:color w:val="000000" w:themeColor="text1"/>
          <w:sz w:val="24"/>
          <w:szCs w:val="24"/>
          <w:highlight w:val="none"/>
          <w14:textFill>
            <w14:solidFill>
              <w14:schemeClr w14:val="tx1"/>
            </w14:solidFill>
          </w14:textFill>
        </w:rPr>
        <w:t>年</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1</w:t>
      </w:r>
      <w:r>
        <w:rPr>
          <w:rFonts w:ascii="Times New Roman" w:hAnsi="Times New Roman" w:cs="Times New Roman"/>
          <w:color w:val="000000" w:themeColor="text1"/>
          <w:sz w:val="24"/>
          <w:szCs w:val="24"/>
          <w:highlight w:val="none"/>
          <w14:textFill>
            <w14:solidFill>
              <w14:schemeClr w14:val="tx1"/>
            </w14:solidFill>
          </w14:textFill>
        </w:rPr>
        <w:t>月</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5</w:t>
      </w:r>
      <w:r>
        <w:rPr>
          <w:rFonts w:hint="eastAsia" w:ascii="Times New Roman" w:hAnsi="Times New Roman" w:cs="Times New Roman"/>
          <w:color w:val="000000" w:themeColor="text1"/>
          <w:sz w:val="24"/>
          <w:szCs w:val="24"/>
          <w:highlight w:val="none"/>
          <w14:textFill>
            <w14:solidFill>
              <w14:schemeClr w14:val="tx1"/>
            </w14:solidFill>
          </w14:textFill>
        </w:rPr>
        <w:t>日</w:t>
      </w:r>
    </w:p>
    <w:p w14:paraId="5CD50B3B">
      <w:pPr>
        <w:rPr>
          <w:rFonts w:hint="eastAsia" w:ascii="Times New Roman" w:hAnsi="Times New Roman" w:eastAsia="宋体" w:cs="Times New Roman"/>
          <w:b/>
          <w:bCs/>
          <w:kern w:val="0"/>
          <w:sz w:val="28"/>
          <w:szCs w:val="28"/>
          <w:lang w:val="en-US" w:eastAsia="zh-CN" w:bidi="ar-SA"/>
        </w:rPr>
      </w:pPr>
      <w:r>
        <w:rPr>
          <w:rFonts w:hint="eastAsia" w:ascii="宋体" w:hAnsi="宋体" w:eastAsia="宋体" w:cs="宋体"/>
          <w:sz w:val="24"/>
          <w:szCs w:val="24"/>
        </w:rPr>
        <w:t xml:space="preserve"> </w:t>
      </w:r>
      <w:r>
        <w:rPr>
          <w:rFonts w:hint="eastAsia" w:ascii="Times New Roman" w:hAnsi="Times New Roman" w:eastAsia="宋体" w:cs="Times New Roman"/>
          <w:b/>
          <w:bCs/>
          <w:kern w:val="0"/>
          <w:sz w:val="28"/>
          <w:szCs w:val="28"/>
          <w:lang w:val="en-US" w:eastAsia="zh-CN" w:bidi="ar-SA"/>
        </w:rPr>
        <w:t>附件1：本项目相关材料设备技术参数必须满足或优于以下要求：</w:t>
      </w:r>
    </w:p>
    <w:p w14:paraId="21255EB6">
      <w:pPr>
        <w:pStyle w:val="6"/>
        <w:spacing w:after="0" w:line="460" w:lineRule="exact"/>
        <w:ind w:left="0" w:leftChars="0" w:firstLine="482" w:firstLineChars="200"/>
        <w:jc w:val="left"/>
        <w:rPr>
          <w:rFonts w:ascii="仿宋" w:hAnsi="仿宋" w:eastAsia="仿宋" w:cs="仿宋"/>
          <w:b/>
          <w:bCs/>
          <w:sz w:val="24"/>
          <w:szCs w:val="24"/>
          <w:shd w:val="clear" w:color="auto" w:fill="FFFFFF"/>
        </w:rPr>
      </w:pPr>
      <w:r>
        <w:rPr>
          <w:rFonts w:hint="eastAsia" w:ascii="仿宋" w:hAnsi="仿宋" w:eastAsia="仿宋" w:cs="仿宋"/>
          <w:b/>
          <w:bCs/>
          <w:sz w:val="24"/>
          <w:szCs w:val="24"/>
          <w:shd w:val="clear" w:color="auto" w:fill="FFFFFF"/>
        </w:rPr>
        <w:t>一、光伏组件（核心产品）</w:t>
      </w:r>
    </w:p>
    <w:p w14:paraId="0F46BF63">
      <w:pPr>
        <w:spacing w:line="460" w:lineRule="exact"/>
        <w:ind w:firstLine="480" w:firstLineChars="200"/>
        <w:jc w:val="left"/>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1.所选组件应为高性能A片。</w:t>
      </w:r>
    </w:p>
    <w:p w14:paraId="5E23CA87">
      <w:pPr>
        <w:spacing w:line="460" w:lineRule="exact"/>
        <w:ind w:firstLine="480" w:firstLineChars="200"/>
        <w:jc w:val="left"/>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2.寿命及功率衰减：太阳能电池组件的使用寿命＞25年，首年功率衰减率≤2%，第二年开始发电效率衰减率（平均衰减率）≤0.55%，25年后系统效率≥80%。</w:t>
      </w:r>
    </w:p>
    <w:p w14:paraId="3E79E28B">
      <w:pPr>
        <w:pStyle w:val="6"/>
        <w:spacing w:after="0" w:line="460" w:lineRule="exact"/>
        <w:ind w:left="0" w:leftChars="0" w:firstLine="482" w:firstLineChars="200"/>
        <w:jc w:val="left"/>
        <w:rPr>
          <w:rFonts w:ascii="仿宋" w:hAnsi="仿宋" w:eastAsia="仿宋" w:cs="仿宋"/>
          <w:b/>
          <w:bCs/>
          <w:sz w:val="24"/>
          <w:szCs w:val="24"/>
          <w:shd w:val="clear" w:color="auto" w:fill="FFFFFF"/>
        </w:rPr>
      </w:pPr>
      <w:r>
        <w:rPr>
          <w:rFonts w:hint="eastAsia" w:ascii="仿宋" w:hAnsi="仿宋" w:eastAsia="仿宋" w:cs="仿宋"/>
          <w:b/>
          <w:bCs/>
          <w:sz w:val="24"/>
          <w:szCs w:val="24"/>
          <w:shd w:val="clear" w:color="auto" w:fill="FFFFFF"/>
        </w:rPr>
        <w:t>二、逆变器</w:t>
      </w:r>
    </w:p>
    <w:p w14:paraId="50054C1E">
      <w:pPr>
        <w:pStyle w:val="6"/>
        <w:spacing w:after="0" w:line="460" w:lineRule="exact"/>
        <w:ind w:left="0" w:leftChars="0" w:firstLine="480" w:firstLineChars="200"/>
        <w:jc w:val="left"/>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1.设备使用环境条件</w:t>
      </w:r>
    </w:p>
    <w:p w14:paraId="53D1F038">
      <w:pPr>
        <w:pStyle w:val="6"/>
        <w:spacing w:after="0" w:line="460" w:lineRule="exact"/>
        <w:ind w:left="0" w:leftChars="0" w:firstLine="480" w:firstLineChars="200"/>
        <w:jc w:val="left"/>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1.1极端最高气温光伏逆变器应在下述条件下连续工作满足其所有性能指标：</w:t>
      </w:r>
    </w:p>
    <w:p w14:paraId="632FFE64">
      <w:pPr>
        <w:pStyle w:val="6"/>
        <w:spacing w:after="0" w:line="460" w:lineRule="exact"/>
        <w:ind w:left="0" w:leftChars="0" w:firstLine="480" w:firstLineChars="200"/>
        <w:jc w:val="left"/>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1.2环境温度：－40℃～＋70℃；</w:t>
      </w:r>
    </w:p>
    <w:p w14:paraId="1C9DFA57">
      <w:pPr>
        <w:pStyle w:val="6"/>
        <w:spacing w:after="0" w:line="460" w:lineRule="exact"/>
        <w:ind w:left="0" w:leftChars="0" w:firstLine="480" w:firstLineChars="200"/>
        <w:jc w:val="left"/>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1.3相对湿度：≤95%；</w:t>
      </w:r>
    </w:p>
    <w:p w14:paraId="069BB981">
      <w:pPr>
        <w:pStyle w:val="6"/>
        <w:spacing w:after="0" w:line="460" w:lineRule="exact"/>
        <w:ind w:left="0" w:leftChars="0" w:firstLine="480" w:firstLineChars="200"/>
        <w:jc w:val="left"/>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1.4组串逆变器应满足-40℃～50℃环境下的存储运输要求，防护等级IP≥65；</w:t>
      </w:r>
    </w:p>
    <w:p w14:paraId="06191E28">
      <w:pPr>
        <w:pStyle w:val="6"/>
        <w:spacing w:after="0" w:line="460" w:lineRule="exact"/>
        <w:ind w:left="0" w:leftChars="0" w:firstLine="480" w:firstLineChars="200"/>
        <w:jc w:val="left"/>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1.5单台逆变器的额定容量</w:t>
      </w:r>
      <w:bookmarkStart w:id="2" w:name="_Toc436383282"/>
      <w:r>
        <w:rPr>
          <w:rFonts w:hint="eastAsia" w:ascii="仿宋" w:hAnsi="仿宋" w:eastAsia="仿宋" w:cs="仿宋"/>
          <w:sz w:val="24"/>
          <w:szCs w:val="24"/>
          <w:shd w:val="clear" w:color="auto" w:fill="FFFFFF"/>
        </w:rPr>
        <w:t>配比≤1.1。</w:t>
      </w:r>
    </w:p>
    <w:p w14:paraId="27A4D073">
      <w:pPr>
        <w:pStyle w:val="6"/>
        <w:spacing w:after="0" w:line="460" w:lineRule="exact"/>
        <w:ind w:left="0" w:leftChars="0" w:firstLine="480" w:firstLineChars="200"/>
        <w:jc w:val="left"/>
        <w:rPr>
          <w:rFonts w:hint="eastAsia" w:ascii="Times New Roman" w:hAnsi="Times New Roman" w:eastAsia="仿宋" w:cs="Times New Roman"/>
          <w:sz w:val="24"/>
          <w:szCs w:val="24"/>
          <w:shd w:val="clear" w:color="auto" w:fill="FFFFFF"/>
        </w:rPr>
      </w:pPr>
      <w:r>
        <w:rPr>
          <w:rFonts w:hint="eastAsia" w:ascii="仿宋" w:hAnsi="仿宋" w:eastAsia="仿宋" w:cs="仿宋"/>
          <w:sz w:val="24"/>
          <w:szCs w:val="24"/>
          <w:shd w:val="clear" w:color="auto" w:fill="FFFFFF"/>
        </w:rPr>
        <w:t>2.逆变器的额定容量</w:t>
      </w:r>
      <w:r>
        <w:rPr>
          <w:rFonts w:ascii="Times New Roman" w:hAnsi="Times New Roman" w:eastAsia="仿宋" w:cs="Times New Roman"/>
          <w:sz w:val="24"/>
          <w:szCs w:val="24"/>
          <w:shd w:val="clear" w:color="auto" w:fill="FFFFFF"/>
        </w:rPr>
        <w:t>：50~100KW。</w:t>
      </w:r>
      <w:bookmarkEnd w:id="2"/>
    </w:p>
    <w:p w14:paraId="7CAD0889">
      <w:pPr>
        <w:pStyle w:val="7"/>
      </w:pPr>
    </w:p>
    <w:p w14:paraId="52FBBFB6">
      <w:pPr>
        <w:pStyle w:val="5"/>
        <w:rPr>
          <w:rFonts w:hint="eastAsia"/>
          <w:b/>
          <w:bCs/>
          <w:sz w:val="32"/>
          <w:szCs w:val="32"/>
          <w:lang w:val="en-US" w:eastAsia="zh-CN"/>
        </w:rPr>
      </w:pPr>
    </w:p>
    <w:p w14:paraId="0E21E225">
      <w:pPr>
        <w:pStyle w:val="5"/>
        <w:rPr>
          <w:rFonts w:hint="eastAsia"/>
          <w:b/>
          <w:bCs/>
          <w:sz w:val="32"/>
          <w:szCs w:val="32"/>
          <w:lang w:val="en-US" w:eastAsia="zh-CN"/>
        </w:rPr>
      </w:pPr>
    </w:p>
    <w:p w14:paraId="6529D17B">
      <w:pPr>
        <w:pStyle w:val="5"/>
        <w:rPr>
          <w:rFonts w:hint="eastAsia"/>
          <w:b/>
          <w:bCs/>
          <w:sz w:val="32"/>
          <w:szCs w:val="32"/>
          <w:lang w:val="en-US" w:eastAsia="zh-CN"/>
        </w:rPr>
      </w:pPr>
    </w:p>
    <w:p w14:paraId="1F4D512F">
      <w:pPr>
        <w:pStyle w:val="5"/>
        <w:rPr>
          <w:rFonts w:hint="eastAsia"/>
          <w:b/>
          <w:bCs/>
          <w:sz w:val="32"/>
          <w:szCs w:val="32"/>
          <w:lang w:val="en-US" w:eastAsia="zh-CN"/>
        </w:rPr>
      </w:pPr>
    </w:p>
    <w:p w14:paraId="43BF93C4">
      <w:pPr>
        <w:pStyle w:val="5"/>
        <w:rPr>
          <w:rFonts w:hint="eastAsia"/>
          <w:b/>
          <w:bCs/>
          <w:sz w:val="32"/>
          <w:szCs w:val="32"/>
          <w:lang w:val="en-US" w:eastAsia="zh-CN"/>
        </w:rPr>
      </w:pPr>
    </w:p>
    <w:p w14:paraId="252C2EED">
      <w:pPr>
        <w:pStyle w:val="5"/>
        <w:rPr>
          <w:rFonts w:hint="eastAsia"/>
          <w:b/>
          <w:bCs/>
          <w:sz w:val="32"/>
          <w:szCs w:val="32"/>
          <w:lang w:val="en-US" w:eastAsia="zh-CN"/>
        </w:rPr>
      </w:pPr>
    </w:p>
    <w:p w14:paraId="781051BC">
      <w:pPr>
        <w:pStyle w:val="5"/>
        <w:rPr>
          <w:rFonts w:hint="eastAsia"/>
          <w:b/>
          <w:bCs/>
          <w:sz w:val="32"/>
          <w:szCs w:val="32"/>
          <w:lang w:val="en-US" w:eastAsia="zh-CN"/>
        </w:rPr>
      </w:pPr>
    </w:p>
    <w:p w14:paraId="3FEEEB61">
      <w:pPr>
        <w:pStyle w:val="5"/>
        <w:rPr>
          <w:rFonts w:hint="eastAsia"/>
          <w:b/>
          <w:bCs/>
          <w:sz w:val="32"/>
          <w:szCs w:val="32"/>
          <w:lang w:val="en-US" w:eastAsia="zh-CN"/>
        </w:rPr>
      </w:pPr>
    </w:p>
    <w:p w14:paraId="56F6D9D1">
      <w:pPr>
        <w:pStyle w:val="5"/>
        <w:rPr>
          <w:rFonts w:hint="default" w:ascii="Times New Roman" w:hAnsi="Times New Roman" w:eastAsia="宋体" w:cs="Times New Roman"/>
          <w:b/>
          <w:bCs/>
          <w:kern w:val="0"/>
          <w:sz w:val="28"/>
          <w:szCs w:val="28"/>
          <w:lang w:val="en-US" w:eastAsia="zh-CN" w:bidi="ar-SA"/>
        </w:rPr>
      </w:pPr>
      <w:r>
        <w:rPr>
          <w:rFonts w:hint="eastAsia" w:ascii="Times New Roman" w:hAnsi="Times New Roman" w:eastAsia="宋体" w:cs="Times New Roman"/>
          <w:b/>
          <w:bCs/>
          <w:kern w:val="0"/>
          <w:sz w:val="28"/>
          <w:szCs w:val="28"/>
          <w:lang w:val="en-US" w:eastAsia="zh-CN" w:bidi="ar-SA"/>
        </w:rPr>
        <w:t>附件2</w:t>
      </w:r>
    </w:p>
    <w:p w14:paraId="4A990249">
      <w:pPr>
        <w:jc w:val="center"/>
        <w:rPr>
          <w:rFonts w:hint="eastAsia" w:ascii="??_GB2312" w:hAnsi="宋体" w:eastAsia="Times New Roman" w:cs="Times New Roman"/>
          <w:b/>
          <w:bCs/>
          <w:color w:val="000000"/>
          <w:sz w:val="32"/>
          <w:szCs w:val="32"/>
        </w:rPr>
      </w:pPr>
      <w:r>
        <w:rPr>
          <w:rFonts w:hint="eastAsia" w:ascii="??_GB2312" w:hAnsi="宋体" w:eastAsia="Times New Roman" w:cs="Times New Roman"/>
          <w:b/>
          <w:bCs/>
          <w:color w:val="000000"/>
          <w:sz w:val="32"/>
          <w:szCs w:val="32"/>
        </w:rPr>
        <w:t>江苏产控新能源光伏一期项目</w:t>
      </w:r>
    </w:p>
    <w:p w14:paraId="3B4ECCF3">
      <w:pPr>
        <w:jc w:val="center"/>
        <w:rPr>
          <w:rFonts w:hint="eastAsia" w:ascii="??_GB2312" w:hAnsi="宋体" w:eastAsia="宋体" w:cs="Times New Roman"/>
          <w:b/>
          <w:bCs/>
          <w:color w:val="000000"/>
          <w:sz w:val="32"/>
          <w:szCs w:val="32"/>
          <w:lang w:val="en-US" w:eastAsia="zh-CN"/>
        </w:rPr>
      </w:pPr>
      <w:r>
        <w:rPr>
          <w:rFonts w:ascii="??_GB2312" w:hAnsi="宋体" w:eastAsia="Times New Roman" w:cs="Times New Roman"/>
          <w:b/>
          <w:bCs/>
          <w:color w:val="000000"/>
          <w:sz w:val="32"/>
          <w:szCs w:val="32"/>
        </w:rPr>
        <w:t>报</w:t>
      </w:r>
      <w:r>
        <w:rPr>
          <w:rFonts w:hint="eastAsia" w:ascii="??_GB2312" w:hAnsi="宋体" w:eastAsia="宋体" w:cs="Times New Roman"/>
          <w:b/>
          <w:bCs/>
          <w:color w:val="000000"/>
          <w:sz w:val="32"/>
          <w:szCs w:val="32"/>
          <w:lang w:val="en-US" w:eastAsia="zh-CN"/>
        </w:rPr>
        <w:t xml:space="preserve"> </w:t>
      </w:r>
      <w:r>
        <w:rPr>
          <w:rFonts w:ascii="??_GB2312" w:hAnsi="宋体" w:eastAsia="Times New Roman" w:cs="Times New Roman"/>
          <w:b/>
          <w:bCs/>
          <w:color w:val="000000"/>
          <w:sz w:val="32"/>
          <w:szCs w:val="32"/>
        </w:rPr>
        <w:t>价</w:t>
      </w:r>
      <w:r>
        <w:rPr>
          <w:rFonts w:hint="eastAsia" w:ascii="??_GB2312" w:hAnsi="宋体" w:eastAsia="宋体" w:cs="Times New Roman"/>
          <w:b/>
          <w:bCs/>
          <w:color w:val="000000"/>
          <w:sz w:val="32"/>
          <w:szCs w:val="32"/>
          <w:lang w:val="en-US" w:eastAsia="zh-CN"/>
        </w:rPr>
        <w:t xml:space="preserve"> </w:t>
      </w:r>
      <w:r>
        <w:rPr>
          <w:rFonts w:ascii="??_GB2312" w:hAnsi="宋体" w:eastAsia="Times New Roman" w:cs="Times New Roman"/>
          <w:b/>
          <w:bCs/>
          <w:color w:val="000000"/>
          <w:sz w:val="32"/>
          <w:szCs w:val="32"/>
        </w:rPr>
        <w:t>表</w:t>
      </w:r>
      <w:r>
        <w:rPr>
          <w:rFonts w:hint="eastAsia" w:ascii="??_GB2312" w:hAnsi="宋体" w:eastAsia="宋体" w:cs="Times New Roman"/>
          <w:b/>
          <w:bCs/>
          <w:color w:val="000000"/>
          <w:sz w:val="32"/>
          <w:szCs w:val="32"/>
          <w:lang w:val="en-US" w:eastAsia="zh-CN"/>
        </w:rPr>
        <w:t xml:space="preserve"> </w:t>
      </w:r>
    </w:p>
    <w:p w14:paraId="3DBCB238">
      <w:pPr>
        <w:pStyle w:val="5"/>
        <w:jc w:val="center"/>
      </w:pPr>
    </w:p>
    <w:tbl>
      <w:tblPr>
        <w:tblStyle w:val="15"/>
        <w:tblW w:w="7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582"/>
        <w:gridCol w:w="2868"/>
        <w:gridCol w:w="2425"/>
      </w:tblGrid>
      <w:tr w14:paraId="70628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7" w:hRule="exact"/>
          <w:jc w:val="center"/>
        </w:trPr>
        <w:tc>
          <w:tcPr>
            <w:tcW w:w="2582" w:type="dxa"/>
            <w:noWrap w:val="0"/>
            <w:vAlign w:val="center"/>
          </w:tcPr>
          <w:p w14:paraId="67B696CF">
            <w:pPr>
              <w:spacing w:line="360" w:lineRule="exact"/>
              <w:jc w:val="center"/>
              <w:rPr>
                <w:rFonts w:hint="default" w:ascii="??_GB2312" w:hAnsi="宋体" w:eastAsia="Times New Roman" w:cs="Times New Roman"/>
                <w:b/>
                <w:bCs/>
                <w:color w:val="000000"/>
                <w:sz w:val="28"/>
                <w:szCs w:val="28"/>
                <w:lang w:val="en-US" w:eastAsia="zh-CN"/>
              </w:rPr>
            </w:pPr>
            <w:r>
              <w:rPr>
                <w:rFonts w:hint="eastAsia" w:ascii="??_GB2312" w:hAnsi="宋体" w:eastAsia="Times New Roman" w:cs="Times New Roman"/>
                <w:b/>
                <w:bCs/>
                <w:color w:val="000000"/>
                <w:sz w:val="28"/>
                <w:szCs w:val="28"/>
                <w:lang w:val="en-US" w:eastAsia="zh-CN"/>
              </w:rPr>
              <w:t>项目位置</w:t>
            </w:r>
          </w:p>
        </w:tc>
        <w:tc>
          <w:tcPr>
            <w:tcW w:w="2868" w:type="dxa"/>
            <w:noWrap w:val="0"/>
            <w:vAlign w:val="center"/>
          </w:tcPr>
          <w:p w14:paraId="101F05C5">
            <w:pPr>
              <w:spacing w:line="360" w:lineRule="exact"/>
              <w:jc w:val="center"/>
              <w:rPr>
                <w:rFonts w:hint="eastAsia" w:ascii="??_GB2312" w:hAnsi="宋体" w:eastAsia="Times New Roman" w:cs="Times New Roman"/>
                <w:b/>
                <w:bCs/>
                <w:color w:val="000000"/>
                <w:sz w:val="28"/>
                <w:szCs w:val="28"/>
                <w:lang w:val="en-US" w:eastAsia="zh-CN"/>
              </w:rPr>
            </w:pPr>
            <w:r>
              <w:rPr>
                <w:rFonts w:hint="eastAsia" w:ascii="??_GB2312" w:hAnsi="宋体" w:eastAsia="Times New Roman" w:cs="Times New Roman"/>
                <w:b/>
                <w:bCs/>
                <w:color w:val="000000"/>
                <w:sz w:val="28"/>
                <w:szCs w:val="28"/>
              </w:rPr>
              <w:t>计划装机容量（KW）</w:t>
            </w:r>
          </w:p>
        </w:tc>
        <w:tc>
          <w:tcPr>
            <w:tcW w:w="2425" w:type="dxa"/>
            <w:noWrap w:val="0"/>
            <w:vAlign w:val="center"/>
          </w:tcPr>
          <w:p w14:paraId="7B099D6D">
            <w:pPr>
              <w:spacing w:line="360" w:lineRule="exact"/>
              <w:jc w:val="center"/>
              <w:rPr>
                <w:rFonts w:hint="eastAsia" w:ascii="??_GB2312" w:hAnsi="宋体" w:eastAsia="Times New Roman" w:cs="Times New Roman"/>
                <w:b/>
                <w:bCs/>
                <w:color w:val="000000"/>
                <w:sz w:val="28"/>
                <w:szCs w:val="28"/>
                <w:lang w:val="en-US" w:eastAsia="zh-CN"/>
              </w:rPr>
            </w:pPr>
            <w:r>
              <w:rPr>
                <w:rFonts w:hint="eastAsia" w:ascii="??_GB2312" w:hAnsi="宋体" w:eastAsia="Times New Roman" w:cs="Times New Roman"/>
                <w:b/>
                <w:bCs/>
                <w:color w:val="000000"/>
                <w:sz w:val="28"/>
                <w:szCs w:val="28"/>
                <w:lang w:val="en-US" w:eastAsia="zh-CN"/>
              </w:rPr>
              <w:t>综合单价报价</w:t>
            </w:r>
          </w:p>
        </w:tc>
      </w:tr>
      <w:tr w14:paraId="243C2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56" w:hRule="exact"/>
          <w:jc w:val="center"/>
        </w:trPr>
        <w:tc>
          <w:tcPr>
            <w:tcW w:w="2582" w:type="dxa"/>
            <w:noWrap w:val="0"/>
            <w:vAlign w:val="center"/>
          </w:tcPr>
          <w:p w14:paraId="53B931B3">
            <w:pPr>
              <w:spacing w:line="360" w:lineRule="exact"/>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sz w:val="24"/>
                <w:szCs w:val="24"/>
              </w:rPr>
              <w:t>吴江高端制造产业园（1-6幢</w:t>
            </w:r>
            <w:r>
              <w:rPr>
                <w:rFonts w:hint="eastAsia" w:ascii="宋体" w:hAnsi="宋体" w:eastAsia="宋体" w:cs="宋体"/>
                <w:sz w:val="24"/>
                <w:szCs w:val="24"/>
                <w:lang w:eastAsia="zh-CN"/>
              </w:rPr>
              <w:t>）、</w:t>
            </w:r>
            <w:r>
              <w:rPr>
                <w:rFonts w:hint="eastAsia" w:ascii="宋体" w:hAnsi="宋体" w:eastAsia="宋体" w:cs="宋体"/>
                <w:sz w:val="24"/>
                <w:szCs w:val="24"/>
              </w:rPr>
              <w:t>东晟智造产业园（车间A2、A3、B2、B3、C2、C3</w:t>
            </w:r>
            <w:r>
              <w:rPr>
                <w:rFonts w:hint="eastAsia" w:ascii="宋体" w:hAnsi="宋体" w:eastAsia="宋体" w:cs="宋体"/>
                <w:sz w:val="24"/>
                <w:szCs w:val="24"/>
                <w:lang w:eastAsia="zh-CN"/>
              </w:rPr>
              <w:t>）、</w:t>
            </w:r>
            <w:r>
              <w:rPr>
                <w:rFonts w:hint="eastAsia" w:ascii="宋体" w:hAnsi="宋体" w:eastAsia="宋体" w:cs="宋体"/>
                <w:sz w:val="24"/>
                <w:szCs w:val="24"/>
              </w:rPr>
              <w:t>北新镇中心镇农贸菜场</w:t>
            </w:r>
            <w:r>
              <w:rPr>
                <w:rFonts w:hint="eastAsia" w:ascii="宋体" w:hAnsi="宋体" w:eastAsia="宋体" w:cs="宋体"/>
                <w:sz w:val="24"/>
                <w:szCs w:val="24"/>
                <w:lang w:eastAsia="zh-CN"/>
              </w:rPr>
              <w:t>、</w:t>
            </w:r>
            <w:r>
              <w:rPr>
                <w:rFonts w:hint="eastAsia" w:ascii="宋体" w:hAnsi="宋体" w:eastAsia="宋体" w:cs="宋体"/>
                <w:sz w:val="24"/>
                <w:szCs w:val="24"/>
              </w:rPr>
              <w:t>海工园西功能区一期菜市场</w:t>
            </w:r>
          </w:p>
        </w:tc>
        <w:tc>
          <w:tcPr>
            <w:tcW w:w="2868" w:type="dxa"/>
            <w:noWrap w:val="0"/>
            <w:vAlign w:val="center"/>
          </w:tcPr>
          <w:p w14:paraId="02B396F4">
            <w:pPr>
              <w:spacing w:line="360" w:lineRule="exact"/>
              <w:jc w:val="center"/>
              <w:rPr>
                <w:rFonts w:hint="eastAsia" w:ascii="??_GB2312" w:hAnsi="宋体" w:eastAsia="Times New Roman" w:cs="Times New Roman"/>
                <w:b w:val="0"/>
                <w:bCs w:val="0"/>
                <w:color w:val="000000"/>
                <w:sz w:val="24"/>
                <w:szCs w:val="24"/>
                <w:lang w:val="en-US" w:eastAsia="zh-CN"/>
              </w:rPr>
            </w:pPr>
            <w:r>
              <w:rPr>
                <w:rFonts w:hint="eastAsia" w:ascii="??_GB2312" w:hAnsi="宋体" w:eastAsia="Times New Roman" w:cs="Times New Roman"/>
                <w:b w:val="0"/>
                <w:bCs w:val="0"/>
                <w:color w:val="000000"/>
                <w:sz w:val="24"/>
                <w:szCs w:val="24"/>
                <w:lang w:val="en-US" w:eastAsia="zh-CN"/>
              </w:rPr>
              <w:t>5402.58 KW</w:t>
            </w:r>
          </w:p>
        </w:tc>
        <w:tc>
          <w:tcPr>
            <w:tcW w:w="2425" w:type="dxa"/>
            <w:noWrap w:val="0"/>
            <w:vAlign w:val="center"/>
          </w:tcPr>
          <w:p w14:paraId="1F0A4359">
            <w:pPr>
              <w:spacing w:line="360" w:lineRule="exact"/>
              <w:jc w:val="center"/>
              <w:rPr>
                <w:rFonts w:hint="eastAsia" w:ascii="??_GB2312" w:hAnsi="宋体" w:eastAsia="Times New Roman" w:cs="Times New Roman"/>
                <w:b w:val="0"/>
                <w:bCs w:val="0"/>
                <w:color w:val="000000"/>
                <w:sz w:val="24"/>
                <w:szCs w:val="24"/>
                <w:lang w:val="en-US" w:eastAsia="zh-CN"/>
              </w:rPr>
            </w:pPr>
            <w:r>
              <w:rPr>
                <w:rFonts w:hint="eastAsia" w:ascii="??_GB2312" w:hAnsi="宋体" w:eastAsia="Times New Roman" w:cs="Times New Roman"/>
                <w:b w:val="0"/>
                <w:bCs w:val="0"/>
                <w:color w:val="000000"/>
                <w:sz w:val="24"/>
                <w:szCs w:val="24"/>
                <w:lang w:val="en-US" w:eastAsia="zh-CN"/>
              </w:rPr>
              <w:t>¥        元/W</w:t>
            </w:r>
          </w:p>
        </w:tc>
      </w:tr>
      <w:tr w14:paraId="582E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9" w:hRule="exact"/>
          <w:jc w:val="center"/>
        </w:trPr>
        <w:tc>
          <w:tcPr>
            <w:tcW w:w="7875" w:type="dxa"/>
            <w:gridSpan w:val="3"/>
            <w:noWrap w:val="0"/>
            <w:vAlign w:val="center"/>
          </w:tcPr>
          <w:p w14:paraId="52A499A2">
            <w:pPr>
              <w:spacing w:line="360" w:lineRule="exact"/>
              <w:jc w:val="both"/>
              <w:rPr>
                <w:rFonts w:hint="default" w:ascii="??_GB2312" w:hAnsi="宋体" w:eastAsia="Times New Roman" w:cs="Times New Roman"/>
                <w:b w:val="0"/>
                <w:bCs w:val="0"/>
                <w:color w:val="auto"/>
                <w:sz w:val="21"/>
                <w:szCs w:val="21"/>
                <w:u w:val="single"/>
                <w:lang w:val="en-US" w:eastAsia="zh-CN"/>
              </w:rPr>
            </w:pPr>
            <w:r>
              <w:rPr>
                <w:rFonts w:hint="eastAsia" w:ascii="宋体" w:hAnsi="宋体" w:cs="宋体"/>
                <w:color w:val="auto"/>
                <w:kern w:val="0"/>
                <w:sz w:val="24"/>
                <w:szCs w:val="24"/>
                <w:lang w:val="en-US" w:eastAsia="zh-CN"/>
              </w:rPr>
              <w:t>光伏组件品牌</w:t>
            </w:r>
            <w:r>
              <w:rPr>
                <w:rFonts w:hint="eastAsia" w:ascii="宋体" w:hAnsi="宋体" w:cs="宋体"/>
                <w:color w:val="auto"/>
                <w:kern w:val="0"/>
                <w:sz w:val="24"/>
                <w:szCs w:val="24"/>
                <w:u w:val="single"/>
                <w:lang w:val="en-US" w:eastAsia="zh-CN"/>
              </w:rPr>
              <w:t xml:space="preserve">          </w:t>
            </w:r>
            <w:r>
              <w:rPr>
                <w:rFonts w:hint="eastAsia" w:ascii="宋体" w:hAnsi="宋体" w:cs="宋体"/>
                <w:color w:val="auto"/>
                <w:kern w:val="0"/>
                <w:sz w:val="24"/>
                <w:szCs w:val="24"/>
                <w:lang w:val="en-US" w:eastAsia="zh-CN"/>
              </w:rPr>
              <w:t xml:space="preserve">，逆变器品牌 </w:t>
            </w:r>
            <w:r>
              <w:rPr>
                <w:rFonts w:hint="eastAsia" w:ascii="宋体" w:hAnsi="宋体" w:cs="宋体"/>
                <w:color w:val="auto"/>
                <w:kern w:val="0"/>
                <w:sz w:val="24"/>
                <w:szCs w:val="24"/>
                <w:u w:val="single"/>
                <w:lang w:val="en-US" w:eastAsia="zh-CN"/>
              </w:rPr>
              <w:t xml:space="preserve">           </w:t>
            </w:r>
            <w:r>
              <w:rPr>
                <w:rFonts w:hint="eastAsia" w:ascii="宋体" w:hAnsi="宋体" w:cs="宋体"/>
                <w:color w:val="auto"/>
                <w:kern w:val="0"/>
                <w:sz w:val="24"/>
                <w:szCs w:val="24"/>
                <w:u w:val="none"/>
                <w:lang w:val="en-US" w:eastAsia="zh-CN"/>
              </w:rPr>
              <w:t>。</w:t>
            </w:r>
          </w:p>
        </w:tc>
      </w:tr>
    </w:tbl>
    <w:p w14:paraId="17DA93F3">
      <w:pPr>
        <w:pStyle w:val="5"/>
        <w:rPr>
          <w:rFonts w:hint="eastAsia"/>
          <w:color w:val="auto"/>
          <w:sz w:val="24"/>
          <w:szCs w:val="24"/>
        </w:rPr>
      </w:pPr>
    </w:p>
    <w:p w14:paraId="628EBE2D">
      <w:pPr>
        <w:pStyle w:val="5"/>
        <w:rPr>
          <w:rFonts w:ascii="Times New Roman" w:eastAsia="宋体"/>
          <w:b/>
          <w:color w:val="000000"/>
          <w:szCs w:val="24"/>
        </w:rPr>
      </w:pPr>
      <w:r>
        <w:rPr>
          <w:rFonts w:hint="eastAsia"/>
          <w:b/>
          <w:bCs/>
          <w:color w:val="auto"/>
          <w:sz w:val="24"/>
          <w:szCs w:val="24"/>
        </w:rPr>
        <w:t>备注：</w:t>
      </w:r>
      <w:r>
        <w:rPr>
          <w:rFonts w:ascii="Times New Roman" w:eastAsia="宋体"/>
          <w:b/>
          <w:color w:val="auto"/>
          <w:szCs w:val="24"/>
        </w:rPr>
        <w:t>1.综合单价报价保留两位小数，最终以</w:t>
      </w:r>
      <w:r>
        <w:rPr>
          <w:rFonts w:ascii="Times New Roman" w:eastAsia="宋体"/>
          <w:b/>
          <w:color w:val="auto"/>
          <w:szCs w:val="24"/>
          <w:highlight w:val="none"/>
        </w:rPr>
        <w:t>实际装机容量</w:t>
      </w:r>
      <w:r>
        <w:rPr>
          <w:rFonts w:ascii="Times New Roman" w:eastAsia="宋体"/>
          <w:b/>
          <w:color w:val="auto"/>
          <w:szCs w:val="24"/>
        </w:rPr>
        <w:t>进行</w:t>
      </w:r>
      <w:r>
        <w:rPr>
          <w:rFonts w:ascii="Times New Roman" w:eastAsia="宋体"/>
          <w:b/>
          <w:color w:val="000000"/>
          <w:szCs w:val="24"/>
        </w:rPr>
        <w:t>结算。</w:t>
      </w:r>
    </w:p>
    <w:p w14:paraId="336AE8C1">
      <w:pPr>
        <w:pStyle w:val="5"/>
        <w:ind w:firstLine="723" w:firstLineChars="300"/>
        <w:rPr>
          <w:rFonts w:ascii="Times New Roman" w:eastAsia="宋体"/>
          <w:b/>
          <w:color w:val="000000"/>
          <w:szCs w:val="24"/>
        </w:rPr>
      </w:pPr>
      <w:r>
        <w:rPr>
          <w:rFonts w:ascii="Times New Roman" w:eastAsia="宋体"/>
          <w:b/>
          <w:color w:val="000000"/>
          <w:szCs w:val="24"/>
        </w:rPr>
        <w:t>2.本报价表须机打并加盖报价单位公章，手填无效、复印件无效。</w:t>
      </w:r>
    </w:p>
    <w:p w14:paraId="3ECEFBD8">
      <w:pPr>
        <w:pStyle w:val="6"/>
        <w:ind w:left="0" w:leftChars="0" w:firstLine="0" w:firstLineChars="0"/>
        <w:rPr>
          <w:rFonts w:ascii="??_GB2312" w:hAnsi="宋体" w:eastAsia="Times New Roman" w:cs="Times New Roman"/>
          <w:color w:val="000000"/>
          <w:sz w:val="28"/>
          <w:szCs w:val="28"/>
        </w:rPr>
      </w:pPr>
    </w:p>
    <w:p w14:paraId="59A03303">
      <w:pPr>
        <w:widowControl/>
        <w:spacing w:line="440" w:lineRule="atLeast"/>
        <w:jc w:val="both"/>
        <w:rPr>
          <w:rFonts w:hint="eastAsia" w:ascii="宋体" w:hAnsi="宋体" w:eastAsia="宋体" w:cs="宋体"/>
          <w:sz w:val="24"/>
          <w:u w:val="single"/>
        </w:rPr>
      </w:pPr>
    </w:p>
    <w:p w14:paraId="00D1F058">
      <w:pPr>
        <w:widowControl/>
        <w:spacing w:line="440" w:lineRule="atLeast"/>
        <w:jc w:val="left"/>
        <w:rPr>
          <w:rFonts w:hint="eastAsia" w:ascii="宋体" w:hAnsi="宋体" w:eastAsia="宋体" w:cs="宋体"/>
          <w:sz w:val="24"/>
          <w:u w:val="single"/>
        </w:rPr>
      </w:pPr>
      <w:r>
        <w:rPr>
          <w:rFonts w:hint="eastAsia" w:ascii="宋体" w:hAnsi="宋体" w:eastAsia="宋体" w:cs="宋体"/>
          <w:sz w:val="24"/>
          <w:u w:val="single"/>
        </w:rPr>
        <w:t>注：报价时须附有效的营业执照复印件加盖报价单位公章。</w:t>
      </w:r>
    </w:p>
    <w:p w14:paraId="0F496208">
      <w:pPr>
        <w:pStyle w:val="7"/>
        <w:rPr>
          <w:rFonts w:ascii="??_GB2312" w:hAnsi="宋体" w:eastAsia="Times New Roman" w:cs="Times New Roman"/>
          <w:color w:val="000000"/>
          <w:sz w:val="28"/>
          <w:szCs w:val="28"/>
        </w:rPr>
      </w:pPr>
    </w:p>
    <w:p w14:paraId="101EF835">
      <w:pPr>
        <w:rPr>
          <w:rFonts w:hint="eastAsia" w:ascii="??_GB2312" w:hAnsi="宋体" w:eastAsia="宋体" w:cs="Times New Roman"/>
          <w:color w:val="000000"/>
          <w:sz w:val="24"/>
          <w:szCs w:val="24"/>
          <w:lang w:val="en-US" w:eastAsia="zh-CN"/>
        </w:rPr>
      </w:pPr>
    </w:p>
    <w:p w14:paraId="642219D7">
      <w:pPr>
        <w:rPr>
          <w:rFonts w:hint="default" w:ascii="??_GB2312" w:hAnsi="宋体" w:eastAsia="宋体" w:cs="??_GB2312"/>
          <w:color w:val="000000"/>
          <w:sz w:val="24"/>
          <w:szCs w:val="24"/>
          <w:u w:val="single"/>
          <w:lang w:val="en-US" w:eastAsia="zh-CN"/>
        </w:rPr>
      </w:pPr>
      <w:r>
        <w:rPr>
          <w:rFonts w:hint="eastAsia" w:ascii="??_GB2312" w:hAnsi="宋体" w:eastAsia="宋体" w:cs="Times New Roman"/>
          <w:color w:val="000000"/>
          <w:sz w:val="24"/>
          <w:szCs w:val="24"/>
          <w:lang w:val="en-US" w:eastAsia="zh-CN"/>
        </w:rPr>
        <w:t>报价单位</w:t>
      </w:r>
      <w:r>
        <w:rPr>
          <w:rFonts w:ascii="??_GB2312" w:hAnsi="宋体" w:eastAsia="Times New Roman" w:cs="Times New Roman"/>
          <w:color w:val="000000"/>
          <w:sz w:val="24"/>
          <w:szCs w:val="24"/>
        </w:rPr>
        <w:t>（盖章）：</w:t>
      </w:r>
      <w:r>
        <w:rPr>
          <w:rFonts w:hint="eastAsia" w:ascii="??_GB2312" w:hAnsi="宋体" w:cs="Times New Roman"/>
          <w:color w:val="000000"/>
          <w:sz w:val="24"/>
          <w:szCs w:val="24"/>
          <w:u w:val="single"/>
        </w:rPr>
        <w:t xml:space="preserve">                  </w:t>
      </w:r>
      <w:r>
        <w:rPr>
          <w:rFonts w:hint="eastAsia" w:ascii="??_GB2312" w:hAnsi="宋体" w:cs="Times New Roman"/>
          <w:color w:val="000000"/>
          <w:sz w:val="24"/>
          <w:szCs w:val="24"/>
          <w:u w:val="single"/>
          <w:lang w:val="en-US" w:eastAsia="zh-CN"/>
        </w:rPr>
        <w:t xml:space="preserve">                  </w:t>
      </w:r>
    </w:p>
    <w:p w14:paraId="47EB2387">
      <w:pPr>
        <w:rPr>
          <w:rFonts w:ascii="??_GB2312" w:hAnsi="宋体" w:eastAsia="Times New Roman" w:cs="Times New Roman"/>
          <w:color w:val="000000"/>
          <w:sz w:val="24"/>
          <w:szCs w:val="24"/>
        </w:rPr>
      </w:pPr>
    </w:p>
    <w:p w14:paraId="3493FD2A">
      <w:pPr>
        <w:rPr>
          <w:rFonts w:hint="eastAsia" w:ascii="??_GB2312" w:hAnsi="宋体" w:eastAsia="宋体" w:cs="Times New Roman"/>
          <w:color w:val="000000"/>
          <w:sz w:val="24"/>
          <w:szCs w:val="24"/>
          <w:lang w:val="en-US" w:eastAsia="zh-CN"/>
        </w:rPr>
      </w:pPr>
      <w:r>
        <w:rPr>
          <w:rFonts w:hint="eastAsia" w:ascii="??_GB2312" w:hAnsi="宋体" w:eastAsia="宋体" w:cs="Times New Roman"/>
          <w:color w:val="000000"/>
          <w:sz w:val="24"/>
          <w:szCs w:val="24"/>
          <w:lang w:val="en-US" w:eastAsia="zh-CN"/>
        </w:rPr>
        <w:t xml:space="preserve"> </w:t>
      </w:r>
    </w:p>
    <w:p w14:paraId="7408B0D6">
      <w:pPr>
        <w:rPr>
          <w:rFonts w:hint="eastAsia" w:ascii="??_GB2312" w:hAnsi="宋体" w:cs="Times New Roman"/>
          <w:color w:val="000000"/>
          <w:sz w:val="24"/>
          <w:szCs w:val="24"/>
          <w:u w:val="single"/>
        </w:rPr>
      </w:pPr>
      <w:r>
        <w:rPr>
          <w:rFonts w:hint="eastAsia" w:ascii="??_GB2312" w:hAnsi="宋体" w:eastAsia="宋体" w:cs="Times New Roman"/>
          <w:color w:val="000000"/>
          <w:sz w:val="24"/>
          <w:szCs w:val="24"/>
          <w:lang w:val="en-US" w:eastAsia="zh-CN"/>
        </w:rPr>
        <w:t>报价人</w:t>
      </w:r>
      <w:r>
        <w:rPr>
          <w:rFonts w:ascii="??_GB2312" w:hAnsi="宋体" w:eastAsia="Times New Roman" w:cs="Times New Roman"/>
          <w:color w:val="000000"/>
          <w:sz w:val="24"/>
          <w:szCs w:val="24"/>
        </w:rPr>
        <w:t>：</w:t>
      </w:r>
      <w:r>
        <w:rPr>
          <w:rFonts w:hint="eastAsia" w:ascii="??_GB2312" w:hAnsi="宋体" w:cs="Times New Roman"/>
          <w:color w:val="000000"/>
          <w:sz w:val="24"/>
          <w:szCs w:val="24"/>
          <w:u w:val="single"/>
        </w:rPr>
        <w:t xml:space="preserve">            </w:t>
      </w:r>
      <w:r>
        <w:rPr>
          <w:rFonts w:hint="eastAsia" w:ascii="??_GB2312" w:hAnsi="宋体" w:cs="Times New Roman"/>
          <w:color w:val="000000"/>
          <w:sz w:val="24"/>
          <w:szCs w:val="24"/>
          <w:u w:val="single"/>
          <w:lang w:val="en-US" w:eastAsia="zh-CN"/>
        </w:rPr>
        <w:t xml:space="preserve">                            </w:t>
      </w:r>
      <w:r>
        <w:rPr>
          <w:rFonts w:hint="eastAsia" w:ascii="??_GB2312" w:hAnsi="宋体" w:cs="Times New Roman"/>
          <w:color w:val="000000"/>
          <w:sz w:val="24"/>
          <w:szCs w:val="24"/>
          <w:u w:val="single"/>
        </w:rPr>
        <w:t xml:space="preserve">    </w:t>
      </w:r>
    </w:p>
    <w:p w14:paraId="59B88AD3">
      <w:pPr>
        <w:pStyle w:val="5"/>
        <w:rPr>
          <w:rFonts w:hint="eastAsia" w:ascii="??_GB2312" w:hAnsi="宋体" w:cs="Times New Roman"/>
          <w:color w:val="000000"/>
          <w:sz w:val="24"/>
          <w:szCs w:val="24"/>
          <w:u w:val="single"/>
        </w:rPr>
      </w:pPr>
    </w:p>
    <w:p w14:paraId="0B15C644">
      <w:pPr>
        <w:rPr>
          <w:rFonts w:hint="eastAsia" w:ascii="??_GB2312" w:hAnsi="宋体" w:cs="Times New Roman"/>
          <w:color w:val="000000"/>
          <w:sz w:val="24"/>
          <w:szCs w:val="24"/>
          <w:u w:val="single"/>
        </w:rPr>
      </w:pPr>
    </w:p>
    <w:p w14:paraId="36DF22E6">
      <w:pPr>
        <w:pStyle w:val="5"/>
        <w:rPr>
          <w:rFonts w:hint="default" w:ascii="??_GB2312" w:hAnsi="宋体" w:eastAsia="Times New Roman" w:cs="Times New Roman"/>
          <w:color w:val="000000"/>
          <w:kern w:val="2"/>
          <w:sz w:val="24"/>
          <w:szCs w:val="24"/>
          <w:u w:val="single"/>
          <w:lang w:val="en-US" w:eastAsia="zh-CN" w:bidi="ar-SA"/>
        </w:rPr>
      </w:pPr>
      <w:r>
        <w:rPr>
          <w:rFonts w:hint="eastAsia" w:ascii="??_GB2312" w:hAnsi="宋体" w:eastAsia="Times New Roman" w:cs="Times New Roman"/>
          <w:color w:val="000000"/>
          <w:kern w:val="2"/>
          <w:sz w:val="24"/>
          <w:szCs w:val="24"/>
          <w:lang w:val="en-US" w:eastAsia="zh-CN" w:bidi="ar-SA"/>
        </w:rPr>
        <w:t>联系电话：</w:t>
      </w:r>
      <w:r>
        <w:rPr>
          <w:rFonts w:hint="eastAsia" w:ascii="??_GB2312" w:hAnsi="宋体" w:eastAsia="Times New Roman" w:cs="Times New Roman"/>
          <w:color w:val="000000"/>
          <w:kern w:val="2"/>
          <w:sz w:val="24"/>
          <w:szCs w:val="24"/>
          <w:u w:val="single"/>
          <w:lang w:val="en-US" w:eastAsia="zh-CN" w:bidi="ar-SA"/>
        </w:rPr>
        <w:t xml:space="preserve">                                         </w:t>
      </w:r>
    </w:p>
    <w:p w14:paraId="60A7A2C0">
      <w:pPr>
        <w:pStyle w:val="5"/>
        <w:rPr>
          <w:rFonts w:hint="eastAsia" w:ascii="宋体" w:hAnsi="宋体" w:eastAsia="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 xml:space="preserve"> </w:t>
      </w:r>
    </w:p>
    <w:p w14:paraId="759B0163">
      <w:pPr>
        <w:pStyle w:val="5"/>
        <w:rPr>
          <w:rFonts w:hint="default" w:ascii="宋体" w:hAnsi="宋体" w:eastAsia="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日  期：</w:t>
      </w:r>
      <w:r>
        <w:rPr>
          <w:rFonts w:hint="eastAsia" w:ascii="宋体" w:hAnsi="宋体" w:cs="宋体"/>
          <w:kern w:val="0"/>
          <w:sz w:val="24"/>
          <w:u w:val="single"/>
          <w:shd w:val="clear" w:color="auto" w:fill="FFFFFF"/>
          <w:lang w:val="en-US" w:eastAsia="zh-CN"/>
        </w:rPr>
        <w:t xml:space="preserve">         </w:t>
      </w:r>
      <w:r>
        <w:rPr>
          <w:rFonts w:hint="eastAsia" w:ascii="宋体" w:hAnsi="宋体" w:cs="宋体"/>
          <w:kern w:val="0"/>
          <w:sz w:val="24"/>
          <w:shd w:val="clear" w:color="auto" w:fill="FFFFFF"/>
          <w:lang w:val="en-US" w:eastAsia="zh-CN"/>
        </w:rPr>
        <w:t>年</w:t>
      </w:r>
      <w:r>
        <w:rPr>
          <w:rFonts w:hint="eastAsia" w:ascii="宋体" w:hAnsi="宋体" w:cs="宋体"/>
          <w:kern w:val="0"/>
          <w:sz w:val="24"/>
          <w:u w:val="single"/>
          <w:shd w:val="clear" w:color="auto" w:fill="FFFFFF"/>
          <w:lang w:val="en-US" w:eastAsia="zh-CN"/>
        </w:rPr>
        <w:t xml:space="preserve">      </w:t>
      </w:r>
      <w:r>
        <w:rPr>
          <w:rFonts w:hint="eastAsia" w:ascii="宋体" w:hAnsi="宋体" w:cs="宋体"/>
          <w:kern w:val="0"/>
          <w:sz w:val="24"/>
          <w:shd w:val="clear" w:color="auto" w:fill="FFFFFF"/>
          <w:lang w:val="en-US" w:eastAsia="zh-CN"/>
        </w:rPr>
        <w:t>月</w:t>
      </w:r>
      <w:r>
        <w:rPr>
          <w:rFonts w:hint="eastAsia" w:ascii="宋体" w:hAnsi="宋体" w:cs="宋体"/>
          <w:kern w:val="0"/>
          <w:sz w:val="24"/>
          <w:u w:val="single"/>
          <w:shd w:val="clear" w:color="auto" w:fill="FFFFFF"/>
          <w:lang w:val="en-US" w:eastAsia="zh-CN"/>
        </w:rPr>
        <w:t xml:space="preserve">     </w:t>
      </w:r>
      <w:r>
        <w:rPr>
          <w:rFonts w:hint="eastAsia" w:ascii="宋体" w:hAnsi="宋体" w:cs="宋体"/>
          <w:kern w:val="0"/>
          <w:sz w:val="24"/>
          <w:shd w:val="clear" w:color="auto" w:fill="FFFFFF"/>
          <w:lang w:val="en-US" w:eastAsia="zh-CN"/>
        </w:rPr>
        <w:t>日</w:t>
      </w:r>
    </w:p>
    <w:p w14:paraId="62B46CA0">
      <w:pPr>
        <w:widowControl/>
        <w:shd w:val="clear" w:color="auto" w:fill="FFFFFF"/>
        <w:jc w:val="both"/>
        <w:rPr>
          <w:rFonts w:hint="eastAsia" w:ascii="仿宋" w:hAnsi="仿宋" w:eastAsia="仿宋" w:cs="仿宋"/>
          <w:sz w:val="24"/>
          <w:szCs w:val="24"/>
          <w:shd w:val="clear" w:color="auto" w:fill="FFFFFF"/>
        </w:rPr>
      </w:pPr>
      <w:r>
        <w:rPr>
          <w:rFonts w:hint="eastAsia" w:ascii="??_GB2312" w:hAnsi="宋体" w:eastAsia="宋体" w:cs="Times New Roman"/>
          <w:color w:val="000000"/>
          <w:sz w:val="24"/>
          <w:szCs w:val="24"/>
          <w:lang w:val="en-US" w:eastAsia="zh-CN"/>
        </w:rPr>
        <w:t xml:space="preserve">  </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embedRegular r:id="rId1" w:fontKey="{53396363-70D8-4787-AD4E-8FAE8D9CD7D4}"/>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BEE6E">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22E42C">
                          <w:pPr>
                            <w:pStyle w:val="9"/>
                          </w:pPr>
                          <w:r>
                            <w:fldChar w:fldCharType="begin"/>
                          </w:r>
                          <w:r>
                            <w:instrText xml:space="preserve"> PAGE  \* MERGEFORMAT </w:instrText>
                          </w:r>
                          <w:r>
                            <w:fldChar w:fldCharType="separate"/>
                          </w:r>
                          <w:r>
                            <w:t>- 5 -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922E42C">
                    <w:pPr>
                      <w:pStyle w:val="9"/>
                    </w:pPr>
                    <w:r>
                      <w:fldChar w:fldCharType="begin"/>
                    </w:r>
                    <w:r>
                      <w:instrText xml:space="preserve"> PAGE  \* MERGEFORMAT </w:instrText>
                    </w:r>
                    <w:r>
                      <w:fldChar w:fldCharType="separate"/>
                    </w:r>
                    <w:r>
                      <w:t>- 5 -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695BC9"/>
    <w:multiLevelType w:val="singleLevel"/>
    <w:tmpl w:val="E3695BC9"/>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lYmI5MWVlMGJlN2QwOTY3MThmZmVhNmUyYWM5MDIifQ=="/>
  </w:docVars>
  <w:rsids>
    <w:rsidRoot w:val="00CE500D"/>
    <w:rsid w:val="00006ADD"/>
    <w:rsid w:val="0000719B"/>
    <w:rsid w:val="00017D04"/>
    <w:rsid w:val="0023679F"/>
    <w:rsid w:val="002E3FDC"/>
    <w:rsid w:val="002E440A"/>
    <w:rsid w:val="0034394B"/>
    <w:rsid w:val="00365423"/>
    <w:rsid w:val="00372086"/>
    <w:rsid w:val="00382E9D"/>
    <w:rsid w:val="003A7086"/>
    <w:rsid w:val="00401700"/>
    <w:rsid w:val="00422195"/>
    <w:rsid w:val="00426599"/>
    <w:rsid w:val="00482FC9"/>
    <w:rsid w:val="00531B5C"/>
    <w:rsid w:val="005615DA"/>
    <w:rsid w:val="005F7A3C"/>
    <w:rsid w:val="00620764"/>
    <w:rsid w:val="00674240"/>
    <w:rsid w:val="00680C77"/>
    <w:rsid w:val="00695E7C"/>
    <w:rsid w:val="006C0250"/>
    <w:rsid w:val="006E470D"/>
    <w:rsid w:val="0070579C"/>
    <w:rsid w:val="00784712"/>
    <w:rsid w:val="007D419D"/>
    <w:rsid w:val="00844344"/>
    <w:rsid w:val="00890A26"/>
    <w:rsid w:val="008A2A2B"/>
    <w:rsid w:val="008E5996"/>
    <w:rsid w:val="00942076"/>
    <w:rsid w:val="00950BEF"/>
    <w:rsid w:val="009C7176"/>
    <w:rsid w:val="009F1DF5"/>
    <w:rsid w:val="00A566D5"/>
    <w:rsid w:val="00B41A70"/>
    <w:rsid w:val="00B849D3"/>
    <w:rsid w:val="00B86DAD"/>
    <w:rsid w:val="00BD4640"/>
    <w:rsid w:val="00BD4EFA"/>
    <w:rsid w:val="00C14B91"/>
    <w:rsid w:val="00C541DA"/>
    <w:rsid w:val="00C85A54"/>
    <w:rsid w:val="00CE500D"/>
    <w:rsid w:val="00D37E64"/>
    <w:rsid w:val="00D50A04"/>
    <w:rsid w:val="00D63546"/>
    <w:rsid w:val="00DA22F8"/>
    <w:rsid w:val="00E06D7B"/>
    <w:rsid w:val="00E36750"/>
    <w:rsid w:val="00E36B5B"/>
    <w:rsid w:val="00EC6503"/>
    <w:rsid w:val="00ED3BD8"/>
    <w:rsid w:val="00EF5C0A"/>
    <w:rsid w:val="00F319A2"/>
    <w:rsid w:val="00F37FCB"/>
    <w:rsid w:val="00F55697"/>
    <w:rsid w:val="00F8156A"/>
    <w:rsid w:val="011E1FE4"/>
    <w:rsid w:val="0199398B"/>
    <w:rsid w:val="019A3C3B"/>
    <w:rsid w:val="01BE7098"/>
    <w:rsid w:val="0208054B"/>
    <w:rsid w:val="023A109F"/>
    <w:rsid w:val="02664544"/>
    <w:rsid w:val="029029F1"/>
    <w:rsid w:val="02E42DB9"/>
    <w:rsid w:val="030A0578"/>
    <w:rsid w:val="030F2A78"/>
    <w:rsid w:val="03215DBB"/>
    <w:rsid w:val="0328107B"/>
    <w:rsid w:val="03343D40"/>
    <w:rsid w:val="03566A31"/>
    <w:rsid w:val="035D3D0B"/>
    <w:rsid w:val="03A5079A"/>
    <w:rsid w:val="0448715B"/>
    <w:rsid w:val="04562AC3"/>
    <w:rsid w:val="046337FC"/>
    <w:rsid w:val="04854128"/>
    <w:rsid w:val="04B05649"/>
    <w:rsid w:val="05790131"/>
    <w:rsid w:val="05EA4F77"/>
    <w:rsid w:val="06846D8D"/>
    <w:rsid w:val="06C63DFD"/>
    <w:rsid w:val="073562D9"/>
    <w:rsid w:val="07356883"/>
    <w:rsid w:val="074946C8"/>
    <w:rsid w:val="07585B24"/>
    <w:rsid w:val="07746E01"/>
    <w:rsid w:val="07866B35"/>
    <w:rsid w:val="07C174E9"/>
    <w:rsid w:val="0801523B"/>
    <w:rsid w:val="08202AE5"/>
    <w:rsid w:val="082D51A8"/>
    <w:rsid w:val="084927FF"/>
    <w:rsid w:val="08B03E69"/>
    <w:rsid w:val="08C6543B"/>
    <w:rsid w:val="08D23161"/>
    <w:rsid w:val="08FE0BC9"/>
    <w:rsid w:val="090B72F2"/>
    <w:rsid w:val="096354B1"/>
    <w:rsid w:val="098D423D"/>
    <w:rsid w:val="09945539"/>
    <w:rsid w:val="09A92667"/>
    <w:rsid w:val="09AD03A9"/>
    <w:rsid w:val="09DC68E6"/>
    <w:rsid w:val="09DC7F62"/>
    <w:rsid w:val="0A383E93"/>
    <w:rsid w:val="0A773FE4"/>
    <w:rsid w:val="0A775FD5"/>
    <w:rsid w:val="0A7F6940"/>
    <w:rsid w:val="0AA96DC2"/>
    <w:rsid w:val="0B310B66"/>
    <w:rsid w:val="0B352404"/>
    <w:rsid w:val="0B3A5C6C"/>
    <w:rsid w:val="0B507B40"/>
    <w:rsid w:val="0B6251C3"/>
    <w:rsid w:val="0B84338B"/>
    <w:rsid w:val="0B8E420A"/>
    <w:rsid w:val="0B951A25"/>
    <w:rsid w:val="0BA36998"/>
    <w:rsid w:val="0BD90538"/>
    <w:rsid w:val="0BF202F5"/>
    <w:rsid w:val="0C126BE9"/>
    <w:rsid w:val="0C564D28"/>
    <w:rsid w:val="0C71390F"/>
    <w:rsid w:val="0C8C0749"/>
    <w:rsid w:val="0C8F023A"/>
    <w:rsid w:val="0CA35A93"/>
    <w:rsid w:val="0CEE31B2"/>
    <w:rsid w:val="0D4252AC"/>
    <w:rsid w:val="0D734644"/>
    <w:rsid w:val="0D7506A7"/>
    <w:rsid w:val="0D75742F"/>
    <w:rsid w:val="0D9378B6"/>
    <w:rsid w:val="0DAF6CC4"/>
    <w:rsid w:val="0DB51860"/>
    <w:rsid w:val="0DB528E8"/>
    <w:rsid w:val="0E1C78AB"/>
    <w:rsid w:val="0E2D3866"/>
    <w:rsid w:val="0E910299"/>
    <w:rsid w:val="0E965DAB"/>
    <w:rsid w:val="0EA110D2"/>
    <w:rsid w:val="0EDD34DE"/>
    <w:rsid w:val="0EDD4E67"/>
    <w:rsid w:val="0EE728DC"/>
    <w:rsid w:val="0EF56A7A"/>
    <w:rsid w:val="0F397F2A"/>
    <w:rsid w:val="0F5441BB"/>
    <w:rsid w:val="0FBB425D"/>
    <w:rsid w:val="0FD4257E"/>
    <w:rsid w:val="0FE443F8"/>
    <w:rsid w:val="10293E54"/>
    <w:rsid w:val="102E203C"/>
    <w:rsid w:val="102E38C6"/>
    <w:rsid w:val="10356218"/>
    <w:rsid w:val="10392996"/>
    <w:rsid w:val="105552F6"/>
    <w:rsid w:val="106F600E"/>
    <w:rsid w:val="108217FC"/>
    <w:rsid w:val="10C75DB2"/>
    <w:rsid w:val="10D421FF"/>
    <w:rsid w:val="10E02E12"/>
    <w:rsid w:val="11115EF7"/>
    <w:rsid w:val="11423ACC"/>
    <w:rsid w:val="11537A88"/>
    <w:rsid w:val="11901201"/>
    <w:rsid w:val="11AD72B8"/>
    <w:rsid w:val="11B5429E"/>
    <w:rsid w:val="11C42C96"/>
    <w:rsid w:val="11E06E41"/>
    <w:rsid w:val="12040D82"/>
    <w:rsid w:val="125B6DD1"/>
    <w:rsid w:val="127E0EA0"/>
    <w:rsid w:val="1306193D"/>
    <w:rsid w:val="13082012"/>
    <w:rsid w:val="130E0083"/>
    <w:rsid w:val="131119A8"/>
    <w:rsid w:val="132D1193"/>
    <w:rsid w:val="134753CA"/>
    <w:rsid w:val="13734AFF"/>
    <w:rsid w:val="13835D13"/>
    <w:rsid w:val="138C54D3"/>
    <w:rsid w:val="13A463FB"/>
    <w:rsid w:val="14100946"/>
    <w:rsid w:val="14157276"/>
    <w:rsid w:val="14214E0F"/>
    <w:rsid w:val="1457788F"/>
    <w:rsid w:val="14636490"/>
    <w:rsid w:val="147321EF"/>
    <w:rsid w:val="148F7029"/>
    <w:rsid w:val="14A95079"/>
    <w:rsid w:val="14BA0E4B"/>
    <w:rsid w:val="14BF0032"/>
    <w:rsid w:val="14FC21E4"/>
    <w:rsid w:val="15035321"/>
    <w:rsid w:val="15A83269"/>
    <w:rsid w:val="15B64A89"/>
    <w:rsid w:val="15E46F00"/>
    <w:rsid w:val="16007AB2"/>
    <w:rsid w:val="160142ED"/>
    <w:rsid w:val="160E7A0D"/>
    <w:rsid w:val="16583648"/>
    <w:rsid w:val="16BF46F8"/>
    <w:rsid w:val="16F07406"/>
    <w:rsid w:val="17345B41"/>
    <w:rsid w:val="17541253"/>
    <w:rsid w:val="17616B7E"/>
    <w:rsid w:val="1776627E"/>
    <w:rsid w:val="1780076B"/>
    <w:rsid w:val="17884203"/>
    <w:rsid w:val="179C6F58"/>
    <w:rsid w:val="17B44FF8"/>
    <w:rsid w:val="181B1FD7"/>
    <w:rsid w:val="18502F73"/>
    <w:rsid w:val="185145F5"/>
    <w:rsid w:val="18700F1F"/>
    <w:rsid w:val="187F325C"/>
    <w:rsid w:val="18822A00"/>
    <w:rsid w:val="18C54E6D"/>
    <w:rsid w:val="18C73522"/>
    <w:rsid w:val="190B6E9A"/>
    <w:rsid w:val="193C7053"/>
    <w:rsid w:val="199E7D0E"/>
    <w:rsid w:val="19D13C3F"/>
    <w:rsid w:val="19E6347B"/>
    <w:rsid w:val="1A227F8F"/>
    <w:rsid w:val="1A74631B"/>
    <w:rsid w:val="1A7828FB"/>
    <w:rsid w:val="1A7B06CC"/>
    <w:rsid w:val="1A9346E7"/>
    <w:rsid w:val="1AC96A7A"/>
    <w:rsid w:val="1AF35C55"/>
    <w:rsid w:val="1B244243"/>
    <w:rsid w:val="1B4474E1"/>
    <w:rsid w:val="1B57312E"/>
    <w:rsid w:val="1B5A5081"/>
    <w:rsid w:val="1B830F69"/>
    <w:rsid w:val="1BC03F6C"/>
    <w:rsid w:val="1BCC437F"/>
    <w:rsid w:val="1C435D0D"/>
    <w:rsid w:val="1C5E5533"/>
    <w:rsid w:val="1C651DCF"/>
    <w:rsid w:val="1C683FA7"/>
    <w:rsid w:val="1C9E19D9"/>
    <w:rsid w:val="1CFE0573"/>
    <w:rsid w:val="1D217272"/>
    <w:rsid w:val="1D2B7B0B"/>
    <w:rsid w:val="1D8027D0"/>
    <w:rsid w:val="1D905BC0"/>
    <w:rsid w:val="1DA33B45"/>
    <w:rsid w:val="1DA653E3"/>
    <w:rsid w:val="1DB26E14"/>
    <w:rsid w:val="1DB44028"/>
    <w:rsid w:val="1DCE71A7"/>
    <w:rsid w:val="1DE80BEC"/>
    <w:rsid w:val="1E895F8B"/>
    <w:rsid w:val="1EC441A4"/>
    <w:rsid w:val="1ECC360E"/>
    <w:rsid w:val="1ECD437E"/>
    <w:rsid w:val="1ECE5839"/>
    <w:rsid w:val="1F3D6340"/>
    <w:rsid w:val="1F625134"/>
    <w:rsid w:val="1FDF698A"/>
    <w:rsid w:val="200A3A07"/>
    <w:rsid w:val="20734209"/>
    <w:rsid w:val="2082315D"/>
    <w:rsid w:val="20A35C0A"/>
    <w:rsid w:val="20E65C1E"/>
    <w:rsid w:val="214F1408"/>
    <w:rsid w:val="215B0293"/>
    <w:rsid w:val="216D06F2"/>
    <w:rsid w:val="217E28FF"/>
    <w:rsid w:val="21976786"/>
    <w:rsid w:val="21D50045"/>
    <w:rsid w:val="21ED1832"/>
    <w:rsid w:val="222334A6"/>
    <w:rsid w:val="222A213F"/>
    <w:rsid w:val="22537B15"/>
    <w:rsid w:val="22634DE8"/>
    <w:rsid w:val="22BB548D"/>
    <w:rsid w:val="22F80095"/>
    <w:rsid w:val="2339093E"/>
    <w:rsid w:val="23405992"/>
    <w:rsid w:val="23484951"/>
    <w:rsid w:val="235177CD"/>
    <w:rsid w:val="235A2EF8"/>
    <w:rsid w:val="235F5FD0"/>
    <w:rsid w:val="23675615"/>
    <w:rsid w:val="23F70513"/>
    <w:rsid w:val="2413634D"/>
    <w:rsid w:val="242332EA"/>
    <w:rsid w:val="242F7EE0"/>
    <w:rsid w:val="247E4590"/>
    <w:rsid w:val="24A25583"/>
    <w:rsid w:val="25034EC9"/>
    <w:rsid w:val="25214E4C"/>
    <w:rsid w:val="256E4A38"/>
    <w:rsid w:val="25BA05A7"/>
    <w:rsid w:val="26061115"/>
    <w:rsid w:val="26062EC3"/>
    <w:rsid w:val="26091816"/>
    <w:rsid w:val="262670C1"/>
    <w:rsid w:val="262D66A1"/>
    <w:rsid w:val="26434D40"/>
    <w:rsid w:val="266876DA"/>
    <w:rsid w:val="267D1A87"/>
    <w:rsid w:val="267E514F"/>
    <w:rsid w:val="26942845"/>
    <w:rsid w:val="26D7660D"/>
    <w:rsid w:val="26E36D60"/>
    <w:rsid w:val="26F40F6D"/>
    <w:rsid w:val="270E3C60"/>
    <w:rsid w:val="27A2348A"/>
    <w:rsid w:val="27AE4F55"/>
    <w:rsid w:val="27CB43C4"/>
    <w:rsid w:val="27CC5A46"/>
    <w:rsid w:val="27D32EF7"/>
    <w:rsid w:val="27D72414"/>
    <w:rsid w:val="27DE2CDD"/>
    <w:rsid w:val="27EF5F4B"/>
    <w:rsid w:val="282835C4"/>
    <w:rsid w:val="289A1F6E"/>
    <w:rsid w:val="29001E4B"/>
    <w:rsid w:val="290A65C6"/>
    <w:rsid w:val="290F02E0"/>
    <w:rsid w:val="291B42C9"/>
    <w:rsid w:val="293D22C4"/>
    <w:rsid w:val="29431856"/>
    <w:rsid w:val="295C39EB"/>
    <w:rsid w:val="29A40E8F"/>
    <w:rsid w:val="29A95C2E"/>
    <w:rsid w:val="29B03871"/>
    <w:rsid w:val="29F1260C"/>
    <w:rsid w:val="2A236931"/>
    <w:rsid w:val="2A742AF1"/>
    <w:rsid w:val="2AB83733"/>
    <w:rsid w:val="2AC3489E"/>
    <w:rsid w:val="2AC9434F"/>
    <w:rsid w:val="2B0C2C48"/>
    <w:rsid w:val="2B47538C"/>
    <w:rsid w:val="2B4A32E9"/>
    <w:rsid w:val="2B801021"/>
    <w:rsid w:val="2B96071F"/>
    <w:rsid w:val="2BC41856"/>
    <w:rsid w:val="2BD02ABF"/>
    <w:rsid w:val="2BD27F42"/>
    <w:rsid w:val="2BFF4DBC"/>
    <w:rsid w:val="2C0734F1"/>
    <w:rsid w:val="2C357E1F"/>
    <w:rsid w:val="2C4034C0"/>
    <w:rsid w:val="2C8A1AD4"/>
    <w:rsid w:val="2C907843"/>
    <w:rsid w:val="2CA600A1"/>
    <w:rsid w:val="2CCA2E9C"/>
    <w:rsid w:val="2CD5539D"/>
    <w:rsid w:val="2CD930DF"/>
    <w:rsid w:val="2CE55F6D"/>
    <w:rsid w:val="2D021ECA"/>
    <w:rsid w:val="2D137721"/>
    <w:rsid w:val="2D21010A"/>
    <w:rsid w:val="2D340315"/>
    <w:rsid w:val="2D4A7B39"/>
    <w:rsid w:val="2D9B20A2"/>
    <w:rsid w:val="2DE65D89"/>
    <w:rsid w:val="2DF87CBF"/>
    <w:rsid w:val="2E1E446E"/>
    <w:rsid w:val="2E222C8B"/>
    <w:rsid w:val="2EA15273"/>
    <w:rsid w:val="2EC706F7"/>
    <w:rsid w:val="2ED26038"/>
    <w:rsid w:val="2F2E028B"/>
    <w:rsid w:val="2F3960B7"/>
    <w:rsid w:val="2F4607D4"/>
    <w:rsid w:val="2F5B427F"/>
    <w:rsid w:val="2F8512FC"/>
    <w:rsid w:val="2FCB2C94"/>
    <w:rsid w:val="301306B6"/>
    <w:rsid w:val="30224D9D"/>
    <w:rsid w:val="304271ED"/>
    <w:rsid w:val="307C26FF"/>
    <w:rsid w:val="30896BCA"/>
    <w:rsid w:val="308C0731"/>
    <w:rsid w:val="308E2433"/>
    <w:rsid w:val="30F77FD8"/>
    <w:rsid w:val="311345EC"/>
    <w:rsid w:val="3118764E"/>
    <w:rsid w:val="311C359A"/>
    <w:rsid w:val="31295CB7"/>
    <w:rsid w:val="31381208"/>
    <w:rsid w:val="313F23C1"/>
    <w:rsid w:val="314D01A9"/>
    <w:rsid w:val="315471D8"/>
    <w:rsid w:val="318849BE"/>
    <w:rsid w:val="318D31E8"/>
    <w:rsid w:val="31AA0A84"/>
    <w:rsid w:val="31B43515"/>
    <w:rsid w:val="31F26845"/>
    <w:rsid w:val="31F767B3"/>
    <w:rsid w:val="320A71A6"/>
    <w:rsid w:val="32317ADF"/>
    <w:rsid w:val="323D1A1A"/>
    <w:rsid w:val="326351F9"/>
    <w:rsid w:val="32870EE7"/>
    <w:rsid w:val="32DC56D7"/>
    <w:rsid w:val="32EA3795"/>
    <w:rsid w:val="3309737C"/>
    <w:rsid w:val="332E3430"/>
    <w:rsid w:val="33775400"/>
    <w:rsid w:val="33AD7074"/>
    <w:rsid w:val="33D6447B"/>
    <w:rsid w:val="33F9657F"/>
    <w:rsid w:val="34120C85"/>
    <w:rsid w:val="34142C4F"/>
    <w:rsid w:val="34190265"/>
    <w:rsid w:val="3457559D"/>
    <w:rsid w:val="34665881"/>
    <w:rsid w:val="348B49DE"/>
    <w:rsid w:val="34AB35F2"/>
    <w:rsid w:val="34BF3FDB"/>
    <w:rsid w:val="34CE1050"/>
    <w:rsid w:val="35150A2C"/>
    <w:rsid w:val="351705A2"/>
    <w:rsid w:val="353D5F90"/>
    <w:rsid w:val="356B40B0"/>
    <w:rsid w:val="35755789"/>
    <w:rsid w:val="35C23876"/>
    <w:rsid w:val="35E87898"/>
    <w:rsid w:val="360311CD"/>
    <w:rsid w:val="36222F68"/>
    <w:rsid w:val="36331599"/>
    <w:rsid w:val="366C4FC4"/>
    <w:rsid w:val="366F103E"/>
    <w:rsid w:val="36930523"/>
    <w:rsid w:val="369B7657"/>
    <w:rsid w:val="36B83D65"/>
    <w:rsid w:val="36BC7A98"/>
    <w:rsid w:val="36CA5847"/>
    <w:rsid w:val="36ED59E5"/>
    <w:rsid w:val="36F328CD"/>
    <w:rsid w:val="374101FF"/>
    <w:rsid w:val="37623CD1"/>
    <w:rsid w:val="37971BCD"/>
    <w:rsid w:val="37C55F0F"/>
    <w:rsid w:val="37D41ABC"/>
    <w:rsid w:val="37E0249E"/>
    <w:rsid w:val="37E1553E"/>
    <w:rsid w:val="38060B00"/>
    <w:rsid w:val="386D560E"/>
    <w:rsid w:val="388F0AF6"/>
    <w:rsid w:val="38A26A7B"/>
    <w:rsid w:val="38A65E3F"/>
    <w:rsid w:val="38CF7906"/>
    <w:rsid w:val="38E5315D"/>
    <w:rsid w:val="391536F1"/>
    <w:rsid w:val="39243934"/>
    <w:rsid w:val="39C05C8E"/>
    <w:rsid w:val="3A0664FA"/>
    <w:rsid w:val="3A091038"/>
    <w:rsid w:val="3A415481"/>
    <w:rsid w:val="3A4C12D9"/>
    <w:rsid w:val="3A541FF7"/>
    <w:rsid w:val="3A614714"/>
    <w:rsid w:val="3A6A03E3"/>
    <w:rsid w:val="3A7206CF"/>
    <w:rsid w:val="3A993EAE"/>
    <w:rsid w:val="3AA86B23"/>
    <w:rsid w:val="3AC92E52"/>
    <w:rsid w:val="3AFB2473"/>
    <w:rsid w:val="3B0E7411"/>
    <w:rsid w:val="3B141B02"/>
    <w:rsid w:val="3B222D85"/>
    <w:rsid w:val="3B451940"/>
    <w:rsid w:val="3B4B7349"/>
    <w:rsid w:val="3B5A0F47"/>
    <w:rsid w:val="3B820DE6"/>
    <w:rsid w:val="3BD123D9"/>
    <w:rsid w:val="3C2B62D6"/>
    <w:rsid w:val="3C2E0626"/>
    <w:rsid w:val="3C3E4D0D"/>
    <w:rsid w:val="3CDD6623"/>
    <w:rsid w:val="3CE5162C"/>
    <w:rsid w:val="3D212820"/>
    <w:rsid w:val="3D780336"/>
    <w:rsid w:val="3D934A80"/>
    <w:rsid w:val="3DA600FE"/>
    <w:rsid w:val="3DF04AA9"/>
    <w:rsid w:val="3DFA2EB5"/>
    <w:rsid w:val="3E1026D9"/>
    <w:rsid w:val="3E1F2A71"/>
    <w:rsid w:val="3E3F4D6C"/>
    <w:rsid w:val="3E531683"/>
    <w:rsid w:val="3EA74620"/>
    <w:rsid w:val="3F277CDA"/>
    <w:rsid w:val="3F6A5E19"/>
    <w:rsid w:val="3F6C7DE3"/>
    <w:rsid w:val="3F7722E4"/>
    <w:rsid w:val="3FE61943"/>
    <w:rsid w:val="3FE71217"/>
    <w:rsid w:val="4007128D"/>
    <w:rsid w:val="401F4E55"/>
    <w:rsid w:val="40356CCC"/>
    <w:rsid w:val="4047116E"/>
    <w:rsid w:val="409470BD"/>
    <w:rsid w:val="40A84E4B"/>
    <w:rsid w:val="40C9486C"/>
    <w:rsid w:val="40D02AF3"/>
    <w:rsid w:val="411F034E"/>
    <w:rsid w:val="4132718C"/>
    <w:rsid w:val="41986C6D"/>
    <w:rsid w:val="41EB78A8"/>
    <w:rsid w:val="4218129D"/>
    <w:rsid w:val="422E312E"/>
    <w:rsid w:val="42312FA8"/>
    <w:rsid w:val="4269060A"/>
    <w:rsid w:val="42AB6E74"/>
    <w:rsid w:val="42D77C69"/>
    <w:rsid w:val="42F97BDF"/>
    <w:rsid w:val="42FC76D0"/>
    <w:rsid w:val="43076734"/>
    <w:rsid w:val="431202B4"/>
    <w:rsid w:val="434370AD"/>
    <w:rsid w:val="437C581A"/>
    <w:rsid w:val="437F7C84"/>
    <w:rsid w:val="43993170"/>
    <w:rsid w:val="43AF64F0"/>
    <w:rsid w:val="43E80DDE"/>
    <w:rsid w:val="43EC32A0"/>
    <w:rsid w:val="43ED0597"/>
    <w:rsid w:val="441D5B50"/>
    <w:rsid w:val="44250560"/>
    <w:rsid w:val="44313282"/>
    <w:rsid w:val="448F23DB"/>
    <w:rsid w:val="44AE1A1A"/>
    <w:rsid w:val="44C815D8"/>
    <w:rsid w:val="44EB17AA"/>
    <w:rsid w:val="4502438F"/>
    <w:rsid w:val="450B1E4C"/>
    <w:rsid w:val="45911970"/>
    <w:rsid w:val="45AB2CE7"/>
    <w:rsid w:val="45FC41E9"/>
    <w:rsid w:val="46010751"/>
    <w:rsid w:val="460F771A"/>
    <w:rsid w:val="461B1C23"/>
    <w:rsid w:val="461B491C"/>
    <w:rsid w:val="46294959"/>
    <w:rsid w:val="4632038F"/>
    <w:rsid w:val="463B050F"/>
    <w:rsid w:val="4655527E"/>
    <w:rsid w:val="4657693C"/>
    <w:rsid w:val="4659791A"/>
    <w:rsid w:val="467D0B27"/>
    <w:rsid w:val="469564F9"/>
    <w:rsid w:val="469F33D0"/>
    <w:rsid w:val="47066A1D"/>
    <w:rsid w:val="47426409"/>
    <w:rsid w:val="47525B10"/>
    <w:rsid w:val="47557C5E"/>
    <w:rsid w:val="47D01F6D"/>
    <w:rsid w:val="47FD193E"/>
    <w:rsid w:val="480768FB"/>
    <w:rsid w:val="48276F9D"/>
    <w:rsid w:val="483658F6"/>
    <w:rsid w:val="485B27A2"/>
    <w:rsid w:val="48CB3DCC"/>
    <w:rsid w:val="49121BEA"/>
    <w:rsid w:val="493A2D00"/>
    <w:rsid w:val="495140F2"/>
    <w:rsid w:val="495F741D"/>
    <w:rsid w:val="496164DE"/>
    <w:rsid w:val="497072EC"/>
    <w:rsid w:val="49C76CAB"/>
    <w:rsid w:val="4A203CA4"/>
    <w:rsid w:val="4A6764F2"/>
    <w:rsid w:val="4A730277"/>
    <w:rsid w:val="4ABB39CC"/>
    <w:rsid w:val="4AC2736B"/>
    <w:rsid w:val="4AE44CD1"/>
    <w:rsid w:val="4B46773A"/>
    <w:rsid w:val="4B4E4840"/>
    <w:rsid w:val="4B610403"/>
    <w:rsid w:val="4B625472"/>
    <w:rsid w:val="4BEA0B83"/>
    <w:rsid w:val="4BF43ADF"/>
    <w:rsid w:val="4BFD3760"/>
    <w:rsid w:val="4C0F2222"/>
    <w:rsid w:val="4C6F0237"/>
    <w:rsid w:val="4C721578"/>
    <w:rsid w:val="4CAD20D8"/>
    <w:rsid w:val="4CDA2830"/>
    <w:rsid w:val="4D1B69A4"/>
    <w:rsid w:val="4D493511"/>
    <w:rsid w:val="4D4D69C7"/>
    <w:rsid w:val="4D5B2DE2"/>
    <w:rsid w:val="4D861753"/>
    <w:rsid w:val="4D9F1383"/>
    <w:rsid w:val="4D9F759E"/>
    <w:rsid w:val="4E10402F"/>
    <w:rsid w:val="4E2C6806"/>
    <w:rsid w:val="4E2D4BE1"/>
    <w:rsid w:val="4E5F1160"/>
    <w:rsid w:val="4E6652CF"/>
    <w:rsid w:val="4EA62ADA"/>
    <w:rsid w:val="4EDD20B9"/>
    <w:rsid w:val="4F1C652C"/>
    <w:rsid w:val="4F1F277C"/>
    <w:rsid w:val="4F3D516E"/>
    <w:rsid w:val="4F3E43AC"/>
    <w:rsid w:val="4F55619D"/>
    <w:rsid w:val="4F846A83"/>
    <w:rsid w:val="4F8B1BBF"/>
    <w:rsid w:val="4FC33B8C"/>
    <w:rsid w:val="50010D46"/>
    <w:rsid w:val="50213B5F"/>
    <w:rsid w:val="502B49B8"/>
    <w:rsid w:val="502C45F4"/>
    <w:rsid w:val="506F7733"/>
    <w:rsid w:val="50884351"/>
    <w:rsid w:val="50B07CEB"/>
    <w:rsid w:val="512C2F2E"/>
    <w:rsid w:val="51396725"/>
    <w:rsid w:val="51477D68"/>
    <w:rsid w:val="51497F84"/>
    <w:rsid w:val="51612C25"/>
    <w:rsid w:val="51864D34"/>
    <w:rsid w:val="51A05024"/>
    <w:rsid w:val="51BA4F8F"/>
    <w:rsid w:val="51C94C21"/>
    <w:rsid w:val="51D05FAF"/>
    <w:rsid w:val="51D92E85"/>
    <w:rsid w:val="51E101BC"/>
    <w:rsid w:val="5248342C"/>
    <w:rsid w:val="52632A25"/>
    <w:rsid w:val="52727066"/>
    <w:rsid w:val="52972F71"/>
    <w:rsid w:val="52A07FE8"/>
    <w:rsid w:val="52B92EE7"/>
    <w:rsid w:val="52C97A4D"/>
    <w:rsid w:val="52CF270B"/>
    <w:rsid w:val="52DE64AA"/>
    <w:rsid w:val="52F757BE"/>
    <w:rsid w:val="53285977"/>
    <w:rsid w:val="534529CD"/>
    <w:rsid w:val="53486019"/>
    <w:rsid w:val="534B6AD2"/>
    <w:rsid w:val="5353545C"/>
    <w:rsid w:val="535F724F"/>
    <w:rsid w:val="536966BB"/>
    <w:rsid w:val="53A94D0A"/>
    <w:rsid w:val="53C07A55"/>
    <w:rsid w:val="53FE532E"/>
    <w:rsid w:val="545207D2"/>
    <w:rsid w:val="54881B71"/>
    <w:rsid w:val="54AF45A2"/>
    <w:rsid w:val="54C87412"/>
    <w:rsid w:val="54EC75A4"/>
    <w:rsid w:val="5516017D"/>
    <w:rsid w:val="554E7420"/>
    <w:rsid w:val="55D57D07"/>
    <w:rsid w:val="55E55DA1"/>
    <w:rsid w:val="56077D18"/>
    <w:rsid w:val="56244B1C"/>
    <w:rsid w:val="5634515D"/>
    <w:rsid w:val="5647080A"/>
    <w:rsid w:val="567846D4"/>
    <w:rsid w:val="56910EF7"/>
    <w:rsid w:val="56AD2D63"/>
    <w:rsid w:val="56DB78D0"/>
    <w:rsid w:val="57744952"/>
    <w:rsid w:val="57D554B0"/>
    <w:rsid w:val="57FF7D17"/>
    <w:rsid w:val="5806097D"/>
    <w:rsid w:val="581A6CC3"/>
    <w:rsid w:val="581E3FA7"/>
    <w:rsid w:val="58227637"/>
    <w:rsid w:val="583848AE"/>
    <w:rsid w:val="584A0956"/>
    <w:rsid w:val="584D395F"/>
    <w:rsid w:val="586743E3"/>
    <w:rsid w:val="586B4D4E"/>
    <w:rsid w:val="588D162B"/>
    <w:rsid w:val="58A81A34"/>
    <w:rsid w:val="58A843CB"/>
    <w:rsid w:val="58DF760E"/>
    <w:rsid w:val="58E13419"/>
    <w:rsid w:val="58E83441"/>
    <w:rsid w:val="59170968"/>
    <w:rsid w:val="593A6065"/>
    <w:rsid w:val="595B5175"/>
    <w:rsid w:val="597F5032"/>
    <w:rsid w:val="59B120AB"/>
    <w:rsid w:val="59C53F20"/>
    <w:rsid w:val="59E86007"/>
    <w:rsid w:val="5A7B6CD4"/>
    <w:rsid w:val="5A805435"/>
    <w:rsid w:val="5A8912A6"/>
    <w:rsid w:val="5ABB5323"/>
    <w:rsid w:val="5AEF26CE"/>
    <w:rsid w:val="5B124A58"/>
    <w:rsid w:val="5B7C71A8"/>
    <w:rsid w:val="5B7E4CCE"/>
    <w:rsid w:val="5B8D72B4"/>
    <w:rsid w:val="5BAA7871"/>
    <w:rsid w:val="5BBE71A1"/>
    <w:rsid w:val="5BEC1C38"/>
    <w:rsid w:val="5BFB631F"/>
    <w:rsid w:val="5C1D0043"/>
    <w:rsid w:val="5C89392A"/>
    <w:rsid w:val="5C9546B7"/>
    <w:rsid w:val="5CCC5BEA"/>
    <w:rsid w:val="5CE56791"/>
    <w:rsid w:val="5CFA4BA6"/>
    <w:rsid w:val="5D0B4022"/>
    <w:rsid w:val="5D0C6D4D"/>
    <w:rsid w:val="5D347D3A"/>
    <w:rsid w:val="5D355860"/>
    <w:rsid w:val="5D496DBF"/>
    <w:rsid w:val="5D5A042E"/>
    <w:rsid w:val="5D8F082D"/>
    <w:rsid w:val="5DA046A0"/>
    <w:rsid w:val="5DEF3FEB"/>
    <w:rsid w:val="5DFA3980"/>
    <w:rsid w:val="5DFC2514"/>
    <w:rsid w:val="5E7303EE"/>
    <w:rsid w:val="5E8E347A"/>
    <w:rsid w:val="5E8F02C7"/>
    <w:rsid w:val="5EE33737"/>
    <w:rsid w:val="5EFC4888"/>
    <w:rsid w:val="5F0C439F"/>
    <w:rsid w:val="5F357D99"/>
    <w:rsid w:val="5F7F1015"/>
    <w:rsid w:val="5FE80968"/>
    <w:rsid w:val="5FEE3FDA"/>
    <w:rsid w:val="602C1457"/>
    <w:rsid w:val="604A33D1"/>
    <w:rsid w:val="60533104"/>
    <w:rsid w:val="60D34166"/>
    <w:rsid w:val="61227EAA"/>
    <w:rsid w:val="613F6CAD"/>
    <w:rsid w:val="614F7FD9"/>
    <w:rsid w:val="61701EE2"/>
    <w:rsid w:val="61706974"/>
    <w:rsid w:val="618560EB"/>
    <w:rsid w:val="61D504A2"/>
    <w:rsid w:val="61D52C5F"/>
    <w:rsid w:val="620C3034"/>
    <w:rsid w:val="621719D8"/>
    <w:rsid w:val="625E7607"/>
    <w:rsid w:val="62606EDB"/>
    <w:rsid w:val="62AE40EB"/>
    <w:rsid w:val="63260125"/>
    <w:rsid w:val="632F62F8"/>
    <w:rsid w:val="63343EC4"/>
    <w:rsid w:val="633475FF"/>
    <w:rsid w:val="633D22D7"/>
    <w:rsid w:val="635B58F5"/>
    <w:rsid w:val="63B05C41"/>
    <w:rsid w:val="63BD1AE0"/>
    <w:rsid w:val="63CB1194"/>
    <w:rsid w:val="64041AE8"/>
    <w:rsid w:val="64654C7D"/>
    <w:rsid w:val="648C220A"/>
    <w:rsid w:val="648E1560"/>
    <w:rsid w:val="64D43BB1"/>
    <w:rsid w:val="65530F79"/>
    <w:rsid w:val="658E3D60"/>
    <w:rsid w:val="65907AD8"/>
    <w:rsid w:val="6603474E"/>
    <w:rsid w:val="66287D10"/>
    <w:rsid w:val="66456B14"/>
    <w:rsid w:val="665E5B82"/>
    <w:rsid w:val="666845B1"/>
    <w:rsid w:val="66710B39"/>
    <w:rsid w:val="667F5A9A"/>
    <w:rsid w:val="66B874B7"/>
    <w:rsid w:val="66D25ECE"/>
    <w:rsid w:val="66EF68AF"/>
    <w:rsid w:val="66F37E01"/>
    <w:rsid w:val="66FA5A64"/>
    <w:rsid w:val="672A0689"/>
    <w:rsid w:val="673708DA"/>
    <w:rsid w:val="6773320D"/>
    <w:rsid w:val="677D408C"/>
    <w:rsid w:val="678E44EB"/>
    <w:rsid w:val="67E67E83"/>
    <w:rsid w:val="67EE31DB"/>
    <w:rsid w:val="68046A6D"/>
    <w:rsid w:val="68164CDF"/>
    <w:rsid w:val="687A4A6F"/>
    <w:rsid w:val="687A681D"/>
    <w:rsid w:val="687D052C"/>
    <w:rsid w:val="68882099"/>
    <w:rsid w:val="688D02FE"/>
    <w:rsid w:val="689271BE"/>
    <w:rsid w:val="68BC068D"/>
    <w:rsid w:val="68C57817"/>
    <w:rsid w:val="68E819D9"/>
    <w:rsid w:val="68EB3277"/>
    <w:rsid w:val="68EF5F6C"/>
    <w:rsid w:val="69353554"/>
    <w:rsid w:val="697B45FB"/>
    <w:rsid w:val="69884083"/>
    <w:rsid w:val="69B87C08"/>
    <w:rsid w:val="69C75A92"/>
    <w:rsid w:val="69E623BC"/>
    <w:rsid w:val="69FB573C"/>
    <w:rsid w:val="6A3F333A"/>
    <w:rsid w:val="6A3F387A"/>
    <w:rsid w:val="6A470AE2"/>
    <w:rsid w:val="6A877531"/>
    <w:rsid w:val="6AE6604A"/>
    <w:rsid w:val="6B282560"/>
    <w:rsid w:val="6B347157"/>
    <w:rsid w:val="6B785296"/>
    <w:rsid w:val="6BDF75DB"/>
    <w:rsid w:val="6BE20961"/>
    <w:rsid w:val="6BF04907"/>
    <w:rsid w:val="6C103720"/>
    <w:rsid w:val="6C300BEF"/>
    <w:rsid w:val="6CB247D7"/>
    <w:rsid w:val="6CD01D77"/>
    <w:rsid w:val="6CFA1CDB"/>
    <w:rsid w:val="6D062D75"/>
    <w:rsid w:val="6D082649"/>
    <w:rsid w:val="6D33797F"/>
    <w:rsid w:val="6D9E74AD"/>
    <w:rsid w:val="6DA81247"/>
    <w:rsid w:val="6DC41A93"/>
    <w:rsid w:val="6DC5053A"/>
    <w:rsid w:val="6DC742B3"/>
    <w:rsid w:val="6DFB3DD1"/>
    <w:rsid w:val="6E02452A"/>
    <w:rsid w:val="6E6B2E90"/>
    <w:rsid w:val="6E70494A"/>
    <w:rsid w:val="6E8637E4"/>
    <w:rsid w:val="6EA57E27"/>
    <w:rsid w:val="6EAE7221"/>
    <w:rsid w:val="6EBF1CCD"/>
    <w:rsid w:val="6EEA72AC"/>
    <w:rsid w:val="6EFC7AD4"/>
    <w:rsid w:val="6F2319BD"/>
    <w:rsid w:val="6F5B6D78"/>
    <w:rsid w:val="6F5D7B3C"/>
    <w:rsid w:val="6F7F6D2F"/>
    <w:rsid w:val="6FAF3250"/>
    <w:rsid w:val="6FBD5AE6"/>
    <w:rsid w:val="6FD66A2F"/>
    <w:rsid w:val="6FDF4ED3"/>
    <w:rsid w:val="70334C37"/>
    <w:rsid w:val="7078466A"/>
    <w:rsid w:val="707E4338"/>
    <w:rsid w:val="708E10B8"/>
    <w:rsid w:val="70C13206"/>
    <w:rsid w:val="70EE5E70"/>
    <w:rsid w:val="70EF41DA"/>
    <w:rsid w:val="70F73101"/>
    <w:rsid w:val="70F8420D"/>
    <w:rsid w:val="715E12B0"/>
    <w:rsid w:val="71B61962"/>
    <w:rsid w:val="71F326B3"/>
    <w:rsid w:val="720D656A"/>
    <w:rsid w:val="723A510C"/>
    <w:rsid w:val="72462849"/>
    <w:rsid w:val="7259184D"/>
    <w:rsid w:val="727E5E54"/>
    <w:rsid w:val="727F3B63"/>
    <w:rsid w:val="72AC1CC9"/>
    <w:rsid w:val="72C7572D"/>
    <w:rsid w:val="72DD6AC6"/>
    <w:rsid w:val="731F4041"/>
    <w:rsid w:val="73246FCC"/>
    <w:rsid w:val="734A24D4"/>
    <w:rsid w:val="7365626F"/>
    <w:rsid w:val="73727BB8"/>
    <w:rsid w:val="73A52518"/>
    <w:rsid w:val="74F57957"/>
    <w:rsid w:val="75022074"/>
    <w:rsid w:val="750A2372"/>
    <w:rsid w:val="75104791"/>
    <w:rsid w:val="755503F6"/>
    <w:rsid w:val="755C79D6"/>
    <w:rsid w:val="756F3EAF"/>
    <w:rsid w:val="75714B4A"/>
    <w:rsid w:val="75A2534B"/>
    <w:rsid w:val="76063DA2"/>
    <w:rsid w:val="760F50E7"/>
    <w:rsid w:val="761A51E2"/>
    <w:rsid w:val="763E532E"/>
    <w:rsid w:val="767D7C04"/>
    <w:rsid w:val="767E572A"/>
    <w:rsid w:val="768C502E"/>
    <w:rsid w:val="76E00193"/>
    <w:rsid w:val="76F36118"/>
    <w:rsid w:val="77185A9B"/>
    <w:rsid w:val="772701EB"/>
    <w:rsid w:val="77843214"/>
    <w:rsid w:val="77A15B74"/>
    <w:rsid w:val="77E15F71"/>
    <w:rsid w:val="77FA34D6"/>
    <w:rsid w:val="780600CD"/>
    <w:rsid w:val="78361C89"/>
    <w:rsid w:val="783C352A"/>
    <w:rsid w:val="785541C9"/>
    <w:rsid w:val="78850FF2"/>
    <w:rsid w:val="78B76110"/>
    <w:rsid w:val="78BF49FB"/>
    <w:rsid w:val="78DA2614"/>
    <w:rsid w:val="78E5724B"/>
    <w:rsid w:val="794778C4"/>
    <w:rsid w:val="798A0FE9"/>
    <w:rsid w:val="79A100AE"/>
    <w:rsid w:val="79C20308"/>
    <w:rsid w:val="7A18585D"/>
    <w:rsid w:val="7A4F1871"/>
    <w:rsid w:val="7A5C1A63"/>
    <w:rsid w:val="7A6A04A0"/>
    <w:rsid w:val="7A8450CB"/>
    <w:rsid w:val="7A9674E6"/>
    <w:rsid w:val="7B0A57DF"/>
    <w:rsid w:val="7B1A14A0"/>
    <w:rsid w:val="7B21725B"/>
    <w:rsid w:val="7B430CF1"/>
    <w:rsid w:val="7B5B24DE"/>
    <w:rsid w:val="7B7B492E"/>
    <w:rsid w:val="7B881C09"/>
    <w:rsid w:val="7BDD38E4"/>
    <w:rsid w:val="7BEB3862"/>
    <w:rsid w:val="7C4D1E27"/>
    <w:rsid w:val="7C7A5C40"/>
    <w:rsid w:val="7CB43C54"/>
    <w:rsid w:val="7CCB71F0"/>
    <w:rsid w:val="7D40373A"/>
    <w:rsid w:val="7D67516A"/>
    <w:rsid w:val="7D802572"/>
    <w:rsid w:val="7DDB3462"/>
    <w:rsid w:val="7DDF73F6"/>
    <w:rsid w:val="7E1437E9"/>
    <w:rsid w:val="7E244E09"/>
    <w:rsid w:val="7E25059B"/>
    <w:rsid w:val="7E386B07"/>
    <w:rsid w:val="7E4251F7"/>
    <w:rsid w:val="7E5C0773"/>
    <w:rsid w:val="7E66206B"/>
    <w:rsid w:val="7EBC7738"/>
    <w:rsid w:val="7EE051D4"/>
    <w:rsid w:val="7F0D7F93"/>
    <w:rsid w:val="7F30245B"/>
    <w:rsid w:val="7F574ACE"/>
    <w:rsid w:val="7FAE7739"/>
    <w:rsid w:val="7FD665D7"/>
    <w:rsid w:val="7FDC1E3F"/>
    <w:rsid w:val="7FE12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qFormat="1" w:uiPriority="99"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adjustRightInd w:val="0"/>
      <w:spacing w:line="360" w:lineRule="atLeast"/>
      <w:ind w:firstLine="482"/>
      <w:textAlignment w:val="baseline"/>
    </w:pPr>
    <w:rPr>
      <w:kern w:val="0"/>
      <w:sz w:val="24"/>
    </w:rPr>
  </w:style>
  <w:style w:type="paragraph" w:styleId="3">
    <w:name w:val="index 5"/>
    <w:basedOn w:val="1"/>
    <w:next w:val="1"/>
    <w:autoRedefine/>
    <w:unhideWhenUsed/>
    <w:qFormat/>
    <w:uiPriority w:val="99"/>
    <w:pPr>
      <w:ind w:left="1050" w:hanging="210" w:firstLineChars="200"/>
      <w:jc w:val="left"/>
    </w:pPr>
    <w:rPr>
      <w:sz w:val="18"/>
      <w:szCs w:val="18"/>
      <w:lang w:eastAsia="zh-TW"/>
    </w:rPr>
  </w:style>
  <w:style w:type="paragraph" w:styleId="4">
    <w:name w:val="annotation text"/>
    <w:basedOn w:val="1"/>
    <w:autoRedefine/>
    <w:qFormat/>
    <w:uiPriority w:val="0"/>
    <w:pPr>
      <w:jc w:val="left"/>
    </w:pPr>
  </w:style>
  <w:style w:type="paragraph" w:styleId="5">
    <w:name w:val="Body Text"/>
    <w:basedOn w:val="1"/>
    <w:next w:val="1"/>
    <w:autoRedefine/>
    <w:qFormat/>
    <w:uiPriority w:val="99"/>
    <w:pPr>
      <w:spacing w:after="120"/>
    </w:pPr>
    <w:rPr>
      <w:rFonts w:ascii="Times New Roman" w:hAnsi="Times New Roman" w:eastAsia="宋体" w:cs="Times New Roman"/>
      <w:kern w:val="0"/>
      <w:sz w:val="24"/>
    </w:rPr>
  </w:style>
  <w:style w:type="paragraph" w:styleId="6">
    <w:name w:val="Body Text Indent"/>
    <w:basedOn w:val="1"/>
    <w:next w:val="7"/>
    <w:autoRedefine/>
    <w:qFormat/>
    <w:uiPriority w:val="0"/>
    <w:pPr>
      <w:spacing w:after="120"/>
      <w:ind w:left="420" w:leftChars="200"/>
    </w:pPr>
  </w:style>
  <w:style w:type="paragraph" w:styleId="7">
    <w:name w:val="envelope return"/>
    <w:basedOn w:val="1"/>
    <w:autoRedefine/>
    <w:qFormat/>
    <w:uiPriority w:val="99"/>
    <w:pPr>
      <w:snapToGrid w:val="0"/>
    </w:pPr>
    <w:rPr>
      <w:rFonts w:ascii="Arial" w:hAnsi="Arial" w:cs="Arial"/>
    </w:rPr>
  </w:style>
  <w:style w:type="paragraph" w:styleId="8">
    <w:name w:val="index 4"/>
    <w:basedOn w:val="1"/>
    <w:next w:val="1"/>
    <w:autoRedefine/>
    <w:unhideWhenUsed/>
    <w:qFormat/>
    <w:uiPriority w:val="99"/>
    <w:pPr>
      <w:ind w:left="600" w:leftChars="600"/>
    </w:pPr>
    <w:rPr>
      <w:rFonts w:ascii="Times New Roman" w:hAnsi="Times New Roman" w:eastAsia="宋体" w:cs="Times New Roman"/>
    </w:rPr>
  </w:style>
  <w:style w:type="paragraph" w:styleId="9">
    <w:name w:val="footer"/>
    <w:basedOn w:val="1"/>
    <w:link w:val="19"/>
    <w:autoRedefine/>
    <w:unhideWhenUsed/>
    <w:qFormat/>
    <w:uiPriority w:val="99"/>
    <w:pPr>
      <w:tabs>
        <w:tab w:val="center" w:pos="4153"/>
        <w:tab w:val="right" w:pos="8306"/>
      </w:tabs>
      <w:snapToGrid w:val="0"/>
      <w:jc w:val="left"/>
    </w:pPr>
    <w:rPr>
      <w:sz w:val="18"/>
      <w:szCs w:val="18"/>
    </w:rPr>
  </w:style>
  <w:style w:type="paragraph" w:styleId="10">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next w:val="3"/>
    <w:autoRedefine/>
    <w:qFormat/>
    <w:uiPriority w:val="0"/>
    <w:pPr>
      <w:adjustRightInd w:val="0"/>
      <w:spacing w:line="312" w:lineRule="atLeast"/>
      <w:jc w:val="left"/>
      <w:textAlignment w:val="baseline"/>
    </w:pPr>
    <w:rPr>
      <w:kern w:val="0"/>
      <w:sz w:val="18"/>
      <w:szCs w:val="20"/>
    </w:rPr>
  </w:style>
  <w:style w:type="paragraph" w:styleId="12">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rPr>
  </w:style>
  <w:style w:type="paragraph" w:styleId="13">
    <w:name w:val="Normal (Web)"/>
    <w:basedOn w:val="1"/>
    <w:autoRedefine/>
    <w:qFormat/>
    <w:uiPriority w:val="0"/>
    <w:pPr>
      <w:jc w:val="left"/>
    </w:pPr>
    <w:rPr>
      <w:rFonts w:cs="Times New Roman"/>
      <w:kern w:val="0"/>
      <w:sz w:val="24"/>
    </w:rPr>
  </w:style>
  <w:style w:type="paragraph" w:styleId="14">
    <w:name w:val="Body Text First Indent 2"/>
    <w:basedOn w:val="6"/>
    <w:next w:val="1"/>
    <w:autoRedefine/>
    <w:qFormat/>
    <w:uiPriority w:val="99"/>
    <w:pPr>
      <w:ind w:firstLine="420" w:firstLineChars="200"/>
    </w:pPr>
  </w:style>
  <w:style w:type="table" w:styleId="16">
    <w:name w:val="Table Grid"/>
    <w:basedOn w:val="1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8">
    <w:name w:val="页眉 Char"/>
    <w:basedOn w:val="17"/>
    <w:link w:val="10"/>
    <w:autoRedefine/>
    <w:qFormat/>
    <w:uiPriority w:val="99"/>
    <w:rPr>
      <w:sz w:val="18"/>
      <w:szCs w:val="18"/>
    </w:rPr>
  </w:style>
  <w:style w:type="character" w:customStyle="1" w:styleId="19">
    <w:name w:val="页脚 Char"/>
    <w:basedOn w:val="17"/>
    <w:link w:val="9"/>
    <w:autoRedefine/>
    <w:qFormat/>
    <w:uiPriority w:val="99"/>
    <w:rPr>
      <w:sz w:val="18"/>
      <w:szCs w:val="18"/>
    </w:rPr>
  </w:style>
  <w:style w:type="character" w:customStyle="1" w:styleId="20">
    <w:name w:val="font71"/>
    <w:basedOn w:val="17"/>
    <w:autoRedefine/>
    <w:qFormat/>
    <w:uiPriority w:val="0"/>
    <w:rPr>
      <w:rFonts w:hint="eastAsia" w:ascii="宋体" w:hAnsi="宋体" w:eastAsia="宋体" w:cs="宋体"/>
      <w:color w:val="000000"/>
      <w:sz w:val="18"/>
      <w:szCs w:val="18"/>
      <w:u w:val="none"/>
    </w:rPr>
  </w:style>
  <w:style w:type="character" w:customStyle="1" w:styleId="21">
    <w:name w:val="font11"/>
    <w:basedOn w:val="17"/>
    <w:autoRedefine/>
    <w:qFormat/>
    <w:uiPriority w:val="0"/>
    <w:rPr>
      <w:rFonts w:hint="eastAsia" w:ascii="宋体" w:hAnsi="宋体" w:eastAsia="宋体" w:cs="宋体"/>
      <w:color w:val="FF0000"/>
      <w:sz w:val="18"/>
      <w:szCs w:val="18"/>
      <w:u w:val="none"/>
    </w:rPr>
  </w:style>
  <w:style w:type="paragraph" w:customStyle="1" w:styleId="22">
    <w:name w:val="表格文字"/>
    <w:basedOn w:val="6"/>
    <w:next w:val="5"/>
    <w:autoRedefine/>
    <w:qFormat/>
    <w:uiPriority w:val="0"/>
    <w:pPr>
      <w:spacing w:before="60" w:after="60"/>
      <w:ind w:left="0" w:leftChars="0"/>
    </w:pPr>
    <w:rPr>
      <w:sz w:val="24"/>
    </w:rPr>
  </w:style>
  <w:style w:type="character" w:customStyle="1" w:styleId="23">
    <w:name w:val="font51"/>
    <w:basedOn w:val="17"/>
    <w:autoRedefine/>
    <w:qFormat/>
    <w:uiPriority w:val="0"/>
    <w:rPr>
      <w:rFonts w:hint="eastAsia" w:ascii="宋体" w:hAnsi="宋体" w:eastAsia="宋体" w:cs="宋体"/>
      <w:color w:val="000000"/>
      <w:sz w:val="20"/>
      <w:szCs w:val="20"/>
      <w:u w:val="none"/>
    </w:rPr>
  </w:style>
  <w:style w:type="character" w:customStyle="1" w:styleId="24">
    <w:name w:val="font31"/>
    <w:basedOn w:val="17"/>
    <w:autoRedefine/>
    <w:qFormat/>
    <w:uiPriority w:val="0"/>
    <w:rPr>
      <w:rFonts w:hint="eastAsia" w:ascii="宋体" w:hAnsi="宋体" w:eastAsia="宋体" w:cs="宋体"/>
      <w:color w:val="FF0000"/>
      <w:sz w:val="20"/>
      <w:szCs w:val="20"/>
      <w:u w:val="none"/>
    </w:rPr>
  </w:style>
  <w:style w:type="character" w:customStyle="1" w:styleId="25">
    <w:name w:val="font01"/>
    <w:basedOn w:val="17"/>
    <w:autoRedefine/>
    <w:qFormat/>
    <w:uiPriority w:val="0"/>
    <w:rPr>
      <w:rFonts w:hint="eastAsia" w:ascii="宋体" w:hAnsi="宋体" w:eastAsia="宋体" w:cs="宋体"/>
      <w:color w:val="000000"/>
      <w:sz w:val="36"/>
      <w:szCs w:val="36"/>
      <w:u w:val="none"/>
    </w:rPr>
  </w:style>
  <w:style w:type="paragraph" w:customStyle="1" w:styleId="26">
    <w:name w:val="正文首行缩进1"/>
    <w:basedOn w:val="5"/>
    <w:autoRedefine/>
    <w:qFormat/>
    <w:uiPriority w:val="0"/>
    <w:pPr>
      <w:ind w:firstLine="420" w:firstLineChars="100"/>
    </w:pPr>
  </w:style>
  <w:style w:type="paragraph" w:customStyle="1" w:styleId="27">
    <w:name w:val="普通正文"/>
    <w:basedOn w:val="1"/>
    <w:qFormat/>
    <w:uiPriority w:val="0"/>
    <w:pPr>
      <w:adjustRightInd w:val="0"/>
      <w:spacing w:before="120" w:after="120" w:line="360" w:lineRule="auto"/>
      <w:ind w:left="-2" w:right="120" w:firstLine="480"/>
      <w:jc w:val="center"/>
      <w:textAlignment w:val="baseline"/>
    </w:pPr>
    <w:rPr>
      <w:rFonts w:ascii="Arial" w:hAnsi="Arial" w:eastAsia="宋体" w:cs="Times New Roman"/>
      <w:kern w:val="0"/>
      <w:sz w:val="24"/>
      <w:szCs w:val="24"/>
    </w:rPr>
  </w:style>
  <w:style w:type="paragraph" w:customStyle="1" w:styleId="28">
    <w:name w:val="Default"/>
    <w:autoRedefine/>
    <w:qFormat/>
    <w:uiPriority w:val="99"/>
    <w:pPr>
      <w:widowControl w:val="0"/>
      <w:autoSpaceDE w:val="0"/>
      <w:autoSpaceDN w:val="0"/>
      <w:adjustRightInd w:val="0"/>
    </w:pPr>
    <w:rPr>
      <w:rFonts w:ascii="宋体" w:hAnsi="宋体" w:eastAsia="等线"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6069C4-077B-480A-9EA1-9F13FFE86CB5}">
  <ds:schemaRefs/>
</ds:datastoreItem>
</file>

<file path=docProps/app.xml><?xml version="1.0" encoding="utf-8"?>
<Properties xmlns="http://schemas.openxmlformats.org/officeDocument/2006/extended-properties" xmlns:vt="http://schemas.openxmlformats.org/officeDocument/2006/docPropsVTypes">
  <Template>Normal</Template>
  <Pages>6</Pages>
  <Words>3493</Words>
  <Characters>3644</Characters>
  <Lines>44</Lines>
  <Paragraphs>12</Paragraphs>
  <TotalTime>14</TotalTime>
  <ScaleCrop>false</ScaleCrop>
  <LinksUpToDate>false</LinksUpToDate>
  <CharactersWithSpaces>3729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2022-08-23T03:20:00Z</dcterms:created>
  <dc:creator>wang</dc:creator>
  <cp:lastModifiedBy>快乐的小笼包</cp:lastModifiedBy>
  <cp:lastPrinted>2025-10-10T08:20:00Z</cp:lastPrinted>
  <dcterms:modified xsi:type="dcterms:W3CDTF">2026-01-05T08:21:03Z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3CDF86938E58437D90019AA49D11F81F_13</vt:lpwstr>
  </property>
  <property fmtid="{D5CDD505-2E9C-101B-9397-08002B2CF9AE}" pid="4" name="KSOTemplateDocerSaveRecord">
    <vt:lpwstr>eyJoZGlkIjoiOTJjNDQ4NGMyOTU3ZDhlYzQ1MjNhNDZkZTkwNmIyNTYiLCJ1c2VySWQiOiI0ODEwNjk1NTYifQ==</vt:lpwstr>
  </property>
</Properties>
</file>