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580EF">
      <w:pPr>
        <w:jc w:val="center"/>
        <w:rPr>
          <w:rFonts w:hint="eastAsia" w:ascii="仿宋" w:hAnsi="仿宋" w:eastAsia="仿宋" w:cs="仿宋"/>
          <w:b/>
          <w:bCs/>
          <w:sz w:val="32"/>
          <w:szCs w:val="32"/>
        </w:rPr>
      </w:pPr>
      <w:r>
        <w:rPr>
          <w:rFonts w:hint="eastAsia" w:ascii="仿宋" w:hAnsi="仿宋" w:eastAsia="仿宋" w:cs="仿宋"/>
          <w:b/>
          <w:bCs/>
          <w:sz w:val="32"/>
          <w:szCs w:val="32"/>
        </w:rPr>
        <w:t>启东经济开发区法治广场绿化苗木采购项目</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第二次</w:t>
      </w:r>
      <w:r>
        <w:rPr>
          <w:rFonts w:hint="eastAsia" w:ascii="仿宋" w:hAnsi="仿宋" w:eastAsia="仿宋" w:cs="仿宋"/>
          <w:b/>
          <w:bCs/>
          <w:sz w:val="32"/>
          <w:szCs w:val="32"/>
          <w:lang w:eastAsia="zh-CN"/>
        </w:rPr>
        <w:t>）</w:t>
      </w:r>
    </w:p>
    <w:p w14:paraId="7AE77E4B">
      <w:pPr>
        <w:jc w:val="center"/>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询价</w:t>
      </w:r>
      <w:r>
        <w:rPr>
          <w:rFonts w:hint="eastAsia" w:ascii="仿宋" w:hAnsi="仿宋" w:eastAsia="仿宋" w:cs="仿宋"/>
          <w:b/>
          <w:bCs/>
          <w:sz w:val="32"/>
          <w:szCs w:val="32"/>
        </w:rPr>
        <w:t>公告</w:t>
      </w:r>
    </w:p>
    <w:p w14:paraId="237B2904">
      <w:pPr>
        <w:snapToGrid w:val="0"/>
        <w:spacing w:line="440" w:lineRule="exact"/>
        <w:ind w:firstLine="560" w:firstLineChars="200"/>
        <w:rPr>
          <w:rFonts w:hint="eastAsia" w:ascii="仿宋" w:hAnsi="仿宋" w:eastAsia="仿宋" w:cs="仿宋"/>
          <w:sz w:val="30"/>
          <w:szCs w:val="30"/>
        </w:rPr>
      </w:pPr>
      <w:r>
        <w:rPr>
          <w:rFonts w:hint="eastAsia" w:ascii="仿宋" w:hAnsi="仿宋" w:eastAsia="仿宋" w:cs="仿宋"/>
          <w:sz w:val="28"/>
          <w:szCs w:val="28"/>
          <w:highlight w:val="none"/>
        </w:rPr>
        <w:t>启东腾飞物业管理有限公司就启东经济开发区法治广场绿化苗木采购项目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第二次</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进行</w:t>
      </w:r>
      <w:r>
        <w:rPr>
          <w:rFonts w:hint="eastAsia" w:ascii="仿宋" w:hAnsi="仿宋" w:eastAsia="仿宋" w:cs="仿宋"/>
          <w:sz w:val="28"/>
          <w:szCs w:val="28"/>
          <w:highlight w:val="none"/>
          <w:lang w:val="en-US" w:eastAsia="zh-CN"/>
        </w:rPr>
        <w:t>询价采购</w:t>
      </w:r>
      <w:bookmarkStart w:id="3" w:name="_GoBack"/>
      <w:bookmarkEnd w:id="3"/>
      <w:r>
        <w:rPr>
          <w:rFonts w:hint="eastAsia" w:ascii="仿宋" w:hAnsi="仿宋" w:eastAsia="仿宋" w:cs="仿宋"/>
          <w:sz w:val="28"/>
          <w:szCs w:val="28"/>
          <w:highlight w:val="none"/>
        </w:rPr>
        <w:t>。</w:t>
      </w:r>
    </w:p>
    <w:p w14:paraId="5C592FD1">
      <w:pPr>
        <w:keepNext w:val="0"/>
        <w:keepLines w:val="0"/>
        <w:pageBreakBefore w:val="0"/>
        <w:numPr>
          <w:ilvl w:val="0"/>
          <w:numId w:val="1"/>
        </w:numPr>
        <w:kinsoku/>
        <w:overflowPunct/>
        <w:topLinePunct w:val="0"/>
        <w:autoSpaceDE/>
        <w:autoSpaceDN/>
        <w:bidi w:val="0"/>
        <w:adjustRightInd/>
        <w:snapToGrid w:val="0"/>
        <w:spacing w:line="440" w:lineRule="exact"/>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采购内容：</w:t>
      </w:r>
      <w:r>
        <w:rPr>
          <w:rFonts w:hint="eastAsia" w:ascii="仿宋" w:hAnsi="仿宋" w:eastAsia="仿宋" w:cs="仿宋"/>
          <w:sz w:val="28"/>
          <w:szCs w:val="28"/>
          <w:highlight w:val="none"/>
        </w:rPr>
        <w:t>启东经济开发区法治广场绿化苗木采购</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具体《采购清单》如下：</w:t>
      </w:r>
    </w:p>
    <w:tbl>
      <w:tblPr>
        <w:tblStyle w:val="17"/>
        <w:tblW w:w="8819" w:type="dxa"/>
        <w:tblInd w:w="-3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3"/>
        <w:gridCol w:w="1463"/>
        <w:gridCol w:w="2621"/>
        <w:gridCol w:w="672"/>
        <w:gridCol w:w="901"/>
        <w:gridCol w:w="1133"/>
        <w:gridCol w:w="1206"/>
      </w:tblGrid>
      <w:tr w14:paraId="4A96B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9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0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1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D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5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采购数量</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FC9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单价限价</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2DE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总价限价</w:t>
            </w:r>
          </w:p>
        </w:tc>
      </w:tr>
      <w:tr w14:paraId="5B3DE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E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0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香樟B</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2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Ф19.1-20</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1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C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97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D3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r>
      <w:tr w14:paraId="0C497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8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2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香樟C</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D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φ16.1-17cm</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F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C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3C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54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r>
      <w:tr w14:paraId="05404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A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E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广玉兰</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E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Ф20.1-22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D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6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27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0E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6400</w:t>
            </w:r>
          </w:p>
        </w:tc>
      </w:tr>
      <w:tr w14:paraId="32694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8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4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榉树B</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3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Ф17.1-18</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8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F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A4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22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87500</w:t>
            </w:r>
          </w:p>
        </w:tc>
      </w:tr>
      <w:tr w14:paraId="7F1EA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0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9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法桐</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F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φ14.1-16cm</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3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F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B3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525.00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8A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4725</w:t>
            </w:r>
          </w:p>
        </w:tc>
      </w:tr>
      <w:tr w14:paraId="611E5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8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1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落羽杉</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1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Ф9.1-10cm</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7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5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F6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202.50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77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607.5</w:t>
            </w:r>
          </w:p>
        </w:tc>
      </w:tr>
      <w:tr w14:paraId="6A870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8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B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红玉兰</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A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φ12.1-14cm</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B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D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E6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8A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19200</w:t>
            </w:r>
          </w:p>
        </w:tc>
      </w:tr>
      <w:tr w14:paraId="02144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9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3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美人梅</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5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D10.1-11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1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B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4C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19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14:paraId="4841F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D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4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红叶石楠球A</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A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W200-220cm H150-180 </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5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B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05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FD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49C07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2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2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红花继木球</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9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W120-150，H120-150</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3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7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7E7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A2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3FA7F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4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3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大花金鸡菊</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3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64株/m2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582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6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CD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B4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9280</w:t>
            </w:r>
          </w:p>
        </w:tc>
      </w:tr>
      <w:tr w14:paraId="4D727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D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0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黄金菊</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9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49株/m2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0D8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5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65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1B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14:paraId="43B10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A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F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四季草花</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8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81株/m2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1B8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C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E6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61.36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68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920.4</w:t>
            </w:r>
          </w:p>
        </w:tc>
      </w:tr>
      <w:tr w14:paraId="6AA81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B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C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金森女贞</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E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49株/m2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A74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0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05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44.10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BE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11466</w:t>
            </w:r>
          </w:p>
        </w:tc>
      </w:tr>
      <w:tr w14:paraId="7E9ED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6"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E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7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阔叶麦冬+大花萱草</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F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阔叶麦冬，非等距自然种植，间距15-30公分；9丛/平方米，2-3芽/丛，大花萱草在阔叶麦冬（间距较大）的缝隙间，每49丛阔叶麦冬间种9丛大花萱草</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DF0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E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DC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B9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6120</w:t>
            </w:r>
          </w:p>
        </w:tc>
      </w:tr>
      <w:tr w14:paraId="7CAAF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6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A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夏鹃</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8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49株/m2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E29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B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F4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49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1715</w:t>
            </w:r>
          </w:p>
        </w:tc>
      </w:tr>
      <w:tr w14:paraId="69C43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E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7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常绿鸢尾</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C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49株/m2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7E9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5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97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27.56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79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1378</w:t>
            </w:r>
          </w:p>
        </w:tc>
      </w:tr>
      <w:tr w14:paraId="25B8F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4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C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红花继木</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1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49株/m2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471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0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96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48.14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F0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2840.26</w:t>
            </w:r>
          </w:p>
        </w:tc>
      </w:tr>
      <w:tr w14:paraId="0C243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4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0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海桐</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3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49株/m2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F61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C3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63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29.40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AE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1470</w:t>
            </w:r>
          </w:p>
        </w:tc>
      </w:tr>
      <w:tr w14:paraId="44E15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3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4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金边阔叶麦冬</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F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4kg/m2，3-5分枝</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1F8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7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A9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19.95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93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139.65</w:t>
            </w:r>
          </w:p>
        </w:tc>
      </w:tr>
      <w:tr w14:paraId="18D0F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1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9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桃叶珊瑚</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C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49株/m2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EF4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D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BF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94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2891</w:t>
            </w:r>
          </w:p>
        </w:tc>
      </w:tr>
      <w:tr w14:paraId="683BF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3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9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木绣球</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0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49株/m2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94A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9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EE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0A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2058</w:t>
            </w:r>
          </w:p>
        </w:tc>
      </w:tr>
      <w:tr w14:paraId="37810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7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8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日本麦冬</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9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100丛/m2，3-4芽/丛</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82C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0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9F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37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313.6</w:t>
            </w:r>
          </w:p>
        </w:tc>
      </w:tr>
      <w:tr w14:paraId="7FF56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D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4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毛鹃</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6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49株/m2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D93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7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70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88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3920</w:t>
            </w:r>
          </w:p>
        </w:tc>
      </w:tr>
      <w:tr w14:paraId="20AF3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6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A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茶梅</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5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49株/m2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957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D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A5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CF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6615</w:t>
            </w:r>
          </w:p>
        </w:tc>
      </w:tr>
      <w:tr w14:paraId="5BF91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7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F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小龙柏</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B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49株/m2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9F2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3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8D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BD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w:t>
            </w:r>
          </w:p>
        </w:tc>
      </w:tr>
      <w:tr w14:paraId="676CF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4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7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红叶石楠</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0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64株/m2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7FD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8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FA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2E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1260</w:t>
            </w:r>
          </w:p>
        </w:tc>
      </w:tr>
      <w:tr w14:paraId="0AAFB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9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0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金边黄杨</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8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64株/m2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705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C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AE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28.50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0C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w:t>
            </w:r>
          </w:p>
        </w:tc>
      </w:tr>
      <w:tr w14:paraId="43D77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E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3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铺种草皮</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4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百慕大草卷满铺</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7CC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2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24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9.11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CE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2368.6</w:t>
            </w:r>
          </w:p>
        </w:tc>
      </w:tr>
      <w:tr w14:paraId="79769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6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1652">
            <w:pPr>
              <w:jc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总价限价（元）</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8C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194260.01</w:t>
            </w:r>
          </w:p>
        </w:tc>
      </w:tr>
      <w:tr w14:paraId="43C86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881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70AC">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注：1、</w:t>
            </w:r>
            <w:r>
              <w:rPr>
                <w:rFonts w:hint="eastAsia" w:ascii="宋体" w:hAnsi="宋体" w:cs="宋体"/>
                <w:b/>
                <w:bCs/>
                <w:i w:val="0"/>
                <w:iCs w:val="0"/>
                <w:color w:val="000000"/>
                <w:kern w:val="2"/>
                <w:sz w:val="21"/>
                <w:szCs w:val="21"/>
                <w:u w:val="none"/>
                <w:lang w:val="en-US" w:eastAsia="zh-CN" w:bidi="ar-SA"/>
              </w:rPr>
              <w:t>本项目中</w:t>
            </w:r>
            <w:r>
              <w:rPr>
                <w:rFonts w:hint="eastAsia" w:ascii="宋体" w:hAnsi="宋体" w:eastAsia="宋体" w:cs="宋体"/>
                <w:b/>
                <w:bCs/>
                <w:i w:val="0"/>
                <w:iCs w:val="0"/>
                <w:color w:val="000000"/>
                <w:kern w:val="2"/>
                <w:sz w:val="21"/>
                <w:szCs w:val="21"/>
                <w:u w:val="none"/>
                <w:lang w:val="en-US" w:eastAsia="zh-CN" w:bidi="ar-SA"/>
              </w:rPr>
              <w:t>价格</w:t>
            </w:r>
            <w:r>
              <w:rPr>
                <w:rFonts w:hint="eastAsia" w:ascii="宋体" w:hAnsi="宋体" w:cs="宋体"/>
                <w:b/>
                <w:bCs/>
                <w:i w:val="0"/>
                <w:iCs w:val="0"/>
                <w:color w:val="000000"/>
                <w:kern w:val="2"/>
                <w:sz w:val="21"/>
                <w:szCs w:val="21"/>
                <w:u w:val="none"/>
                <w:lang w:val="en-US" w:eastAsia="zh-CN" w:bidi="ar-SA"/>
              </w:rPr>
              <w:t>均含</w:t>
            </w:r>
            <w:r>
              <w:rPr>
                <w:rFonts w:hint="eastAsia" w:ascii="宋体" w:hAnsi="宋体" w:eastAsia="宋体" w:cs="宋体"/>
                <w:b/>
                <w:bCs/>
                <w:i w:val="0"/>
                <w:iCs w:val="0"/>
                <w:color w:val="000000"/>
                <w:kern w:val="2"/>
                <w:sz w:val="21"/>
                <w:szCs w:val="21"/>
                <w:u w:val="none"/>
                <w:lang w:val="en-US" w:eastAsia="zh-CN" w:bidi="ar-SA"/>
              </w:rPr>
              <w:t>13%的增值税；</w:t>
            </w:r>
          </w:p>
          <w:p w14:paraId="31D7EE2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2"/>
                <w:sz w:val="21"/>
                <w:szCs w:val="21"/>
                <w:u w:val="none"/>
                <w:lang w:val="en-US" w:eastAsia="zh-CN" w:bidi="ar-SA"/>
              </w:rPr>
              <w:t>2、投标报价保留两位小数。</w:t>
            </w:r>
          </w:p>
        </w:tc>
      </w:tr>
    </w:tbl>
    <w:p w14:paraId="7CC4D69D">
      <w:pPr>
        <w:keepNext w:val="0"/>
        <w:keepLines w:val="0"/>
        <w:pageBreakBefore w:val="0"/>
        <w:numPr>
          <w:ilvl w:val="0"/>
          <w:numId w:val="0"/>
        </w:numPr>
        <w:kinsoku/>
        <w:overflowPunct/>
        <w:topLinePunct w:val="0"/>
        <w:autoSpaceDE/>
        <w:autoSpaceDN/>
        <w:bidi w:val="0"/>
        <w:adjustRightInd/>
        <w:snapToGrid w:val="0"/>
        <w:spacing w:line="440" w:lineRule="exact"/>
        <w:textAlignment w:val="auto"/>
        <w:rPr>
          <w:rFonts w:hint="eastAsia" w:ascii="仿宋" w:hAnsi="仿宋" w:eastAsia="仿宋" w:cs="仿宋"/>
          <w:b/>
          <w:bCs/>
          <w:sz w:val="28"/>
          <w:szCs w:val="28"/>
          <w:highlight w:val="none"/>
          <w:u w:val="none"/>
        </w:rPr>
      </w:pPr>
      <w:r>
        <w:rPr>
          <w:rFonts w:hint="eastAsia" w:ascii="仿宋" w:hAnsi="仿宋" w:eastAsia="仿宋" w:cs="仿宋"/>
          <w:b/>
          <w:bCs/>
          <w:sz w:val="28"/>
          <w:szCs w:val="28"/>
          <w:highlight w:val="none"/>
          <w:u w:val="none"/>
          <w:lang w:val="en-US" w:eastAsia="zh-CN"/>
        </w:rPr>
        <w:t>二、</w:t>
      </w:r>
      <w:r>
        <w:rPr>
          <w:rFonts w:hint="eastAsia" w:ascii="仿宋" w:hAnsi="仿宋" w:eastAsia="仿宋" w:cs="仿宋"/>
          <w:b/>
          <w:bCs/>
          <w:sz w:val="28"/>
          <w:szCs w:val="28"/>
          <w:highlight w:val="none"/>
          <w:u w:val="none"/>
        </w:rPr>
        <w:t>本项目总价最高限价</w:t>
      </w:r>
      <w:r>
        <w:rPr>
          <w:rFonts w:hint="eastAsia" w:ascii="仿宋" w:hAnsi="仿宋" w:eastAsia="仿宋" w:cs="仿宋"/>
          <w:b/>
          <w:bCs/>
          <w:sz w:val="28"/>
          <w:szCs w:val="28"/>
          <w:highlight w:val="none"/>
          <w:u w:val="none"/>
          <w:lang w:eastAsia="zh-CN"/>
        </w:rPr>
        <w:t>（</w:t>
      </w:r>
      <w:r>
        <w:rPr>
          <w:rFonts w:hint="eastAsia" w:ascii="仿宋" w:hAnsi="仿宋" w:eastAsia="仿宋" w:cs="仿宋"/>
          <w:b/>
          <w:bCs/>
          <w:sz w:val="28"/>
          <w:szCs w:val="28"/>
          <w:highlight w:val="none"/>
          <w:u w:val="none"/>
          <w:lang w:val="en-US" w:eastAsia="zh-CN"/>
        </w:rPr>
        <w:t>含税</w:t>
      </w:r>
      <w:r>
        <w:rPr>
          <w:rFonts w:hint="eastAsia" w:ascii="仿宋" w:hAnsi="仿宋" w:eastAsia="仿宋" w:cs="仿宋"/>
          <w:b/>
          <w:bCs/>
          <w:sz w:val="28"/>
          <w:szCs w:val="28"/>
          <w:highlight w:val="none"/>
          <w:u w:val="none"/>
          <w:lang w:eastAsia="zh-CN"/>
        </w:rPr>
        <w:t>）</w:t>
      </w:r>
      <w:r>
        <w:rPr>
          <w:rFonts w:hint="eastAsia" w:ascii="仿宋" w:hAnsi="仿宋" w:eastAsia="仿宋" w:cs="仿宋"/>
          <w:b/>
          <w:bCs/>
          <w:sz w:val="28"/>
          <w:szCs w:val="28"/>
          <w:highlight w:val="none"/>
          <w:u w:val="none"/>
        </w:rPr>
        <w:t>为人民币</w:t>
      </w:r>
      <w:r>
        <w:rPr>
          <w:rFonts w:hint="eastAsia" w:ascii="仿宋" w:hAnsi="仿宋" w:eastAsia="仿宋" w:cs="仿宋"/>
          <w:b/>
          <w:bCs/>
          <w:sz w:val="28"/>
          <w:szCs w:val="28"/>
          <w:highlight w:val="none"/>
          <w:u w:val="none"/>
          <w:lang w:val="en-US" w:eastAsia="zh-CN"/>
        </w:rPr>
        <w:t>壹拾玖万肆仟贰佰陆拾元零壹分（￥：194260.01元）</w:t>
      </w:r>
      <w:r>
        <w:rPr>
          <w:rFonts w:hint="eastAsia" w:ascii="仿宋" w:hAnsi="仿宋" w:eastAsia="仿宋" w:cs="仿宋"/>
          <w:b/>
          <w:bCs/>
          <w:sz w:val="28"/>
          <w:szCs w:val="28"/>
          <w:highlight w:val="none"/>
          <w:u w:val="none"/>
        </w:rPr>
        <w:t>，总</w:t>
      </w:r>
      <w:r>
        <w:rPr>
          <w:rFonts w:hint="eastAsia" w:ascii="仿宋" w:hAnsi="仿宋" w:eastAsia="仿宋" w:cs="仿宋"/>
          <w:b/>
          <w:bCs/>
          <w:sz w:val="28"/>
          <w:szCs w:val="28"/>
          <w:highlight w:val="none"/>
          <w:u w:val="none"/>
          <w:lang w:val="en-US" w:eastAsia="zh-CN"/>
        </w:rPr>
        <w:t>价</w:t>
      </w:r>
      <w:r>
        <w:rPr>
          <w:rFonts w:hint="eastAsia" w:ascii="仿宋" w:hAnsi="仿宋" w:eastAsia="仿宋" w:cs="仿宋"/>
          <w:b/>
          <w:bCs/>
          <w:sz w:val="28"/>
          <w:szCs w:val="28"/>
          <w:highlight w:val="none"/>
          <w:u w:val="none"/>
        </w:rPr>
        <w:t>报价</w:t>
      </w:r>
      <w:r>
        <w:rPr>
          <w:rFonts w:hint="eastAsia" w:ascii="仿宋" w:hAnsi="仿宋" w:eastAsia="仿宋" w:cs="仿宋"/>
          <w:b/>
          <w:bCs/>
          <w:sz w:val="28"/>
          <w:szCs w:val="28"/>
          <w:highlight w:val="none"/>
          <w:u w:val="none"/>
          <w:lang w:val="en-US" w:eastAsia="zh-CN"/>
        </w:rPr>
        <w:t>及单价报价</w:t>
      </w:r>
      <w:r>
        <w:rPr>
          <w:rFonts w:hint="eastAsia" w:ascii="仿宋" w:hAnsi="仿宋" w:eastAsia="仿宋" w:cs="仿宋"/>
          <w:b/>
          <w:bCs/>
          <w:sz w:val="28"/>
          <w:szCs w:val="28"/>
          <w:highlight w:val="none"/>
          <w:u w:val="none"/>
        </w:rPr>
        <w:t>超过最高限价的</w:t>
      </w:r>
      <w:r>
        <w:rPr>
          <w:rFonts w:hint="eastAsia" w:ascii="仿宋" w:hAnsi="仿宋" w:eastAsia="仿宋" w:cs="仿宋"/>
          <w:b/>
          <w:bCs/>
          <w:sz w:val="28"/>
          <w:szCs w:val="28"/>
          <w:highlight w:val="none"/>
          <w:u w:val="none"/>
          <w:lang w:val="en-US" w:eastAsia="zh-CN"/>
        </w:rPr>
        <w:t>均</w:t>
      </w:r>
      <w:r>
        <w:rPr>
          <w:rFonts w:hint="eastAsia" w:ascii="仿宋" w:hAnsi="仿宋" w:eastAsia="仿宋" w:cs="仿宋"/>
          <w:b/>
          <w:bCs/>
          <w:sz w:val="28"/>
          <w:szCs w:val="28"/>
          <w:highlight w:val="none"/>
          <w:u w:val="none"/>
        </w:rPr>
        <w:t>为无效报价。</w:t>
      </w:r>
    </w:p>
    <w:p w14:paraId="6418A4A4">
      <w:pPr>
        <w:keepNext w:val="0"/>
        <w:keepLines w:val="0"/>
        <w:pageBreakBefore w:val="0"/>
        <w:kinsoku/>
        <w:overflowPunct/>
        <w:topLinePunct w:val="0"/>
        <w:autoSpaceDE/>
        <w:autoSpaceDN/>
        <w:bidi w:val="0"/>
        <w:adjustRightInd/>
        <w:snapToGrid w:val="0"/>
        <w:spacing w:line="44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三、</w:t>
      </w:r>
      <w:r>
        <w:rPr>
          <w:rFonts w:hint="eastAsia" w:ascii="仿宋" w:hAnsi="仿宋" w:eastAsia="仿宋" w:cs="仿宋"/>
          <w:b/>
          <w:bCs/>
          <w:sz w:val="28"/>
          <w:szCs w:val="28"/>
          <w:highlight w:val="none"/>
        </w:rPr>
        <w:t>供应商资格要求：</w:t>
      </w:r>
    </w:p>
    <w:p w14:paraId="6BA4D7D2">
      <w:pPr>
        <w:keepNext w:val="0"/>
        <w:keepLines w:val="0"/>
        <w:pageBreakBefore w:val="0"/>
        <w:kinsoku/>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1.满足《中华人民共和国政府采购法》第二十二条规定。</w:t>
      </w:r>
    </w:p>
    <w:p w14:paraId="797C7254">
      <w:pPr>
        <w:keepNext w:val="0"/>
        <w:keepLines w:val="0"/>
        <w:pageBreakBefore w:val="0"/>
        <w:kinsoku/>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2.落实政府采购政策需满足的资格要求：无。</w:t>
      </w:r>
    </w:p>
    <w:p w14:paraId="102534FD">
      <w:pPr>
        <w:keepNext w:val="0"/>
        <w:keepLines w:val="0"/>
        <w:pageBreakBefore w:val="0"/>
        <w:kinsoku/>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3.本项目的特定资格要求：</w:t>
      </w:r>
    </w:p>
    <w:p w14:paraId="0DD3D1D2">
      <w:pPr>
        <w:keepNext w:val="0"/>
        <w:keepLines w:val="0"/>
        <w:pageBreakBefore w:val="0"/>
        <w:kinsoku/>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（1）投标供应商具有合法有效的营业执照；</w:t>
      </w:r>
    </w:p>
    <w:p w14:paraId="16ED5C2A">
      <w:pPr>
        <w:keepNext w:val="0"/>
        <w:keepLines w:val="0"/>
        <w:pageBreakBefore w:val="0"/>
        <w:kinsoku/>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（2）本项目招标不接受联合体投标。</w:t>
      </w:r>
    </w:p>
    <w:p w14:paraId="77C0B2EB">
      <w:pPr>
        <w:keepNext w:val="0"/>
        <w:keepLines w:val="0"/>
        <w:pageBreakBefore w:val="0"/>
        <w:kinsoku/>
        <w:overflowPunct/>
        <w:topLinePunct w:val="0"/>
        <w:autoSpaceDE/>
        <w:autoSpaceDN/>
        <w:bidi w:val="0"/>
        <w:adjustRightInd/>
        <w:snapToGrid w:val="0"/>
        <w:spacing w:line="44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、报价注意事项：</w:t>
      </w:r>
    </w:p>
    <w:p w14:paraId="6B793BC0">
      <w:pPr>
        <w:keepNext w:val="0"/>
        <w:keepLines w:val="0"/>
        <w:pageBreakBefore w:val="0"/>
        <w:kinsoku/>
        <w:overflowPunct/>
        <w:topLinePunct w:val="0"/>
        <w:autoSpaceDE/>
        <w:autoSpaceDN/>
        <w:bidi w:val="0"/>
        <w:adjustRightInd/>
        <w:snapToGrid w:val="0"/>
        <w:spacing w:line="44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sz w:val="28"/>
          <w:szCs w:val="28"/>
          <w:highlight w:val="none"/>
          <w:lang w:val="en-US" w:eastAsia="zh-CN"/>
        </w:rPr>
        <w:t xml:space="preserve"> 1、</w:t>
      </w:r>
      <w:r>
        <w:rPr>
          <w:rFonts w:hint="eastAsia" w:ascii="仿宋" w:hAnsi="仿宋" w:eastAsia="仿宋" w:cs="仿宋"/>
          <w:sz w:val="28"/>
          <w:szCs w:val="28"/>
        </w:rPr>
        <w:t>本项目所有产品为一个标段，供应商需要对所有询价产品进行报价。</w:t>
      </w:r>
    </w:p>
    <w:p w14:paraId="09D002A7">
      <w:pPr>
        <w:keepNext w:val="0"/>
        <w:keepLines w:val="0"/>
        <w:pageBreakBefore w:val="0"/>
        <w:kinsoku/>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rPr>
        <w:t>供应商应按照本询价公告的要求编制报价文件，报价文件应对本询价公告提出的要求和条件作出实质性响应。否则，按照不响应处理。</w:t>
      </w:r>
      <w:r>
        <w:rPr>
          <w:rFonts w:hint="eastAsia" w:ascii="仿宋" w:hAnsi="仿宋" w:eastAsia="仿宋" w:cs="仿宋"/>
          <w:b/>
          <w:bCs/>
          <w:sz w:val="28"/>
          <w:szCs w:val="28"/>
          <w:lang w:val="zh-CN"/>
        </w:rPr>
        <w:t>本项目采用固定单价报价方式，报价中含税及苗木、起苗、土球、包扎、修剪、运输、卸车、打堆等所有费用。所供货物送到采购单位指定的地点并整齐摆放。因项目点位多且零散，供货商必须根据采购单位的供货要求进行供货,采购单位可要求供货单位分多批次进行供货（供货周期跨度可能比较长）,同一批次卸货地点可能有多个点位，由采购人指定。最终的供货数量可能比预估的数量多也可能少,货款按实际采购数量结算。本项目所有费用都已列入报价内,结算时除供货数量变更进行金额调整外其它任何理由都不调整。请各报价供应商在报价时请充分考虑各种因素，把风险费用列入投标报价。</w:t>
      </w:r>
    </w:p>
    <w:p w14:paraId="4F9DC485">
      <w:pPr>
        <w:keepNext w:val="0"/>
        <w:keepLines w:val="0"/>
        <w:pageBreakBefore w:val="0"/>
        <w:kinsoku/>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、供应商应详细阅读询价文件的全部内容，供应商对询价文件有异议的，请在递交报价文件截止时间2日前以书面形式（加盖单位公章）递交至采购单位。</w:t>
      </w:r>
    </w:p>
    <w:p w14:paraId="3E65D6B6">
      <w:pPr>
        <w:keepNext w:val="0"/>
        <w:keepLines w:val="0"/>
        <w:pageBreakBefore w:val="0"/>
        <w:kinsoku/>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有关技术及需求问题，请与采购单位或招标代理方联系。</w:t>
      </w:r>
    </w:p>
    <w:p w14:paraId="52CC954E">
      <w:pPr>
        <w:keepNext w:val="0"/>
        <w:keepLines w:val="0"/>
        <w:pageBreakBefore w:val="0"/>
        <w:kinsoku/>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采购单位：启东腾飞物业管理有限公司</w:t>
      </w:r>
    </w:p>
    <w:p w14:paraId="66458C8D">
      <w:pPr>
        <w:keepNext w:val="0"/>
        <w:keepLines w:val="0"/>
        <w:pageBreakBefore w:val="0"/>
        <w:kinsoku/>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采购联系人：</w:t>
      </w:r>
      <w:r>
        <w:rPr>
          <w:rFonts w:hint="eastAsia" w:ascii="仿宋" w:hAnsi="仿宋" w:eastAsia="仿宋" w:cs="仿宋"/>
          <w:sz w:val="28"/>
          <w:szCs w:val="28"/>
          <w:highlight w:val="none"/>
          <w:lang w:val="en-US" w:eastAsia="zh-CN"/>
        </w:rPr>
        <w:t xml:space="preserve">林哲文 </w:t>
      </w:r>
    </w:p>
    <w:p w14:paraId="3BCCB086">
      <w:pPr>
        <w:keepNext w:val="0"/>
        <w:keepLines w:val="0"/>
        <w:pageBreakBefore w:val="0"/>
        <w:kinsoku/>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联系电话：0513—69961</w:t>
      </w:r>
      <w:r>
        <w:rPr>
          <w:rFonts w:hint="eastAsia" w:ascii="仿宋" w:hAnsi="仿宋" w:eastAsia="仿宋" w:cs="仿宋"/>
          <w:sz w:val="28"/>
          <w:szCs w:val="28"/>
          <w:highlight w:val="none"/>
          <w:lang w:val="en-US" w:eastAsia="zh-CN"/>
        </w:rPr>
        <w:t>33</w:t>
      </w:r>
      <w:r>
        <w:rPr>
          <w:rFonts w:hint="eastAsia" w:ascii="仿宋" w:hAnsi="仿宋" w:eastAsia="仿宋" w:cs="仿宋"/>
          <w:sz w:val="28"/>
          <w:szCs w:val="28"/>
          <w:highlight w:val="none"/>
        </w:rPr>
        <w:t>4</w:t>
      </w:r>
    </w:p>
    <w:p w14:paraId="596FD783">
      <w:pPr>
        <w:keepNext w:val="0"/>
        <w:keepLines w:val="0"/>
        <w:pageBreakBefore w:val="0"/>
        <w:kinsoku/>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采购代理单位：江苏缔逸项目管理有限公司</w:t>
      </w:r>
    </w:p>
    <w:p w14:paraId="4C4FAFBB">
      <w:pPr>
        <w:keepNext w:val="0"/>
        <w:keepLines w:val="0"/>
        <w:pageBreakBefore w:val="0"/>
        <w:kinsoku/>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采购联系人：苏海丹</w:t>
      </w:r>
    </w:p>
    <w:p w14:paraId="07CC03B8">
      <w:pPr>
        <w:keepNext w:val="0"/>
        <w:keepLines w:val="0"/>
        <w:pageBreakBefore w:val="0"/>
        <w:kinsoku/>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联系电话：0513-68039918</w:t>
      </w:r>
    </w:p>
    <w:p w14:paraId="128A091A">
      <w:pPr>
        <w:keepNext w:val="0"/>
        <w:keepLines w:val="0"/>
        <w:pageBreakBefore w:val="0"/>
        <w:kinsoku/>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、报价文件构成</w:t>
      </w:r>
    </w:p>
    <w:p w14:paraId="1D99DD2E">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）报价承诺书（按照附件一格式填写）</w:t>
      </w:r>
    </w:p>
    <w:p w14:paraId="11ACD23E">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提供法人或其他组织的营业执照等证明文件；</w:t>
      </w:r>
    </w:p>
    <w:p w14:paraId="73583B8F">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）投标人符合《政府采购法》第二十二条规定条件的声明函</w:t>
      </w:r>
      <w:r>
        <w:rPr>
          <w:rFonts w:hint="eastAsia" w:ascii="仿宋" w:hAnsi="仿宋" w:eastAsia="仿宋" w:cs="仿宋"/>
          <w:sz w:val="28"/>
          <w:szCs w:val="28"/>
        </w:rPr>
        <w:t>（附件</w:t>
      </w:r>
      <w:r>
        <w:rPr>
          <w:rFonts w:hint="eastAsia" w:ascii="仿宋" w:hAnsi="仿宋" w:eastAsia="仿宋" w:cs="仿宋"/>
          <w:sz w:val="28"/>
          <w:szCs w:val="28"/>
          <w:lang w:val="en-US" w:eastAsia="zh-CN"/>
        </w:rPr>
        <w:t>二</w:t>
      </w:r>
      <w:r>
        <w:rPr>
          <w:rFonts w:hint="eastAsia" w:ascii="仿宋" w:hAnsi="仿宋" w:eastAsia="仿宋" w:cs="仿宋"/>
          <w:sz w:val="28"/>
          <w:szCs w:val="28"/>
        </w:rPr>
        <w:t>）</w:t>
      </w:r>
      <w:r>
        <w:rPr>
          <w:rFonts w:hint="eastAsia" w:ascii="仿宋" w:hAnsi="仿宋" w:eastAsia="仿宋" w:cs="仿宋"/>
          <w:sz w:val="28"/>
          <w:szCs w:val="28"/>
          <w:lang w:eastAsia="zh-CN"/>
        </w:rPr>
        <w:t>；</w:t>
      </w:r>
    </w:p>
    <w:p w14:paraId="25914885">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）法定代表人授权委托书及被授权人身份证复印件（法定代表人授权委托书按照附件</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格式填写，非法定代表人参加投标时提交）；</w:t>
      </w:r>
    </w:p>
    <w:p w14:paraId="0A763EF0">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）法定代表人身份证复印件（法定代表人参加投标时提交）；</w:t>
      </w:r>
    </w:p>
    <w:p w14:paraId="69A4E456">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6</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报价表：</w:t>
      </w:r>
      <w:r>
        <w:rPr>
          <w:rFonts w:hint="eastAsia" w:ascii="仿宋" w:hAnsi="仿宋" w:eastAsia="仿宋" w:cs="仿宋"/>
          <w:sz w:val="28"/>
          <w:szCs w:val="28"/>
        </w:rPr>
        <w:t>报价表必须按提供的报价样表格式填写（附件</w:t>
      </w:r>
      <w:r>
        <w:rPr>
          <w:rFonts w:hint="eastAsia" w:ascii="仿宋" w:hAnsi="仿宋" w:eastAsia="仿宋" w:cs="仿宋"/>
          <w:sz w:val="28"/>
          <w:szCs w:val="28"/>
          <w:lang w:val="en-US" w:eastAsia="zh-CN"/>
        </w:rPr>
        <w:t>四</w:t>
      </w:r>
      <w:r>
        <w:rPr>
          <w:rFonts w:hint="eastAsia" w:ascii="仿宋" w:hAnsi="仿宋" w:eastAsia="仿宋" w:cs="仿宋"/>
          <w:sz w:val="28"/>
          <w:szCs w:val="28"/>
        </w:rPr>
        <w:t>）。如有其他情况需要说明的，在备注栏中注明。所有涉及报价的页面均须加盖单位公章，否则视为无效报价。</w:t>
      </w:r>
    </w:p>
    <w:p w14:paraId="2EFB3166">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）中小企业声明函、残疾人福利性单位声明函（按照附件</w:t>
      </w:r>
      <w:r>
        <w:rPr>
          <w:rFonts w:hint="eastAsia" w:ascii="仿宋" w:hAnsi="仿宋" w:eastAsia="仿宋" w:cs="仿宋"/>
          <w:sz w:val="28"/>
          <w:szCs w:val="28"/>
          <w:lang w:val="en-US" w:eastAsia="zh-CN"/>
        </w:rPr>
        <w:t>五</w:t>
      </w:r>
      <w:r>
        <w:rPr>
          <w:rFonts w:hint="eastAsia" w:ascii="仿宋" w:hAnsi="仿宋" w:eastAsia="仿宋" w:cs="仿宋"/>
          <w:sz w:val="28"/>
          <w:szCs w:val="28"/>
        </w:rPr>
        <w:t>格式填写）（投标人根据真实情况按照评审标准中的要求进行填写；如投标人不符合条件的不用填写）。</w:t>
      </w:r>
    </w:p>
    <w:p w14:paraId="7E05201C">
      <w:pPr>
        <w:keepNext w:val="0"/>
        <w:keepLines w:val="0"/>
        <w:pageBreakBefore w:val="0"/>
        <w:kinsoku/>
        <w:overflowPunct/>
        <w:topLinePunct w:val="0"/>
        <w:autoSpaceDE/>
        <w:autoSpaceDN/>
        <w:bidi w:val="0"/>
        <w:adjustRightInd/>
        <w:spacing w:line="4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注：(1)上述复印件均需加盖单位公章，否则将被视作资格审查不通过。</w:t>
      </w:r>
    </w:p>
    <w:p w14:paraId="58C9166E">
      <w:pPr>
        <w:keepNext w:val="0"/>
        <w:keepLines w:val="0"/>
        <w:pageBreakBefore w:val="0"/>
        <w:kinsoku/>
        <w:overflowPunct/>
        <w:topLinePunct w:val="0"/>
        <w:autoSpaceDE/>
        <w:autoSpaceDN/>
        <w:bidi w:val="0"/>
        <w:adjustRightInd/>
        <w:spacing w:line="4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w:t>
      </w:r>
      <w:r>
        <w:rPr>
          <w:rFonts w:hint="eastAsia" w:ascii="仿宋" w:hAnsi="仿宋" w:eastAsia="仿宋" w:cs="仿宋"/>
          <w:b/>
          <w:bCs/>
          <w:sz w:val="28"/>
          <w:szCs w:val="28"/>
        </w:rPr>
        <w:t>报价文件正本壹份，副本贰份，报价文件中必须包含上述要求提供的所有材料的复印件并加盖单位公章，否则以未实质性响应询价文件处理。报价文件装订成册并密封，密封袋上标明：项目名称、报价单位名称，否则视为无效报价。</w:t>
      </w:r>
    </w:p>
    <w:p w14:paraId="318B47DF">
      <w:pPr>
        <w:keepNext w:val="0"/>
        <w:keepLines w:val="0"/>
        <w:pageBreakBefore w:val="0"/>
        <w:kinsoku/>
        <w:overflowPunct/>
        <w:topLinePunct w:val="0"/>
        <w:autoSpaceDE/>
        <w:autoSpaceDN/>
        <w:bidi w:val="0"/>
        <w:adjustRightInd/>
        <w:spacing w:line="440" w:lineRule="exact"/>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5</w:t>
      </w:r>
      <w:r>
        <w:rPr>
          <w:rFonts w:hint="eastAsia" w:ascii="仿宋" w:hAnsi="仿宋" w:eastAsia="仿宋" w:cs="仿宋"/>
          <w:b/>
          <w:bCs/>
          <w:sz w:val="28"/>
          <w:szCs w:val="28"/>
          <w:highlight w:val="none"/>
        </w:rPr>
        <w:t>、报价文件递交</w:t>
      </w:r>
    </w:p>
    <w:p w14:paraId="2C911C7F">
      <w:pPr>
        <w:keepNext w:val="0"/>
        <w:keepLines w:val="0"/>
        <w:pageBreakBefore w:val="0"/>
        <w:numPr>
          <w:ilvl w:val="0"/>
          <w:numId w:val="0"/>
        </w:numPr>
        <w:kinsoku/>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投标截止时间及开标时间：2025年5月7日上午09:00（只接受邮寄不接受现场投标）</w:t>
      </w:r>
    </w:p>
    <w:p w14:paraId="005B458D">
      <w:pPr>
        <w:keepNext w:val="0"/>
        <w:keepLines w:val="0"/>
        <w:pageBreakBefore w:val="0"/>
        <w:numPr>
          <w:ilvl w:val="0"/>
          <w:numId w:val="0"/>
        </w:numPr>
        <w:kinsoku/>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开标地点：启东市林洋路500号锦汇集团2206开标室。</w:t>
      </w:r>
    </w:p>
    <w:p w14:paraId="3DB8144E">
      <w:pPr>
        <w:keepNext w:val="0"/>
        <w:keepLines w:val="0"/>
        <w:pageBreakBefore w:val="0"/>
        <w:numPr>
          <w:ilvl w:val="0"/>
          <w:numId w:val="0"/>
        </w:numPr>
        <w:kinsoku/>
        <w:overflowPunct/>
        <w:topLinePunct w:val="0"/>
        <w:autoSpaceDE/>
        <w:autoSpaceDN/>
        <w:bidi w:val="0"/>
        <w:adjustRightInd/>
        <w:snapToGrid w:val="0"/>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特别提醒：本项目实行不见面开标，各投标人须在2025年5月7日上午09:00之前将投标文件邮寄（只接收顺丰）至以下地点：启东市林洋路500号锦汇货架，接收联系人：林哲文，联系电话：0513-69961334。</w:t>
      </w:r>
    </w:p>
    <w:p w14:paraId="0983F3D6">
      <w:pPr>
        <w:keepNext w:val="0"/>
        <w:keepLines w:val="0"/>
        <w:pageBreakBefore w:val="0"/>
        <w:numPr>
          <w:ilvl w:val="0"/>
          <w:numId w:val="0"/>
        </w:numPr>
        <w:kinsoku/>
        <w:overflowPunct/>
        <w:topLinePunct w:val="0"/>
        <w:autoSpaceDE/>
        <w:autoSpaceDN/>
        <w:bidi w:val="0"/>
        <w:adjustRightInd/>
        <w:snapToGrid w:val="0"/>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投标人应充分考虑天气、快递速度、路程等因素，不接受到付。未在规定时间内送达的投标文件将不予接收，后果由各潜在投标人自行承担。</w:t>
      </w:r>
    </w:p>
    <w:p w14:paraId="06E111A7">
      <w:pPr>
        <w:keepNext w:val="0"/>
        <w:keepLines w:val="0"/>
        <w:pageBreakBefore w:val="0"/>
        <w:numPr>
          <w:ilvl w:val="0"/>
          <w:numId w:val="0"/>
        </w:numPr>
        <w:kinsoku/>
        <w:overflowPunct/>
        <w:topLinePunct w:val="0"/>
        <w:autoSpaceDE/>
        <w:autoSpaceDN/>
        <w:bidi w:val="0"/>
        <w:adjustRightInd/>
        <w:snapToGrid w:val="0"/>
        <w:spacing w:line="4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报价保证金</w:t>
      </w:r>
    </w:p>
    <w:p w14:paraId="11070938">
      <w:pPr>
        <w:keepNext w:val="0"/>
        <w:keepLines w:val="0"/>
        <w:pageBreakBefore w:val="0"/>
        <w:kinsoku/>
        <w:overflowPunct/>
        <w:topLinePunct w:val="0"/>
        <w:autoSpaceDE/>
        <w:autoSpaceDN/>
        <w:bidi w:val="0"/>
        <w:adjustRightInd/>
        <w:snapToGrid w:val="0"/>
        <w:spacing w:line="440" w:lineRule="exact"/>
        <w:ind w:firstLine="56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本项目免收投标保证金。</w:t>
      </w:r>
    </w:p>
    <w:p w14:paraId="10214849">
      <w:pPr>
        <w:keepNext w:val="0"/>
        <w:keepLines w:val="0"/>
        <w:pageBreakBefore w:val="0"/>
        <w:kinsoku/>
        <w:overflowPunct/>
        <w:topLinePunct w:val="0"/>
        <w:autoSpaceDE/>
        <w:autoSpaceDN/>
        <w:bidi w:val="0"/>
        <w:adjustRightInd/>
        <w:snapToGrid w:val="0"/>
        <w:spacing w:line="4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、商务部分要求：</w:t>
      </w:r>
    </w:p>
    <w:p w14:paraId="3D5FC228">
      <w:pPr>
        <w:keepNext w:val="0"/>
        <w:keepLines w:val="0"/>
        <w:pageBreakBefore w:val="0"/>
        <w:kinsoku/>
        <w:overflowPunct/>
        <w:topLinePunct w:val="0"/>
        <w:autoSpaceDE/>
        <w:autoSpaceDN/>
        <w:bidi w:val="0"/>
        <w:adjustRightInd/>
        <w:snapToGrid w:val="0"/>
        <w:spacing w:line="44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1、质量要求</w:t>
      </w:r>
      <w:r>
        <w:rPr>
          <w:rFonts w:hint="eastAsia" w:ascii="仿宋" w:hAnsi="仿宋" w:eastAsia="仿宋" w:cs="仿宋"/>
          <w:b/>
          <w:sz w:val="28"/>
          <w:szCs w:val="28"/>
        </w:rPr>
        <w:t>：</w:t>
      </w:r>
      <w:r>
        <w:rPr>
          <w:rFonts w:hint="eastAsia" w:ascii="仿宋" w:hAnsi="仿宋" w:eastAsia="仿宋" w:cs="仿宋"/>
          <w:sz w:val="28"/>
          <w:szCs w:val="28"/>
        </w:rPr>
        <w:t>合格，供货单品所有指标必须符合采购要求，如不合格的采购单位将拒收货物拒付苗款，所有损失由供应商负责。</w:t>
      </w:r>
    </w:p>
    <w:p w14:paraId="3086D7F7">
      <w:pPr>
        <w:keepNext w:val="0"/>
        <w:keepLines w:val="0"/>
        <w:pageBreakBefore w:val="0"/>
        <w:kinsoku/>
        <w:overflowPunct/>
        <w:topLinePunct w:val="0"/>
        <w:autoSpaceDE/>
        <w:autoSpaceDN/>
        <w:bidi w:val="0"/>
        <w:adjustRightInd/>
        <w:snapToGrid w:val="0"/>
        <w:spacing w:line="440" w:lineRule="exact"/>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bCs/>
          <w:sz w:val="28"/>
          <w:szCs w:val="28"/>
        </w:rPr>
        <w:t>2、交货期：</w:t>
      </w:r>
      <w:r>
        <w:rPr>
          <w:rFonts w:hint="eastAsia" w:ascii="仿宋" w:hAnsi="仿宋" w:eastAsia="仿宋" w:cs="仿宋"/>
          <w:bCs/>
          <w:sz w:val="28"/>
          <w:szCs w:val="28"/>
          <w:highlight w:val="none"/>
        </w:rPr>
        <w:t>合同签订生效后，成交供应商必须在接到采购单位供货通知后的3日内供货，如不能及时提供符合标准的苗木，视为供货方违约，采购单位有权解除合同，所发生的所有损失由供货商承担。</w:t>
      </w:r>
    </w:p>
    <w:p w14:paraId="4B5741F8">
      <w:pPr>
        <w:keepNext w:val="0"/>
        <w:keepLines w:val="0"/>
        <w:pageBreakBefore w:val="0"/>
        <w:kinsoku/>
        <w:overflowPunct/>
        <w:topLinePunct w:val="0"/>
        <w:autoSpaceDE/>
        <w:autoSpaceDN/>
        <w:bidi w:val="0"/>
        <w:adjustRightInd/>
        <w:snapToGrid w:val="0"/>
        <w:spacing w:line="440" w:lineRule="exact"/>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bCs/>
          <w:sz w:val="28"/>
          <w:szCs w:val="28"/>
        </w:rPr>
        <w:t>3、交货地点：</w:t>
      </w:r>
      <w:r>
        <w:rPr>
          <w:rFonts w:hint="eastAsia" w:ascii="仿宋" w:hAnsi="仿宋" w:eastAsia="仿宋" w:cs="仿宋"/>
          <w:b w:val="0"/>
          <w:bCs w:val="0"/>
          <w:sz w:val="28"/>
          <w:szCs w:val="28"/>
        </w:rPr>
        <w:t>业主指定地点。</w:t>
      </w:r>
    </w:p>
    <w:p w14:paraId="6F379B53">
      <w:pPr>
        <w:keepNext w:val="0"/>
        <w:keepLines w:val="0"/>
        <w:pageBreakBefore w:val="0"/>
        <w:kinsoku/>
        <w:overflowPunct/>
        <w:topLinePunct w:val="0"/>
        <w:autoSpaceDE/>
        <w:autoSpaceDN/>
        <w:bidi w:val="0"/>
        <w:adjustRightInd/>
        <w:snapToGrid w:val="0"/>
        <w:spacing w:line="440" w:lineRule="exact"/>
        <w:ind w:firstLine="562"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highlight w:val="none"/>
          <w:lang w:eastAsia="zh-CN"/>
        </w:rPr>
        <w:t>履约保证金缴纳要求：</w:t>
      </w:r>
      <w:r>
        <w:rPr>
          <w:rFonts w:hint="eastAsia" w:ascii="仿宋" w:hAnsi="仿宋" w:eastAsia="仿宋" w:cs="仿宋"/>
          <w:sz w:val="28"/>
          <w:szCs w:val="28"/>
          <w:highlight w:val="none"/>
          <w:lang w:eastAsia="zh-CN"/>
        </w:rPr>
        <w:t>项项目成交价的10%，成交供应商的履约保证金须在成交通知书发出之日起至合同签订前汇入采购单位账户，递交形式：数字人民币、转账、支票、汇票或者金融机构、担保机构出具的保函等。成交供应商凭成交通知书与采购单位签订合同。超期或未有协商，则视为自动放弃成交资格。</w:t>
      </w:r>
    </w:p>
    <w:p w14:paraId="2D65F36C">
      <w:pPr>
        <w:keepNext w:val="0"/>
        <w:keepLines w:val="0"/>
        <w:pageBreakBefore w:val="0"/>
        <w:kinsoku/>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成交供应商全部履约合同义务，经采购单位验收合格无质量、进度等问题的，采购人在验收合格后一个月内一次性退还履约保证金。</w:t>
      </w:r>
    </w:p>
    <w:p w14:paraId="6C2A505B">
      <w:pPr>
        <w:keepNext w:val="0"/>
        <w:keepLines w:val="0"/>
        <w:pageBreakBefore w:val="0"/>
        <w:kinsoku/>
        <w:overflowPunct/>
        <w:topLinePunct w:val="0"/>
        <w:autoSpaceDE/>
        <w:autoSpaceDN/>
        <w:bidi w:val="0"/>
        <w:adjustRightInd/>
        <w:spacing w:line="440" w:lineRule="exact"/>
        <w:ind w:firstLine="562" w:firstLineChars="200"/>
        <w:textAlignment w:val="auto"/>
        <w:rPr>
          <w:rFonts w:hint="eastAsia" w:ascii="仿宋" w:hAnsi="仿宋" w:eastAsia="仿宋" w:cs="仿宋"/>
          <w:b/>
          <w:bCs/>
          <w:sz w:val="28"/>
          <w:szCs w:val="28"/>
          <w:lang w:val="en-US" w:eastAsia="zh-CN"/>
        </w:rPr>
      </w:pPr>
    </w:p>
    <w:p w14:paraId="244B51EF">
      <w:pPr>
        <w:keepNext w:val="0"/>
        <w:keepLines w:val="0"/>
        <w:pageBreakBefore w:val="0"/>
        <w:kinsoku/>
        <w:overflowPunct/>
        <w:topLinePunct w:val="0"/>
        <w:autoSpaceDE/>
        <w:autoSpaceDN/>
        <w:bidi w:val="0"/>
        <w:adjustRightInd/>
        <w:spacing w:line="44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、约定事项：</w:t>
      </w:r>
    </w:p>
    <w:p w14:paraId="1EE4CDE4">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在成交供应商供货完毕后，采购单位将组织验收小组根据询价公告和供应商报价文件对供应商所供货物进行验收。如验收时发现有参数偏离且未在报价文件中说明的，视为验收不合格。</w:t>
      </w:r>
    </w:p>
    <w:p w14:paraId="2F2FD1E7">
      <w:pPr>
        <w:keepNext w:val="0"/>
        <w:keepLines w:val="0"/>
        <w:pageBreakBefore w:val="0"/>
        <w:kinsoku/>
        <w:overflowPunct/>
        <w:topLinePunct w:val="0"/>
        <w:autoSpaceDE/>
        <w:autoSpaceDN/>
        <w:bidi w:val="0"/>
        <w:adjustRightInd/>
        <w:snapToGrid w:val="0"/>
        <w:spacing w:line="4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、合同的签订及注意事项：</w:t>
      </w:r>
    </w:p>
    <w:p w14:paraId="472B5679">
      <w:pPr>
        <w:keepNext w:val="0"/>
        <w:keepLines w:val="0"/>
        <w:pageBreakBefore w:val="0"/>
        <w:kinsoku/>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成交结果将在相关网站予以公布，公示期内对成交结果没有异议的，将确定成交候选人为成交供应商。成交供应商应当在成交通知书发出之日起3日内，按照采购文件确定的事项与采购人签订政府采购合同。</w:t>
      </w:r>
    </w:p>
    <w:p w14:paraId="400CC467">
      <w:pPr>
        <w:keepNext w:val="0"/>
        <w:keepLines w:val="0"/>
        <w:pageBreakBefore w:val="0"/>
        <w:kinsoku/>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、成交供应商因自身原因</w:t>
      </w:r>
      <w:r>
        <w:rPr>
          <w:rFonts w:hint="eastAsia" w:ascii="仿宋" w:hAnsi="仿宋" w:eastAsia="仿宋" w:cs="仿宋"/>
          <w:b/>
          <w:bCs/>
          <w:sz w:val="28"/>
          <w:szCs w:val="28"/>
        </w:rPr>
        <w:t>不能履行</w:t>
      </w:r>
      <w:r>
        <w:rPr>
          <w:rFonts w:hint="eastAsia" w:ascii="仿宋" w:hAnsi="仿宋" w:eastAsia="仿宋" w:cs="仿宋"/>
          <w:sz w:val="28"/>
          <w:szCs w:val="28"/>
        </w:rPr>
        <w:t>政府采购合同的，采购单位将取消其成交资格，同时相关主管部门将对成交供应商作以下处理：记入不良信誉，并按《</w:t>
      </w:r>
      <w:r>
        <w:rPr>
          <w:rFonts w:hint="eastAsia" w:ascii="仿宋" w:hAnsi="仿宋" w:eastAsia="仿宋" w:cs="仿宋"/>
          <w:sz w:val="28"/>
          <w:szCs w:val="28"/>
          <w:lang w:val="en-US" w:eastAsia="zh-CN"/>
        </w:rPr>
        <w:t>中华人民共和国</w:t>
      </w:r>
      <w:r>
        <w:rPr>
          <w:rFonts w:hint="eastAsia" w:ascii="仿宋" w:hAnsi="仿宋" w:eastAsia="仿宋" w:cs="仿宋"/>
          <w:sz w:val="28"/>
          <w:szCs w:val="28"/>
        </w:rPr>
        <w:t>政府采购法》有关规定，暂停其在启东市场的政府采购资格。</w:t>
      </w:r>
    </w:p>
    <w:p w14:paraId="174B2D55">
      <w:pPr>
        <w:keepNext w:val="0"/>
        <w:keepLines w:val="0"/>
        <w:pageBreakBefore w:val="0"/>
        <w:kinsoku/>
        <w:overflowPunct/>
        <w:topLinePunct w:val="0"/>
        <w:autoSpaceDE/>
        <w:autoSpaceDN/>
        <w:bidi w:val="0"/>
        <w:adjustRightInd/>
        <w:snapToGrid w:val="0"/>
        <w:spacing w:line="4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八</w:t>
      </w:r>
      <w:r>
        <w:rPr>
          <w:rFonts w:hint="eastAsia" w:ascii="仿宋" w:hAnsi="仿宋" w:eastAsia="仿宋" w:cs="仿宋"/>
          <w:b/>
          <w:bCs/>
          <w:sz w:val="28"/>
          <w:szCs w:val="28"/>
        </w:rPr>
        <w:t>、付款方式：采购人有权对采购数量进行调整，最终结算时合同单价不变，货款按实际采购数量结算。</w:t>
      </w:r>
    </w:p>
    <w:p w14:paraId="63EF7283">
      <w:pPr>
        <w:keepNext w:val="0"/>
        <w:keepLines w:val="0"/>
        <w:pageBreakBefore w:val="0"/>
        <w:kinsoku/>
        <w:overflowPunct/>
        <w:topLinePunct w:val="0"/>
        <w:autoSpaceDE/>
        <w:autoSpaceDN/>
        <w:bidi w:val="0"/>
        <w:adjustRightInd/>
        <w:snapToGrid w:val="0"/>
        <w:spacing w:line="440" w:lineRule="exact"/>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货物供货完毕，验收合格后一个月内付清货款。供应商应提供13%的增值税发票，若提供的发票税率不是13%,价格应按实调整。</w:t>
      </w:r>
    </w:p>
    <w:p w14:paraId="2D800C54">
      <w:pPr>
        <w:keepNext w:val="0"/>
        <w:keepLines w:val="0"/>
        <w:pageBreakBefore w:val="0"/>
        <w:numPr>
          <w:ilvl w:val="0"/>
          <w:numId w:val="0"/>
        </w:numPr>
        <w:kinsoku/>
        <w:overflowPunct/>
        <w:topLinePunct w:val="0"/>
        <w:autoSpaceDE/>
        <w:autoSpaceDN/>
        <w:bidi w:val="0"/>
        <w:adjustRightInd/>
        <w:snapToGrid w:val="0"/>
        <w:spacing w:line="4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成交原则：</w:t>
      </w:r>
    </w:p>
    <w:p w14:paraId="133F072C">
      <w:pPr>
        <w:keepNext w:val="0"/>
        <w:keepLines w:val="0"/>
        <w:pageBreakBefore w:val="0"/>
        <w:numPr>
          <w:ilvl w:val="0"/>
          <w:numId w:val="0"/>
        </w:numPr>
        <w:kinsoku/>
        <w:overflowPunct/>
        <w:topLinePunct w:val="0"/>
        <w:autoSpaceDE/>
        <w:autoSpaceDN/>
        <w:bidi w:val="0"/>
        <w:adjustRightInd/>
        <w:snapToGrid w:val="0"/>
        <w:spacing w:line="4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u w:val="none"/>
          <w:lang w:val="en-US" w:eastAsia="zh-CN"/>
        </w:rPr>
        <w:t>1、</w:t>
      </w:r>
      <w:r>
        <w:rPr>
          <w:rFonts w:hint="eastAsia" w:ascii="仿宋" w:hAnsi="仿宋" w:eastAsia="仿宋" w:cs="仿宋"/>
          <w:b/>
          <w:bCs/>
          <w:sz w:val="28"/>
          <w:szCs w:val="28"/>
          <w:u w:val="none"/>
        </w:rPr>
        <w:t>符合采购需求且报价最低者成交。如最低报价有相同者，则采购人采取抽签的方式确定成交人。总价及单价需均低于最高限价。</w:t>
      </w:r>
    </w:p>
    <w:p w14:paraId="3F77FAD5">
      <w:pPr>
        <w:spacing w:line="560" w:lineRule="exact"/>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2、政府采购功能落实：</w:t>
      </w:r>
    </w:p>
    <w:p w14:paraId="2EB3C8C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（1）小微型企业价格扣除</w:t>
      </w:r>
    </w:p>
    <w:p w14:paraId="1A7A9A0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①本项目对小型和微型企业产品给予10%的扣除价格，用扣除后的价格参与评审。</w:t>
      </w:r>
    </w:p>
    <w:p w14:paraId="5B0BC29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②供应商需按照采购文件的要求提供相应的《中小企业声明函》。</w:t>
      </w:r>
    </w:p>
    <w:p w14:paraId="63A348A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③企业标准请参照《关于印发中小企业划型标准规定的通知》（工信部联企业[2011]300号）文件规定自行填写。</w:t>
      </w:r>
    </w:p>
    <w:p w14:paraId="54F4CD4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（2）残疾人福利单位价格扣除</w:t>
      </w:r>
    </w:p>
    <w:p w14:paraId="331DEBD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①本项目对残疾人福利性单位视同小型、微型企业，给予10%的价格扣除，用扣除后的价格参与评审。</w:t>
      </w:r>
    </w:p>
    <w:p w14:paraId="25F3084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②残疾人福利单位需按照采购文件的要求提供《残疾人福利性单位声明函》。</w:t>
      </w:r>
    </w:p>
    <w:p w14:paraId="33F2D71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③残疾人福利单位标准请参照《关于促进残疾人就业政府采购政策的通知》（财库〔2017〕141号）。</w:t>
      </w:r>
    </w:p>
    <w:p w14:paraId="2279076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（3）监狱和戒毒企业价格扣除</w:t>
      </w:r>
    </w:p>
    <w:p w14:paraId="0088DCE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①本项目对监狱和戒毒企业（简称监狱企业）视同小型、微型企业，给予10%的价格扣除，用扣除后的价格参与评审。</w:t>
      </w:r>
    </w:p>
    <w:p w14:paraId="78AD68E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②监狱企业参加政府采购活动时，需提供由省级以上监狱管理局、戒毒管理局(含新疆生产建设兵团)出具的属于监狱企业的证明文件。供应商如不提供上述证明文件，价格将不做相应扣除。</w:t>
      </w:r>
    </w:p>
    <w:p w14:paraId="49B5F5D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③监狱企业标准请参照《关于政府采购支持监狱企业发展有关问题的通知》（财库[2014]68号）。</w:t>
      </w:r>
    </w:p>
    <w:p w14:paraId="4CCC2B1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（4）残疾人福利单位、监狱企业属于小型、微型企业的，不重复享受政策。</w:t>
      </w:r>
    </w:p>
    <w:p w14:paraId="4A81E9D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14:paraId="0A45874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（6）联合体各方均为小型、微型企业（残疾人福利单位、监狱企业）的，联合体享受10%价格扣除，用扣除后的价格参与评审。</w:t>
      </w:r>
    </w:p>
    <w:p w14:paraId="3DE757D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（7）专门面向中小企业采购的项目或者采购包，不再执行价格评审优惠的扶持政策。</w:t>
      </w:r>
    </w:p>
    <w:p w14:paraId="521EC110">
      <w:pPr>
        <w:pStyle w:val="15"/>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（8）根据《江苏省政府采购信用管理暂行办法》的规定，对有失信行为的供应商将根据信用评价结果按规定予以扣分或价格加成。</w:t>
      </w:r>
    </w:p>
    <w:p w14:paraId="52FC7EA0">
      <w:pPr>
        <w:pStyle w:val="16"/>
        <w:rPr>
          <w:rFonts w:hint="eastAsia"/>
          <w:lang w:val="en-US" w:eastAsia="zh-CN"/>
        </w:rPr>
      </w:pPr>
    </w:p>
    <w:p w14:paraId="75F8FA03">
      <w:pPr>
        <w:pStyle w:val="2"/>
        <w:keepNext w:val="0"/>
        <w:keepLines w:val="0"/>
        <w:pageBreakBefore w:val="0"/>
        <w:widowControl w:val="0"/>
        <w:kinsoku/>
        <w:overflowPunct/>
        <w:topLinePunct w:val="0"/>
        <w:autoSpaceDE/>
        <w:autoSpaceDN/>
        <w:bidi w:val="0"/>
        <w:adjustRightInd/>
        <w:snapToGrid/>
        <w:spacing w:after="0" w:line="440" w:lineRule="exact"/>
        <w:jc w:val="right"/>
        <w:textAlignment w:val="auto"/>
        <w:rPr>
          <w:rFonts w:hint="eastAsia" w:ascii="仿宋" w:hAnsi="仿宋" w:eastAsia="仿宋" w:cs="仿宋"/>
          <w:b/>
          <w:bCs/>
          <w:sz w:val="28"/>
          <w:szCs w:val="28"/>
          <w:lang w:val="en-US" w:eastAsia="zh-CN"/>
        </w:rPr>
      </w:pPr>
    </w:p>
    <w:p w14:paraId="764000D4">
      <w:pPr>
        <w:pStyle w:val="2"/>
        <w:keepNext w:val="0"/>
        <w:keepLines w:val="0"/>
        <w:pageBreakBefore w:val="0"/>
        <w:widowControl w:val="0"/>
        <w:kinsoku/>
        <w:overflowPunct/>
        <w:topLinePunct w:val="0"/>
        <w:autoSpaceDE/>
        <w:autoSpaceDN/>
        <w:bidi w:val="0"/>
        <w:adjustRightInd/>
        <w:snapToGrid/>
        <w:spacing w:after="0" w:line="440" w:lineRule="exact"/>
        <w:jc w:val="righ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启东腾飞物业管理有限公司</w:t>
      </w:r>
    </w:p>
    <w:p w14:paraId="5AA78D28">
      <w:pPr>
        <w:pStyle w:val="2"/>
        <w:keepNext w:val="0"/>
        <w:keepLines w:val="0"/>
        <w:pageBreakBefore w:val="0"/>
        <w:widowControl w:val="0"/>
        <w:kinsoku/>
        <w:wordWrap w:val="0"/>
        <w:overflowPunct/>
        <w:topLinePunct w:val="0"/>
        <w:autoSpaceDE/>
        <w:autoSpaceDN/>
        <w:bidi w:val="0"/>
        <w:adjustRightInd/>
        <w:snapToGrid/>
        <w:spacing w:after="0" w:line="440" w:lineRule="exact"/>
        <w:jc w:val="righ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2025年4月28日</w:t>
      </w:r>
    </w:p>
    <w:p w14:paraId="03298EF4">
      <w:pPr>
        <w:spacing w:line="440" w:lineRule="exact"/>
        <w:rPr>
          <w:rFonts w:hint="eastAsia" w:ascii="仿宋_GB2312" w:hAnsi="宋体" w:eastAsia="仿宋_GB2312"/>
          <w:b/>
          <w:sz w:val="28"/>
          <w:szCs w:val="28"/>
        </w:rPr>
      </w:pPr>
      <w:r>
        <w:rPr>
          <w:rFonts w:hint="eastAsia" w:ascii="仿宋_GB2312" w:eastAsia="仿宋_GB2312"/>
          <w:b/>
          <w:sz w:val="28"/>
        </w:rPr>
        <w:br w:type="page"/>
      </w:r>
      <w:r>
        <w:rPr>
          <w:rFonts w:hint="eastAsia" w:ascii="仿宋_GB2312" w:eastAsia="仿宋_GB2312"/>
          <w:b/>
          <w:sz w:val="28"/>
        </w:rPr>
        <w:t>附件一：</w:t>
      </w:r>
      <w:r>
        <w:rPr>
          <w:rFonts w:hint="eastAsia" w:ascii="仿宋_GB2312" w:hAnsi="宋体" w:eastAsia="仿宋_GB2312"/>
          <w:b/>
          <w:sz w:val="28"/>
          <w:szCs w:val="28"/>
        </w:rPr>
        <w:t>报价承诺书</w:t>
      </w:r>
    </w:p>
    <w:p w14:paraId="7400A872">
      <w:pPr>
        <w:spacing w:line="500" w:lineRule="exact"/>
        <w:jc w:val="center"/>
        <w:rPr>
          <w:rFonts w:hint="eastAsia" w:ascii="仿宋_GB2312" w:hAnsi="宋体" w:eastAsia="仿宋_GB2312"/>
          <w:b/>
          <w:sz w:val="32"/>
          <w:szCs w:val="32"/>
        </w:rPr>
      </w:pPr>
      <w:r>
        <w:rPr>
          <w:rFonts w:hint="eastAsia" w:ascii="仿宋_GB2312" w:hAnsi="宋体" w:eastAsia="仿宋_GB2312"/>
          <w:b/>
          <w:sz w:val="32"/>
          <w:szCs w:val="32"/>
        </w:rPr>
        <w:t>报 价 承 诺 书</w:t>
      </w:r>
    </w:p>
    <w:p w14:paraId="4D18B0EC">
      <w:pPr>
        <w:spacing w:before="156" w:beforeLines="50" w:after="156" w:afterLines="50" w:line="500" w:lineRule="exact"/>
        <w:rPr>
          <w:rFonts w:hint="eastAsia" w:ascii="仿宋_GB2312" w:hAnsi="宋体" w:eastAsia="仿宋_GB2312"/>
          <w:sz w:val="28"/>
          <w:szCs w:val="28"/>
        </w:rPr>
      </w:pPr>
      <w:r>
        <w:rPr>
          <w:rFonts w:hint="eastAsia" w:ascii="仿宋_GB2312" w:hAnsi="宋体" w:eastAsia="仿宋_GB2312"/>
          <w:sz w:val="28"/>
          <w:szCs w:val="28"/>
        </w:rPr>
        <w:t>启东腾飞物业管理有限公司：</w:t>
      </w:r>
    </w:p>
    <w:p w14:paraId="2EB6D715">
      <w:pPr>
        <w:wordWrap w:val="0"/>
        <w:snapToGrid w:val="0"/>
        <w:spacing w:line="500" w:lineRule="exact"/>
        <w:ind w:firstLine="560" w:firstLineChars="200"/>
        <w:jc w:val="left"/>
        <w:rPr>
          <w:rFonts w:hint="eastAsia" w:ascii="仿宋_GB2312" w:eastAsia="仿宋_GB2312"/>
          <w:b/>
          <w:sz w:val="28"/>
          <w:szCs w:val="28"/>
        </w:rPr>
      </w:pPr>
      <w:r>
        <w:rPr>
          <w:rFonts w:hint="eastAsia" w:ascii="仿宋_GB2312" w:hAnsi="宋体" w:eastAsia="仿宋_GB2312"/>
          <w:sz w:val="28"/>
          <w:szCs w:val="28"/>
          <w:u w:val="single"/>
        </w:rPr>
        <w:t>（报价单位全称）</w:t>
      </w:r>
      <w:r>
        <w:rPr>
          <w:rFonts w:hint="eastAsia" w:ascii="仿宋_GB2312" w:hAnsi="宋体" w:eastAsia="仿宋_GB2312"/>
          <w:sz w:val="28"/>
          <w:szCs w:val="28"/>
        </w:rPr>
        <w:t>授权</w:t>
      </w:r>
      <w:r>
        <w:rPr>
          <w:rFonts w:hint="eastAsia" w:ascii="仿宋_GB2312" w:hAnsi="宋体" w:eastAsia="仿宋_GB2312"/>
          <w:sz w:val="28"/>
          <w:szCs w:val="28"/>
          <w:u w:val="single"/>
        </w:rPr>
        <w:t>（姓  名）（职  务）</w:t>
      </w:r>
      <w:r>
        <w:rPr>
          <w:rFonts w:hint="eastAsia" w:ascii="仿宋_GB2312" w:hAnsi="宋体" w:eastAsia="仿宋_GB2312"/>
          <w:sz w:val="28"/>
          <w:szCs w:val="28"/>
        </w:rPr>
        <w:t>为全权代表，参加</w:t>
      </w:r>
      <w:r>
        <w:rPr>
          <w:rFonts w:hint="eastAsia" w:ascii="仿宋_GB2312" w:hAnsi="宋体" w:eastAsia="仿宋_GB2312"/>
          <w:b/>
          <w:bCs/>
          <w:sz w:val="28"/>
          <w:szCs w:val="28"/>
          <w:u w:val="single"/>
        </w:rPr>
        <w:t>启东经济开发区法治广场绿化苗木采购项目</w:t>
      </w:r>
      <w:r>
        <w:rPr>
          <w:rFonts w:hint="eastAsia" w:ascii="仿宋_GB2312" w:hAnsi="宋体" w:eastAsia="仿宋_GB2312"/>
          <w:b/>
          <w:bCs/>
          <w:sz w:val="28"/>
          <w:szCs w:val="28"/>
          <w:u w:val="single"/>
          <w:lang w:eastAsia="zh-CN"/>
        </w:rPr>
        <w:t>（</w:t>
      </w:r>
      <w:r>
        <w:rPr>
          <w:rFonts w:hint="eastAsia" w:ascii="仿宋_GB2312" w:hAnsi="宋体" w:eastAsia="仿宋_GB2312"/>
          <w:b/>
          <w:bCs/>
          <w:sz w:val="28"/>
          <w:szCs w:val="28"/>
          <w:u w:val="single"/>
          <w:lang w:val="en-US" w:eastAsia="zh-CN"/>
        </w:rPr>
        <w:t>第二次</w:t>
      </w:r>
      <w:r>
        <w:rPr>
          <w:rFonts w:hint="eastAsia" w:ascii="仿宋_GB2312" w:hAnsi="宋体" w:eastAsia="仿宋_GB2312"/>
          <w:b/>
          <w:bCs/>
          <w:sz w:val="28"/>
          <w:szCs w:val="28"/>
          <w:u w:val="single"/>
          <w:lang w:eastAsia="zh-CN"/>
        </w:rPr>
        <w:t>）</w:t>
      </w:r>
      <w:r>
        <w:rPr>
          <w:rFonts w:hint="eastAsia" w:ascii="仿宋_GB2312" w:hAnsi="宋体" w:eastAsia="仿宋_GB2312"/>
          <w:sz w:val="28"/>
          <w:szCs w:val="28"/>
        </w:rPr>
        <w:t>询价的有关活动，并宣布同意如下：</w:t>
      </w:r>
    </w:p>
    <w:p w14:paraId="1B9F3DF0">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1．我方愿意按照报价文件的全部要求进行报价（报价内容及价格以报价文件为准）。</w:t>
      </w:r>
    </w:p>
    <w:p w14:paraId="4744BF6F">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2．我方完全理解并同意放弃对询价公告有不明及误解的权利。</w:t>
      </w:r>
    </w:p>
    <w:p w14:paraId="4B7FDE95">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3．我方将按询价公告的规定履行合同责任和义务。</w:t>
      </w:r>
    </w:p>
    <w:p w14:paraId="0923DD50">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4．如果我方在报价有效期内撤回报价文件，报价保证金将不被贵方退还。</w:t>
      </w:r>
    </w:p>
    <w:p w14:paraId="5464A9FB">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5．我方同意提供按照贵方可能要求的与其报价有关的一切数据或资料，理解并同意贵方的评标办法。</w:t>
      </w:r>
    </w:p>
    <w:p w14:paraId="49C3467C">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6．我方的报价文件自开标后60天内有效。</w:t>
      </w:r>
    </w:p>
    <w:p w14:paraId="077CAAD1">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7．与本报价有关的一切往来通讯请寄：</w:t>
      </w:r>
    </w:p>
    <w:p w14:paraId="55258D8E">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w:t>
      </w:r>
      <w:r>
        <w:rPr>
          <w:rFonts w:hint="eastAsia" w:ascii="仿宋_GB2312" w:hAnsi="宋体" w:eastAsia="仿宋_GB2312"/>
          <w:sz w:val="28"/>
          <w:szCs w:val="28"/>
        </w:rPr>
        <w:t>　邮编：</w:t>
      </w:r>
      <w:r>
        <w:rPr>
          <w:rFonts w:hint="eastAsia" w:ascii="仿宋_GB2312" w:hAnsi="宋体" w:eastAsia="仿宋_GB2312"/>
          <w:sz w:val="28"/>
          <w:szCs w:val="28"/>
          <w:u w:val="single"/>
        </w:rPr>
        <w:t>　　　　　　　　　　</w:t>
      </w:r>
    </w:p>
    <w:p w14:paraId="1FDFDC0D">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r>
        <w:rPr>
          <w:rFonts w:hint="eastAsia" w:ascii="仿宋_GB2312" w:hAnsi="宋体" w:eastAsia="仿宋_GB2312"/>
          <w:sz w:val="28"/>
          <w:szCs w:val="28"/>
        </w:rPr>
        <w:t>　传真：</w:t>
      </w:r>
      <w:r>
        <w:rPr>
          <w:rFonts w:hint="eastAsia" w:ascii="仿宋_GB2312" w:hAnsi="宋体" w:eastAsia="仿宋_GB2312"/>
          <w:sz w:val="28"/>
          <w:szCs w:val="28"/>
          <w:u w:val="single"/>
        </w:rPr>
        <w:t>　　　　　　　　　　</w:t>
      </w:r>
    </w:p>
    <w:p w14:paraId="320C61D1">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报价单位代表姓名：</w:t>
      </w:r>
      <w:r>
        <w:rPr>
          <w:rFonts w:hint="eastAsia" w:ascii="仿宋_GB2312" w:hAnsi="宋体" w:eastAsia="仿宋_GB2312"/>
          <w:sz w:val="28"/>
          <w:szCs w:val="28"/>
          <w:u w:val="single"/>
        </w:rPr>
        <w:t>　　　　　　</w:t>
      </w:r>
      <w:r>
        <w:rPr>
          <w:rFonts w:hint="eastAsia" w:ascii="仿宋_GB2312" w:hAnsi="宋体" w:eastAsia="仿宋_GB2312"/>
          <w:sz w:val="28"/>
          <w:szCs w:val="28"/>
        </w:rPr>
        <w:t>职务：</w:t>
      </w:r>
      <w:r>
        <w:rPr>
          <w:rFonts w:hint="eastAsia" w:ascii="仿宋_GB2312" w:hAnsi="宋体" w:eastAsia="仿宋_GB2312"/>
          <w:sz w:val="28"/>
          <w:szCs w:val="28"/>
          <w:u w:val="single"/>
        </w:rPr>
        <w:t>　　　　　　　　　</w:t>
      </w:r>
    </w:p>
    <w:p w14:paraId="26E223F9">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报价单位代表手机：</w:t>
      </w:r>
      <w:r>
        <w:rPr>
          <w:rFonts w:hint="eastAsia" w:ascii="仿宋_GB2312" w:hAnsi="宋体" w:eastAsia="仿宋_GB2312"/>
          <w:sz w:val="28"/>
          <w:szCs w:val="28"/>
          <w:u w:val="single"/>
        </w:rPr>
        <w:t>　　　　　　　　　　</w:t>
      </w:r>
    </w:p>
    <w:p w14:paraId="2837473D">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报价单位名称：</w:t>
      </w:r>
      <w:r>
        <w:rPr>
          <w:rFonts w:hint="eastAsia" w:ascii="仿宋_GB2312" w:hAnsi="宋体" w:eastAsia="仿宋_GB2312"/>
          <w:sz w:val="28"/>
          <w:szCs w:val="28"/>
          <w:u w:val="single"/>
        </w:rPr>
        <w:t>　　　　　　　　    　　</w:t>
      </w:r>
      <w:r>
        <w:rPr>
          <w:rFonts w:hint="eastAsia" w:ascii="仿宋_GB2312" w:hAnsi="宋体" w:eastAsia="仿宋_GB2312"/>
          <w:sz w:val="28"/>
          <w:szCs w:val="28"/>
        </w:rPr>
        <w:t>（加盖单位公章）</w:t>
      </w:r>
    </w:p>
    <w:p w14:paraId="5587E1E8">
      <w:pPr>
        <w:spacing w:line="500" w:lineRule="exact"/>
        <w:ind w:firstLine="560" w:firstLineChars="200"/>
        <w:rPr>
          <w:rFonts w:hint="eastAsia" w:ascii="仿宋_GB2312" w:hAnsi="宋体" w:eastAsia="仿宋_GB2312"/>
          <w:sz w:val="28"/>
          <w:szCs w:val="28"/>
        </w:rPr>
      </w:pPr>
    </w:p>
    <w:p w14:paraId="4D3DB485">
      <w:pPr>
        <w:spacing w:line="440" w:lineRule="exact"/>
        <w:rPr>
          <w:rFonts w:hint="eastAsia" w:ascii="仿宋_GB2312" w:hAnsi="宋体" w:eastAsia="仿宋_GB2312"/>
          <w:sz w:val="28"/>
          <w:szCs w:val="28"/>
        </w:rPr>
      </w:pPr>
      <w:r>
        <w:rPr>
          <w:rFonts w:hint="eastAsia" w:ascii="仿宋_GB2312" w:hAnsi="宋体" w:eastAsia="仿宋_GB2312"/>
          <w:sz w:val="28"/>
          <w:szCs w:val="28"/>
        </w:rPr>
        <w:t xml:space="preserve">     年     月     日　</w:t>
      </w:r>
    </w:p>
    <w:p w14:paraId="6CC1DED2">
      <w:pPr>
        <w:jc w:val="center"/>
        <w:rPr>
          <w:rFonts w:hint="eastAsia" w:ascii="仿宋_GB2312" w:hAnsi="宋体" w:eastAsia="仿宋_GB2312"/>
          <w:sz w:val="28"/>
          <w:szCs w:val="28"/>
        </w:rPr>
      </w:pPr>
      <w:r>
        <w:rPr>
          <w:rFonts w:hint="eastAsia" w:ascii="仿宋_GB2312" w:hAnsi="宋体" w:eastAsia="仿宋_GB2312"/>
          <w:sz w:val="28"/>
          <w:szCs w:val="28"/>
        </w:rPr>
        <w:br w:type="page"/>
      </w:r>
      <w:bookmarkStart w:id="0" w:name="_Toc299646634"/>
      <w:bookmarkStart w:id="1" w:name="_Toc312173661"/>
      <w:bookmarkStart w:id="2" w:name="_Toc299646287"/>
    </w:p>
    <w:p w14:paraId="6D54A78F">
      <w:pPr>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附件二：</w:t>
      </w:r>
    </w:p>
    <w:p w14:paraId="42EE1FF6">
      <w:pPr>
        <w:jc w:val="center"/>
        <w:rPr>
          <w:rFonts w:hint="eastAsia" w:ascii="仿宋" w:hAnsi="仿宋" w:eastAsia="仿宋" w:cs="仿宋"/>
          <w:b/>
          <w:color w:val="000000"/>
          <w:sz w:val="30"/>
          <w:szCs w:val="30"/>
        </w:rPr>
      </w:pPr>
      <w:r>
        <w:rPr>
          <w:rFonts w:hint="eastAsia" w:ascii="仿宋" w:hAnsi="仿宋" w:eastAsia="仿宋" w:cs="仿宋"/>
          <w:b/>
          <w:color w:val="000000"/>
          <w:sz w:val="30"/>
          <w:szCs w:val="30"/>
        </w:rPr>
        <w:t>投标人符合《</w:t>
      </w:r>
      <w:r>
        <w:rPr>
          <w:rFonts w:hint="eastAsia" w:ascii="仿宋" w:hAnsi="仿宋" w:eastAsia="仿宋" w:cs="仿宋"/>
          <w:b/>
          <w:color w:val="000000"/>
          <w:sz w:val="30"/>
          <w:szCs w:val="30"/>
          <w:lang w:val="en-US" w:eastAsia="zh-CN"/>
        </w:rPr>
        <w:t>中华人民共和国</w:t>
      </w:r>
      <w:r>
        <w:rPr>
          <w:rFonts w:hint="eastAsia" w:ascii="仿宋" w:hAnsi="仿宋" w:eastAsia="仿宋" w:cs="仿宋"/>
          <w:b/>
          <w:color w:val="000000"/>
          <w:sz w:val="30"/>
          <w:szCs w:val="30"/>
        </w:rPr>
        <w:t>政府采购法》第二十二条规定条件的声明函</w:t>
      </w:r>
    </w:p>
    <w:p w14:paraId="12FC975C">
      <w:pPr>
        <w:spacing w:line="460" w:lineRule="exact"/>
        <w:rPr>
          <w:rFonts w:hint="eastAsia" w:ascii="仿宋" w:hAnsi="仿宋" w:eastAsia="仿宋" w:cs="仿宋"/>
          <w:b/>
          <w:bCs/>
          <w:color w:val="000000"/>
          <w:sz w:val="44"/>
          <w:szCs w:val="44"/>
        </w:rPr>
      </w:pPr>
    </w:p>
    <w:p w14:paraId="64C30EB7">
      <w:pPr>
        <w:spacing w:line="520" w:lineRule="exact"/>
        <w:ind w:firstLine="480" w:firstLineChars="200"/>
        <w:rPr>
          <w:rFonts w:hint="eastAsia" w:ascii="仿宋" w:hAnsi="仿宋" w:eastAsia="仿宋" w:cs="仿宋"/>
          <w:b/>
          <w:bCs/>
          <w:color w:val="000000"/>
          <w:sz w:val="24"/>
        </w:rPr>
      </w:pPr>
      <w:r>
        <w:rPr>
          <w:rFonts w:hint="eastAsia" w:ascii="仿宋" w:hAnsi="仿宋" w:eastAsia="仿宋" w:cs="仿宋"/>
          <w:bCs/>
          <w:color w:val="000000"/>
          <w:sz w:val="24"/>
        </w:rPr>
        <w:t>我单位参加</w:t>
      </w:r>
      <w:r>
        <w:rPr>
          <w:rFonts w:hint="eastAsia" w:ascii="仿宋" w:hAnsi="仿宋" w:eastAsia="仿宋" w:cs="仿宋"/>
          <w:bCs/>
          <w:color w:val="000000"/>
          <w:sz w:val="24"/>
          <w:szCs w:val="21"/>
          <w:u w:val="single"/>
        </w:rPr>
        <w:t>________________ _</w:t>
      </w:r>
      <w:r>
        <w:rPr>
          <w:rFonts w:hint="eastAsia" w:ascii="仿宋" w:hAnsi="仿宋" w:eastAsia="仿宋" w:cs="仿宋"/>
          <w:bCs/>
          <w:color w:val="000000"/>
          <w:sz w:val="24"/>
          <w:szCs w:val="21"/>
        </w:rPr>
        <w:t>（项目名称），</w:t>
      </w:r>
      <w:r>
        <w:rPr>
          <w:rFonts w:hint="eastAsia" w:ascii="仿宋" w:hAnsi="仿宋" w:eastAsia="仿宋" w:cs="仿宋"/>
          <w:bCs/>
          <w:color w:val="000000"/>
          <w:sz w:val="24"/>
          <w:szCs w:val="21"/>
          <w:u w:val="single"/>
        </w:rPr>
        <w:t>_______ __________</w:t>
      </w:r>
      <w:r>
        <w:rPr>
          <w:rFonts w:hint="eastAsia" w:ascii="仿宋" w:hAnsi="仿宋" w:eastAsia="仿宋" w:cs="仿宋"/>
          <w:bCs/>
          <w:color w:val="000000"/>
          <w:sz w:val="24"/>
          <w:szCs w:val="21"/>
        </w:rPr>
        <w:t>（项目编号）投标活动。针对《中华人民共和国政府采购法》第二十二条规定做出如下声明：</w:t>
      </w:r>
    </w:p>
    <w:p w14:paraId="787DDAD6">
      <w:pPr>
        <w:spacing w:line="520" w:lineRule="exact"/>
        <w:ind w:firstLine="482"/>
        <w:rPr>
          <w:rFonts w:hint="eastAsia" w:ascii="仿宋" w:hAnsi="仿宋" w:eastAsia="仿宋" w:cs="仿宋"/>
          <w:color w:val="000000"/>
          <w:sz w:val="24"/>
        </w:rPr>
      </w:pPr>
      <w:r>
        <w:rPr>
          <w:rFonts w:hint="eastAsia" w:ascii="仿宋" w:hAnsi="仿宋" w:eastAsia="仿宋" w:cs="仿宋"/>
          <w:bCs/>
          <w:color w:val="000000"/>
          <w:sz w:val="24"/>
          <w:szCs w:val="21"/>
        </w:rPr>
        <w:t>1.我单位具有独立承担民事责任的能力；</w:t>
      </w:r>
    </w:p>
    <w:p w14:paraId="21CDBD60">
      <w:pPr>
        <w:spacing w:line="520" w:lineRule="exact"/>
        <w:ind w:firstLine="482"/>
        <w:rPr>
          <w:rFonts w:hint="eastAsia" w:ascii="仿宋" w:hAnsi="仿宋" w:eastAsia="仿宋" w:cs="仿宋"/>
          <w:color w:val="000000"/>
          <w:sz w:val="24"/>
        </w:rPr>
      </w:pPr>
      <w:r>
        <w:rPr>
          <w:rFonts w:hint="eastAsia" w:ascii="仿宋" w:hAnsi="仿宋" w:eastAsia="仿宋" w:cs="仿宋"/>
          <w:color w:val="000000"/>
          <w:sz w:val="24"/>
        </w:rPr>
        <w:t>2.我单位具有良好的商业信誉和健全的财务会计制度；</w:t>
      </w:r>
    </w:p>
    <w:p w14:paraId="6EA809A0">
      <w:pPr>
        <w:spacing w:line="520" w:lineRule="exact"/>
        <w:ind w:firstLine="482"/>
        <w:rPr>
          <w:rFonts w:hint="eastAsia" w:ascii="仿宋" w:hAnsi="仿宋" w:eastAsia="仿宋" w:cs="仿宋"/>
          <w:color w:val="000000"/>
          <w:sz w:val="24"/>
        </w:rPr>
      </w:pPr>
      <w:r>
        <w:rPr>
          <w:rFonts w:hint="eastAsia" w:ascii="仿宋" w:hAnsi="仿宋" w:eastAsia="仿宋" w:cs="仿宋"/>
          <w:color w:val="000000"/>
          <w:sz w:val="24"/>
        </w:rPr>
        <w:t>3.我单位具有履行合同所必需的设备和专业技术能力；</w:t>
      </w:r>
    </w:p>
    <w:p w14:paraId="5C85754D">
      <w:pPr>
        <w:spacing w:line="520" w:lineRule="exact"/>
        <w:ind w:firstLine="482"/>
        <w:rPr>
          <w:rFonts w:hint="eastAsia" w:ascii="仿宋" w:hAnsi="仿宋" w:eastAsia="仿宋" w:cs="仿宋"/>
          <w:color w:val="000000"/>
          <w:sz w:val="24"/>
        </w:rPr>
      </w:pPr>
      <w:r>
        <w:rPr>
          <w:rFonts w:hint="eastAsia" w:ascii="仿宋" w:hAnsi="仿宋" w:eastAsia="仿宋" w:cs="仿宋"/>
          <w:color w:val="000000"/>
          <w:sz w:val="24"/>
        </w:rPr>
        <w:t>4.我单位有依法缴纳税收和社会保障资金的良好记录；</w:t>
      </w:r>
    </w:p>
    <w:p w14:paraId="0B35026C">
      <w:pPr>
        <w:spacing w:line="520" w:lineRule="exact"/>
        <w:ind w:firstLine="482"/>
        <w:rPr>
          <w:rFonts w:hint="eastAsia" w:ascii="仿宋" w:hAnsi="仿宋" w:eastAsia="仿宋" w:cs="仿宋"/>
          <w:color w:val="000000"/>
          <w:sz w:val="24"/>
        </w:rPr>
      </w:pPr>
      <w:r>
        <w:rPr>
          <w:rFonts w:hint="eastAsia" w:ascii="仿宋" w:hAnsi="仿宋" w:eastAsia="仿宋" w:cs="仿宋"/>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805B49F">
      <w:pPr>
        <w:spacing w:line="520" w:lineRule="exact"/>
        <w:ind w:firstLine="482"/>
        <w:rPr>
          <w:rFonts w:hint="eastAsia" w:ascii="仿宋" w:hAnsi="仿宋" w:eastAsia="仿宋" w:cs="仿宋"/>
          <w:color w:val="000000"/>
          <w:sz w:val="24"/>
        </w:rPr>
      </w:pPr>
      <w:r>
        <w:rPr>
          <w:rFonts w:hint="eastAsia" w:ascii="仿宋" w:hAnsi="仿宋" w:eastAsia="仿宋" w:cs="仿宋"/>
          <w:color w:val="000000"/>
          <w:sz w:val="24"/>
        </w:rPr>
        <w:t>6.我单位满足法律、行政法规规定的其他条件。</w:t>
      </w:r>
    </w:p>
    <w:p w14:paraId="40AD0A4E">
      <w:pPr>
        <w:spacing w:line="500" w:lineRule="exact"/>
        <w:ind w:firstLine="482"/>
        <w:rPr>
          <w:rFonts w:hint="eastAsia" w:ascii="仿宋" w:hAnsi="仿宋" w:eastAsia="仿宋" w:cs="仿宋"/>
          <w:color w:val="000000"/>
          <w:sz w:val="24"/>
        </w:rPr>
      </w:pPr>
    </w:p>
    <w:p w14:paraId="5FE84876">
      <w:pPr>
        <w:spacing w:line="500" w:lineRule="exact"/>
        <w:rPr>
          <w:rFonts w:hint="eastAsia" w:ascii="仿宋" w:hAnsi="仿宋" w:eastAsia="仿宋" w:cs="仿宋"/>
          <w:color w:val="000000"/>
          <w:sz w:val="24"/>
        </w:rPr>
      </w:pPr>
    </w:p>
    <w:p w14:paraId="1F6F2138">
      <w:pPr>
        <w:spacing w:line="500" w:lineRule="exact"/>
        <w:rPr>
          <w:rFonts w:hint="eastAsia" w:ascii="仿宋" w:hAnsi="仿宋" w:eastAsia="仿宋" w:cs="仿宋"/>
          <w:bCs/>
          <w:color w:val="000000"/>
          <w:sz w:val="24"/>
          <w:szCs w:val="21"/>
        </w:rPr>
      </w:pPr>
    </w:p>
    <w:p w14:paraId="75CCD9B9">
      <w:pPr>
        <w:spacing w:line="500" w:lineRule="exact"/>
        <w:rPr>
          <w:rFonts w:hint="eastAsia" w:ascii="仿宋" w:hAnsi="仿宋" w:eastAsia="仿宋" w:cs="仿宋"/>
          <w:bCs/>
          <w:color w:val="000000"/>
          <w:sz w:val="24"/>
          <w:szCs w:val="21"/>
        </w:rPr>
      </w:pPr>
    </w:p>
    <w:p w14:paraId="6FA3D4E4">
      <w:pPr>
        <w:spacing w:line="500" w:lineRule="exact"/>
        <w:rPr>
          <w:rFonts w:hint="eastAsia" w:ascii="仿宋" w:hAnsi="仿宋" w:eastAsia="仿宋" w:cs="仿宋"/>
          <w:bCs/>
          <w:color w:val="000000"/>
          <w:sz w:val="24"/>
          <w:szCs w:val="21"/>
        </w:rPr>
      </w:pPr>
    </w:p>
    <w:p w14:paraId="1AF95B4A">
      <w:pPr>
        <w:spacing w:line="460" w:lineRule="exact"/>
        <w:jc w:val="center"/>
        <w:rPr>
          <w:rFonts w:hint="eastAsia" w:ascii="仿宋" w:hAnsi="仿宋" w:eastAsia="仿宋" w:cs="仿宋"/>
          <w:bCs/>
          <w:color w:val="000000"/>
          <w:sz w:val="24"/>
          <w:szCs w:val="21"/>
        </w:rPr>
      </w:pPr>
      <w:r>
        <w:rPr>
          <w:rFonts w:hint="eastAsia" w:ascii="仿宋" w:hAnsi="仿宋" w:eastAsia="仿宋" w:cs="仿宋"/>
          <w:bCs/>
          <w:color w:val="000000"/>
          <w:sz w:val="24"/>
          <w:szCs w:val="21"/>
        </w:rPr>
        <w:t xml:space="preserve">                                  承诺人名称（公章）：</w:t>
      </w:r>
    </w:p>
    <w:p w14:paraId="15AC8088">
      <w:pPr>
        <w:spacing w:line="460" w:lineRule="exact"/>
        <w:jc w:val="right"/>
        <w:rPr>
          <w:rFonts w:hint="eastAsia" w:ascii="仿宋" w:hAnsi="仿宋" w:eastAsia="仿宋" w:cs="仿宋"/>
          <w:bCs/>
          <w:color w:val="000000"/>
          <w:sz w:val="24"/>
          <w:szCs w:val="21"/>
        </w:rPr>
      </w:pPr>
    </w:p>
    <w:p w14:paraId="53C5DADC">
      <w:pPr>
        <w:spacing w:line="460" w:lineRule="exact"/>
        <w:jc w:val="right"/>
        <w:rPr>
          <w:rFonts w:hint="eastAsia" w:ascii="仿宋" w:hAnsi="仿宋" w:eastAsia="仿宋" w:cs="仿宋"/>
          <w:bCs/>
          <w:color w:val="000000"/>
          <w:sz w:val="24"/>
          <w:szCs w:val="21"/>
        </w:rPr>
      </w:pPr>
      <w:r>
        <w:rPr>
          <w:rFonts w:hint="eastAsia" w:ascii="仿宋" w:hAnsi="仿宋" w:eastAsia="仿宋" w:cs="仿宋"/>
          <w:bCs/>
          <w:color w:val="000000"/>
          <w:sz w:val="24"/>
          <w:szCs w:val="21"/>
        </w:rPr>
        <w:t xml:space="preserve">                                 日期：</w:t>
      </w:r>
      <w:r>
        <w:rPr>
          <w:rFonts w:hint="eastAsia" w:ascii="仿宋" w:hAnsi="仿宋" w:eastAsia="仿宋" w:cs="仿宋"/>
          <w:bCs/>
          <w:color w:val="000000"/>
          <w:sz w:val="24"/>
          <w:szCs w:val="21"/>
          <w:u w:val="single"/>
        </w:rPr>
        <w:t>______</w:t>
      </w:r>
      <w:r>
        <w:rPr>
          <w:rFonts w:hint="eastAsia" w:ascii="仿宋" w:hAnsi="仿宋" w:eastAsia="仿宋" w:cs="仿宋"/>
          <w:bCs/>
          <w:color w:val="000000"/>
          <w:sz w:val="24"/>
          <w:szCs w:val="21"/>
        </w:rPr>
        <w:t>年</w:t>
      </w:r>
      <w:r>
        <w:rPr>
          <w:rFonts w:hint="eastAsia" w:ascii="仿宋" w:hAnsi="仿宋" w:eastAsia="仿宋" w:cs="仿宋"/>
          <w:bCs/>
          <w:color w:val="000000"/>
          <w:sz w:val="24"/>
          <w:szCs w:val="21"/>
          <w:u w:val="single"/>
          <w:lang w:val="en-US" w:eastAsia="zh-CN"/>
        </w:rPr>
        <w:t xml:space="preserve">     </w:t>
      </w:r>
      <w:r>
        <w:rPr>
          <w:rFonts w:hint="eastAsia" w:ascii="仿宋" w:hAnsi="仿宋" w:eastAsia="仿宋" w:cs="仿宋"/>
          <w:bCs/>
          <w:color w:val="000000"/>
          <w:sz w:val="24"/>
          <w:szCs w:val="21"/>
        </w:rPr>
        <w:t>月</w:t>
      </w:r>
      <w:r>
        <w:rPr>
          <w:rFonts w:hint="eastAsia" w:ascii="仿宋" w:hAnsi="仿宋" w:eastAsia="仿宋" w:cs="仿宋"/>
          <w:bCs/>
          <w:color w:val="000000"/>
          <w:sz w:val="24"/>
          <w:szCs w:val="21"/>
          <w:u w:val="single"/>
          <w:lang w:val="en-US" w:eastAsia="zh-CN"/>
        </w:rPr>
        <w:t xml:space="preserve">     </w:t>
      </w:r>
      <w:r>
        <w:rPr>
          <w:rFonts w:hint="eastAsia" w:ascii="仿宋" w:hAnsi="仿宋" w:eastAsia="仿宋" w:cs="仿宋"/>
          <w:bCs/>
          <w:color w:val="000000"/>
          <w:sz w:val="24"/>
          <w:szCs w:val="21"/>
        </w:rPr>
        <w:t>日</w:t>
      </w:r>
    </w:p>
    <w:p w14:paraId="73000F47">
      <w:pPr>
        <w:rPr>
          <w:rFonts w:hint="eastAsia" w:ascii="仿宋" w:hAnsi="仿宋" w:eastAsia="仿宋" w:cs="仿宋"/>
          <w:b/>
          <w:sz w:val="24"/>
        </w:rPr>
      </w:pPr>
      <w:r>
        <w:rPr>
          <w:rFonts w:hint="eastAsia" w:ascii="仿宋" w:hAnsi="仿宋" w:eastAsia="仿宋" w:cs="仿宋"/>
          <w:b/>
          <w:sz w:val="24"/>
        </w:rPr>
        <w:br w:type="page"/>
      </w:r>
    </w:p>
    <w:p w14:paraId="4ABBD9D1">
      <w:pPr>
        <w:spacing w:line="500" w:lineRule="exact"/>
        <w:jc w:val="left"/>
        <w:rPr>
          <w:rFonts w:hint="eastAsia" w:ascii="仿宋" w:hAnsi="仿宋" w:eastAsia="仿宋" w:cs="仿宋"/>
          <w:b/>
          <w:sz w:val="24"/>
        </w:rPr>
      </w:pPr>
      <w:r>
        <w:rPr>
          <w:rFonts w:hint="eastAsia" w:ascii="仿宋" w:hAnsi="仿宋" w:eastAsia="仿宋" w:cs="仿宋"/>
          <w:b/>
          <w:sz w:val="24"/>
        </w:rPr>
        <w:t>附件</w:t>
      </w:r>
      <w:r>
        <w:rPr>
          <w:rFonts w:hint="eastAsia" w:ascii="仿宋" w:hAnsi="仿宋" w:eastAsia="仿宋" w:cs="仿宋"/>
          <w:b/>
          <w:sz w:val="24"/>
          <w:lang w:val="en-US" w:eastAsia="zh-CN"/>
        </w:rPr>
        <w:t>三</w:t>
      </w:r>
      <w:r>
        <w:rPr>
          <w:rFonts w:hint="eastAsia" w:ascii="仿宋" w:hAnsi="仿宋" w:eastAsia="仿宋" w:cs="仿宋"/>
          <w:b/>
          <w:sz w:val="24"/>
        </w:rPr>
        <w:t>: 法定代表人授权委托书</w:t>
      </w:r>
    </w:p>
    <w:bookmarkEnd w:id="0"/>
    <w:bookmarkEnd w:id="1"/>
    <w:bookmarkEnd w:id="2"/>
    <w:p w14:paraId="1142D8C8">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法 定 代 表 人 授 权 委 托 书</w:t>
      </w:r>
    </w:p>
    <w:p w14:paraId="4C08DFFB">
      <w:pPr>
        <w:spacing w:line="500" w:lineRule="exact"/>
        <w:rPr>
          <w:rFonts w:hint="eastAsia" w:ascii="仿宋" w:hAnsi="仿宋" w:eastAsia="仿宋" w:cs="仿宋"/>
          <w:sz w:val="28"/>
          <w:szCs w:val="28"/>
        </w:rPr>
      </w:pPr>
      <w:r>
        <w:rPr>
          <w:rFonts w:hint="eastAsia" w:ascii="仿宋_GB2312" w:hAnsi="宋体" w:eastAsia="仿宋_GB2312"/>
          <w:sz w:val="28"/>
          <w:szCs w:val="28"/>
        </w:rPr>
        <w:t>启东腾飞物业管理有限公司</w:t>
      </w:r>
      <w:r>
        <w:rPr>
          <w:rFonts w:hint="eastAsia" w:ascii="仿宋" w:hAnsi="仿宋" w:eastAsia="仿宋" w:cs="仿宋"/>
          <w:sz w:val="28"/>
          <w:szCs w:val="28"/>
        </w:rPr>
        <w:t>：</w:t>
      </w:r>
    </w:p>
    <w:p w14:paraId="743474B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rPr>
        <w:t>（报价单位全称）</w:t>
      </w:r>
      <w:r>
        <w:rPr>
          <w:rFonts w:hint="eastAsia" w:ascii="仿宋" w:hAnsi="仿宋" w:eastAsia="仿宋" w:cs="仿宋"/>
          <w:sz w:val="28"/>
          <w:szCs w:val="28"/>
        </w:rPr>
        <w:t>系中华人民共和国合法企业（或事业单位），法定地址：</w:t>
      </w:r>
      <w:r>
        <w:rPr>
          <w:rFonts w:hint="eastAsia" w:ascii="仿宋" w:hAnsi="仿宋" w:eastAsia="仿宋" w:cs="仿宋"/>
          <w:sz w:val="28"/>
          <w:szCs w:val="28"/>
          <w:u w:val="single"/>
        </w:rPr>
        <w:t xml:space="preserve">           </w:t>
      </w:r>
      <w:r>
        <w:rPr>
          <w:rFonts w:hint="eastAsia" w:ascii="仿宋" w:hAnsi="仿宋" w:eastAsia="仿宋" w:cs="仿宋"/>
          <w:sz w:val="28"/>
          <w:szCs w:val="28"/>
        </w:rPr>
        <w:t>特授权</w:t>
      </w:r>
      <w:r>
        <w:rPr>
          <w:rFonts w:hint="eastAsia" w:ascii="仿宋" w:hAnsi="仿宋" w:eastAsia="仿宋" w:cs="仿宋"/>
          <w:sz w:val="28"/>
          <w:szCs w:val="28"/>
          <w:u w:val="single"/>
        </w:rPr>
        <w:t>（姓  名）（职  务）</w:t>
      </w:r>
      <w:r>
        <w:rPr>
          <w:rFonts w:hint="eastAsia" w:ascii="仿宋" w:hAnsi="仿宋" w:eastAsia="仿宋" w:cs="仿宋"/>
          <w:sz w:val="28"/>
          <w:szCs w:val="28"/>
        </w:rPr>
        <w:t>代表我单位全权办理针对</w:t>
      </w:r>
      <w:r>
        <w:rPr>
          <w:rFonts w:hint="eastAsia" w:ascii="仿宋" w:hAnsi="仿宋" w:eastAsia="仿宋" w:cs="仿宋"/>
          <w:b/>
          <w:bCs/>
          <w:sz w:val="28"/>
          <w:szCs w:val="28"/>
          <w:u w:val="single"/>
        </w:rPr>
        <w:t>启东经济开发区法治广场绿化苗木采购项目</w:t>
      </w:r>
      <w:r>
        <w:rPr>
          <w:rFonts w:hint="eastAsia" w:ascii="仿宋" w:hAnsi="仿宋" w:eastAsia="仿宋" w:cs="仿宋"/>
          <w:b/>
          <w:bCs/>
          <w:sz w:val="28"/>
          <w:szCs w:val="28"/>
          <w:u w:val="single"/>
          <w:lang w:eastAsia="zh-CN"/>
        </w:rPr>
        <w:t>（</w:t>
      </w:r>
      <w:r>
        <w:rPr>
          <w:rFonts w:hint="eastAsia" w:ascii="仿宋" w:hAnsi="仿宋" w:eastAsia="仿宋" w:cs="仿宋"/>
          <w:b/>
          <w:bCs/>
          <w:sz w:val="28"/>
          <w:szCs w:val="28"/>
          <w:u w:val="single"/>
          <w:lang w:val="en-US" w:eastAsia="zh-CN"/>
        </w:rPr>
        <w:t>第二次</w:t>
      </w:r>
      <w:r>
        <w:rPr>
          <w:rFonts w:hint="eastAsia" w:ascii="仿宋" w:hAnsi="仿宋" w:eastAsia="仿宋" w:cs="仿宋"/>
          <w:b/>
          <w:bCs/>
          <w:sz w:val="28"/>
          <w:szCs w:val="28"/>
          <w:u w:val="single"/>
          <w:lang w:eastAsia="zh-CN"/>
        </w:rPr>
        <w:t>）</w:t>
      </w:r>
      <w:r>
        <w:rPr>
          <w:rFonts w:hint="eastAsia" w:ascii="仿宋" w:hAnsi="仿宋" w:eastAsia="仿宋" w:cs="仿宋"/>
          <w:sz w:val="28"/>
          <w:szCs w:val="28"/>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678A44A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被授权人无权转委托。</w:t>
      </w:r>
    </w:p>
    <w:p w14:paraId="209F28A7">
      <w:pPr>
        <w:spacing w:line="440" w:lineRule="exact"/>
        <w:ind w:firstLine="560" w:firstLineChars="200"/>
        <w:rPr>
          <w:rFonts w:hint="eastAsia" w:ascii="仿宋" w:hAnsi="仿宋" w:eastAsia="仿宋" w:cs="仿宋"/>
          <w:color w:val="000000"/>
          <w:sz w:val="28"/>
          <w:szCs w:val="28"/>
        </w:rPr>
      </w:pPr>
    </w:p>
    <w:p w14:paraId="41F0E16B">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被授权人（签字）：   性别：   年龄：   职务：</w:t>
      </w:r>
    </w:p>
    <w:p w14:paraId="7DA94E8A">
      <w:pPr>
        <w:pStyle w:val="2"/>
        <w:rPr>
          <w:rFonts w:hint="eastAsia" w:ascii="仿宋" w:hAnsi="仿宋" w:eastAsia="仿宋" w:cs="仿宋"/>
          <w:sz w:val="28"/>
          <w:szCs w:val="28"/>
        </w:rPr>
      </w:pPr>
    </w:p>
    <w:p w14:paraId="6ED5F110">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身份证号码：</w:t>
      </w:r>
    </w:p>
    <w:p w14:paraId="5253715B">
      <w:pPr>
        <w:spacing w:line="440" w:lineRule="exact"/>
        <w:rPr>
          <w:rFonts w:hint="eastAsia" w:ascii="仿宋" w:hAnsi="仿宋" w:eastAsia="仿宋" w:cs="仿宋"/>
          <w:color w:val="000000"/>
          <w:sz w:val="28"/>
          <w:szCs w:val="28"/>
        </w:rPr>
      </w:pPr>
    </w:p>
    <w:p w14:paraId="2E60F694">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通讯地址：</w:t>
      </w:r>
    </w:p>
    <w:p w14:paraId="55D483A2">
      <w:pPr>
        <w:spacing w:line="440" w:lineRule="exact"/>
        <w:rPr>
          <w:rFonts w:hint="eastAsia" w:ascii="仿宋" w:hAnsi="仿宋" w:eastAsia="仿宋" w:cs="仿宋"/>
          <w:color w:val="000000"/>
          <w:sz w:val="28"/>
          <w:szCs w:val="28"/>
        </w:rPr>
      </w:pPr>
    </w:p>
    <w:p w14:paraId="4D489310">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p>
    <w:p w14:paraId="59F58D0F">
      <w:pPr>
        <w:spacing w:line="440" w:lineRule="exact"/>
        <w:rPr>
          <w:rFonts w:hint="eastAsia" w:ascii="仿宋" w:hAnsi="仿宋" w:eastAsia="仿宋" w:cs="仿宋"/>
          <w:color w:val="000000"/>
          <w:sz w:val="28"/>
          <w:szCs w:val="28"/>
        </w:rPr>
      </w:pPr>
    </w:p>
    <w:p w14:paraId="59C649AF">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法定代表人（签字或盖章）：</w:t>
      </w:r>
    </w:p>
    <w:p w14:paraId="0DFD750E">
      <w:pPr>
        <w:spacing w:line="440" w:lineRule="exact"/>
        <w:rPr>
          <w:rFonts w:hint="eastAsia" w:ascii="仿宋" w:hAnsi="仿宋" w:eastAsia="仿宋" w:cs="仿宋"/>
          <w:color w:val="000000"/>
          <w:sz w:val="28"/>
          <w:szCs w:val="28"/>
        </w:rPr>
      </w:pPr>
    </w:p>
    <w:p w14:paraId="52E66FFC">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供应商名称（盖章）：</w:t>
      </w:r>
    </w:p>
    <w:p w14:paraId="5F668BA4">
      <w:pPr>
        <w:spacing w:line="440" w:lineRule="exact"/>
        <w:rPr>
          <w:rFonts w:hint="eastAsia" w:ascii="仿宋" w:hAnsi="仿宋" w:eastAsia="仿宋" w:cs="仿宋"/>
          <w:color w:val="000000"/>
          <w:sz w:val="28"/>
          <w:szCs w:val="28"/>
        </w:rPr>
      </w:pPr>
    </w:p>
    <w:p w14:paraId="471044A8">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日期：   年   月   日</w:t>
      </w:r>
    </w:p>
    <w:p w14:paraId="06EB0D86">
      <w:pPr>
        <w:rPr>
          <w:rFonts w:hint="eastAsia"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br w:type="page"/>
      </w:r>
    </w:p>
    <w:p w14:paraId="2E4C386C">
      <w:pPr>
        <w:spacing w:line="440" w:lineRule="exact"/>
        <w:rPr>
          <w:rFonts w:hint="eastAsia" w:ascii="仿宋" w:hAnsi="仿宋" w:eastAsia="仿宋" w:cs="仿宋"/>
          <w:b/>
          <w:bCs/>
          <w:sz w:val="30"/>
          <w:szCs w:val="30"/>
        </w:rPr>
      </w:pPr>
      <w:r>
        <w:rPr>
          <w:rFonts w:hint="eastAsia" w:ascii="仿宋_GB2312" w:hAnsi="宋体" w:eastAsia="仿宋_GB2312"/>
          <w:b/>
          <w:bCs/>
          <w:sz w:val="28"/>
          <w:szCs w:val="28"/>
          <w:lang w:val="en-US" w:eastAsia="zh-CN"/>
        </w:rPr>
        <w:t>附件四：</w:t>
      </w:r>
      <w:r>
        <w:rPr>
          <w:rFonts w:hint="eastAsia" w:ascii="仿宋" w:hAnsi="仿宋" w:eastAsia="仿宋" w:cs="仿宋"/>
          <w:b/>
          <w:bCs/>
          <w:sz w:val="30"/>
          <w:szCs w:val="30"/>
        </w:rPr>
        <w:t>报价表</w:t>
      </w:r>
    </w:p>
    <w:p w14:paraId="628C35AF">
      <w:pPr>
        <w:spacing w:line="440" w:lineRule="exact"/>
        <w:rPr>
          <w:rFonts w:hint="eastAsia" w:ascii="仿宋" w:hAnsi="仿宋" w:eastAsia="仿宋" w:cs="仿宋"/>
          <w:b/>
          <w:bCs/>
          <w:sz w:val="30"/>
          <w:szCs w:val="30"/>
        </w:rPr>
      </w:pPr>
    </w:p>
    <w:p w14:paraId="1E33F5EC">
      <w:pPr>
        <w:snapToGrid w:val="0"/>
        <w:spacing w:line="240" w:lineRule="atLeast"/>
        <w:jc w:val="center"/>
        <w:rPr>
          <w:rFonts w:hint="eastAsia" w:ascii="仿宋" w:hAnsi="仿宋" w:eastAsia="仿宋" w:cs="仿宋"/>
          <w:b/>
          <w:bCs/>
          <w:sz w:val="44"/>
          <w:szCs w:val="44"/>
        </w:rPr>
      </w:pPr>
      <w:r>
        <w:rPr>
          <w:rFonts w:hint="eastAsia" w:ascii="仿宋" w:hAnsi="仿宋" w:eastAsia="仿宋" w:cs="仿宋"/>
          <w:b/>
          <w:bCs/>
          <w:sz w:val="44"/>
          <w:szCs w:val="44"/>
        </w:rPr>
        <w:t>报   价    表</w:t>
      </w:r>
    </w:p>
    <w:p w14:paraId="67B037C5">
      <w:pPr>
        <w:snapToGrid w:val="0"/>
        <w:spacing w:line="440" w:lineRule="exact"/>
        <w:jc w:val="center"/>
        <w:rPr>
          <w:rFonts w:hint="eastAsia" w:ascii="仿宋" w:hAnsi="仿宋" w:eastAsia="仿宋" w:cs="仿宋"/>
          <w:b/>
          <w:bCs/>
          <w:sz w:val="30"/>
          <w:szCs w:val="30"/>
          <w:lang w:eastAsia="zh-CN"/>
        </w:rPr>
      </w:pPr>
      <w:r>
        <w:rPr>
          <w:rFonts w:hint="eastAsia" w:ascii="仿宋" w:hAnsi="仿宋" w:eastAsia="仿宋" w:cs="仿宋"/>
          <w:sz w:val="30"/>
          <w:szCs w:val="30"/>
        </w:rPr>
        <w:t>启东经济开发区法治广场绿化苗木采购项目</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第二次</w:t>
      </w:r>
      <w:r>
        <w:rPr>
          <w:rFonts w:hint="eastAsia" w:ascii="仿宋" w:hAnsi="仿宋" w:eastAsia="仿宋" w:cs="仿宋"/>
          <w:sz w:val="30"/>
          <w:szCs w:val="30"/>
          <w:lang w:eastAsia="zh-CN"/>
        </w:rPr>
        <w:t>）</w:t>
      </w:r>
    </w:p>
    <w:tbl>
      <w:tblPr>
        <w:tblStyle w:val="17"/>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8"/>
        <w:gridCol w:w="1519"/>
        <w:gridCol w:w="1368"/>
        <w:gridCol w:w="990"/>
        <w:gridCol w:w="1172"/>
        <w:gridCol w:w="1003"/>
        <w:gridCol w:w="1172"/>
        <w:gridCol w:w="1088"/>
      </w:tblGrid>
      <w:tr w14:paraId="4740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1218" w:type="dxa"/>
            <w:tcBorders>
              <w:top w:val="single" w:color="auto" w:sz="4" w:space="0"/>
              <w:left w:val="single" w:color="auto" w:sz="4" w:space="0"/>
              <w:bottom w:val="single" w:color="auto" w:sz="4" w:space="0"/>
              <w:right w:val="single" w:color="auto" w:sz="4" w:space="0"/>
            </w:tcBorders>
            <w:noWrap w:val="0"/>
            <w:vAlign w:val="center"/>
          </w:tcPr>
          <w:p w14:paraId="1D39B419">
            <w:pPr>
              <w:snapToGrid w:val="0"/>
              <w:spacing w:line="240" w:lineRule="atLeast"/>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rPr>
              <w:t>序号</w:t>
            </w:r>
            <w:r>
              <w:rPr>
                <w:rFonts w:hint="eastAsia" w:ascii="仿宋" w:hAnsi="仿宋" w:eastAsia="仿宋" w:cs="仿宋"/>
                <w:b/>
                <w:bCs/>
                <w:sz w:val="28"/>
                <w:szCs w:val="28"/>
                <w:lang w:val="en-US" w:eastAsia="zh-CN"/>
              </w:rPr>
              <w:t xml:space="preserve"> </w:t>
            </w:r>
          </w:p>
        </w:tc>
        <w:tc>
          <w:tcPr>
            <w:tcW w:w="1519" w:type="dxa"/>
            <w:tcBorders>
              <w:top w:val="single" w:color="auto" w:sz="4" w:space="0"/>
              <w:left w:val="nil"/>
              <w:bottom w:val="single" w:color="auto" w:sz="4" w:space="0"/>
              <w:right w:val="single" w:color="auto" w:sz="4" w:space="0"/>
            </w:tcBorders>
            <w:noWrap w:val="0"/>
            <w:vAlign w:val="center"/>
          </w:tcPr>
          <w:p w14:paraId="081FE438">
            <w:pPr>
              <w:snapToGrid w:val="0"/>
              <w:spacing w:line="240" w:lineRule="atLeast"/>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苗木品种</w:t>
            </w:r>
          </w:p>
        </w:tc>
        <w:tc>
          <w:tcPr>
            <w:tcW w:w="1368" w:type="dxa"/>
            <w:tcBorders>
              <w:top w:val="single" w:color="auto" w:sz="4" w:space="0"/>
              <w:left w:val="nil"/>
              <w:bottom w:val="single" w:color="auto" w:sz="4" w:space="0"/>
              <w:right w:val="single" w:color="auto" w:sz="4" w:space="0"/>
            </w:tcBorders>
            <w:noWrap w:val="0"/>
            <w:vAlign w:val="center"/>
          </w:tcPr>
          <w:p w14:paraId="1C353343">
            <w:pPr>
              <w:snapToGrid w:val="0"/>
              <w:spacing w:line="240" w:lineRule="atLeast"/>
              <w:jc w:val="center"/>
              <w:rPr>
                <w:rFonts w:hint="eastAsia" w:eastAsia="仿宋"/>
                <w:lang w:val="en-US" w:eastAsia="zh-CN"/>
              </w:rPr>
            </w:pPr>
            <w:r>
              <w:rPr>
                <w:rFonts w:hint="eastAsia" w:ascii="仿宋" w:hAnsi="仿宋" w:eastAsia="仿宋" w:cs="仿宋"/>
                <w:b/>
                <w:bCs/>
                <w:sz w:val="28"/>
                <w:szCs w:val="28"/>
                <w:lang w:val="en-US" w:eastAsia="zh-CN"/>
              </w:rPr>
              <w:t>规格</w:t>
            </w:r>
          </w:p>
        </w:tc>
        <w:tc>
          <w:tcPr>
            <w:tcW w:w="990" w:type="dxa"/>
            <w:tcBorders>
              <w:top w:val="single" w:color="auto" w:sz="4" w:space="0"/>
              <w:left w:val="nil"/>
              <w:bottom w:val="single" w:color="auto" w:sz="4" w:space="0"/>
              <w:right w:val="single" w:color="auto" w:sz="4" w:space="0"/>
            </w:tcBorders>
            <w:noWrap w:val="0"/>
            <w:vAlign w:val="center"/>
          </w:tcPr>
          <w:p w14:paraId="74ACCF20">
            <w:pPr>
              <w:snapToGrid w:val="0"/>
              <w:spacing w:line="240" w:lineRule="atLeast"/>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数量</w:t>
            </w:r>
          </w:p>
        </w:tc>
        <w:tc>
          <w:tcPr>
            <w:tcW w:w="1172" w:type="dxa"/>
            <w:tcBorders>
              <w:top w:val="single" w:color="auto" w:sz="4" w:space="0"/>
              <w:left w:val="nil"/>
              <w:bottom w:val="single" w:color="auto" w:sz="4" w:space="0"/>
              <w:right w:val="single" w:color="auto" w:sz="4" w:space="0"/>
            </w:tcBorders>
            <w:noWrap w:val="0"/>
            <w:vAlign w:val="center"/>
          </w:tcPr>
          <w:p w14:paraId="4108207C">
            <w:pPr>
              <w:snapToGrid w:val="0"/>
              <w:spacing w:line="240" w:lineRule="atLeast"/>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单位</w:t>
            </w:r>
          </w:p>
        </w:tc>
        <w:tc>
          <w:tcPr>
            <w:tcW w:w="1003" w:type="dxa"/>
            <w:tcBorders>
              <w:top w:val="single" w:color="auto" w:sz="4" w:space="0"/>
              <w:left w:val="nil"/>
              <w:bottom w:val="single" w:color="auto" w:sz="4" w:space="0"/>
              <w:right w:val="single" w:color="auto" w:sz="4" w:space="0"/>
            </w:tcBorders>
            <w:noWrap w:val="0"/>
            <w:vAlign w:val="center"/>
          </w:tcPr>
          <w:p w14:paraId="2721A9C5">
            <w:pPr>
              <w:snapToGrid w:val="0"/>
              <w:spacing w:line="240" w:lineRule="atLeast"/>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单价</w:t>
            </w:r>
          </w:p>
        </w:tc>
        <w:tc>
          <w:tcPr>
            <w:tcW w:w="1172" w:type="dxa"/>
            <w:tcBorders>
              <w:top w:val="single" w:color="auto" w:sz="4" w:space="0"/>
              <w:left w:val="nil"/>
              <w:bottom w:val="single" w:color="auto" w:sz="4" w:space="0"/>
              <w:right w:val="single" w:color="auto" w:sz="4" w:space="0"/>
            </w:tcBorders>
            <w:noWrap w:val="0"/>
            <w:vAlign w:val="center"/>
          </w:tcPr>
          <w:p w14:paraId="1E38B40B">
            <w:pPr>
              <w:snapToGrid w:val="0"/>
              <w:spacing w:line="240" w:lineRule="atLeast"/>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合价</w:t>
            </w:r>
          </w:p>
        </w:tc>
        <w:tc>
          <w:tcPr>
            <w:tcW w:w="1088" w:type="dxa"/>
            <w:tcBorders>
              <w:top w:val="single" w:color="auto" w:sz="4" w:space="0"/>
              <w:left w:val="nil"/>
              <w:bottom w:val="single" w:color="auto" w:sz="4" w:space="0"/>
              <w:right w:val="single" w:color="auto" w:sz="4" w:space="0"/>
            </w:tcBorders>
            <w:noWrap w:val="0"/>
            <w:vAlign w:val="center"/>
          </w:tcPr>
          <w:p w14:paraId="2F5F2C90">
            <w:pPr>
              <w:snapToGrid w:val="0"/>
              <w:spacing w:line="240" w:lineRule="atLeast"/>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备注</w:t>
            </w:r>
          </w:p>
        </w:tc>
      </w:tr>
      <w:tr w14:paraId="0E70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218" w:type="dxa"/>
            <w:tcBorders>
              <w:top w:val="single" w:color="auto" w:sz="4" w:space="0"/>
              <w:left w:val="single" w:color="auto" w:sz="4" w:space="0"/>
              <w:bottom w:val="single" w:color="auto" w:sz="4" w:space="0"/>
              <w:right w:val="single" w:color="auto" w:sz="4" w:space="0"/>
            </w:tcBorders>
            <w:noWrap w:val="0"/>
            <w:vAlign w:val="center"/>
          </w:tcPr>
          <w:p w14:paraId="4D49A814">
            <w:pPr>
              <w:snapToGrid w:val="0"/>
              <w:spacing w:line="240" w:lineRule="atLeast"/>
              <w:jc w:val="center"/>
              <w:rPr>
                <w:rFonts w:hint="eastAsia" w:ascii="仿宋" w:hAnsi="仿宋" w:eastAsia="仿宋" w:cs="仿宋"/>
                <w:sz w:val="28"/>
                <w:szCs w:val="28"/>
              </w:rPr>
            </w:pPr>
            <w:r>
              <w:rPr>
                <w:rFonts w:hint="eastAsia" w:ascii="仿宋" w:hAnsi="仿宋" w:eastAsia="仿宋" w:cs="仿宋"/>
                <w:sz w:val="28"/>
                <w:szCs w:val="28"/>
              </w:rPr>
              <w:t xml:space="preserve">1               </w:t>
            </w:r>
          </w:p>
        </w:tc>
        <w:tc>
          <w:tcPr>
            <w:tcW w:w="1519" w:type="dxa"/>
            <w:tcBorders>
              <w:top w:val="single" w:color="auto" w:sz="4" w:space="0"/>
              <w:left w:val="nil"/>
              <w:bottom w:val="single" w:color="auto" w:sz="4" w:space="0"/>
              <w:right w:val="single" w:color="auto" w:sz="4" w:space="0"/>
            </w:tcBorders>
            <w:noWrap w:val="0"/>
            <w:vAlign w:val="center"/>
          </w:tcPr>
          <w:p w14:paraId="215A21E5">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tc>
        <w:tc>
          <w:tcPr>
            <w:tcW w:w="1368" w:type="dxa"/>
            <w:tcBorders>
              <w:top w:val="single" w:color="auto" w:sz="4" w:space="0"/>
              <w:left w:val="nil"/>
              <w:bottom w:val="single" w:color="auto" w:sz="4" w:space="0"/>
              <w:right w:val="single" w:color="auto" w:sz="4" w:space="0"/>
            </w:tcBorders>
            <w:noWrap w:val="0"/>
            <w:vAlign w:val="center"/>
          </w:tcPr>
          <w:p w14:paraId="1998C846">
            <w:pPr>
              <w:spacing w:line="400" w:lineRule="exact"/>
              <w:jc w:val="center"/>
              <w:rPr>
                <w:rFonts w:hint="default" w:ascii="仿宋" w:hAnsi="仿宋" w:eastAsia="仿宋" w:cs="仿宋"/>
                <w:sz w:val="28"/>
                <w:szCs w:val="28"/>
                <w:lang w:val="en-US"/>
              </w:rPr>
            </w:pPr>
          </w:p>
        </w:tc>
        <w:tc>
          <w:tcPr>
            <w:tcW w:w="990" w:type="dxa"/>
            <w:tcBorders>
              <w:top w:val="single" w:color="auto" w:sz="4" w:space="0"/>
              <w:left w:val="nil"/>
              <w:bottom w:val="single" w:color="auto" w:sz="4" w:space="0"/>
              <w:right w:val="single" w:color="auto" w:sz="4" w:space="0"/>
            </w:tcBorders>
            <w:noWrap w:val="0"/>
            <w:vAlign w:val="center"/>
          </w:tcPr>
          <w:p w14:paraId="668269FD">
            <w:pPr>
              <w:spacing w:line="400" w:lineRule="exact"/>
              <w:jc w:val="center"/>
              <w:rPr>
                <w:rFonts w:hint="eastAsia" w:ascii="仿宋" w:hAnsi="仿宋" w:eastAsia="仿宋" w:cs="仿宋"/>
                <w:sz w:val="28"/>
                <w:szCs w:val="28"/>
              </w:rPr>
            </w:pPr>
          </w:p>
        </w:tc>
        <w:tc>
          <w:tcPr>
            <w:tcW w:w="1172" w:type="dxa"/>
            <w:tcBorders>
              <w:top w:val="single" w:color="auto" w:sz="4" w:space="0"/>
              <w:left w:val="nil"/>
              <w:bottom w:val="single" w:color="auto" w:sz="4" w:space="0"/>
              <w:right w:val="single" w:color="auto" w:sz="4" w:space="0"/>
            </w:tcBorders>
            <w:noWrap w:val="0"/>
            <w:vAlign w:val="center"/>
          </w:tcPr>
          <w:p w14:paraId="3A3544E8">
            <w:pPr>
              <w:spacing w:line="400" w:lineRule="exact"/>
              <w:jc w:val="center"/>
              <w:rPr>
                <w:rFonts w:hint="eastAsia" w:ascii="仿宋" w:hAnsi="仿宋" w:eastAsia="仿宋" w:cs="仿宋"/>
                <w:sz w:val="28"/>
                <w:szCs w:val="28"/>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0F52883">
            <w:pPr>
              <w:spacing w:line="400" w:lineRule="exact"/>
              <w:jc w:val="center"/>
              <w:rPr>
                <w:rFonts w:hint="eastAsia" w:ascii="仿宋" w:hAnsi="仿宋" w:eastAsia="仿宋" w:cs="仿宋"/>
                <w:sz w:val="28"/>
                <w:szCs w:val="28"/>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14:paraId="43932B1F">
            <w:pPr>
              <w:spacing w:line="400" w:lineRule="exact"/>
              <w:jc w:val="center"/>
              <w:rPr>
                <w:rFonts w:hint="eastAsia" w:ascii="仿宋" w:hAnsi="仿宋" w:eastAsia="仿宋" w:cs="仿宋"/>
                <w:sz w:val="28"/>
                <w:szCs w:val="28"/>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032C244D">
            <w:pPr>
              <w:spacing w:line="400" w:lineRule="exact"/>
              <w:jc w:val="center"/>
              <w:rPr>
                <w:rFonts w:hint="eastAsia" w:ascii="仿宋" w:hAnsi="仿宋" w:eastAsia="仿宋" w:cs="仿宋"/>
                <w:sz w:val="28"/>
                <w:szCs w:val="28"/>
              </w:rPr>
            </w:pPr>
          </w:p>
        </w:tc>
      </w:tr>
      <w:tr w14:paraId="5469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218" w:type="dxa"/>
            <w:tcBorders>
              <w:top w:val="single" w:color="auto" w:sz="4" w:space="0"/>
              <w:left w:val="single" w:color="auto" w:sz="4" w:space="0"/>
              <w:bottom w:val="single" w:color="auto" w:sz="4" w:space="0"/>
              <w:right w:val="single" w:color="auto" w:sz="4" w:space="0"/>
            </w:tcBorders>
            <w:noWrap w:val="0"/>
            <w:vAlign w:val="center"/>
          </w:tcPr>
          <w:p w14:paraId="736DE52D">
            <w:pPr>
              <w:snapToGrid w:val="0"/>
              <w:spacing w:line="240" w:lineRule="atLeast"/>
              <w:jc w:val="center"/>
              <w:rPr>
                <w:rFonts w:hint="eastAsia" w:ascii="仿宋" w:hAnsi="仿宋" w:eastAsia="仿宋" w:cs="仿宋"/>
                <w:sz w:val="28"/>
                <w:szCs w:val="28"/>
              </w:rPr>
            </w:pPr>
            <w:r>
              <w:rPr>
                <w:rFonts w:hint="eastAsia" w:ascii="仿宋" w:hAnsi="仿宋" w:eastAsia="仿宋" w:cs="仿宋"/>
                <w:sz w:val="28"/>
                <w:szCs w:val="28"/>
              </w:rPr>
              <w:t xml:space="preserve">2  </w:t>
            </w:r>
          </w:p>
        </w:tc>
        <w:tc>
          <w:tcPr>
            <w:tcW w:w="1519" w:type="dxa"/>
            <w:tcBorders>
              <w:top w:val="single" w:color="auto" w:sz="4" w:space="0"/>
              <w:left w:val="nil"/>
              <w:bottom w:val="single" w:color="auto" w:sz="4" w:space="0"/>
              <w:right w:val="single" w:color="auto" w:sz="4" w:space="0"/>
            </w:tcBorders>
            <w:noWrap w:val="0"/>
            <w:vAlign w:val="center"/>
          </w:tcPr>
          <w:p w14:paraId="60E65361">
            <w:pPr>
              <w:spacing w:line="400" w:lineRule="exact"/>
              <w:jc w:val="center"/>
              <w:rPr>
                <w:rFonts w:hint="eastAsia" w:ascii="仿宋" w:hAnsi="仿宋" w:eastAsia="仿宋" w:cs="仿宋"/>
                <w:sz w:val="28"/>
                <w:szCs w:val="28"/>
              </w:rPr>
            </w:pPr>
          </w:p>
        </w:tc>
        <w:tc>
          <w:tcPr>
            <w:tcW w:w="1368" w:type="dxa"/>
            <w:tcBorders>
              <w:top w:val="single" w:color="auto" w:sz="4" w:space="0"/>
              <w:left w:val="nil"/>
              <w:bottom w:val="single" w:color="auto" w:sz="4" w:space="0"/>
              <w:right w:val="single" w:color="auto" w:sz="4" w:space="0"/>
            </w:tcBorders>
            <w:noWrap w:val="0"/>
            <w:vAlign w:val="center"/>
          </w:tcPr>
          <w:p w14:paraId="6A1026FC">
            <w:pPr>
              <w:spacing w:line="400" w:lineRule="exact"/>
              <w:jc w:val="center"/>
              <w:rPr>
                <w:rFonts w:hint="eastAsia" w:ascii="仿宋" w:hAnsi="仿宋" w:eastAsia="仿宋" w:cs="仿宋"/>
                <w:sz w:val="28"/>
                <w:szCs w:val="28"/>
              </w:rPr>
            </w:pPr>
            <w:r>
              <w:rPr>
                <w:rFonts w:hint="eastAsia" w:ascii="宋体" w:hAnsi="宋体" w:cs="宋体"/>
                <w:sz w:val="21"/>
                <w:szCs w:val="21"/>
                <w:lang w:val="en-US" w:eastAsia="zh-CN"/>
              </w:rPr>
              <w:t xml:space="preserve"> </w:t>
            </w:r>
          </w:p>
        </w:tc>
        <w:tc>
          <w:tcPr>
            <w:tcW w:w="990" w:type="dxa"/>
            <w:tcBorders>
              <w:top w:val="single" w:color="auto" w:sz="4" w:space="0"/>
              <w:left w:val="nil"/>
              <w:bottom w:val="single" w:color="auto" w:sz="4" w:space="0"/>
              <w:right w:val="single" w:color="auto" w:sz="4" w:space="0"/>
            </w:tcBorders>
            <w:noWrap w:val="0"/>
            <w:vAlign w:val="center"/>
          </w:tcPr>
          <w:p w14:paraId="15B0BF46">
            <w:pPr>
              <w:spacing w:line="400" w:lineRule="exact"/>
              <w:jc w:val="center"/>
              <w:rPr>
                <w:rFonts w:hint="eastAsia" w:ascii="仿宋" w:hAnsi="仿宋" w:eastAsia="仿宋" w:cs="仿宋"/>
                <w:sz w:val="28"/>
                <w:szCs w:val="28"/>
              </w:rPr>
            </w:pPr>
          </w:p>
        </w:tc>
        <w:tc>
          <w:tcPr>
            <w:tcW w:w="1172" w:type="dxa"/>
            <w:tcBorders>
              <w:top w:val="single" w:color="auto" w:sz="4" w:space="0"/>
              <w:left w:val="nil"/>
              <w:bottom w:val="single" w:color="auto" w:sz="4" w:space="0"/>
              <w:right w:val="single" w:color="auto" w:sz="4" w:space="0"/>
            </w:tcBorders>
            <w:noWrap w:val="0"/>
            <w:vAlign w:val="center"/>
          </w:tcPr>
          <w:p w14:paraId="646A1388">
            <w:pPr>
              <w:spacing w:line="400" w:lineRule="exact"/>
              <w:jc w:val="center"/>
              <w:rPr>
                <w:rFonts w:hint="eastAsia" w:ascii="仿宋" w:hAnsi="仿宋" w:eastAsia="仿宋" w:cs="仿宋"/>
                <w:sz w:val="28"/>
                <w:szCs w:val="28"/>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5CB68E03">
            <w:pPr>
              <w:spacing w:line="400" w:lineRule="exact"/>
              <w:jc w:val="center"/>
              <w:rPr>
                <w:rFonts w:hint="eastAsia" w:ascii="仿宋" w:hAnsi="仿宋" w:eastAsia="仿宋" w:cs="仿宋"/>
                <w:sz w:val="28"/>
                <w:szCs w:val="28"/>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14:paraId="26053F7D">
            <w:pPr>
              <w:spacing w:line="400" w:lineRule="exact"/>
              <w:jc w:val="center"/>
              <w:rPr>
                <w:rFonts w:hint="eastAsia" w:ascii="仿宋" w:hAnsi="仿宋" w:eastAsia="仿宋" w:cs="仿宋"/>
                <w:sz w:val="28"/>
                <w:szCs w:val="28"/>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030C819B">
            <w:pPr>
              <w:spacing w:line="400" w:lineRule="exact"/>
              <w:jc w:val="center"/>
              <w:rPr>
                <w:rFonts w:hint="eastAsia" w:ascii="仿宋" w:hAnsi="仿宋" w:eastAsia="仿宋" w:cs="仿宋"/>
                <w:sz w:val="28"/>
                <w:szCs w:val="28"/>
              </w:rPr>
            </w:pPr>
          </w:p>
        </w:tc>
      </w:tr>
      <w:tr w14:paraId="0482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218" w:type="dxa"/>
            <w:tcBorders>
              <w:top w:val="single" w:color="auto" w:sz="4" w:space="0"/>
              <w:left w:val="single" w:color="auto" w:sz="4" w:space="0"/>
              <w:bottom w:val="single" w:color="auto" w:sz="4" w:space="0"/>
              <w:right w:val="single" w:color="auto" w:sz="4" w:space="0"/>
            </w:tcBorders>
            <w:noWrap w:val="0"/>
            <w:vAlign w:val="center"/>
          </w:tcPr>
          <w:p w14:paraId="28765334">
            <w:pPr>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3</w:t>
            </w:r>
          </w:p>
        </w:tc>
        <w:tc>
          <w:tcPr>
            <w:tcW w:w="1519" w:type="dxa"/>
            <w:tcBorders>
              <w:top w:val="single" w:color="auto" w:sz="4" w:space="0"/>
              <w:left w:val="nil"/>
              <w:bottom w:val="single" w:color="auto" w:sz="4" w:space="0"/>
              <w:right w:val="single" w:color="auto" w:sz="4" w:space="0"/>
            </w:tcBorders>
            <w:noWrap w:val="0"/>
            <w:vAlign w:val="center"/>
          </w:tcPr>
          <w:p w14:paraId="55CCEF78">
            <w:pPr>
              <w:spacing w:line="400" w:lineRule="exact"/>
              <w:jc w:val="center"/>
              <w:rPr>
                <w:rFonts w:hint="eastAsia" w:ascii="仿宋" w:hAnsi="仿宋" w:eastAsia="仿宋" w:cs="仿宋"/>
                <w:sz w:val="28"/>
                <w:szCs w:val="28"/>
              </w:rPr>
            </w:pPr>
          </w:p>
        </w:tc>
        <w:tc>
          <w:tcPr>
            <w:tcW w:w="1368" w:type="dxa"/>
            <w:tcBorders>
              <w:top w:val="single" w:color="auto" w:sz="4" w:space="0"/>
              <w:left w:val="nil"/>
              <w:bottom w:val="single" w:color="auto" w:sz="4" w:space="0"/>
              <w:right w:val="single" w:color="auto" w:sz="4" w:space="0"/>
            </w:tcBorders>
            <w:noWrap w:val="0"/>
            <w:vAlign w:val="center"/>
          </w:tcPr>
          <w:p w14:paraId="51B119BD">
            <w:pPr>
              <w:spacing w:line="4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 </w:t>
            </w:r>
          </w:p>
        </w:tc>
        <w:tc>
          <w:tcPr>
            <w:tcW w:w="990" w:type="dxa"/>
            <w:tcBorders>
              <w:top w:val="single" w:color="auto" w:sz="4" w:space="0"/>
              <w:left w:val="nil"/>
              <w:bottom w:val="single" w:color="auto" w:sz="4" w:space="0"/>
              <w:right w:val="single" w:color="auto" w:sz="4" w:space="0"/>
            </w:tcBorders>
            <w:noWrap w:val="0"/>
            <w:vAlign w:val="center"/>
          </w:tcPr>
          <w:p w14:paraId="1E6A7815">
            <w:pPr>
              <w:spacing w:line="400" w:lineRule="exact"/>
              <w:jc w:val="center"/>
              <w:rPr>
                <w:rFonts w:hint="eastAsia" w:ascii="仿宋" w:hAnsi="仿宋" w:eastAsia="仿宋" w:cs="仿宋"/>
                <w:sz w:val="28"/>
                <w:szCs w:val="28"/>
              </w:rPr>
            </w:pPr>
          </w:p>
        </w:tc>
        <w:tc>
          <w:tcPr>
            <w:tcW w:w="1172" w:type="dxa"/>
            <w:tcBorders>
              <w:top w:val="single" w:color="auto" w:sz="4" w:space="0"/>
              <w:left w:val="nil"/>
              <w:bottom w:val="single" w:color="auto" w:sz="4" w:space="0"/>
              <w:right w:val="single" w:color="auto" w:sz="4" w:space="0"/>
            </w:tcBorders>
            <w:noWrap w:val="0"/>
            <w:vAlign w:val="center"/>
          </w:tcPr>
          <w:p w14:paraId="20668233">
            <w:pPr>
              <w:spacing w:line="400" w:lineRule="exact"/>
              <w:jc w:val="center"/>
              <w:rPr>
                <w:rFonts w:hint="eastAsia" w:ascii="仿宋" w:hAnsi="仿宋" w:eastAsia="仿宋" w:cs="仿宋"/>
                <w:sz w:val="28"/>
                <w:szCs w:val="28"/>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4E0A3DD6">
            <w:pPr>
              <w:spacing w:line="400" w:lineRule="exact"/>
              <w:jc w:val="center"/>
              <w:rPr>
                <w:rFonts w:hint="eastAsia" w:ascii="仿宋" w:hAnsi="仿宋" w:eastAsia="仿宋" w:cs="仿宋"/>
                <w:sz w:val="28"/>
                <w:szCs w:val="28"/>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14:paraId="0C11A62F">
            <w:pPr>
              <w:spacing w:line="400" w:lineRule="exact"/>
              <w:jc w:val="center"/>
              <w:rPr>
                <w:rFonts w:hint="eastAsia" w:ascii="仿宋" w:hAnsi="仿宋" w:eastAsia="仿宋" w:cs="仿宋"/>
                <w:sz w:val="28"/>
                <w:szCs w:val="28"/>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70099ACC">
            <w:pPr>
              <w:spacing w:line="400" w:lineRule="exact"/>
              <w:jc w:val="center"/>
              <w:rPr>
                <w:rFonts w:hint="eastAsia" w:ascii="仿宋" w:hAnsi="仿宋" w:eastAsia="仿宋" w:cs="仿宋"/>
                <w:sz w:val="28"/>
                <w:szCs w:val="28"/>
              </w:rPr>
            </w:pPr>
          </w:p>
        </w:tc>
      </w:tr>
      <w:tr w14:paraId="64D8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218" w:type="dxa"/>
            <w:tcBorders>
              <w:top w:val="single" w:color="auto" w:sz="4" w:space="0"/>
              <w:left w:val="single" w:color="auto" w:sz="4" w:space="0"/>
              <w:bottom w:val="single" w:color="auto" w:sz="4" w:space="0"/>
              <w:right w:val="single" w:color="auto" w:sz="4" w:space="0"/>
            </w:tcBorders>
            <w:noWrap w:val="0"/>
            <w:vAlign w:val="center"/>
          </w:tcPr>
          <w:p w14:paraId="21565B49">
            <w:pPr>
              <w:snapToGrid w:val="0"/>
              <w:spacing w:line="440" w:lineRule="exact"/>
              <w:jc w:val="center"/>
              <w:rPr>
                <w:rFonts w:hint="eastAsia" w:ascii="仿宋" w:hAnsi="仿宋" w:eastAsia="仿宋" w:cs="仿宋"/>
                <w:sz w:val="28"/>
                <w:szCs w:val="28"/>
              </w:rPr>
            </w:pPr>
          </w:p>
        </w:tc>
        <w:tc>
          <w:tcPr>
            <w:tcW w:w="1519" w:type="dxa"/>
            <w:tcBorders>
              <w:top w:val="single" w:color="auto" w:sz="4" w:space="0"/>
              <w:left w:val="nil"/>
              <w:bottom w:val="single" w:color="auto" w:sz="4" w:space="0"/>
              <w:right w:val="single" w:color="auto" w:sz="4" w:space="0"/>
            </w:tcBorders>
            <w:noWrap w:val="0"/>
            <w:vAlign w:val="center"/>
          </w:tcPr>
          <w:p w14:paraId="62E5FFC3">
            <w:pPr>
              <w:spacing w:line="400" w:lineRule="exact"/>
              <w:jc w:val="center"/>
              <w:rPr>
                <w:rFonts w:hint="eastAsia" w:ascii="仿宋" w:hAnsi="仿宋" w:eastAsia="仿宋" w:cs="仿宋"/>
                <w:sz w:val="28"/>
                <w:szCs w:val="28"/>
              </w:rPr>
            </w:pPr>
          </w:p>
        </w:tc>
        <w:tc>
          <w:tcPr>
            <w:tcW w:w="1368" w:type="dxa"/>
            <w:tcBorders>
              <w:top w:val="single" w:color="auto" w:sz="4" w:space="0"/>
              <w:left w:val="nil"/>
              <w:bottom w:val="single" w:color="auto" w:sz="4" w:space="0"/>
              <w:right w:val="single" w:color="auto" w:sz="4" w:space="0"/>
            </w:tcBorders>
            <w:noWrap w:val="0"/>
            <w:vAlign w:val="center"/>
          </w:tcPr>
          <w:p w14:paraId="28B61A4A">
            <w:pPr>
              <w:spacing w:line="400" w:lineRule="exact"/>
              <w:jc w:val="center"/>
              <w:rPr>
                <w:rFonts w:hint="eastAsia" w:ascii="宋体" w:hAnsi="宋体" w:cs="宋体"/>
                <w:sz w:val="21"/>
                <w:szCs w:val="21"/>
                <w:lang w:val="en-US" w:eastAsia="zh-CN"/>
              </w:rPr>
            </w:pPr>
          </w:p>
        </w:tc>
        <w:tc>
          <w:tcPr>
            <w:tcW w:w="990" w:type="dxa"/>
            <w:tcBorders>
              <w:top w:val="single" w:color="auto" w:sz="4" w:space="0"/>
              <w:left w:val="nil"/>
              <w:bottom w:val="single" w:color="auto" w:sz="4" w:space="0"/>
              <w:right w:val="single" w:color="auto" w:sz="4" w:space="0"/>
            </w:tcBorders>
            <w:noWrap w:val="0"/>
            <w:vAlign w:val="center"/>
          </w:tcPr>
          <w:p w14:paraId="78C13AC6">
            <w:pPr>
              <w:spacing w:line="400" w:lineRule="exact"/>
              <w:jc w:val="center"/>
              <w:rPr>
                <w:rFonts w:hint="eastAsia" w:ascii="仿宋" w:hAnsi="仿宋" w:eastAsia="仿宋" w:cs="仿宋"/>
                <w:sz w:val="28"/>
                <w:szCs w:val="28"/>
              </w:rPr>
            </w:pPr>
          </w:p>
        </w:tc>
        <w:tc>
          <w:tcPr>
            <w:tcW w:w="1172" w:type="dxa"/>
            <w:tcBorders>
              <w:top w:val="single" w:color="auto" w:sz="4" w:space="0"/>
              <w:left w:val="nil"/>
              <w:bottom w:val="single" w:color="auto" w:sz="4" w:space="0"/>
              <w:right w:val="single" w:color="auto" w:sz="4" w:space="0"/>
            </w:tcBorders>
            <w:noWrap w:val="0"/>
            <w:vAlign w:val="center"/>
          </w:tcPr>
          <w:p w14:paraId="0EFFD203">
            <w:pPr>
              <w:spacing w:line="400" w:lineRule="exact"/>
              <w:jc w:val="center"/>
              <w:rPr>
                <w:rFonts w:hint="eastAsia" w:ascii="仿宋" w:hAnsi="仿宋" w:eastAsia="仿宋" w:cs="仿宋"/>
                <w:sz w:val="28"/>
                <w:szCs w:val="28"/>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1B6A7A9B">
            <w:pPr>
              <w:spacing w:line="400" w:lineRule="exact"/>
              <w:jc w:val="center"/>
              <w:rPr>
                <w:rFonts w:hint="eastAsia" w:ascii="仿宋" w:hAnsi="仿宋" w:eastAsia="仿宋" w:cs="仿宋"/>
                <w:sz w:val="28"/>
                <w:szCs w:val="28"/>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14:paraId="7A4E2E9B">
            <w:pPr>
              <w:spacing w:line="400" w:lineRule="exact"/>
              <w:jc w:val="center"/>
              <w:rPr>
                <w:rFonts w:hint="eastAsia" w:ascii="仿宋" w:hAnsi="仿宋" w:eastAsia="仿宋" w:cs="仿宋"/>
                <w:sz w:val="28"/>
                <w:szCs w:val="28"/>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640F49A0">
            <w:pPr>
              <w:spacing w:line="400" w:lineRule="exact"/>
              <w:jc w:val="center"/>
              <w:rPr>
                <w:rFonts w:hint="eastAsia" w:ascii="仿宋" w:hAnsi="仿宋" w:eastAsia="仿宋" w:cs="仿宋"/>
                <w:sz w:val="28"/>
                <w:szCs w:val="28"/>
              </w:rPr>
            </w:pPr>
          </w:p>
        </w:tc>
      </w:tr>
      <w:tr w14:paraId="2271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218" w:type="dxa"/>
            <w:tcBorders>
              <w:top w:val="single" w:color="auto" w:sz="4" w:space="0"/>
              <w:left w:val="single" w:color="auto" w:sz="4" w:space="0"/>
              <w:bottom w:val="single" w:color="auto" w:sz="4" w:space="0"/>
              <w:right w:val="single" w:color="auto" w:sz="4" w:space="0"/>
            </w:tcBorders>
            <w:noWrap w:val="0"/>
            <w:vAlign w:val="center"/>
          </w:tcPr>
          <w:p w14:paraId="35C9DE94">
            <w:pPr>
              <w:snapToGrid w:val="0"/>
              <w:spacing w:line="440" w:lineRule="exact"/>
              <w:jc w:val="center"/>
              <w:rPr>
                <w:rFonts w:hint="eastAsia" w:ascii="仿宋" w:hAnsi="仿宋" w:eastAsia="仿宋" w:cs="仿宋"/>
                <w:sz w:val="28"/>
                <w:szCs w:val="28"/>
              </w:rPr>
            </w:pPr>
          </w:p>
        </w:tc>
        <w:tc>
          <w:tcPr>
            <w:tcW w:w="1519" w:type="dxa"/>
            <w:tcBorders>
              <w:top w:val="single" w:color="auto" w:sz="4" w:space="0"/>
              <w:left w:val="nil"/>
              <w:bottom w:val="single" w:color="auto" w:sz="4" w:space="0"/>
              <w:right w:val="single" w:color="auto" w:sz="4" w:space="0"/>
            </w:tcBorders>
            <w:noWrap w:val="0"/>
            <w:vAlign w:val="center"/>
          </w:tcPr>
          <w:p w14:paraId="30A7031B">
            <w:pPr>
              <w:spacing w:line="400" w:lineRule="exact"/>
              <w:jc w:val="center"/>
              <w:rPr>
                <w:rFonts w:hint="eastAsia" w:ascii="仿宋" w:hAnsi="仿宋" w:eastAsia="仿宋" w:cs="仿宋"/>
                <w:sz w:val="28"/>
                <w:szCs w:val="28"/>
              </w:rPr>
            </w:pPr>
          </w:p>
        </w:tc>
        <w:tc>
          <w:tcPr>
            <w:tcW w:w="1368" w:type="dxa"/>
            <w:tcBorders>
              <w:top w:val="single" w:color="auto" w:sz="4" w:space="0"/>
              <w:left w:val="nil"/>
              <w:bottom w:val="single" w:color="auto" w:sz="4" w:space="0"/>
              <w:right w:val="single" w:color="auto" w:sz="4" w:space="0"/>
            </w:tcBorders>
            <w:noWrap w:val="0"/>
            <w:vAlign w:val="center"/>
          </w:tcPr>
          <w:p w14:paraId="19ADC2CA">
            <w:pPr>
              <w:spacing w:line="400" w:lineRule="exact"/>
              <w:jc w:val="center"/>
              <w:rPr>
                <w:rFonts w:hint="eastAsia" w:ascii="宋体" w:hAnsi="宋体" w:cs="宋体"/>
                <w:sz w:val="21"/>
                <w:szCs w:val="21"/>
                <w:lang w:val="en-US" w:eastAsia="zh-CN"/>
              </w:rPr>
            </w:pPr>
          </w:p>
        </w:tc>
        <w:tc>
          <w:tcPr>
            <w:tcW w:w="990" w:type="dxa"/>
            <w:tcBorders>
              <w:top w:val="single" w:color="auto" w:sz="4" w:space="0"/>
              <w:left w:val="nil"/>
              <w:bottom w:val="single" w:color="auto" w:sz="4" w:space="0"/>
              <w:right w:val="single" w:color="auto" w:sz="4" w:space="0"/>
            </w:tcBorders>
            <w:noWrap w:val="0"/>
            <w:vAlign w:val="center"/>
          </w:tcPr>
          <w:p w14:paraId="344AC0E1">
            <w:pPr>
              <w:spacing w:line="400" w:lineRule="exact"/>
              <w:jc w:val="center"/>
              <w:rPr>
                <w:rFonts w:hint="eastAsia" w:ascii="仿宋" w:hAnsi="仿宋" w:eastAsia="仿宋" w:cs="仿宋"/>
                <w:sz w:val="28"/>
                <w:szCs w:val="28"/>
              </w:rPr>
            </w:pPr>
          </w:p>
        </w:tc>
        <w:tc>
          <w:tcPr>
            <w:tcW w:w="1172" w:type="dxa"/>
            <w:tcBorders>
              <w:top w:val="single" w:color="auto" w:sz="4" w:space="0"/>
              <w:left w:val="nil"/>
              <w:bottom w:val="single" w:color="auto" w:sz="4" w:space="0"/>
              <w:right w:val="single" w:color="auto" w:sz="4" w:space="0"/>
            </w:tcBorders>
            <w:noWrap w:val="0"/>
            <w:vAlign w:val="center"/>
          </w:tcPr>
          <w:p w14:paraId="61F4544C">
            <w:pPr>
              <w:spacing w:line="400" w:lineRule="exact"/>
              <w:jc w:val="center"/>
              <w:rPr>
                <w:rFonts w:hint="eastAsia" w:ascii="仿宋" w:hAnsi="仿宋" w:eastAsia="仿宋" w:cs="仿宋"/>
                <w:sz w:val="28"/>
                <w:szCs w:val="28"/>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59F4BA1A">
            <w:pPr>
              <w:spacing w:line="400" w:lineRule="exact"/>
              <w:jc w:val="center"/>
              <w:rPr>
                <w:rFonts w:hint="eastAsia" w:ascii="仿宋" w:hAnsi="仿宋" w:eastAsia="仿宋" w:cs="仿宋"/>
                <w:sz w:val="28"/>
                <w:szCs w:val="28"/>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14:paraId="582836AE">
            <w:pPr>
              <w:spacing w:line="400" w:lineRule="exact"/>
              <w:jc w:val="center"/>
              <w:rPr>
                <w:rFonts w:hint="eastAsia" w:ascii="仿宋" w:hAnsi="仿宋" w:eastAsia="仿宋" w:cs="仿宋"/>
                <w:sz w:val="28"/>
                <w:szCs w:val="28"/>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4547FBA9">
            <w:pPr>
              <w:spacing w:line="400" w:lineRule="exact"/>
              <w:jc w:val="center"/>
              <w:rPr>
                <w:rFonts w:hint="eastAsia" w:ascii="仿宋" w:hAnsi="仿宋" w:eastAsia="仿宋" w:cs="仿宋"/>
                <w:sz w:val="28"/>
                <w:szCs w:val="28"/>
              </w:rPr>
            </w:pPr>
          </w:p>
        </w:tc>
      </w:tr>
      <w:tr w14:paraId="3A1B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1218" w:type="dxa"/>
            <w:tcBorders>
              <w:top w:val="single" w:color="auto" w:sz="4" w:space="0"/>
              <w:left w:val="single" w:color="auto" w:sz="4" w:space="0"/>
              <w:bottom w:val="single" w:color="auto" w:sz="4" w:space="0"/>
              <w:right w:val="single" w:color="auto" w:sz="4" w:space="0"/>
            </w:tcBorders>
            <w:noWrap w:val="0"/>
            <w:vAlign w:val="center"/>
          </w:tcPr>
          <w:p w14:paraId="5C72C40B">
            <w:pPr>
              <w:spacing w:line="400" w:lineRule="exact"/>
              <w:ind w:firstLine="281" w:firstLineChars="1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8312" w:type="dxa"/>
            <w:gridSpan w:val="7"/>
            <w:tcBorders>
              <w:top w:val="single" w:color="auto" w:sz="4" w:space="0"/>
              <w:left w:val="single" w:color="auto" w:sz="4" w:space="0"/>
              <w:bottom w:val="single" w:color="auto" w:sz="4" w:space="0"/>
              <w:right w:val="single" w:color="auto" w:sz="4" w:space="0"/>
            </w:tcBorders>
            <w:noWrap w:val="0"/>
            <w:vAlign w:val="center"/>
          </w:tcPr>
          <w:p w14:paraId="34CE99C6">
            <w:pPr>
              <w:spacing w:line="400" w:lineRule="exact"/>
              <w:jc w:val="left"/>
              <w:rPr>
                <w:rFonts w:hint="eastAsia" w:ascii="仿宋" w:hAnsi="仿宋" w:eastAsia="仿宋" w:cs="仿宋"/>
                <w:b/>
                <w:bCs/>
                <w:sz w:val="28"/>
                <w:szCs w:val="28"/>
              </w:rPr>
            </w:pPr>
            <w:r>
              <w:rPr>
                <w:rFonts w:hint="eastAsia" w:ascii="仿宋" w:hAnsi="仿宋" w:eastAsia="仿宋" w:cs="仿宋"/>
                <w:b/>
                <w:bCs/>
                <w:sz w:val="28"/>
                <w:szCs w:val="28"/>
              </w:rPr>
              <w:t>总金额（人民币大写）：</w:t>
            </w:r>
          </w:p>
        </w:tc>
      </w:tr>
      <w:tr w14:paraId="198D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9530" w:type="dxa"/>
            <w:gridSpan w:val="8"/>
            <w:tcBorders>
              <w:top w:val="single" w:color="auto" w:sz="4" w:space="0"/>
              <w:left w:val="single" w:color="auto" w:sz="4" w:space="0"/>
              <w:bottom w:val="single" w:color="auto" w:sz="4" w:space="0"/>
              <w:right w:val="single" w:color="auto" w:sz="4" w:space="0"/>
            </w:tcBorders>
            <w:noWrap w:val="0"/>
            <w:vAlign w:val="center"/>
          </w:tcPr>
          <w:p w14:paraId="4B70E1EB">
            <w:pPr>
              <w:spacing w:line="400" w:lineRule="exact"/>
              <w:jc w:val="left"/>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注：1、</w:t>
            </w:r>
            <w:r>
              <w:rPr>
                <w:rFonts w:hint="eastAsia" w:ascii="仿宋" w:hAnsi="仿宋" w:eastAsia="仿宋" w:cs="仿宋"/>
                <w:b/>
                <w:bCs/>
                <w:sz w:val="28"/>
                <w:szCs w:val="28"/>
              </w:rPr>
              <w:t>供应商应提供13%的增值税发票，若提供的发票税率不是13%,价格应按实调整</w:t>
            </w:r>
            <w:r>
              <w:rPr>
                <w:rFonts w:hint="eastAsia" w:ascii="仿宋" w:hAnsi="仿宋" w:eastAsia="仿宋" w:cs="仿宋"/>
                <w:b/>
                <w:bCs/>
                <w:sz w:val="28"/>
                <w:szCs w:val="28"/>
                <w:lang w:eastAsia="zh-CN"/>
              </w:rPr>
              <w:t>。2、投标报价保留两位小数。</w:t>
            </w:r>
          </w:p>
          <w:p w14:paraId="3B007C07">
            <w:pPr>
              <w:spacing w:line="400" w:lineRule="exact"/>
              <w:jc w:val="left"/>
              <w:rPr>
                <w:rFonts w:hint="default" w:ascii="仿宋" w:hAnsi="仿宋" w:eastAsia="仿宋" w:cs="仿宋"/>
                <w:b/>
                <w:bCs/>
                <w:sz w:val="28"/>
                <w:szCs w:val="28"/>
                <w:lang w:val="en-US" w:eastAsia="zh-CN"/>
              </w:rPr>
            </w:pPr>
          </w:p>
        </w:tc>
      </w:tr>
    </w:tbl>
    <w:p w14:paraId="0B2A4EA4">
      <w:pPr>
        <w:snapToGrid w:val="0"/>
        <w:spacing w:line="44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注：请投标单位根据《启东经济开发区法治广场绿化苗木采购清单》自行拓展本表。</w:t>
      </w:r>
    </w:p>
    <w:p w14:paraId="0564D459">
      <w:pPr>
        <w:snapToGrid w:val="0"/>
        <w:spacing w:line="440" w:lineRule="exact"/>
        <w:rPr>
          <w:rFonts w:hint="eastAsia" w:ascii="仿宋" w:hAnsi="仿宋" w:eastAsia="仿宋" w:cs="仿宋"/>
          <w:sz w:val="28"/>
          <w:szCs w:val="28"/>
        </w:rPr>
      </w:pPr>
    </w:p>
    <w:p w14:paraId="06B8865A">
      <w:pPr>
        <w:snapToGrid w:val="0"/>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报价单位：</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（须盖章）   </w:t>
      </w:r>
    </w:p>
    <w:p w14:paraId="2478D4DA">
      <w:pPr>
        <w:snapToGrid w:val="0"/>
        <w:spacing w:line="440" w:lineRule="exact"/>
        <w:ind w:firstLine="600" w:firstLineChars="200"/>
        <w:rPr>
          <w:rFonts w:hint="eastAsia" w:ascii="仿宋" w:hAnsi="仿宋" w:eastAsia="仿宋" w:cs="仿宋"/>
          <w:sz w:val="30"/>
          <w:szCs w:val="30"/>
          <w:u w:val="single"/>
        </w:rPr>
      </w:pPr>
      <w:r>
        <w:rPr>
          <w:rFonts w:hint="eastAsia" w:ascii="仿宋" w:hAnsi="仿宋" w:eastAsia="仿宋" w:cs="仿宋"/>
          <w:sz w:val="30"/>
          <w:szCs w:val="30"/>
        </w:rPr>
        <w:t xml:space="preserve">     联 系 人：</w:t>
      </w:r>
      <w:r>
        <w:rPr>
          <w:rFonts w:hint="eastAsia" w:ascii="仿宋" w:hAnsi="仿宋" w:eastAsia="仿宋" w:cs="仿宋"/>
          <w:sz w:val="30"/>
          <w:szCs w:val="30"/>
          <w:u w:val="single"/>
        </w:rPr>
        <w:t xml:space="preserve">                      </w:t>
      </w:r>
    </w:p>
    <w:p w14:paraId="145E8DC6">
      <w:pPr>
        <w:snapToGrid w:val="0"/>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联系电话：</w:t>
      </w:r>
      <w:r>
        <w:rPr>
          <w:rFonts w:hint="eastAsia" w:ascii="仿宋" w:hAnsi="仿宋" w:eastAsia="仿宋" w:cs="仿宋"/>
          <w:sz w:val="30"/>
          <w:szCs w:val="30"/>
          <w:u w:val="single"/>
        </w:rPr>
        <w:t xml:space="preserve">                      </w:t>
      </w:r>
    </w:p>
    <w:p w14:paraId="0B32968F">
      <w:pPr>
        <w:snapToGrid w:val="0"/>
        <w:spacing w:line="440" w:lineRule="exact"/>
        <w:ind w:firstLine="600" w:firstLineChars="200"/>
        <w:rPr>
          <w:rFonts w:hint="eastAsia" w:ascii="仿宋" w:hAnsi="仿宋" w:eastAsia="仿宋" w:cs="仿宋"/>
          <w:sz w:val="30"/>
          <w:szCs w:val="30"/>
          <w:u w:val="single"/>
        </w:rPr>
      </w:pPr>
      <w:r>
        <w:rPr>
          <w:rFonts w:hint="eastAsia" w:ascii="仿宋" w:hAnsi="仿宋" w:eastAsia="仿宋" w:cs="仿宋"/>
          <w:sz w:val="30"/>
          <w:szCs w:val="30"/>
        </w:rPr>
        <w:t xml:space="preserve">     时    间：</w:t>
      </w:r>
      <w:r>
        <w:rPr>
          <w:rFonts w:hint="eastAsia" w:ascii="仿宋" w:hAnsi="仿宋" w:eastAsia="仿宋" w:cs="仿宋"/>
          <w:sz w:val="30"/>
          <w:szCs w:val="30"/>
          <w:u w:val="single"/>
        </w:rPr>
        <w:t xml:space="preserve">                      </w:t>
      </w:r>
    </w:p>
    <w:p w14:paraId="3FDFC27B">
      <w:pPr>
        <w:spacing w:line="600" w:lineRule="exact"/>
        <w:jc w:val="center"/>
        <w:rPr>
          <w:rFonts w:hint="eastAsia" w:ascii="仿宋" w:hAnsi="仿宋" w:eastAsia="仿宋" w:cs="仿宋"/>
          <w:bCs/>
          <w:sz w:val="28"/>
          <w:szCs w:val="28"/>
        </w:rPr>
      </w:pPr>
      <w:r>
        <w:rPr>
          <w:rFonts w:hint="eastAsia" w:ascii="仿宋" w:hAnsi="仿宋" w:eastAsia="仿宋" w:cs="仿宋"/>
          <w:sz w:val="30"/>
          <w:szCs w:val="30"/>
        </w:rPr>
        <w:br w:type="page"/>
      </w:r>
    </w:p>
    <w:p w14:paraId="2B8DE8DD">
      <w:pPr>
        <w:spacing w:line="588" w:lineRule="exact"/>
        <w:jc w:val="left"/>
        <w:rPr>
          <w:rFonts w:hint="eastAsia" w:ascii="仿宋" w:hAnsi="仿宋" w:eastAsia="仿宋" w:cs="仿宋"/>
          <w:b/>
          <w:bCs/>
          <w:sz w:val="32"/>
          <w:szCs w:val="32"/>
        </w:rPr>
      </w:pPr>
      <w:r>
        <w:rPr>
          <w:rFonts w:hint="eastAsia" w:ascii="仿宋" w:hAnsi="仿宋" w:eastAsia="仿宋" w:cs="仿宋"/>
          <w:b/>
          <w:bCs/>
          <w:sz w:val="32"/>
          <w:szCs w:val="32"/>
        </w:rPr>
        <w:t>附件</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w:t>
      </w:r>
    </w:p>
    <w:p w14:paraId="2E3BB82D">
      <w:pPr>
        <w:snapToGrid w:val="0"/>
        <w:spacing w:before="50" w:after="5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中小企业声明函（货物）</w:t>
      </w:r>
    </w:p>
    <w:p w14:paraId="54FC7770">
      <w:pPr>
        <w:ind w:firstLine="480" w:firstLineChars="200"/>
        <w:rPr>
          <w:rFonts w:hint="eastAsia" w:ascii="仿宋" w:hAnsi="仿宋" w:eastAsia="仿宋" w:cs="仿宋"/>
          <w:color w:val="auto"/>
          <w:sz w:val="24"/>
        </w:rPr>
      </w:pPr>
    </w:p>
    <w:p w14:paraId="54FB46C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14:paraId="6F0C6B3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 xml:space="preserve">1.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（采购文件中明确的所属行业）行业</w:t>
      </w:r>
      <w:r>
        <w:rPr>
          <w:rFonts w:hint="eastAsia" w:ascii="宋体" w:hAnsi="宋体" w:cs="宋体"/>
          <w:sz w:val="24"/>
        </w:rPr>
        <w:t>；制造商为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14:paraId="4F28F77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 xml:space="preserve">2.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（采购文件中明确的所属行业）行业</w:t>
      </w:r>
      <w:r>
        <w:rPr>
          <w:rFonts w:hint="eastAsia" w:ascii="宋体" w:hAnsi="宋体" w:cs="宋体"/>
          <w:sz w:val="24"/>
        </w:rPr>
        <w:t>；制造商为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14:paraId="517C37F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w:t>
      </w:r>
    </w:p>
    <w:p w14:paraId="431AFEA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F64F39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本企业对上述声明内容的真实性负责。如有虚假，将依法承担相应责任。</w:t>
      </w:r>
    </w:p>
    <w:p w14:paraId="5A34FB82">
      <w:pPr>
        <w:pStyle w:val="16"/>
        <w:widowControl/>
        <w:spacing w:line="360" w:lineRule="auto"/>
        <w:ind w:left="0" w:leftChars="0" w:firstLine="0" w:firstLineChars="0"/>
        <w:rPr>
          <w:rFonts w:ascii="宋体" w:hAnsi="宋体" w:cs="宋体"/>
          <w:sz w:val="24"/>
        </w:rPr>
      </w:pPr>
    </w:p>
    <w:p w14:paraId="08F06CEB">
      <w:pPr>
        <w:spacing w:line="360" w:lineRule="auto"/>
        <w:rPr>
          <w:rFonts w:ascii="宋体" w:hAnsi="宋体" w:cs="宋体"/>
          <w:sz w:val="24"/>
        </w:rPr>
      </w:pPr>
    </w:p>
    <w:p w14:paraId="24526521">
      <w:pPr>
        <w:spacing w:line="360" w:lineRule="auto"/>
        <w:ind w:firstLine="2760" w:firstLineChars="1150"/>
        <w:jc w:val="left"/>
        <w:rPr>
          <w:rFonts w:ascii="宋体" w:hAnsi="宋体" w:cs="宋体"/>
          <w:sz w:val="24"/>
          <w:u w:val="single"/>
        </w:rPr>
      </w:pPr>
      <w:r>
        <w:rPr>
          <w:rFonts w:hint="eastAsia" w:ascii="宋体" w:hAnsi="宋体" w:cs="宋体"/>
          <w:sz w:val="24"/>
        </w:rPr>
        <w:t>企业名称（盖章）：</w:t>
      </w:r>
    </w:p>
    <w:p w14:paraId="5A20E3D4">
      <w:pPr>
        <w:spacing w:line="360" w:lineRule="auto"/>
        <w:ind w:firstLine="2760" w:firstLineChars="1150"/>
        <w:jc w:val="left"/>
        <w:rPr>
          <w:rFonts w:ascii="宋体" w:hAnsi="宋体" w:cs="宋体"/>
          <w:sz w:val="24"/>
          <w:u w:val="single"/>
        </w:rPr>
      </w:pPr>
      <w:r>
        <w:rPr>
          <w:rFonts w:hint="eastAsia" w:ascii="宋体" w:hAnsi="宋体" w:cs="宋体"/>
          <w:sz w:val="24"/>
        </w:rPr>
        <w:t>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14:paraId="23F1364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注：</w:t>
      </w:r>
    </w:p>
    <w:p w14:paraId="25F4F4F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1.从业人员、营业收入、资产总额填报上一年度数据，无上一年度数据的新成立企业可不填报。</w:t>
      </w:r>
    </w:p>
    <w:p w14:paraId="254E99B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2.如响应供应商为中小企业，请在系统中上传此声明函，企业标准请参照《关于印发中小企业划型标准规定的通知》（工信部联企业[2011]300号）文件规定自行填写，供应商如不提供此声明函，价格将不做相应扣除。</w:t>
      </w:r>
    </w:p>
    <w:p w14:paraId="1B347CF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C00000"/>
          <w:sz w:val="32"/>
          <w:szCs w:val="32"/>
        </w:rPr>
      </w:pPr>
      <w:r>
        <w:rPr>
          <w:rFonts w:hint="eastAsia" w:ascii="宋体" w:hAnsi="宋体" w:cs="宋体"/>
          <w:sz w:val="24"/>
        </w:rPr>
        <w:t>3.在货物采购项目中，供应商提供的货物既有中小企业制造货物，也有大型企业制造货物的，不享受《政府采购促进中小企业发展管理办法》（财库﹝2020﹞46 号）规定的中小企业扶持政策。</w:t>
      </w:r>
    </w:p>
    <w:p w14:paraId="41A7365F">
      <w:pPr>
        <w:jc w:val="center"/>
        <w:rPr>
          <w:rFonts w:hint="eastAsia" w:ascii="仿宋" w:hAnsi="仿宋" w:eastAsia="仿宋" w:cs="仿宋"/>
          <w:b/>
          <w:bCs/>
          <w:color w:val="C00000"/>
          <w:sz w:val="32"/>
          <w:szCs w:val="32"/>
        </w:rPr>
      </w:pPr>
    </w:p>
    <w:p w14:paraId="5DF7022A">
      <w:pPr>
        <w:jc w:val="center"/>
        <w:rPr>
          <w:rFonts w:hint="eastAsia" w:ascii="仿宋" w:hAnsi="仿宋" w:eastAsia="仿宋" w:cs="仿宋"/>
          <w:b/>
          <w:bCs/>
          <w:color w:val="C00000"/>
          <w:sz w:val="32"/>
          <w:szCs w:val="32"/>
        </w:rPr>
      </w:pPr>
    </w:p>
    <w:p w14:paraId="268C9592">
      <w:pPr>
        <w:spacing w:line="500" w:lineRule="exact"/>
        <w:jc w:val="center"/>
        <w:rPr>
          <w:rFonts w:hint="eastAsia" w:ascii="仿宋" w:hAnsi="仿宋" w:eastAsia="仿宋" w:cs="仿宋"/>
          <w:b/>
          <w:bCs/>
          <w:sz w:val="32"/>
          <w:szCs w:val="32"/>
        </w:rPr>
      </w:pPr>
      <w:r>
        <w:rPr>
          <w:rFonts w:hint="eastAsia" w:ascii="仿宋" w:hAnsi="仿宋" w:eastAsia="仿宋" w:cs="仿宋"/>
          <w:b/>
          <w:bCs/>
          <w:sz w:val="32"/>
          <w:szCs w:val="32"/>
        </w:rPr>
        <w:t xml:space="preserve">  残疾人福利性单位声明函</w:t>
      </w:r>
    </w:p>
    <w:p w14:paraId="56429FB7">
      <w:pPr>
        <w:spacing w:line="588" w:lineRule="exact"/>
        <w:ind w:firstLine="624" w:firstLineChars="200"/>
        <w:rPr>
          <w:rFonts w:hint="eastAsia" w:ascii="仿宋" w:hAnsi="仿宋" w:eastAsia="仿宋" w:cs="仿宋"/>
          <w:spacing w:val="6"/>
          <w:sz w:val="30"/>
          <w:szCs w:val="30"/>
        </w:rPr>
      </w:pPr>
    </w:p>
    <w:p w14:paraId="7B1C17B3">
      <w:pPr>
        <w:spacing w:line="460" w:lineRule="exact"/>
        <w:ind w:firstLine="584" w:firstLineChars="200"/>
        <w:rPr>
          <w:rFonts w:hint="eastAsia" w:ascii="仿宋" w:hAnsi="仿宋" w:eastAsia="仿宋" w:cs="仿宋"/>
          <w:spacing w:val="6"/>
          <w:sz w:val="28"/>
          <w:szCs w:val="28"/>
        </w:rPr>
      </w:pPr>
      <w:r>
        <w:rPr>
          <w:rFonts w:hint="eastAsia" w:ascii="仿宋" w:hAnsi="仿宋" w:eastAsia="仿宋" w:cs="仿宋"/>
          <w:spacing w:val="6"/>
          <w:sz w:val="28"/>
          <w:szCs w:val="28"/>
        </w:rPr>
        <w:t>本单位郑重声明，根据《财政部 民政部 中国残疾人联合会关于促进残疾人就业政府采购政策的通知》（财库〔2017〕 141号）的规定，本单位为符合条件的残疾人福利性单位，且本单位参加______单位的采购活动提供本单位制造的货物（由本单位承担工程/提供服务），或者提供其他残疾人福利性单位制造的货物（不包括使用非残疾人福利性单位注册商标的货物）。</w:t>
      </w:r>
    </w:p>
    <w:p w14:paraId="2F2AD5AC">
      <w:pPr>
        <w:spacing w:line="460" w:lineRule="exact"/>
        <w:ind w:firstLine="584" w:firstLineChars="200"/>
        <w:rPr>
          <w:rFonts w:hint="eastAsia" w:ascii="仿宋" w:hAnsi="仿宋" w:eastAsia="仿宋" w:cs="仿宋"/>
          <w:spacing w:val="6"/>
          <w:sz w:val="28"/>
          <w:szCs w:val="28"/>
        </w:rPr>
      </w:pPr>
      <w:r>
        <w:rPr>
          <w:rFonts w:hint="eastAsia" w:ascii="仿宋" w:hAnsi="仿宋" w:eastAsia="仿宋" w:cs="仿宋"/>
          <w:spacing w:val="6"/>
          <w:sz w:val="28"/>
          <w:szCs w:val="28"/>
        </w:rPr>
        <w:t>本单位在本次政府采购活动中提供的残疾人福利单位产品报价合计为人民币（大写）</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圆整（￥：</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w:t>
      </w:r>
    </w:p>
    <w:p w14:paraId="69985B82">
      <w:pPr>
        <w:spacing w:line="460" w:lineRule="exact"/>
        <w:ind w:firstLine="584" w:firstLineChars="200"/>
        <w:rPr>
          <w:rFonts w:hint="eastAsia" w:ascii="仿宋" w:hAnsi="仿宋" w:eastAsia="仿宋" w:cs="仿宋"/>
          <w:spacing w:val="6"/>
          <w:sz w:val="28"/>
          <w:szCs w:val="28"/>
        </w:rPr>
      </w:pPr>
      <w:r>
        <w:rPr>
          <w:rFonts w:hint="eastAsia" w:ascii="仿宋" w:hAnsi="仿宋" w:eastAsia="仿宋" w:cs="仿宋"/>
          <w:spacing w:val="6"/>
          <w:sz w:val="28"/>
          <w:szCs w:val="28"/>
        </w:rPr>
        <w:t>本单位对上述声明的真实性负责。如有虚假，将依法承担相应责任。</w:t>
      </w:r>
    </w:p>
    <w:p w14:paraId="65C36734">
      <w:pPr>
        <w:spacing w:line="460" w:lineRule="exact"/>
        <w:ind w:firstLine="584" w:firstLineChars="200"/>
        <w:rPr>
          <w:rFonts w:hint="eastAsia" w:ascii="仿宋" w:hAnsi="仿宋" w:eastAsia="仿宋" w:cs="仿宋"/>
          <w:spacing w:val="6"/>
          <w:sz w:val="28"/>
          <w:szCs w:val="28"/>
        </w:rPr>
      </w:pPr>
    </w:p>
    <w:p w14:paraId="30AB5635">
      <w:pPr>
        <w:spacing w:line="460" w:lineRule="exact"/>
        <w:rPr>
          <w:rFonts w:hint="eastAsia" w:ascii="仿宋" w:hAnsi="仿宋" w:eastAsia="仿宋" w:cs="仿宋"/>
          <w:spacing w:val="6"/>
          <w:sz w:val="28"/>
          <w:szCs w:val="28"/>
        </w:rPr>
      </w:pPr>
    </w:p>
    <w:p w14:paraId="7D5926E3">
      <w:pPr>
        <w:spacing w:line="460" w:lineRule="exact"/>
        <w:rPr>
          <w:rFonts w:hint="eastAsia" w:ascii="仿宋" w:hAnsi="仿宋" w:eastAsia="仿宋" w:cs="仿宋"/>
          <w:spacing w:val="6"/>
          <w:sz w:val="28"/>
          <w:szCs w:val="28"/>
        </w:rPr>
      </w:pPr>
      <w:r>
        <w:rPr>
          <w:rFonts w:hint="eastAsia" w:ascii="仿宋" w:hAnsi="仿宋" w:eastAsia="仿宋" w:cs="仿宋"/>
          <w:spacing w:val="6"/>
          <w:sz w:val="28"/>
          <w:szCs w:val="28"/>
        </w:rPr>
        <w:t>（备注：1、投标人如不提供此声明函，价格将不做相应扣除。2、成交投标人为残疾人福利单位的，此声明函将随成交结果同时公告，接受社会监督）</w:t>
      </w:r>
    </w:p>
    <w:p w14:paraId="38246EEF">
      <w:pPr>
        <w:spacing w:line="588" w:lineRule="exact"/>
        <w:ind w:firstLine="584" w:firstLineChars="200"/>
        <w:rPr>
          <w:rFonts w:hint="eastAsia" w:ascii="仿宋" w:hAnsi="仿宋" w:eastAsia="仿宋" w:cs="仿宋"/>
          <w:spacing w:val="6"/>
          <w:sz w:val="28"/>
          <w:szCs w:val="28"/>
        </w:rPr>
      </w:pPr>
    </w:p>
    <w:p w14:paraId="1505B1FF">
      <w:pPr>
        <w:spacing w:line="588" w:lineRule="exact"/>
        <w:ind w:firstLine="584" w:firstLineChars="200"/>
        <w:rPr>
          <w:rFonts w:hint="eastAsia" w:ascii="仿宋" w:hAnsi="仿宋" w:eastAsia="仿宋" w:cs="仿宋"/>
          <w:spacing w:val="6"/>
          <w:sz w:val="28"/>
          <w:szCs w:val="28"/>
        </w:rPr>
      </w:pPr>
      <w:r>
        <w:rPr>
          <w:rFonts w:hint="eastAsia" w:ascii="仿宋" w:hAnsi="仿宋" w:eastAsia="仿宋" w:cs="仿宋"/>
          <w:spacing w:val="6"/>
          <w:sz w:val="28"/>
          <w:szCs w:val="28"/>
        </w:rPr>
        <w:t xml:space="preserve">                              投标单位：（盖章）</w:t>
      </w:r>
    </w:p>
    <w:p w14:paraId="051F4EC5">
      <w:pPr>
        <w:spacing w:line="600" w:lineRule="exact"/>
        <w:jc w:val="center"/>
        <w:rPr>
          <w:rFonts w:hint="eastAsia" w:ascii="仿宋" w:hAnsi="仿宋" w:eastAsia="仿宋" w:cs="仿宋"/>
          <w:spacing w:val="6"/>
          <w:sz w:val="28"/>
          <w:szCs w:val="28"/>
        </w:rPr>
      </w:pPr>
      <w:r>
        <w:rPr>
          <w:rFonts w:hint="eastAsia" w:ascii="仿宋" w:hAnsi="仿宋" w:eastAsia="仿宋" w:cs="仿宋"/>
          <w:spacing w:val="6"/>
          <w:sz w:val="28"/>
          <w:szCs w:val="28"/>
        </w:rPr>
        <w:t xml:space="preserve">                              日  期：</w:t>
      </w:r>
    </w:p>
    <w:p w14:paraId="23ED9EB4">
      <w:pPr>
        <w:rPr>
          <w:rFonts w:hint="eastAsia" w:ascii="仿宋" w:hAnsi="仿宋" w:eastAsia="仿宋" w:cs="仿宋"/>
          <w:spacing w:val="6"/>
          <w:sz w:val="28"/>
          <w:szCs w:val="28"/>
        </w:rPr>
      </w:pPr>
      <w:r>
        <w:rPr>
          <w:rFonts w:hint="eastAsia" w:ascii="仿宋" w:hAnsi="仿宋" w:eastAsia="仿宋" w:cs="仿宋"/>
          <w:spacing w:val="6"/>
          <w:sz w:val="28"/>
          <w:szCs w:val="28"/>
        </w:rPr>
        <w:br w:type="page"/>
      </w:r>
    </w:p>
    <w:p w14:paraId="29B60CF7">
      <w:pPr>
        <w:snapToGrid w:val="0"/>
        <w:spacing w:line="420" w:lineRule="exact"/>
        <w:jc w:val="center"/>
        <w:outlineLvl w:val="3"/>
        <w:rPr>
          <w:rFonts w:ascii="宋体" w:hAnsi="宋体" w:cs="宋体"/>
          <w:b/>
          <w:bCs/>
          <w:sz w:val="32"/>
          <w:szCs w:val="32"/>
        </w:rPr>
      </w:pPr>
    </w:p>
    <w:p w14:paraId="29038D86">
      <w:pPr>
        <w:snapToGrid w:val="0"/>
        <w:spacing w:line="420" w:lineRule="exact"/>
        <w:jc w:val="center"/>
        <w:outlineLvl w:val="3"/>
        <w:rPr>
          <w:rFonts w:ascii="宋体" w:hAnsi="宋体" w:cs="宋体"/>
          <w:b/>
          <w:bCs/>
          <w:sz w:val="32"/>
          <w:szCs w:val="32"/>
        </w:rPr>
      </w:pPr>
      <w:r>
        <w:rPr>
          <w:rFonts w:hint="eastAsia" w:ascii="宋体" w:hAnsi="宋体" w:cs="宋体"/>
          <w:b/>
          <w:bCs/>
          <w:sz w:val="32"/>
          <w:szCs w:val="32"/>
        </w:rPr>
        <w:t>监狱和戒毒企业证明材料</w:t>
      </w:r>
    </w:p>
    <w:p w14:paraId="341D2C53">
      <w:pPr>
        <w:snapToGrid w:val="0"/>
        <w:spacing w:line="420" w:lineRule="exact"/>
        <w:ind w:firstLine="495" w:firstLineChars="177"/>
        <w:rPr>
          <w:rFonts w:ascii="宋体" w:hAnsi="宋体" w:cs="宋体"/>
          <w:sz w:val="28"/>
          <w:szCs w:val="28"/>
        </w:rPr>
      </w:pPr>
    </w:p>
    <w:p w14:paraId="5F38FBA4">
      <w:pPr>
        <w:snapToGrid w:val="0"/>
        <w:spacing w:line="420" w:lineRule="exact"/>
        <w:ind w:firstLine="498" w:firstLineChars="177"/>
        <w:rPr>
          <w:rFonts w:ascii="宋体" w:hAnsi="宋体" w:cs="宋体"/>
          <w:b/>
          <w:sz w:val="28"/>
          <w:szCs w:val="28"/>
        </w:rPr>
      </w:pPr>
      <w:r>
        <w:rPr>
          <w:rFonts w:hint="eastAsia" w:ascii="宋体" w:hAnsi="宋体" w:cs="宋体"/>
          <w:b/>
          <w:sz w:val="28"/>
          <w:szCs w:val="28"/>
        </w:rPr>
        <w:t>（格式自拟）</w:t>
      </w:r>
    </w:p>
    <w:p w14:paraId="2C19A0BF">
      <w:pPr>
        <w:snapToGrid w:val="0"/>
        <w:spacing w:line="420" w:lineRule="exact"/>
        <w:ind w:firstLine="495" w:firstLineChars="177"/>
        <w:rPr>
          <w:rFonts w:ascii="宋体" w:hAnsi="宋体" w:cs="宋体"/>
          <w:sz w:val="28"/>
          <w:szCs w:val="28"/>
        </w:rPr>
      </w:pPr>
    </w:p>
    <w:p w14:paraId="0EF85042">
      <w:pPr>
        <w:snapToGrid w:val="0"/>
        <w:spacing w:line="440" w:lineRule="exact"/>
        <w:ind w:firstLine="560" w:firstLineChars="200"/>
        <w:jc w:val="left"/>
        <w:rPr>
          <w:rFonts w:hint="eastAsia" w:ascii="宋体" w:hAnsi="宋体" w:cs="宋体"/>
          <w:sz w:val="28"/>
          <w:szCs w:val="28"/>
        </w:rPr>
      </w:pPr>
      <w:r>
        <w:rPr>
          <w:rFonts w:hint="eastAsia" w:ascii="宋体" w:hAnsi="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5D51ED43">
      <w:pPr>
        <w:rPr>
          <w:rFonts w:hint="eastAsia" w:ascii="宋体" w:hAnsi="宋体" w:cs="宋体"/>
          <w:sz w:val="28"/>
          <w:szCs w:val="28"/>
        </w:rPr>
      </w:pPr>
      <w:r>
        <w:rPr>
          <w:rFonts w:hint="eastAsia" w:ascii="宋体" w:hAnsi="宋体" w:cs="宋体"/>
          <w:sz w:val="28"/>
          <w:szCs w:val="28"/>
        </w:rPr>
        <w:br w:type="page"/>
      </w:r>
    </w:p>
    <w:p w14:paraId="25C54046">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附件：合同条款</w:t>
      </w:r>
    </w:p>
    <w:p w14:paraId="72AA4B84">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采购方: </w:t>
      </w:r>
      <w:r>
        <w:rPr>
          <w:rFonts w:hint="eastAsia" w:ascii="仿宋" w:hAnsi="仿宋" w:eastAsia="仿宋" w:cs="仿宋"/>
          <w:b/>
          <w:sz w:val="28"/>
          <w:szCs w:val="28"/>
          <w:u w:val="single"/>
        </w:rPr>
        <w:t>启东腾飞物业管理有限公司</w:t>
      </w:r>
      <w:r>
        <w:rPr>
          <w:rFonts w:hint="eastAsia" w:ascii="仿宋" w:hAnsi="仿宋" w:eastAsia="仿宋" w:cs="仿宋"/>
          <w:b/>
          <w:bCs/>
          <w:sz w:val="28"/>
          <w:szCs w:val="28"/>
        </w:rPr>
        <w:t>（下称需方）</w:t>
      </w:r>
    </w:p>
    <w:p w14:paraId="376E4A28">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供货方:（下称供方）</w:t>
      </w:r>
    </w:p>
    <w:p w14:paraId="78E22EA0">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Cs/>
          <w:sz w:val="28"/>
          <w:szCs w:val="28"/>
        </w:rPr>
      </w:pPr>
      <w:r>
        <w:rPr>
          <w:rFonts w:hint="eastAsia" w:ascii="仿宋" w:hAnsi="仿宋" w:eastAsia="仿宋" w:cs="仿宋"/>
          <w:b/>
          <w:bCs/>
          <w:sz w:val="28"/>
          <w:szCs w:val="28"/>
        </w:rPr>
        <w:t xml:space="preserve">签订地点: </w:t>
      </w:r>
      <w:r>
        <w:rPr>
          <w:rFonts w:hint="eastAsia" w:ascii="仿宋" w:hAnsi="仿宋" w:eastAsia="仿宋" w:cs="仿宋"/>
          <w:b/>
          <w:sz w:val="28"/>
          <w:szCs w:val="28"/>
          <w:u w:val="single"/>
        </w:rPr>
        <w:t>启东腾飞物业管理有限公司</w:t>
      </w:r>
      <w:r>
        <w:rPr>
          <w:rFonts w:hint="eastAsia" w:ascii="仿宋" w:hAnsi="仿宋" w:eastAsia="仿宋" w:cs="仿宋"/>
          <w:b/>
          <w:bCs/>
          <w:sz w:val="28"/>
          <w:szCs w:val="28"/>
          <w:u w:val="single"/>
        </w:rPr>
        <w:t xml:space="preserve"> </w:t>
      </w:r>
    </w:p>
    <w:p w14:paraId="179817E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bCs/>
          <w:sz w:val="28"/>
          <w:szCs w:val="28"/>
        </w:rPr>
      </w:pPr>
      <w:r>
        <w:rPr>
          <w:rFonts w:hint="eastAsia" w:ascii="仿宋" w:hAnsi="仿宋" w:eastAsia="仿宋" w:cs="仿宋"/>
          <w:bCs/>
          <w:sz w:val="28"/>
          <w:szCs w:val="28"/>
        </w:rPr>
        <w:t>根据采购相关规定，通过</w:t>
      </w:r>
      <w:r>
        <w:rPr>
          <w:rFonts w:hint="eastAsia" w:ascii="仿宋" w:hAnsi="仿宋" w:eastAsia="仿宋" w:cs="仿宋"/>
          <w:bCs/>
          <w:sz w:val="28"/>
          <w:szCs w:val="28"/>
          <w:u w:val="single"/>
        </w:rPr>
        <w:t>询价</w:t>
      </w:r>
      <w:r>
        <w:rPr>
          <w:rFonts w:hint="eastAsia" w:ascii="仿宋" w:hAnsi="仿宋" w:eastAsia="仿宋" w:cs="仿宋"/>
          <w:bCs/>
          <w:sz w:val="28"/>
          <w:szCs w:val="28"/>
        </w:rPr>
        <w:t>方式，经过评委的严格审核评定，确定供方为本次中标供方，现就本次</w:t>
      </w:r>
      <w:r>
        <w:rPr>
          <w:rFonts w:hint="eastAsia" w:ascii="仿宋" w:hAnsi="仿宋" w:eastAsia="仿宋" w:cs="仿宋"/>
          <w:b/>
          <w:sz w:val="28"/>
          <w:szCs w:val="28"/>
          <w:u w:val="single"/>
        </w:rPr>
        <w:t>启东经济开发区法治广场绿化苗木采购项目</w:t>
      </w:r>
      <w:r>
        <w:rPr>
          <w:rFonts w:hint="eastAsia" w:ascii="仿宋" w:hAnsi="仿宋" w:eastAsia="仿宋" w:cs="仿宋"/>
          <w:bCs/>
          <w:sz w:val="28"/>
          <w:szCs w:val="28"/>
        </w:rPr>
        <w:t>供货安装事宜订立如下合同：</w:t>
      </w:r>
    </w:p>
    <w:p w14:paraId="315B2A07">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Cs/>
          <w:sz w:val="28"/>
          <w:szCs w:val="28"/>
        </w:rPr>
      </w:pPr>
      <w:r>
        <w:rPr>
          <w:rFonts w:hint="eastAsia" w:ascii="仿宋" w:hAnsi="仿宋" w:eastAsia="仿宋" w:cs="仿宋"/>
          <w:b/>
          <w:bCs/>
          <w:sz w:val="28"/>
          <w:szCs w:val="28"/>
        </w:rPr>
        <w:t>一、货物供应明细</w:t>
      </w:r>
      <w:r>
        <w:rPr>
          <w:rFonts w:hint="eastAsia" w:ascii="仿宋" w:hAnsi="仿宋" w:eastAsia="仿宋" w:cs="仿宋"/>
          <w:bCs/>
          <w:sz w:val="28"/>
          <w:szCs w:val="28"/>
        </w:rPr>
        <w:t>：</w:t>
      </w:r>
    </w:p>
    <w:p w14:paraId="2254132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供货一览表（略）</w:t>
      </w:r>
    </w:p>
    <w:p w14:paraId="366DAE5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合同综合单价主要包括（但不限于）：含税及苗木、起苗、土球、包扎、修剪、运输、卸车、打堆等所有费用。所供货物送到采购单位指定的地点并整齐摆放。因项目点位多且零散，供货商必须根据采购单位的供货要求进行供货,采购单位可要求供货单位分多批次进行供货（供货周期跨度可能比较长）,同一批次卸货地点可能有多个点位，由采购人指定。最终的供货数量可能比预估的数量多也可能少,货款按实际采购数量结算。本项目所有费用都已列入</w:t>
      </w:r>
      <w:r>
        <w:rPr>
          <w:rFonts w:hint="eastAsia" w:ascii="仿宋" w:hAnsi="仿宋" w:eastAsia="仿宋" w:cs="仿宋"/>
          <w:bCs/>
          <w:sz w:val="28"/>
          <w:szCs w:val="28"/>
          <w:lang w:val="en-US" w:eastAsia="zh-CN"/>
        </w:rPr>
        <w:t>合同价</w:t>
      </w:r>
      <w:r>
        <w:rPr>
          <w:rFonts w:hint="eastAsia" w:ascii="仿宋" w:hAnsi="仿宋" w:eastAsia="仿宋" w:cs="仿宋"/>
          <w:bCs/>
          <w:sz w:val="28"/>
          <w:szCs w:val="28"/>
        </w:rPr>
        <w:t>内,结算时除供货数量变更进行金额调整外其它任何理由都不调整。</w:t>
      </w:r>
    </w:p>
    <w:p w14:paraId="26A84162">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二、质量及质保要求：</w:t>
      </w:r>
    </w:p>
    <w:p w14:paraId="5BD1A04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（一）质量要求：合格，供货单品所有指标必须符合采购要求，如不合格的采购单位将拒收货物拒付苗款，所有损失由供应商负责。</w:t>
      </w:r>
    </w:p>
    <w:p w14:paraId="107A2D3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w:t>
      </w:r>
      <w:r>
        <w:rPr>
          <w:rFonts w:hint="eastAsia" w:ascii="仿宋" w:hAnsi="仿宋" w:eastAsia="仿宋" w:cs="仿宋"/>
          <w:bCs/>
          <w:sz w:val="28"/>
          <w:szCs w:val="28"/>
          <w:lang w:val="en-US" w:eastAsia="zh-CN"/>
        </w:rPr>
        <w:t>二</w:t>
      </w:r>
      <w:r>
        <w:rPr>
          <w:rFonts w:hint="eastAsia" w:ascii="仿宋" w:hAnsi="仿宋" w:eastAsia="仿宋" w:cs="仿宋"/>
          <w:bCs/>
          <w:sz w:val="28"/>
          <w:szCs w:val="28"/>
        </w:rPr>
        <w:t>）</w:t>
      </w:r>
      <w:r>
        <w:rPr>
          <w:rFonts w:hint="eastAsia" w:ascii="仿宋" w:hAnsi="仿宋" w:eastAsia="仿宋" w:cs="仿宋"/>
          <w:bCs/>
          <w:sz w:val="28"/>
          <w:szCs w:val="28"/>
          <w:lang w:val="en-US" w:eastAsia="zh-CN"/>
        </w:rPr>
        <w:t>其他要求</w:t>
      </w:r>
      <w:r>
        <w:rPr>
          <w:rFonts w:hint="eastAsia" w:ascii="仿宋" w:hAnsi="仿宋" w:eastAsia="仿宋" w:cs="仿宋"/>
          <w:bCs/>
          <w:sz w:val="28"/>
          <w:szCs w:val="28"/>
        </w:rPr>
        <w:t>：</w:t>
      </w:r>
    </w:p>
    <w:p w14:paraId="1CAF9EE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.因不可抗力因素造成增加的费用或造成采购人提供的设施设备损失，双方共同协商解决。</w:t>
      </w:r>
    </w:p>
    <w:p w14:paraId="0C3C76E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.投标人在合同期满后，采购人因特殊原因需延期的，投标人应配合完成。</w:t>
      </w:r>
    </w:p>
    <w:p w14:paraId="4A8D222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.无论投标结果如何，投标人自行承担与投标响应有关的全部费用（包括投标人自行进行的现场勘察费用）。</w:t>
      </w:r>
    </w:p>
    <w:p w14:paraId="389E69D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.为本项目服务中所涉及的成交供应商的安全均由中标人负责。</w:t>
      </w:r>
    </w:p>
    <w:p w14:paraId="57E22275">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三、交货期及交货安装地点：</w:t>
      </w:r>
    </w:p>
    <w:p w14:paraId="5BD48AA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 交货时间：合同签订生效后，成交供应商必须在接到采购单位供货通知后的3日内供货，如不能及时提供符合标准的苗木，视为供货方违约，采购单位有权解除合同，所发生的所有损失由供货商承担。</w:t>
      </w:r>
    </w:p>
    <w:p w14:paraId="36BAE77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 xml:space="preserve">2.交货地点：成交供应商应按照采购单位的要求送货至其指定地点，确保采购单位的正常使用。 </w:t>
      </w:r>
    </w:p>
    <w:p w14:paraId="1A1E418D">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四、验收方法：</w:t>
      </w:r>
    </w:p>
    <w:p w14:paraId="45BF920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sz w:val="28"/>
          <w:szCs w:val="28"/>
        </w:rPr>
        <w:t>在成交供应商供货完毕后，采购单位将组织验收小组根据询价公告和供应商报价文件对供应商所供货物进行验收。如验收时发现有参数偏离且未在报价文件中说明的，视为验收不合格。</w:t>
      </w:r>
    </w:p>
    <w:p w14:paraId="1BC772D9">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五、结算方式和期限：</w:t>
      </w:r>
    </w:p>
    <w:p w14:paraId="50E477E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采购人有权对采购数量进行调整，最终结算时合同单价不变，货款按实际采购数量结算。</w:t>
      </w:r>
    </w:p>
    <w:p w14:paraId="4E53945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货物供货完毕，验收合格后一个月内付清货款。供应商应提供13%的增值税发票，若提供的发票税率不是13%,价格应按实调整。</w:t>
      </w:r>
    </w:p>
    <w:p w14:paraId="3B01301D">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Cs/>
          <w:sz w:val="28"/>
          <w:szCs w:val="28"/>
        </w:rPr>
      </w:pPr>
      <w:r>
        <w:rPr>
          <w:rFonts w:hint="eastAsia" w:ascii="仿宋" w:hAnsi="仿宋" w:eastAsia="仿宋" w:cs="仿宋"/>
          <w:b/>
          <w:bCs/>
          <w:sz w:val="28"/>
          <w:szCs w:val="28"/>
        </w:rPr>
        <w:t>六、履约保证金</w:t>
      </w:r>
      <w:r>
        <w:rPr>
          <w:rFonts w:hint="eastAsia" w:ascii="仿宋" w:hAnsi="仿宋" w:eastAsia="仿宋" w:cs="仿宋"/>
          <w:bCs/>
          <w:sz w:val="28"/>
          <w:szCs w:val="28"/>
        </w:rPr>
        <w:t>：项目成交价的10%，成交供应商的履约保证金须在成交通知书发出之日起至合同签订前汇入采购单位账户，递交形式：数字人民币、转账、支票、汇票或者金融机构、担保机构出具的保函等。成交供应商凭成交通知书与采购单位签订合同。超期或未有协商，则视为自动放弃成交资格。</w:t>
      </w:r>
    </w:p>
    <w:p w14:paraId="1FCCBC7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成交供应商全部履约合同义务，经采购单位验收合格无质量、进度等问题的，采购人在验收合格后一个月内一次性退还履约保证金。</w:t>
      </w:r>
    </w:p>
    <w:p w14:paraId="24718C36">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Cs/>
          <w:sz w:val="28"/>
          <w:szCs w:val="28"/>
        </w:rPr>
      </w:pPr>
      <w:r>
        <w:rPr>
          <w:rFonts w:hint="eastAsia" w:ascii="仿宋" w:hAnsi="仿宋" w:eastAsia="仿宋" w:cs="仿宋"/>
          <w:b/>
          <w:bCs/>
          <w:sz w:val="28"/>
          <w:szCs w:val="28"/>
        </w:rPr>
        <w:t>七、违约责任</w:t>
      </w:r>
      <w:r>
        <w:rPr>
          <w:rFonts w:hint="eastAsia" w:ascii="仿宋" w:hAnsi="仿宋" w:eastAsia="仿宋" w:cs="仿宋"/>
          <w:bCs/>
          <w:sz w:val="28"/>
          <w:szCs w:val="28"/>
        </w:rPr>
        <w:t>：任何一方违约，均需按照下列约定向对方支付违约金。</w:t>
      </w:r>
    </w:p>
    <w:p w14:paraId="4551AB6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1．供方逾期交货的违约金，除扣除全部履约保证金外，每推迟一天加罚2000元，如果延误工期超过 15 日历天，</w:t>
      </w:r>
      <w:r>
        <w:rPr>
          <w:rFonts w:hint="eastAsia" w:ascii="仿宋" w:hAnsi="仿宋" w:eastAsia="仿宋" w:cs="仿宋"/>
          <w:bCs/>
          <w:sz w:val="28"/>
          <w:szCs w:val="28"/>
          <w:lang w:val="en-US" w:eastAsia="zh-CN"/>
        </w:rPr>
        <w:t>采购</w:t>
      </w:r>
      <w:r>
        <w:rPr>
          <w:rFonts w:hint="eastAsia" w:ascii="仿宋" w:hAnsi="仿宋" w:eastAsia="仿宋" w:cs="仿宋"/>
          <w:bCs/>
          <w:sz w:val="28"/>
          <w:szCs w:val="28"/>
        </w:rPr>
        <w:t>方有权另行选定其他供</w:t>
      </w:r>
      <w:r>
        <w:rPr>
          <w:rFonts w:hint="eastAsia" w:ascii="仿宋" w:hAnsi="仿宋" w:eastAsia="仿宋" w:cs="仿宋"/>
          <w:bCs/>
          <w:sz w:val="28"/>
          <w:szCs w:val="28"/>
          <w:lang w:val="en-US" w:eastAsia="zh-CN"/>
        </w:rPr>
        <w:t>应商</w:t>
      </w:r>
      <w:r>
        <w:rPr>
          <w:rFonts w:hint="eastAsia" w:ascii="仿宋" w:hAnsi="仿宋" w:eastAsia="仿宋" w:cs="仿宋"/>
          <w:bCs/>
          <w:sz w:val="28"/>
          <w:szCs w:val="28"/>
        </w:rPr>
        <w:t>来完成剩余货物，</w:t>
      </w:r>
      <w:r>
        <w:rPr>
          <w:rFonts w:hint="eastAsia" w:ascii="仿宋" w:hAnsi="仿宋" w:eastAsia="仿宋" w:cs="仿宋"/>
          <w:bCs/>
          <w:sz w:val="28"/>
          <w:szCs w:val="28"/>
          <w:lang w:val="en-US" w:eastAsia="zh-CN"/>
        </w:rPr>
        <w:t>对选择其他供应商货物产生的额外费用（包括含税及苗木、起苗、土球、包扎、修剪、运输、卸车、打堆等所有费用）由供方承担。</w:t>
      </w:r>
    </w:p>
    <w:p w14:paraId="194058A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2．供方逾期交货及</w:t>
      </w:r>
      <w:r>
        <w:rPr>
          <w:rFonts w:hint="eastAsia" w:ascii="仿宋" w:hAnsi="仿宋" w:eastAsia="仿宋" w:cs="仿宋"/>
          <w:bCs/>
          <w:sz w:val="28"/>
          <w:szCs w:val="28"/>
          <w:lang w:val="en-US" w:eastAsia="zh-CN"/>
        </w:rPr>
        <w:t>采购</w:t>
      </w:r>
      <w:r>
        <w:rPr>
          <w:rFonts w:hint="eastAsia" w:ascii="仿宋" w:hAnsi="仿宋" w:eastAsia="仿宋" w:cs="仿宋"/>
          <w:bCs/>
          <w:sz w:val="28"/>
          <w:szCs w:val="28"/>
        </w:rPr>
        <w:t>方逾期付款的违约金，按照逾期部分的货款总值的</w:t>
      </w:r>
      <w:r>
        <w:rPr>
          <w:rFonts w:hint="eastAsia" w:ascii="仿宋" w:hAnsi="仿宋" w:eastAsia="仿宋" w:cs="仿宋"/>
          <w:bCs/>
          <w:sz w:val="28"/>
          <w:szCs w:val="28"/>
          <w:u w:val="single"/>
        </w:rPr>
        <w:t>每日0.05%</w:t>
      </w:r>
      <w:r>
        <w:rPr>
          <w:rFonts w:hint="eastAsia" w:ascii="仿宋" w:hAnsi="仿宋" w:eastAsia="仿宋" w:cs="仿宋"/>
          <w:bCs/>
          <w:sz w:val="28"/>
          <w:szCs w:val="28"/>
        </w:rPr>
        <w:t>支付。</w:t>
      </w:r>
    </w:p>
    <w:p w14:paraId="5ADC42C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3．供方交付货物时质量明显不符合规定的，应在</w:t>
      </w:r>
      <w:r>
        <w:rPr>
          <w:rFonts w:hint="eastAsia" w:ascii="仿宋" w:hAnsi="仿宋" w:eastAsia="仿宋" w:cs="仿宋"/>
          <w:bCs/>
          <w:sz w:val="28"/>
          <w:szCs w:val="28"/>
          <w:lang w:val="en-US" w:eastAsia="zh-CN"/>
        </w:rPr>
        <w:t>采购</w:t>
      </w:r>
      <w:r>
        <w:rPr>
          <w:rFonts w:hint="eastAsia" w:ascii="仿宋" w:hAnsi="仿宋" w:eastAsia="仿宋" w:cs="仿宋"/>
          <w:bCs/>
          <w:sz w:val="28"/>
          <w:szCs w:val="28"/>
        </w:rPr>
        <w:t>方规定的时间内再次供货，逾期供货或再次提交的货物质量仍不符合规定的，</w:t>
      </w:r>
      <w:r>
        <w:rPr>
          <w:rFonts w:hint="eastAsia" w:ascii="仿宋" w:hAnsi="仿宋" w:eastAsia="仿宋" w:cs="仿宋"/>
          <w:bCs/>
          <w:sz w:val="28"/>
          <w:szCs w:val="28"/>
          <w:lang w:val="en-US" w:eastAsia="zh-CN"/>
        </w:rPr>
        <w:t>采购</w:t>
      </w:r>
      <w:r>
        <w:rPr>
          <w:rFonts w:hint="eastAsia" w:ascii="仿宋" w:hAnsi="仿宋" w:eastAsia="仿宋" w:cs="仿宋"/>
          <w:bCs/>
          <w:sz w:val="28"/>
          <w:szCs w:val="28"/>
        </w:rPr>
        <w:t>方有权没收全部履约保证金，终止本合同，并要求供方赔偿需方由此造成的所有损失。</w:t>
      </w:r>
    </w:p>
    <w:p w14:paraId="488C6C8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4.供方违反合同约定进行转包或违法分包的，</w:t>
      </w:r>
      <w:r>
        <w:rPr>
          <w:rFonts w:hint="eastAsia" w:ascii="仿宋" w:hAnsi="仿宋" w:eastAsia="仿宋" w:cs="仿宋"/>
          <w:bCs/>
          <w:sz w:val="28"/>
          <w:szCs w:val="28"/>
          <w:lang w:val="en-US" w:eastAsia="zh-CN"/>
        </w:rPr>
        <w:t>采购</w:t>
      </w:r>
      <w:r>
        <w:rPr>
          <w:rFonts w:hint="eastAsia" w:ascii="仿宋" w:hAnsi="仿宋" w:eastAsia="仿宋" w:cs="仿宋"/>
          <w:bCs/>
          <w:sz w:val="28"/>
          <w:szCs w:val="28"/>
        </w:rPr>
        <w:t>方有权单方解除合同，并要求供方承担合同签约总价10%的违约金，并可以自履约保证金中先行抵扣；</w:t>
      </w:r>
    </w:p>
    <w:p w14:paraId="3DEADD9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5</w:t>
      </w:r>
      <w:r>
        <w:rPr>
          <w:rFonts w:hint="eastAsia" w:ascii="仿宋" w:hAnsi="仿宋" w:eastAsia="仿宋" w:cs="仿宋"/>
          <w:bCs/>
          <w:sz w:val="28"/>
          <w:szCs w:val="28"/>
        </w:rPr>
        <w:t>.供方应对其提供的资料包括但不限于资质证明、社保保险证明等真实、准确负责，如供方提供资料有瑕疵或虚假或违反诚实信用原则，</w:t>
      </w:r>
      <w:r>
        <w:rPr>
          <w:rFonts w:hint="eastAsia" w:ascii="仿宋" w:hAnsi="仿宋" w:eastAsia="仿宋" w:cs="仿宋"/>
          <w:bCs/>
          <w:sz w:val="28"/>
          <w:szCs w:val="28"/>
          <w:lang w:val="en-US" w:eastAsia="zh-CN"/>
        </w:rPr>
        <w:t>采购</w:t>
      </w:r>
      <w:r>
        <w:rPr>
          <w:rFonts w:hint="eastAsia" w:ascii="仿宋" w:hAnsi="仿宋" w:eastAsia="仿宋" w:cs="仿宋"/>
          <w:bCs/>
          <w:sz w:val="28"/>
          <w:szCs w:val="28"/>
        </w:rPr>
        <w:t>方有权没收其履约保证金、记入黑名单，并有权要求解除本合同。</w:t>
      </w:r>
    </w:p>
    <w:p w14:paraId="657949AC">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八、解决合同争议的方式：</w:t>
      </w:r>
    </w:p>
    <w:p w14:paraId="1B71E0C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本合同履行过程中如发生争议，供、需双方应协商解决，如协商不成，则任何一方均可向</w:t>
      </w:r>
      <w:r>
        <w:rPr>
          <w:rFonts w:hint="eastAsia" w:ascii="仿宋" w:hAnsi="仿宋" w:eastAsia="仿宋" w:cs="仿宋"/>
          <w:bCs/>
          <w:sz w:val="28"/>
          <w:szCs w:val="28"/>
          <w:u w:val="single"/>
        </w:rPr>
        <w:t xml:space="preserve"> 启东市 </w:t>
      </w:r>
      <w:r>
        <w:rPr>
          <w:rFonts w:hint="eastAsia" w:ascii="仿宋" w:hAnsi="仿宋" w:eastAsia="仿宋" w:cs="仿宋"/>
          <w:bCs/>
          <w:sz w:val="28"/>
          <w:szCs w:val="28"/>
        </w:rPr>
        <w:t>人民法院提起诉讼。</w:t>
      </w:r>
    </w:p>
    <w:p w14:paraId="1F6D7EEE">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九、其它约定事项：</w:t>
      </w:r>
    </w:p>
    <w:p w14:paraId="5AA06D7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1．双方如在本合同的履行过程中，对标的物的质量问题发生争议时，以质量技术监督部门的质量鉴定结果为准，由此所产生的一切费用由供方承担。</w:t>
      </w:r>
    </w:p>
    <w:p w14:paraId="0C7B1C9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2．供方对</w:t>
      </w:r>
      <w:r>
        <w:rPr>
          <w:rFonts w:hint="eastAsia" w:ascii="仿宋" w:hAnsi="仿宋" w:eastAsia="仿宋" w:cs="仿宋"/>
          <w:bCs/>
          <w:sz w:val="28"/>
          <w:szCs w:val="28"/>
          <w:lang w:val="en-US" w:eastAsia="zh-CN"/>
        </w:rPr>
        <w:t>采购</w:t>
      </w:r>
      <w:r>
        <w:rPr>
          <w:rFonts w:hint="eastAsia" w:ascii="仿宋" w:hAnsi="仿宋" w:eastAsia="仿宋" w:cs="仿宋"/>
          <w:bCs/>
          <w:sz w:val="28"/>
          <w:szCs w:val="28"/>
        </w:rPr>
        <w:t>方提出货物或服务有欺诈行为的，依照《中华人民共和国消费者权益保护法》的规定承担损害赔偿责任。</w:t>
      </w:r>
    </w:p>
    <w:p w14:paraId="1F6CFA9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3．知识产权：供方应保证，一旦成交，</w:t>
      </w:r>
      <w:r>
        <w:rPr>
          <w:rFonts w:hint="eastAsia" w:ascii="仿宋" w:hAnsi="仿宋" w:eastAsia="仿宋" w:cs="仿宋"/>
          <w:bCs/>
          <w:sz w:val="28"/>
          <w:szCs w:val="28"/>
          <w:lang w:val="en-US" w:eastAsia="zh-CN"/>
        </w:rPr>
        <w:t>采购</w:t>
      </w:r>
      <w:r>
        <w:rPr>
          <w:rFonts w:hint="eastAsia" w:ascii="仿宋" w:hAnsi="仿宋" w:eastAsia="仿宋" w:cs="仿宋"/>
          <w:bCs/>
          <w:sz w:val="28"/>
          <w:szCs w:val="28"/>
        </w:rPr>
        <w:t>方在中华人民共和国使用其货物的任何一部</w:t>
      </w:r>
      <w:r>
        <w:rPr>
          <w:rFonts w:hint="eastAsia" w:ascii="仿宋" w:hAnsi="仿宋" w:eastAsia="仿宋" w:cs="仿宋"/>
          <w:bCs/>
          <w:sz w:val="28"/>
          <w:szCs w:val="28"/>
          <w:lang w:val="en-US" w:eastAsia="zh-CN"/>
        </w:rPr>
        <w:t>分</w:t>
      </w:r>
      <w:r>
        <w:rPr>
          <w:rFonts w:hint="eastAsia" w:ascii="仿宋" w:hAnsi="仿宋" w:eastAsia="仿宋" w:cs="仿宋"/>
          <w:bCs/>
          <w:sz w:val="28"/>
          <w:szCs w:val="28"/>
        </w:rPr>
        <w:t>时，免受第三方提出的侵犯其专利权、商标权或其他知识产权的起诉。如发生此类纠纷，由供方承担一切责任。</w:t>
      </w:r>
    </w:p>
    <w:p w14:paraId="294260C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十、本合同由供、需双方签订并加盖公章（同时双方应加盖骑缝章），经供、需双方法定代表人或委托代理人签字或盖章后生效，合同一式六份，每份共</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rPr>
        <w:t>页，供需双方各执三份。</w:t>
      </w:r>
    </w:p>
    <w:p w14:paraId="7420A23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（以下无正文）</w:t>
      </w:r>
    </w:p>
    <w:p w14:paraId="031E1BA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p>
    <w:p w14:paraId="2B07D00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（盖章页）</w:t>
      </w:r>
    </w:p>
    <w:p w14:paraId="0497252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p>
    <w:p w14:paraId="5EE60D5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供方（盖章）：                       需方（盖章）：</w:t>
      </w:r>
    </w:p>
    <w:p w14:paraId="7476269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法定代表人：                         法定代表人：</w:t>
      </w:r>
    </w:p>
    <w:p w14:paraId="75575A3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委托代理人：                         委托代理人：</w:t>
      </w:r>
    </w:p>
    <w:p w14:paraId="59645C3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 xml:space="preserve">联系电话：                           联系电话： </w:t>
      </w:r>
    </w:p>
    <w:p w14:paraId="0380200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开户银行：                           开户银行：</w:t>
      </w:r>
    </w:p>
    <w:p w14:paraId="6B9D553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银行帐号：                           银行帐号：</w:t>
      </w:r>
    </w:p>
    <w:p w14:paraId="750F39A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签订日期：     年    月   日</w:t>
      </w:r>
    </w:p>
    <w:p w14:paraId="2779BC40">
      <w:pPr>
        <w:pStyle w:val="15"/>
        <w:rPr>
          <w:rFonts w:hint="eastAsia"/>
        </w:rPr>
      </w:pPr>
    </w:p>
    <w:p w14:paraId="4CC08662">
      <w:pPr>
        <w:rPr>
          <w:rFonts w:hint="eastAsia"/>
          <w:lang w:val="en-US"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7C4C7">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A64952">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BA64952">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5F068"/>
    <w:multiLevelType w:val="singleLevel"/>
    <w:tmpl w:val="B755F0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lMGI1YWQxZjQwZmVjOTFmZDI1NDVhZTEyNmMyMDQifQ=="/>
  </w:docVars>
  <w:rsids>
    <w:rsidRoot w:val="005D578C"/>
    <w:rsid w:val="00003956"/>
    <w:rsid w:val="00004E19"/>
    <w:rsid w:val="00030753"/>
    <w:rsid w:val="000317DA"/>
    <w:rsid w:val="00045907"/>
    <w:rsid w:val="000472AE"/>
    <w:rsid w:val="00047A89"/>
    <w:rsid w:val="00052370"/>
    <w:rsid w:val="00056B3E"/>
    <w:rsid w:val="000665C8"/>
    <w:rsid w:val="0007367A"/>
    <w:rsid w:val="000B07CF"/>
    <w:rsid w:val="000B3645"/>
    <w:rsid w:val="000B5609"/>
    <w:rsid w:val="000B5793"/>
    <w:rsid w:val="000E5B4C"/>
    <w:rsid w:val="000F6996"/>
    <w:rsid w:val="00106FCB"/>
    <w:rsid w:val="001109C8"/>
    <w:rsid w:val="0013447A"/>
    <w:rsid w:val="001507F4"/>
    <w:rsid w:val="00152FC8"/>
    <w:rsid w:val="00164FD5"/>
    <w:rsid w:val="00183115"/>
    <w:rsid w:val="00185A5F"/>
    <w:rsid w:val="00193522"/>
    <w:rsid w:val="00194CF7"/>
    <w:rsid w:val="001A76C1"/>
    <w:rsid w:val="001B1B1A"/>
    <w:rsid w:val="001C0B03"/>
    <w:rsid w:val="001C6BD9"/>
    <w:rsid w:val="001C76E1"/>
    <w:rsid w:val="001E552C"/>
    <w:rsid w:val="001F686B"/>
    <w:rsid w:val="00232C96"/>
    <w:rsid w:val="00236895"/>
    <w:rsid w:val="0024197D"/>
    <w:rsid w:val="00250CE2"/>
    <w:rsid w:val="00252BD3"/>
    <w:rsid w:val="00255417"/>
    <w:rsid w:val="00273F19"/>
    <w:rsid w:val="00281901"/>
    <w:rsid w:val="00282F65"/>
    <w:rsid w:val="00287F5E"/>
    <w:rsid w:val="00290487"/>
    <w:rsid w:val="00293BCF"/>
    <w:rsid w:val="002A1DB1"/>
    <w:rsid w:val="002D3D6A"/>
    <w:rsid w:val="002E19C9"/>
    <w:rsid w:val="002E2D1D"/>
    <w:rsid w:val="00317EE5"/>
    <w:rsid w:val="00323020"/>
    <w:rsid w:val="003349A9"/>
    <w:rsid w:val="00337908"/>
    <w:rsid w:val="00337DEF"/>
    <w:rsid w:val="00337FF8"/>
    <w:rsid w:val="00341F46"/>
    <w:rsid w:val="00356BF4"/>
    <w:rsid w:val="00357DA8"/>
    <w:rsid w:val="00362387"/>
    <w:rsid w:val="00383420"/>
    <w:rsid w:val="0038354F"/>
    <w:rsid w:val="00383C8D"/>
    <w:rsid w:val="003841E7"/>
    <w:rsid w:val="00385982"/>
    <w:rsid w:val="00386DD9"/>
    <w:rsid w:val="00394538"/>
    <w:rsid w:val="003A79B2"/>
    <w:rsid w:val="003B003F"/>
    <w:rsid w:val="003C31DF"/>
    <w:rsid w:val="003E27FB"/>
    <w:rsid w:val="003F2801"/>
    <w:rsid w:val="003F5E9F"/>
    <w:rsid w:val="00403DC3"/>
    <w:rsid w:val="00410227"/>
    <w:rsid w:val="004172AB"/>
    <w:rsid w:val="004175C4"/>
    <w:rsid w:val="00424126"/>
    <w:rsid w:val="00441318"/>
    <w:rsid w:val="0046298B"/>
    <w:rsid w:val="00467C70"/>
    <w:rsid w:val="00472CCB"/>
    <w:rsid w:val="004736EF"/>
    <w:rsid w:val="004940FD"/>
    <w:rsid w:val="00496CE2"/>
    <w:rsid w:val="004B76B2"/>
    <w:rsid w:val="004C3686"/>
    <w:rsid w:val="004D4B63"/>
    <w:rsid w:val="004F0A29"/>
    <w:rsid w:val="004F4858"/>
    <w:rsid w:val="005012BB"/>
    <w:rsid w:val="0051310D"/>
    <w:rsid w:val="00526809"/>
    <w:rsid w:val="00531839"/>
    <w:rsid w:val="0053530B"/>
    <w:rsid w:val="005370B9"/>
    <w:rsid w:val="005533E4"/>
    <w:rsid w:val="00553DD4"/>
    <w:rsid w:val="00554BB0"/>
    <w:rsid w:val="00574DCF"/>
    <w:rsid w:val="00581AC8"/>
    <w:rsid w:val="00582A40"/>
    <w:rsid w:val="005841C3"/>
    <w:rsid w:val="0059310F"/>
    <w:rsid w:val="00596C36"/>
    <w:rsid w:val="005A435D"/>
    <w:rsid w:val="005B43B2"/>
    <w:rsid w:val="005C3F99"/>
    <w:rsid w:val="005D085E"/>
    <w:rsid w:val="005D36D3"/>
    <w:rsid w:val="005D556B"/>
    <w:rsid w:val="005D578C"/>
    <w:rsid w:val="0060490A"/>
    <w:rsid w:val="006154EF"/>
    <w:rsid w:val="00631932"/>
    <w:rsid w:val="0063215E"/>
    <w:rsid w:val="00632F9B"/>
    <w:rsid w:val="0063322F"/>
    <w:rsid w:val="006427B7"/>
    <w:rsid w:val="006501E8"/>
    <w:rsid w:val="00650B53"/>
    <w:rsid w:val="00657411"/>
    <w:rsid w:val="00676C23"/>
    <w:rsid w:val="006817CC"/>
    <w:rsid w:val="006959A6"/>
    <w:rsid w:val="006B18C7"/>
    <w:rsid w:val="006B4540"/>
    <w:rsid w:val="006D6ECD"/>
    <w:rsid w:val="006E5A49"/>
    <w:rsid w:val="007037E1"/>
    <w:rsid w:val="007176F8"/>
    <w:rsid w:val="00720F67"/>
    <w:rsid w:val="00721E71"/>
    <w:rsid w:val="007313D3"/>
    <w:rsid w:val="00733941"/>
    <w:rsid w:val="00733ACB"/>
    <w:rsid w:val="007370C1"/>
    <w:rsid w:val="007446A0"/>
    <w:rsid w:val="00757C2B"/>
    <w:rsid w:val="00764B04"/>
    <w:rsid w:val="0076717F"/>
    <w:rsid w:val="007732E8"/>
    <w:rsid w:val="00775462"/>
    <w:rsid w:val="0078069E"/>
    <w:rsid w:val="00787085"/>
    <w:rsid w:val="00787DB7"/>
    <w:rsid w:val="00795DDA"/>
    <w:rsid w:val="007C04D0"/>
    <w:rsid w:val="007C2F77"/>
    <w:rsid w:val="007D7453"/>
    <w:rsid w:val="007E045D"/>
    <w:rsid w:val="007E5642"/>
    <w:rsid w:val="007F6BBA"/>
    <w:rsid w:val="0080631C"/>
    <w:rsid w:val="00813A4A"/>
    <w:rsid w:val="00815058"/>
    <w:rsid w:val="008170EF"/>
    <w:rsid w:val="0081791C"/>
    <w:rsid w:val="0082395F"/>
    <w:rsid w:val="0083478B"/>
    <w:rsid w:val="00846806"/>
    <w:rsid w:val="00847AF7"/>
    <w:rsid w:val="00877C32"/>
    <w:rsid w:val="00894D26"/>
    <w:rsid w:val="008A2FE7"/>
    <w:rsid w:val="008A6EA3"/>
    <w:rsid w:val="008B347C"/>
    <w:rsid w:val="008B498C"/>
    <w:rsid w:val="008C7EF8"/>
    <w:rsid w:val="008D43EC"/>
    <w:rsid w:val="008E00E7"/>
    <w:rsid w:val="008E3A35"/>
    <w:rsid w:val="008E3D97"/>
    <w:rsid w:val="008F46D1"/>
    <w:rsid w:val="00901866"/>
    <w:rsid w:val="0090699A"/>
    <w:rsid w:val="00913EEB"/>
    <w:rsid w:val="00940FAF"/>
    <w:rsid w:val="009476E6"/>
    <w:rsid w:val="00950E9A"/>
    <w:rsid w:val="00956861"/>
    <w:rsid w:val="009659D4"/>
    <w:rsid w:val="00973709"/>
    <w:rsid w:val="00980F86"/>
    <w:rsid w:val="0098467F"/>
    <w:rsid w:val="00985733"/>
    <w:rsid w:val="00986609"/>
    <w:rsid w:val="00990147"/>
    <w:rsid w:val="00992045"/>
    <w:rsid w:val="009B0899"/>
    <w:rsid w:val="009B1A75"/>
    <w:rsid w:val="009F154A"/>
    <w:rsid w:val="00A13D56"/>
    <w:rsid w:val="00A1575B"/>
    <w:rsid w:val="00A2553E"/>
    <w:rsid w:val="00A322D5"/>
    <w:rsid w:val="00A36A57"/>
    <w:rsid w:val="00A3739E"/>
    <w:rsid w:val="00A4548B"/>
    <w:rsid w:val="00A47D1F"/>
    <w:rsid w:val="00A6244D"/>
    <w:rsid w:val="00A81E1F"/>
    <w:rsid w:val="00AA3C28"/>
    <w:rsid w:val="00AA4BD8"/>
    <w:rsid w:val="00AD283B"/>
    <w:rsid w:val="00AD3CC4"/>
    <w:rsid w:val="00AF34FF"/>
    <w:rsid w:val="00B01297"/>
    <w:rsid w:val="00B03260"/>
    <w:rsid w:val="00B16469"/>
    <w:rsid w:val="00B2408C"/>
    <w:rsid w:val="00B311B5"/>
    <w:rsid w:val="00B31E44"/>
    <w:rsid w:val="00B322C5"/>
    <w:rsid w:val="00B55F19"/>
    <w:rsid w:val="00B634DE"/>
    <w:rsid w:val="00B674A2"/>
    <w:rsid w:val="00B734A8"/>
    <w:rsid w:val="00B7405D"/>
    <w:rsid w:val="00B74177"/>
    <w:rsid w:val="00B808CB"/>
    <w:rsid w:val="00B92D01"/>
    <w:rsid w:val="00B94826"/>
    <w:rsid w:val="00B949CA"/>
    <w:rsid w:val="00B96B38"/>
    <w:rsid w:val="00BB1521"/>
    <w:rsid w:val="00BB2E57"/>
    <w:rsid w:val="00BB2F48"/>
    <w:rsid w:val="00BB3C32"/>
    <w:rsid w:val="00BC2B5D"/>
    <w:rsid w:val="00BC4915"/>
    <w:rsid w:val="00BC4AC0"/>
    <w:rsid w:val="00BC54D6"/>
    <w:rsid w:val="00BD0786"/>
    <w:rsid w:val="00BD0EC7"/>
    <w:rsid w:val="00BE52F6"/>
    <w:rsid w:val="00BE6A1C"/>
    <w:rsid w:val="00BF4E8B"/>
    <w:rsid w:val="00C072F4"/>
    <w:rsid w:val="00C11137"/>
    <w:rsid w:val="00C1151A"/>
    <w:rsid w:val="00C1296C"/>
    <w:rsid w:val="00C13212"/>
    <w:rsid w:val="00C20E24"/>
    <w:rsid w:val="00C27634"/>
    <w:rsid w:val="00C422AC"/>
    <w:rsid w:val="00C4590F"/>
    <w:rsid w:val="00C62114"/>
    <w:rsid w:val="00C62318"/>
    <w:rsid w:val="00C63BCB"/>
    <w:rsid w:val="00C67418"/>
    <w:rsid w:val="00C8786B"/>
    <w:rsid w:val="00C92C23"/>
    <w:rsid w:val="00CB2224"/>
    <w:rsid w:val="00CB6FD5"/>
    <w:rsid w:val="00CE11F1"/>
    <w:rsid w:val="00CE2922"/>
    <w:rsid w:val="00CE602A"/>
    <w:rsid w:val="00CF00DD"/>
    <w:rsid w:val="00D00458"/>
    <w:rsid w:val="00D117D6"/>
    <w:rsid w:val="00D16F2D"/>
    <w:rsid w:val="00D23C01"/>
    <w:rsid w:val="00D24C23"/>
    <w:rsid w:val="00D26127"/>
    <w:rsid w:val="00D512BC"/>
    <w:rsid w:val="00D54643"/>
    <w:rsid w:val="00D57D85"/>
    <w:rsid w:val="00D6220B"/>
    <w:rsid w:val="00D706BE"/>
    <w:rsid w:val="00D73B10"/>
    <w:rsid w:val="00D828DC"/>
    <w:rsid w:val="00D8672C"/>
    <w:rsid w:val="00DA358A"/>
    <w:rsid w:val="00DB1124"/>
    <w:rsid w:val="00DC6EE5"/>
    <w:rsid w:val="00DC7FE4"/>
    <w:rsid w:val="00DD5C57"/>
    <w:rsid w:val="00DE31F5"/>
    <w:rsid w:val="00DE7A2A"/>
    <w:rsid w:val="00DF2131"/>
    <w:rsid w:val="00E1109E"/>
    <w:rsid w:val="00E34B59"/>
    <w:rsid w:val="00E37D04"/>
    <w:rsid w:val="00E41797"/>
    <w:rsid w:val="00E45524"/>
    <w:rsid w:val="00E4559D"/>
    <w:rsid w:val="00E47B2D"/>
    <w:rsid w:val="00E504DF"/>
    <w:rsid w:val="00E52D5B"/>
    <w:rsid w:val="00E558D1"/>
    <w:rsid w:val="00E71B14"/>
    <w:rsid w:val="00E75630"/>
    <w:rsid w:val="00E77647"/>
    <w:rsid w:val="00E8355C"/>
    <w:rsid w:val="00E971F6"/>
    <w:rsid w:val="00EA08B1"/>
    <w:rsid w:val="00EA76A7"/>
    <w:rsid w:val="00ED0989"/>
    <w:rsid w:val="00ED7CF7"/>
    <w:rsid w:val="00EE108E"/>
    <w:rsid w:val="00EE7C7C"/>
    <w:rsid w:val="00F1426B"/>
    <w:rsid w:val="00F23012"/>
    <w:rsid w:val="00F25E74"/>
    <w:rsid w:val="00F3350B"/>
    <w:rsid w:val="00F33A90"/>
    <w:rsid w:val="00F3559C"/>
    <w:rsid w:val="00F56D73"/>
    <w:rsid w:val="00F57F22"/>
    <w:rsid w:val="00F83205"/>
    <w:rsid w:val="00F978E0"/>
    <w:rsid w:val="00FA73A9"/>
    <w:rsid w:val="00FC1559"/>
    <w:rsid w:val="00FC2C9C"/>
    <w:rsid w:val="00FC72D6"/>
    <w:rsid w:val="00FC7560"/>
    <w:rsid w:val="00FE254C"/>
    <w:rsid w:val="00FF44AE"/>
    <w:rsid w:val="02B37BF6"/>
    <w:rsid w:val="05606141"/>
    <w:rsid w:val="069A0BF9"/>
    <w:rsid w:val="06B63854"/>
    <w:rsid w:val="06D73364"/>
    <w:rsid w:val="070B4DB8"/>
    <w:rsid w:val="0838386A"/>
    <w:rsid w:val="094B1DE4"/>
    <w:rsid w:val="095549AB"/>
    <w:rsid w:val="0A882056"/>
    <w:rsid w:val="0BE97F42"/>
    <w:rsid w:val="0C5D17A9"/>
    <w:rsid w:val="0DB42190"/>
    <w:rsid w:val="0DBF68FD"/>
    <w:rsid w:val="0E9C3956"/>
    <w:rsid w:val="0EE174BB"/>
    <w:rsid w:val="124276D8"/>
    <w:rsid w:val="12CC5D44"/>
    <w:rsid w:val="147F64B5"/>
    <w:rsid w:val="15F9661C"/>
    <w:rsid w:val="1637471A"/>
    <w:rsid w:val="19363D37"/>
    <w:rsid w:val="1D16306B"/>
    <w:rsid w:val="1D666D95"/>
    <w:rsid w:val="1ECB6F29"/>
    <w:rsid w:val="1EDA7005"/>
    <w:rsid w:val="1F7717B0"/>
    <w:rsid w:val="23B275B4"/>
    <w:rsid w:val="23C5774A"/>
    <w:rsid w:val="25FC3DF2"/>
    <w:rsid w:val="264D3A37"/>
    <w:rsid w:val="2A786662"/>
    <w:rsid w:val="2C0A54AE"/>
    <w:rsid w:val="2C6312FB"/>
    <w:rsid w:val="2C695AB2"/>
    <w:rsid w:val="2DFD2DFD"/>
    <w:rsid w:val="2E314855"/>
    <w:rsid w:val="2EAE5EA6"/>
    <w:rsid w:val="32BD774C"/>
    <w:rsid w:val="32F4067D"/>
    <w:rsid w:val="34230655"/>
    <w:rsid w:val="358931C8"/>
    <w:rsid w:val="3723467D"/>
    <w:rsid w:val="37A44A70"/>
    <w:rsid w:val="3DB64500"/>
    <w:rsid w:val="41AF4E1B"/>
    <w:rsid w:val="41E7246F"/>
    <w:rsid w:val="43717385"/>
    <w:rsid w:val="44FB27CE"/>
    <w:rsid w:val="45BC1D49"/>
    <w:rsid w:val="4693053D"/>
    <w:rsid w:val="46E37EC5"/>
    <w:rsid w:val="479D6331"/>
    <w:rsid w:val="485F0636"/>
    <w:rsid w:val="490270C2"/>
    <w:rsid w:val="4A4A0480"/>
    <w:rsid w:val="4C0575F5"/>
    <w:rsid w:val="4DD75DFA"/>
    <w:rsid w:val="4E5D70BE"/>
    <w:rsid w:val="4E7013B2"/>
    <w:rsid w:val="4EE717C5"/>
    <w:rsid w:val="50E114CD"/>
    <w:rsid w:val="523D51F6"/>
    <w:rsid w:val="535B3709"/>
    <w:rsid w:val="542C5437"/>
    <w:rsid w:val="582E465D"/>
    <w:rsid w:val="5EB04CE1"/>
    <w:rsid w:val="5EDF49E6"/>
    <w:rsid w:val="61E75566"/>
    <w:rsid w:val="629B626F"/>
    <w:rsid w:val="631B78EC"/>
    <w:rsid w:val="650E425F"/>
    <w:rsid w:val="65135FD8"/>
    <w:rsid w:val="662A7F2C"/>
    <w:rsid w:val="66CF40F5"/>
    <w:rsid w:val="66F35AD3"/>
    <w:rsid w:val="671E6B47"/>
    <w:rsid w:val="689E66FD"/>
    <w:rsid w:val="6A2746C5"/>
    <w:rsid w:val="6B04349A"/>
    <w:rsid w:val="6B240691"/>
    <w:rsid w:val="6B420D7F"/>
    <w:rsid w:val="6B745479"/>
    <w:rsid w:val="6C2754DB"/>
    <w:rsid w:val="6F4C688B"/>
    <w:rsid w:val="703339B7"/>
    <w:rsid w:val="754006FE"/>
    <w:rsid w:val="762A53DF"/>
    <w:rsid w:val="76E557A9"/>
    <w:rsid w:val="771A302E"/>
    <w:rsid w:val="771B5996"/>
    <w:rsid w:val="775B7B9F"/>
    <w:rsid w:val="7780008E"/>
    <w:rsid w:val="79B74FC5"/>
    <w:rsid w:val="7CB41EA6"/>
    <w:rsid w:val="7CFC353E"/>
    <w:rsid w:val="7D2049CA"/>
    <w:rsid w:val="7D923002"/>
    <w:rsid w:val="7E535401"/>
    <w:rsid w:val="7F1D3BBF"/>
    <w:rsid w:val="7F2B3D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1"/>
    <w:autoRedefine/>
    <w:qFormat/>
    <w:uiPriority w:val="9"/>
    <w:pPr>
      <w:keepNext/>
      <w:keepLines/>
      <w:spacing w:before="340" w:after="330" w:line="578" w:lineRule="auto"/>
      <w:outlineLvl w:val="0"/>
    </w:pPr>
    <w:rPr>
      <w:rFonts w:cs="Times New Roman"/>
      <w:b/>
      <w:bCs/>
      <w:kern w:val="44"/>
      <w:sz w:val="44"/>
      <w:szCs w:val="44"/>
    </w:rPr>
  </w:style>
  <w:style w:type="paragraph" w:styleId="4">
    <w:name w:val="heading 2"/>
    <w:basedOn w:val="1"/>
    <w:next w:val="1"/>
    <w:link w:val="22"/>
    <w:autoRedefine/>
    <w:qFormat/>
    <w:uiPriority w:val="9"/>
    <w:pPr>
      <w:keepNext/>
      <w:keepLines/>
      <w:spacing w:beforeLines="50" w:afterLines="50" w:line="300" w:lineRule="auto"/>
      <w:jc w:val="center"/>
      <w:outlineLvl w:val="1"/>
    </w:pPr>
    <w:rPr>
      <w:rFonts w:ascii="Times New Roman" w:hAnsi="Times New Roman" w:cs="Times New Roman"/>
      <w:b/>
      <w:bCs/>
      <w:sz w:val="30"/>
      <w:szCs w:val="30"/>
    </w:rPr>
  </w:style>
  <w:style w:type="paragraph" w:styleId="5">
    <w:name w:val="heading 3"/>
    <w:basedOn w:val="1"/>
    <w:next w:val="1"/>
    <w:link w:val="23"/>
    <w:autoRedefine/>
    <w:qFormat/>
    <w:uiPriority w:val="9"/>
    <w:pPr>
      <w:keepNext/>
      <w:keepLines/>
      <w:snapToGrid w:val="0"/>
      <w:spacing w:beforeLines="50" w:afterLines="50" w:line="300" w:lineRule="auto"/>
      <w:ind w:firstLine="419" w:firstLineChars="174"/>
      <w:outlineLvl w:val="2"/>
    </w:pPr>
    <w:rPr>
      <w:rFonts w:ascii="宋体" w:hAnsi="宋体" w:cs="Times New Roman"/>
      <w:b/>
      <w:bCs/>
      <w:kern w:val="0"/>
      <w:sz w:val="24"/>
    </w:rPr>
  </w:style>
  <w:style w:type="paragraph" w:styleId="6">
    <w:name w:val="heading 4"/>
    <w:basedOn w:val="1"/>
    <w:next w:val="1"/>
    <w:link w:val="24"/>
    <w:autoRedefine/>
    <w:qFormat/>
    <w:uiPriority w:val="9"/>
    <w:pPr>
      <w:keepNext/>
      <w:keepLines/>
      <w:spacing w:before="240" w:after="240" w:line="360" w:lineRule="auto"/>
      <w:ind w:firstLine="174" w:firstLineChars="174"/>
      <w:outlineLvl w:val="3"/>
    </w:pPr>
    <w:rPr>
      <w:rFonts w:ascii="宋体" w:hAnsi="Cambria" w:cs="Times New Roman"/>
      <w:b/>
      <w:bCs/>
      <w:sz w:val="24"/>
      <w:szCs w:val="28"/>
    </w:rPr>
  </w:style>
  <w:style w:type="character" w:default="1" w:styleId="18">
    <w:name w:val="Default Paragraph Font"/>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7">
    <w:name w:val="Body Text Indent"/>
    <w:basedOn w:val="1"/>
    <w:next w:val="8"/>
    <w:autoRedefine/>
    <w:qFormat/>
    <w:uiPriority w:val="0"/>
    <w:pPr>
      <w:spacing w:after="120"/>
      <w:ind w:left="420" w:leftChars="200"/>
    </w:pPr>
  </w:style>
  <w:style w:type="paragraph" w:styleId="8">
    <w:name w:val="envelope return"/>
    <w:basedOn w:val="1"/>
    <w:autoRedefine/>
    <w:qFormat/>
    <w:uiPriority w:val="0"/>
    <w:pPr>
      <w:snapToGrid w:val="0"/>
    </w:pPr>
    <w:rPr>
      <w:rFonts w:ascii="Arial" w:hAnsi="Arial"/>
    </w:rPr>
  </w:style>
  <w:style w:type="paragraph" w:styleId="9">
    <w:name w:val="toc 3"/>
    <w:basedOn w:val="1"/>
    <w:next w:val="1"/>
    <w:autoRedefine/>
    <w:unhideWhenUsed/>
    <w:qFormat/>
    <w:uiPriority w:val="39"/>
    <w:pPr>
      <w:ind w:left="420"/>
      <w:jc w:val="left"/>
    </w:pPr>
    <w:rPr>
      <w:szCs w:val="20"/>
    </w:rPr>
  </w:style>
  <w:style w:type="paragraph" w:styleId="10">
    <w:name w:val="footer"/>
    <w:basedOn w:val="1"/>
    <w:link w:val="25"/>
    <w:autoRedefine/>
    <w:unhideWhenUsed/>
    <w:qFormat/>
    <w:uiPriority w:val="99"/>
    <w:pPr>
      <w:tabs>
        <w:tab w:val="center" w:pos="4153"/>
        <w:tab w:val="right" w:pos="8306"/>
      </w:tabs>
      <w:snapToGrid w:val="0"/>
      <w:jc w:val="left"/>
    </w:pPr>
    <w:rPr>
      <w:sz w:val="18"/>
      <w:szCs w:val="18"/>
    </w:rPr>
  </w:style>
  <w:style w:type="paragraph" w:styleId="11">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tabs>
        <w:tab w:val="right" w:leader="dot" w:pos="8302"/>
      </w:tabs>
      <w:jc w:val="left"/>
    </w:pPr>
    <w:rPr>
      <w:rFonts w:ascii="Arial" w:hAnsi="Arial"/>
      <w:bCs/>
      <w:iCs/>
      <w:szCs w:val="24"/>
    </w:rPr>
  </w:style>
  <w:style w:type="paragraph" w:styleId="13">
    <w:name w:val="toc 2"/>
    <w:basedOn w:val="1"/>
    <w:next w:val="1"/>
    <w:autoRedefine/>
    <w:unhideWhenUsed/>
    <w:qFormat/>
    <w:uiPriority w:val="39"/>
    <w:pPr>
      <w:ind w:left="210"/>
      <w:jc w:val="left"/>
    </w:pPr>
    <w:rPr>
      <w:bCs/>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2"/>
    <w:next w:val="16"/>
    <w:autoRedefine/>
    <w:unhideWhenUsed/>
    <w:qFormat/>
    <w:uiPriority w:val="99"/>
    <w:pPr>
      <w:ind w:firstLine="420" w:firstLineChars="100"/>
    </w:pPr>
  </w:style>
  <w:style w:type="paragraph" w:styleId="16">
    <w:name w:val="Body Text First Indent 2"/>
    <w:basedOn w:val="7"/>
    <w:autoRedefine/>
    <w:unhideWhenUsed/>
    <w:qFormat/>
    <w:uiPriority w:val="99"/>
    <w:pPr>
      <w:ind w:firstLine="420" w:firstLineChars="200"/>
    </w:pPr>
  </w:style>
  <w:style w:type="character" w:styleId="19">
    <w:name w:val="Strong"/>
    <w:basedOn w:val="18"/>
    <w:autoRedefine/>
    <w:qFormat/>
    <w:uiPriority w:val="0"/>
    <w:rPr>
      <w:b/>
    </w:rPr>
  </w:style>
  <w:style w:type="paragraph" w:customStyle="1" w:styleId="20">
    <w:name w:val="Default"/>
    <w:autoRedefine/>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character" w:customStyle="1" w:styleId="21">
    <w:name w:val="标题 1 Char"/>
    <w:link w:val="3"/>
    <w:autoRedefine/>
    <w:qFormat/>
    <w:uiPriority w:val="9"/>
    <w:rPr>
      <w:rFonts w:ascii="Calibri" w:hAnsi="Calibri" w:eastAsia="宋体" w:cs="Times New Roman"/>
      <w:b/>
      <w:bCs/>
      <w:kern w:val="44"/>
      <w:sz w:val="44"/>
      <w:szCs w:val="44"/>
    </w:rPr>
  </w:style>
  <w:style w:type="character" w:customStyle="1" w:styleId="22">
    <w:name w:val="标题 2 Char"/>
    <w:link w:val="4"/>
    <w:autoRedefine/>
    <w:qFormat/>
    <w:uiPriority w:val="9"/>
    <w:rPr>
      <w:rFonts w:eastAsia="宋体"/>
      <w:b/>
      <w:bCs/>
      <w:kern w:val="2"/>
      <w:sz w:val="30"/>
      <w:szCs w:val="30"/>
      <w:lang w:val="en-US" w:eastAsia="zh-CN" w:bidi="ar-SA"/>
    </w:rPr>
  </w:style>
  <w:style w:type="character" w:customStyle="1" w:styleId="23">
    <w:name w:val="标题 3 Char"/>
    <w:link w:val="5"/>
    <w:autoRedefine/>
    <w:qFormat/>
    <w:uiPriority w:val="9"/>
    <w:rPr>
      <w:rFonts w:ascii="宋体" w:hAnsi="宋体" w:eastAsia="宋体"/>
      <w:b/>
      <w:bCs/>
      <w:sz w:val="24"/>
      <w:szCs w:val="21"/>
      <w:lang w:val="en-US" w:eastAsia="zh-CN" w:bidi="ar-SA"/>
    </w:rPr>
  </w:style>
  <w:style w:type="character" w:customStyle="1" w:styleId="24">
    <w:name w:val="标题 4 Char"/>
    <w:link w:val="6"/>
    <w:autoRedefine/>
    <w:qFormat/>
    <w:uiPriority w:val="9"/>
    <w:rPr>
      <w:rFonts w:ascii="宋体" w:hAnsi="Cambria" w:eastAsia="宋体"/>
      <w:b/>
      <w:bCs/>
      <w:kern w:val="2"/>
      <w:sz w:val="24"/>
      <w:szCs w:val="28"/>
      <w:lang w:val="en-US" w:eastAsia="zh-CN" w:bidi="ar-SA"/>
    </w:rPr>
  </w:style>
  <w:style w:type="character" w:customStyle="1" w:styleId="25">
    <w:name w:val="页脚 Char"/>
    <w:basedOn w:val="18"/>
    <w:link w:val="10"/>
    <w:autoRedefine/>
    <w:semiHidden/>
    <w:qFormat/>
    <w:uiPriority w:val="99"/>
    <w:rPr>
      <w:rFonts w:ascii="Calibri" w:hAnsi="Calibri" w:cs="Calibri"/>
      <w:kern w:val="2"/>
      <w:sz w:val="18"/>
      <w:szCs w:val="18"/>
    </w:rPr>
  </w:style>
  <w:style w:type="character" w:customStyle="1" w:styleId="26">
    <w:name w:val="页眉 Char"/>
    <w:basedOn w:val="18"/>
    <w:link w:val="11"/>
    <w:autoRedefine/>
    <w:semiHidden/>
    <w:qFormat/>
    <w:uiPriority w:val="99"/>
    <w:rPr>
      <w:rFonts w:ascii="Calibri" w:hAnsi="Calibri" w:cs="Calibri"/>
      <w:kern w:val="2"/>
      <w:sz w:val="18"/>
      <w:szCs w:val="18"/>
    </w:rPr>
  </w:style>
  <w:style w:type="character" w:customStyle="1" w:styleId="27">
    <w:name w:val="15"/>
    <w:basedOn w:val="18"/>
    <w:autoRedefine/>
    <w:qFormat/>
    <w:uiPriority w:val="0"/>
    <w:rPr>
      <w:rFonts w:hint="default" w:ascii="Times New Roman" w:hAnsi="Times New Roman" w:cs="Times New Roman"/>
    </w:rPr>
  </w:style>
  <w:style w:type="character" w:customStyle="1" w:styleId="28">
    <w:name w:val="无间隔 Char"/>
    <w:link w:val="29"/>
    <w:autoRedefine/>
    <w:qFormat/>
    <w:uiPriority w:val="1"/>
    <w:rPr>
      <w:sz w:val="22"/>
      <w:szCs w:val="22"/>
      <w:lang w:val="en-US" w:eastAsia="zh-CN" w:bidi="ar-SA"/>
    </w:rPr>
  </w:style>
  <w:style w:type="paragraph" w:styleId="29">
    <w:name w:val="No Spacing"/>
    <w:link w:val="28"/>
    <w:autoRedefine/>
    <w:qFormat/>
    <w:uiPriority w:val="1"/>
    <w:rPr>
      <w:rFonts w:ascii="Times New Roman" w:hAnsi="Times New Roman" w:eastAsia="宋体" w:cs="Times New Roman"/>
      <w:sz w:val="22"/>
      <w:szCs w:val="22"/>
      <w:lang w:val="en-US" w:eastAsia="zh-CN" w:bidi="ar-SA"/>
    </w:rPr>
  </w:style>
  <w:style w:type="paragraph" w:customStyle="1" w:styleId="30">
    <w:name w:val="_Style 24"/>
    <w:basedOn w:val="3"/>
    <w:next w:val="1"/>
    <w:autoRedefine/>
    <w:qFormat/>
    <w:uiPriority w:val="39"/>
    <w:pPr>
      <w:widowControl/>
      <w:spacing w:before="480" w:after="0" w:line="276" w:lineRule="auto"/>
      <w:jc w:val="left"/>
      <w:outlineLvl w:val="9"/>
    </w:pPr>
    <w:rPr>
      <w:rFonts w:ascii="Cambria" w:hAnsi="Cambria"/>
      <w:color w:val="376092"/>
      <w:kern w:val="0"/>
      <w:sz w:val="28"/>
      <w:szCs w:val="28"/>
    </w:rPr>
  </w:style>
  <w:style w:type="paragraph" w:styleId="31">
    <w:name w:val="List Paragraph"/>
    <w:basedOn w:val="1"/>
    <w:autoRedefine/>
    <w:qFormat/>
    <w:uiPriority w:val="34"/>
    <w:pPr>
      <w:ind w:firstLine="420" w:firstLineChars="200"/>
    </w:pPr>
  </w:style>
  <w:style w:type="character" w:customStyle="1" w:styleId="32">
    <w:name w:val="ask-title2"/>
    <w:basedOn w:val="18"/>
    <w:autoRedefine/>
    <w:qFormat/>
    <w:uiPriority w:val="0"/>
  </w:style>
  <w:style w:type="paragraph" w:customStyle="1" w:styleId="33">
    <w:name w:val="Table Paragraph"/>
    <w:basedOn w:val="1"/>
    <w:autoRedefine/>
    <w:qFormat/>
    <w:uiPriority w:val="0"/>
    <w:rPr>
      <w:rFonts w:ascii="宋体" w:hAnsi="宋体" w:eastAsia="宋体" w:cs="宋体"/>
      <w:lang w:val="zh-CN" w:eastAsia="zh-CN" w:bidi="zh-CN"/>
    </w:rPr>
  </w:style>
  <w:style w:type="character" w:customStyle="1" w:styleId="34">
    <w:name w:val="NormalCharact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7863</Words>
  <Characters>8526</Characters>
  <Lines>24</Lines>
  <Paragraphs>6</Paragraphs>
  <TotalTime>1</TotalTime>
  <ScaleCrop>false</ScaleCrop>
  <LinksUpToDate>false</LinksUpToDate>
  <CharactersWithSpaces>9195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2018-09-06T00:55:00Z</dcterms:created>
  <dc:creator>Administrator</dc:creator>
  <cp:lastModifiedBy>晨西</cp:lastModifiedBy>
  <cp:lastPrinted>2021-03-03T07:48:00Z</cp:lastPrinted>
  <dcterms:modified xsi:type="dcterms:W3CDTF">2025-04-28T03:02:04Z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C59F08F953FA419F984A4D7F89913152</vt:lpwstr>
  </property>
  <property fmtid="{D5CDD505-2E9C-101B-9397-08002B2CF9AE}" pid="4" name="KSOTemplateDocerSaveRecord">
    <vt:lpwstr>eyJoZGlkIjoiNThmYTM4ZDQ0OTIyOTc4ZDI1MjJiMzJjMTU1ODUxMTgiLCJ1c2VySWQiOiI1MTkyNzEzMTgifQ==</vt:lpwstr>
  </property>
</Properties>
</file>