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启东市新产业服务中心电梯厅信息发布系统采购项目</w:t>
      </w:r>
    </w:p>
    <w:p>
      <w:pPr>
        <w:jc w:val="center"/>
      </w:pPr>
      <w:r>
        <w:rPr>
          <w:rFonts w:hint="eastAsia"/>
          <w:sz w:val="30"/>
          <w:szCs w:val="30"/>
        </w:rPr>
        <w:t>市场询价公告</w:t>
      </w:r>
    </w:p>
    <w:p>
      <w:pPr>
        <w:ind w:firstLine="420" w:firstLineChars="200"/>
      </w:pPr>
    </w:p>
    <w:p>
      <w:pPr>
        <w:spacing w:line="440" w:lineRule="exact"/>
        <w:ind w:firstLine="480" w:firstLineChars="200"/>
        <w:rPr>
          <w:sz w:val="24"/>
        </w:rPr>
      </w:pPr>
      <w:bookmarkStart w:id="0" w:name="_Hlk128647712"/>
      <w:r>
        <w:rPr>
          <w:rFonts w:hint="eastAsia"/>
          <w:sz w:val="24"/>
        </w:rPr>
        <w:t>启东市新产业服务中心电梯厅信息发布系统采购项目</w:t>
      </w:r>
      <w:bookmarkEnd w:id="0"/>
      <w:r>
        <w:rPr>
          <w:rFonts w:hint="eastAsia"/>
          <w:sz w:val="24"/>
        </w:rPr>
        <w:t>即将实施，现就该项目进行市场询价调研。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一、采购内容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启东市新产业服务中心电梯厅信息发布系统</w:t>
      </w:r>
      <w:r>
        <w:rPr>
          <w:sz w:val="24"/>
        </w:rPr>
        <w:t>包括信息采集、中心控制、终端显示和传输网络四部分中所涉设备采购、安装、系统调试运行等。具体如下：</w:t>
      </w:r>
    </w:p>
    <w:tbl>
      <w:tblPr>
        <w:tblStyle w:val="6"/>
        <w:tblW w:w="0" w:type="auto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43"/>
        <w:gridCol w:w="5732"/>
        <w:gridCol w:w="453"/>
        <w:gridCol w:w="453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主要参数要求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0"/>
                <w:szCs w:val="21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综合物联信息发布平台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处理器：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IntelXeonE3-1225V5CPU;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支持最大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TDP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功耗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75W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芯片组：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IntelC236chipset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内存：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DDR4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内存条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-8GB-VLP-ECC-UDIMM*4;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配置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DDR4/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带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ECCUDIMM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速率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2400MHZ;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整机最大可以支持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64GB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IO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接口：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个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DB-15VGA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接口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;4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个千兆网口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;1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个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BMC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管理网口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;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支持后置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个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USB3.0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接口和前置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个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USB3.0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接口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大华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海康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宇视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系统工作站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名称：系统工作站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规格：不低于以下配置即可：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21.5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英寸显示器，具有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8GB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500GB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，独立显卡，酷睿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i5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Windows10 64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位操作系统，配套鼠标键盘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戴尔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联想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惠普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智能物联</w:t>
            </w:r>
            <w:r>
              <w:rPr>
                <w:rFonts w:hint="eastAsia" w:ascii="宋体" w:hAnsi="宋体"/>
                <w:sz w:val="20"/>
              </w:rPr>
              <w:t>信息发布软件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智能物联综合管理平台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信息发布，以显示终端为载体，利用不同类型的素材以及组件，进行节目的制作，设定计划，将节目下发到终端进行展示。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智能云信息发布系统，是一款对显示终端集中管控，进行多媒体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信息发布、广告投放、广告统计的综合性发布平台。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为用户提供高效、便捷的信息发布服务。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【素材管理】上传及管理图片，视频，音频，文档素材文件以及管理监控信息；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【节目管理】管理节目模板，自定义布局节目及管理；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【播放计划】制作普通，即时计划，配置节目，关联设备（广告机设备，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LED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设备，门禁设备），下发播放；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【终端管理】管理广告机设备，远程控制开关机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屏，设置音量以及配置相关参数等；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【统计报表】对素材的播放以及设备的在离线进行统计，形成报表；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【系统设置】设置审核规则，查看用户日志，管理设备屏幕分辨率等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★支持以组织维度进行素材播放的次数、时长、投放终端的数量等数据统计与展示；（提供权威机构出具的功能检测报告，并加盖公司公章）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★支持设备在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离线时间、时长统计与展示。（提供权威机构出具的功能检测报告，并加盖公司公章）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★支持图片、视频、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PDF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、音频文件素材的数量统计与展示；（提供权威机构出具的功能检测报告，并加盖公司公章）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★支持模板库，提供通用模板、人脸考勤模板、精准投放模板，支持模板预览与使用，支持模板自定义及导入导出；（提供权威机构出具的功能检测报告，并加盖公司公章）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★支持终端程序版本管理。（提供权威机构出具的功能检测报告，并加盖公司公章）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大华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海康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宇视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分布式显控控制盒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嵌入式工控机，适用于室内各类非盐雾、高粉尘的非腐蚀环境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★智能云终端可以播放平台系统下发的图片节目，包括以下图片格式：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bmp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jpg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png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tiff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gif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；并支持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种以上的图片翻页方式（提供权威机构出具的功能检测报告，并加盖公司公章）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★智能云终端可以支持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种以上的文档翻页方式，包括逐行上下滚动方式（提供权威机构出具的功能检测报告，并加盖公司公章）；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★智能云终端可以播放平台系统配置的、指定的监控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IPC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的实时监控视频和监控录像，支持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H.265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解码播放（提供权威机构出具的功能检测报告，并加盖公司公章）；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★在系统下发节目时，若设备断电、或者网络中断，在恢复正常后，下发节目可以续传，减少流量使用（提供权威机构出具的功能检测报告，并加盖公司公章）；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主处理器：四核高性能嵌入式处理器，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RK3288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Cortex-A17 1.6GHz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操作系统：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Android 8.1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内存：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 GB DDR3 RAM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存储：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16GB EMMC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发布内容：支持图片、文字、富文本、视频信息的即时发布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播放类型：支持插播、指定时间段播放、周期播放和垫片播放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智能分屏：支持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多种分屏；图片、文字、视频同时播放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大华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海康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宇视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32寸显控一体机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2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32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寸室内金属壁挂，支持横屏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竖屏安装，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2K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液晶面板；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工业级设计：液晶面板专为长时间使用而特别设计；金属外壳，高强度，高散热，避免公共场所电磁干扰；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性能：主流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核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CPU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，安卓系统，支持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4K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解码；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素材丰富：支持图片、视频、音频、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PDF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，时间、倒计时、天气、网页、流媒体、监控、文本字符、滚动字幕、信息通知；支持素材动效，适应不同发布场景；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多样展示：画面任意分割进行素材展示，支持循环、定时、插播、垫片等多种播放模式；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远程管理：统一平台管理，采用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B/S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架构，节目分时分地管理，定时开关机，并能提供终端运行数据报表；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更新便捷：支持远程平台下发，支持本地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U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盘插入直接播放；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信息安全：平台数据加密传输，节目发布多级权限审核限制，终端密码保护；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方案扩展：支持人脸考勤，广告精准营销，客流统计等特色功能；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★远程升级、远程监控、导出日志、清理空间，远程运维效率提升；（提供权威机构出具的功能检测报告，并加盖公司公章）；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★文件素材支持图片、视频、音频、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P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DF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；非文件素材支持时间、倒计时、天气、网页、流媒体、监控、文本字符、滚动字幕、信息通知；支持素材动效，适应不同发布场景；（提供权威机构出具的功能检测报告，并加盖公司公章）；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★通用模板支持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1/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分屏模板；行业模板支持人脸考勤、精准投放；自定义模板支持用户可自己定义模板样式，满足不同用户需求；（提供权威机构出具的功能检测报告，并加盖公司公章）；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★支持单页节目、多页节目、节目编排更方便；（提供权威机构出具的功能检测报告，并加盖公司公章）；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★普通计划，垫片计划、插播计划、计划审核，可自定义审核流程，播放控制灵活；（提供权威机构出具的功能检测报告，并加盖公司公章）；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★可满足节目文件预下载功能，缓解网络带宽压力；（提供权威机构出具的功能检测报告，并加盖公司公章）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大华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海康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宇视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支架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设备支架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大华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海康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21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21"/>
              </w:rPr>
              <w:t>宇视</w:t>
            </w:r>
          </w:p>
        </w:tc>
      </w:tr>
    </w:tbl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b/>
          <w:bCs/>
          <w:sz w:val="24"/>
        </w:rPr>
        <w:t>约定事项：</w:t>
      </w: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所有设备质保期限为三年（自交货并验收合格之日起计）。</w:t>
      </w:r>
    </w:p>
    <w:p>
      <w:pPr>
        <w:pStyle w:val="2"/>
        <w:spacing w:after="0" w:line="400" w:lineRule="exact"/>
      </w:pPr>
      <w:r>
        <w:rPr>
          <w:rFonts w:hint="eastAsia"/>
          <w:sz w:val="24"/>
        </w:rPr>
        <w:t>2.上述采购要求为最低要求，不得负偏离，否则视为无效报价。</w:t>
      </w: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市场询价表及相关材料于202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4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bookmarkStart w:id="1" w:name="_GoBack"/>
      <w:bookmarkEnd w:id="1"/>
      <w:r>
        <w:rPr>
          <w:sz w:val="24"/>
        </w:rPr>
        <w:t>日17:00前，送或寄（以邮戳为准）</w:t>
      </w:r>
      <w:r>
        <w:rPr>
          <w:rFonts w:hint="eastAsia"/>
          <w:sz w:val="24"/>
        </w:rPr>
        <w:t>至代理单位江苏本源工程项目管理有限公司</w:t>
      </w:r>
      <w:r>
        <w:rPr>
          <w:sz w:val="24"/>
        </w:rPr>
        <w:t>，</w:t>
      </w:r>
      <w:r>
        <w:rPr>
          <w:rFonts w:hint="eastAsia" w:ascii="宋体" w:hAnsi="宋体" w:cs="宋体"/>
          <w:sz w:val="24"/>
        </w:rPr>
        <w:t>或盖单位公章后原件扫描发</w:t>
      </w:r>
      <w:r>
        <w:rPr>
          <w:rFonts w:hint="eastAsia"/>
          <w:sz w:val="24"/>
        </w:rPr>
        <w:t>至jsby586@163.com，</w:t>
      </w:r>
      <w:r>
        <w:rPr>
          <w:sz w:val="24"/>
        </w:rPr>
        <w:t>联系人：</w:t>
      </w:r>
      <w:r>
        <w:rPr>
          <w:rFonts w:hint="eastAsia"/>
          <w:sz w:val="24"/>
        </w:rPr>
        <w:t>杨工</w:t>
      </w:r>
      <w:r>
        <w:rPr>
          <w:sz w:val="24"/>
        </w:rPr>
        <w:t>，联系电话：</w:t>
      </w:r>
      <w:r>
        <w:rPr>
          <w:rFonts w:hint="eastAsia"/>
          <w:sz w:val="24"/>
        </w:rPr>
        <w:t>0513-83351266。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.报价费用说明：</w:t>
      </w:r>
      <w:r>
        <w:rPr>
          <w:rFonts w:hint="eastAsia"/>
          <w:sz w:val="24"/>
        </w:rPr>
        <w:t>包含设备及附件的采购、安装、调试、验收、质保期间维修保养费等一切费用。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 w:ascii="微软雅黑" w:hAnsi="微软雅黑" w:cs="宋体"/>
          <w:color w:val="000000"/>
          <w:sz w:val="24"/>
        </w:rPr>
        <w:t>报价单位须提供营业执照复印件并加盖报价单位公章。</w:t>
      </w: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.拟定支付方式及期限：</w:t>
      </w:r>
      <w:r>
        <w:rPr>
          <w:rFonts w:hint="eastAsia"/>
          <w:sz w:val="24"/>
        </w:rPr>
        <w:t>凭启东市市场监督管理局合格的检测报告或有效的证明文件（第三方检测报告）作为付款依据，经验收合格后一个月内付至合同价的9</w:t>
      </w:r>
      <w:r>
        <w:rPr>
          <w:sz w:val="24"/>
        </w:rPr>
        <w:t>7</w:t>
      </w:r>
      <w:r>
        <w:rPr>
          <w:rFonts w:hint="eastAsia"/>
          <w:sz w:val="24"/>
        </w:rPr>
        <w:t>%；余款在质保期满且无质量问题后一个月内一次性付清（不计利息）。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.其他：</w:t>
      </w:r>
      <w:r>
        <w:rPr>
          <w:rFonts w:hint="eastAsia"/>
          <w:sz w:val="24"/>
        </w:rPr>
        <w:t>（1）</w:t>
      </w:r>
      <w:r>
        <w:rPr>
          <w:sz w:val="24"/>
        </w:rPr>
        <w:t>请报价单位认真核算、如实报价，如发现虚假报价的，该单位今后将列入</w:t>
      </w:r>
      <w:r>
        <w:rPr>
          <w:rFonts w:hint="eastAsia"/>
          <w:sz w:val="24"/>
        </w:rPr>
        <w:t>采购人招标市场</w:t>
      </w:r>
      <w:r>
        <w:rPr>
          <w:sz w:val="24"/>
        </w:rPr>
        <w:t>黑名单；</w:t>
      </w:r>
      <w:r>
        <w:rPr>
          <w:rFonts w:hint="eastAsia"/>
          <w:sz w:val="24"/>
        </w:rPr>
        <w:t>（2）</w:t>
      </w:r>
      <w:r>
        <w:rPr>
          <w:sz w:val="24"/>
        </w:rPr>
        <w:t>本次报价仅作为市场调研用，因此价格仅供参考；</w:t>
      </w:r>
      <w:r>
        <w:rPr>
          <w:rFonts w:hint="eastAsia"/>
          <w:sz w:val="24"/>
        </w:rPr>
        <w:t>（3）</w:t>
      </w:r>
      <w:r>
        <w:rPr>
          <w:sz w:val="24"/>
        </w:rPr>
        <w:t>本次调研询价不接收质疑函，只接收对本项目的建议。</w:t>
      </w:r>
    </w:p>
    <w:p>
      <w:pPr>
        <w:spacing w:line="440" w:lineRule="exact"/>
        <w:jc w:val="right"/>
        <w:rPr>
          <w:sz w:val="24"/>
        </w:rPr>
      </w:pPr>
    </w:p>
    <w:p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启东腾飞建设工程综合开发有限公司</w:t>
      </w:r>
    </w:p>
    <w:p>
      <w:pPr>
        <w:spacing w:line="440" w:lineRule="exact"/>
        <w:jc w:val="right"/>
        <w:rPr>
          <w:sz w:val="24"/>
        </w:rPr>
        <w:sectPr>
          <w:pgSz w:w="11906" w:h="16838"/>
          <w:pgMar w:top="1240" w:right="1800" w:bottom="1098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2023年4月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</w:p>
    <w:p>
      <w:pPr>
        <w:spacing w:line="480" w:lineRule="atLeast"/>
        <w:ind w:right="480"/>
        <w:rPr>
          <w:rFonts w:ascii="微软雅黑" w:hAnsi="微软雅黑" w:cs="宋体"/>
          <w:color w:val="000000"/>
          <w:sz w:val="24"/>
        </w:rPr>
      </w:pPr>
      <w:r>
        <w:rPr>
          <w:rFonts w:hint="eastAsia" w:ascii="微软雅黑" w:hAnsi="微软雅黑" w:cs="宋体"/>
          <w:color w:val="000000"/>
          <w:sz w:val="24"/>
        </w:rPr>
        <w:t>附件：</w:t>
      </w:r>
    </w:p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p>
      <w:pPr>
        <w:spacing w:line="480" w:lineRule="atLeast"/>
        <w:ind w:firstLine="480"/>
        <w:jc w:val="center"/>
        <w:rPr>
          <w:rFonts w:ascii="微软雅黑" w:hAnsi="微软雅黑" w:cs="宋体"/>
          <w:b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启东市新产业服务中心电梯厅信息发布系统采购项目</w:t>
      </w:r>
    </w:p>
    <w:p>
      <w:pPr>
        <w:spacing w:line="480" w:lineRule="atLeas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tbl>
      <w:tblPr>
        <w:tblStyle w:val="6"/>
        <w:tblW w:w="8785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850"/>
        <w:gridCol w:w="850"/>
        <w:gridCol w:w="1417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设备名称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单位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数量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报价品牌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综合物联信息发布平台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系统工作站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智能物联</w:t>
            </w:r>
            <w:r>
              <w:rPr>
                <w:rFonts w:hint="eastAsia" w:ascii="宋体" w:hAnsi="宋体"/>
                <w:sz w:val="20"/>
              </w:rPr>
              <w:t>信息发布软件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分布式显控控制盒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32寸显控一体机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支架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8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合计：人民币小写：¥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报价单位（盖章）：</w:t>
      </w: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联系人：</w:t>
      </w: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iMGJmM2RmYjFjNDg4Mjg1YjJlNDg3OTAwNThkM2UifQ=="/>
  </w:docVars>
  <w:rsids>
    <w:rsidRoot w:val="590B4E05"/>
    <w:rsid w:val="003F5B78"/>
    <w:rsid w:val="006A796B"/>
    <w:rsid w:val="008117C9"/>
    <w:rsid w:val="00AB16C7"/>
    <w:rsid w:val="00D86FCB"/>
    <w:rsid w:val="00F31A81"/>
    <w:rsid w:val="00F46815"/>
    <w:rsid w:val="01B36BD0"/>
    <w:rsid w:val="060E02F9"/>
    <w:rsid w:val="08EB54DA"/>
    <w:rsid w:val="0F395FA7"/>
    <w:rsid w:val="10E63637"/>
    <w:rsid w:val="168C33BE"/>
    <w:rsid w:val="23D45D14"/>
    <w:rsid w:val="386B3A2F"/>
    <w:rsid w:val="38BB2554"/>
    <w:rsid w:val="393B4C06"/>
    <w:rsid w:val="3B1E0F84"/>
    <w:rsid w:val="3B6145E2"/>
    <w:rsid w:val="47ED6CD3"/>
    <w:rsid w:val="5519349A"/>
    <w:rsid w:val="590B4E05"/>
    <w:rsid w:val="66026A5C"/>
    <w:rsid w:val="66DC6ECE"/>
    <w:rsid w:val="6AA16428"/>
    <w:rsid w:val="6AA84736"/>
    <w:rsid w:val="75D668D3"/>
    <w:rsid w:val="7E5E5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3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  <w:rPr>
      <w:color w:val="00349A"/>
      <w:u w:val="none"/>
    </w:rPr>
  </w:style>
  <w:style w:type="character" w:styleId="13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7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8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9">
    <w:name w:val="prev2"/>
    <w:basedOn w:val="7"/>
    <w:qFormat/>
    <w:uiPriority w:val="0"/>
    <w:rPr>
      <w:color w:val="888888"/>
    </w:rPr>
  </w:style>
  <w:style w:type="character" w:customStyle="1" w:styleId="20">
    <w:name w:val="prev3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1">
    <w:name w:val="next2"/>
    <w:basedOn w:val="7"/>
    <w:qFormat/>
    <w:uiPriority w:val="0"/>
    <w:rPr>
      <w:color w:val="888888"/>
    </w:rPr>
  </w:style>
  <w:style w:type="character" w:customStyle="1" w:styleId="22">
    <w:name w:val="next3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24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25">
    <w:name w:val="gjfg"/>
    <w:basedOn w:val="7"/>
    <w:qFormat/>
    <w:uiPriority w:val="0"/>
  </w:style>
  <w:style w:type="character" w:customStyle="1" w:styleId="26">
    <w:name w:val="next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next1"/>
    <w:basedOn w:val="7"/>
    <w:qFormat/>
    <w:uiPriority w:val="0"/>
    <w:rPr>
      <w:color w:val="888888"/>
    </w:rPr>
  </w:style>
  <w:style w:type="character" w:customStyle="1" w:styleId="28">
    <w:name w:val="prev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9">
    <w:name w:val="prev1"/>
    <w:basedOn w:val="7"/>
    <w:qFormat/>
    <w:uiPriority w:val="0"/>
    <w:rPr>
      <w:color w:val="888888"/>
    </w:rPr>
  </w:style>
  <w:style w:type="paragraph" w:customStyle="1" w:styleId="30">
    <w:name w:val="hypr"/>
    <w:basedOn w:val="1"/>
    <w:qFormat/>
    <w:uiPriority w:val="0"/>
    <w:pPr>
      <w:jc w:val="left"/>
    </w:pPr>
    <w:rPr>
      <w:kern w:val="0"/>
    </w:rPr>
  </w:style>
  <w:style w:type="character" w:customStyle="1" w:styleId="3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2777</Words>
  <Characters>3035</Characters>
  <Lines>3</Lines>
  <Paragraphs>6</Paragraphs>
  <TotalTime>16</TotalTime>
  <ScaleCrop>false</ScaleCrop>
  <LinksUpToDate>false</LinksUpToDate>
  <CharactersWithSpaces>3044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2022-11-28T02:39:00Z</dcterms:created>
  <dc:creator>12369</dc:creator>
  <cp:lastModifiedBy>Administrator</cp:lastModifiedBy>
  <dcterms:modified xsi:type="dcterms:W3CDTF">2023-04-06T09:13:05Z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69BB3A62B23B43FDB1DFFDA093EF7C68</vt:lpwstr>
  </property>
</Properties>
</file>