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3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3"/>
          <w:szCs w:val="33"/>
          <w:u w:val="none"/>
          <w:lang w:eastAsia="zh-CN"/>
        </w:rPr>
      </w:pPr>
      <w:r>
        <w:rPr>
          <w:rFonts w:hint="eastAsia" w:ascii="宋体" w:hAnsi="宋体" w:eastAsia="宋体" w:cs="宋体"/>
          <w:b/>
          <w:bCs/>
          <w:i w:val="0"/>
          <w:iCs w:val="0"/>
          <w:caps w:val="0"/>
          <w:spacing w:val="8"/>
          <w:sz w:val="33"/>
          <w:szCs w:val="33"/>
          <w:u w:val="none"/>
          <w:shd w:val="clear" w:fill="FFFFFF"/>
          <w:lang w:val="en-US" w:eastAsia="zh-CN"/>
        </w:rPr>
        <w:t>江海传媒户外广告发布年度采购服务</w:t>
      </w:r>
      <w:r>
        <w:rPr>
          <w:rFonts w:hint="eastAsia" w:cs="宋体"/>
          <w:b/>
          <w:bCs/>
          <w:i w:val="0"/>
          <w:iCs w:val="0"/>
          <w:caps w:val="0"/>
          <w:spacing w:val="8"/>
          <w:sz w:val="33"/>
          <w:szCs w:val="33"/>
          <w:u w:val="none"/>
          <w:shd w:val="clear" w:fill="FFFFFF"/>
          <w:lang w:val="en-US" w:eastAsia="zh-CN"/>
        </w:rPr>
        <w:t>项目</w:t>
      </w:r>
      <w:r>
        <w:rPr>
          <w:rFonts w:hint="eastAsia" w:ascii="宋体" w:hAnsi="宋体" w:eastAsia="宋体" w:cs="宋体"/>
          <w:i w:val="0"/>
          <w:iCs w:val="0"/>
          <w:caps w:val="0"/>
          <w:spacing w:val="8"/>
          <w:sz w:val="33"/>
          <w:szCs w:val="33"/>
          <w:shd w:val="clear" w:fill="FFFFFF"/>
        </w:rPr>
        <w:t>询价公告</w:t>
      </w:r>
    </w:p>
    <w:p w14:paraId="0A53B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sz w:val="24"/>
          <w:szCs w:val="32"/>
          <w:lang w:eastAsia="zh-CN"/>
        </w:rPr>
      </w:pPr>
      <w:r>
        <w:rPr>
          <w:rFonts w:hint="eastAsia" w:ascii="宋体" w:hAnsi="宋体" w:eastAsia="宋体" w:cs="宋体"/>
          <w:b w:val="0"/>
          <w:bCs w:val="0"/>
          <w:sz w:val="24"/>
          <w:szCs w:val="32"/>
          <w:u w:val="single"/>
          <w:lang w:val="en-US" w:eastAsia="zh-CN"/>
        </w:rPr>
        <w:t>启东江海传媒有限公司</w:t>
      </w:r>
      <w:r>
        <w:rPr>
          <w:rFonts w:hint="eastAsia" w:ascii="宋体" w:hAnsi="宋体" w:eastAsia="宋体" w:cs="宋体"/>
          <w:sz w:val="24"/>
          <w:szCs w:val="32"/>
        </w:rPr>
        <w:t>根据启东市政府采购管理的有关规定，就</w:t>
      </w:r>
      <w:r>
        <w:rPr>
          <w:rFonts w:hint="eastAsia" w:ascii="宋体" w:hAnsi="宋体" w:eastAsia="宋体" w:cs="宋体"/>
          <w:b w:val="0"/>
          <w:bCs w:val="0"/>
          <w:sz w:val="24"/>
          <w:szCs w:val="32"/>
          <w:u w:val="single"/>
          <w:lang w:val="en-US" w:eastAsia="zh-CN"/>
        </w:rPr>
        <w:t>江海传媒户外广告发布年度采购服务</w:t>
      </w:r>
      <w:r>
        <w:rPr>
          <w:rFonts w:hint="eastAsia" w:ascii="宋体" w:hAnsi="宋体" w:eastAsia="宋体" w:cs="宋体"/>
          <w:sz w:val="24"/>
          <w:szCs w:val="32"/>
          <w:u w:val="single"/>
          <w:lang w:val="en-US" w:eastAsia="zh-CN"/>
        </w:rPr>
        <w:t>项目</w:t>
      </w:r>
      <w:r>
        <w:rPr>
          <w:rFonts w:hint="eastAsia" w:ascii="宋体" w:hAnsi="宋体" w:eastAsia="宋体" w:cs="宋体"/>
          <w:sz w:val="24"/>
          <w:szCs w:val="32"/>
        </w:rPr>
        <w:t>进行公开询价采购</w:t>
      </w:r>
      <w:r>
        <w:rPr>
          <w:rFonts w:hint="eastAsia" w:ascii="宋体" w:hAnsi="宋体" w:eastAsia="宋体" w:cs="宋体"/>
          <w:sz w:val="24"/>
          <w:szCs w:val="32"/>
          <w:lang w:eastAsia="zh-CN"/>
        </w:rPr>
        <w:t>。</w:t>
      </w:r>
    </w:p>
    <w:tbl>
      <w:tblPr>
        <w:tblStyle w:val="26"/>
        <w:tblpPr w:leftFromText="180" w:rightFromText="180" w:vertAnchor="text" w:horzAnchor="page" w:tblpXSpec="center" w:tblpY="444"/>
        <w:tblOverlap w:val="never"/>
        <w:tblW w:w="10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185"/>
        <w:gridCol w:w="1524"/>
        <w:gridCol w:w="2385"/>
        <w:gridCol w:w="840"/>
        <w:gridCol w:w="1035"/>
        <w:gridCol w:w="2898"/>
      </w:tblGrid>
      <w:tr w14:paraId="18C5A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14" w:type="dxa"/>
            <w:gridSpan w:val="7"/>
            <w:vAlign w:val="center"/>
          </w:tcPr>
          <w:p w14:paraId="5EF8FB21">
            <w:pPr>
              <w:pStyle w:val="25"/>
              <w:spacing w:before="182" w:line="221" w:lineRule="auto"/>
              <w:jc w:val="center"/>
              <w:rPr>
                <w:b/>
                <w:bCs/>
                <w:spacing w:val="-6"/>
              </w:rPr>
            </w:pPr>
            <w:r>
              <w:rPr>
                <w:rFonts w:hint="eastAsia" w:ascii="宋体" w:hAnsi="宋体" w:eastAsia="宋体" w:cs="宋体"/>
                <w:b/>
                <w:bCs w:val="0"/>
                <w:snapToGrid w:val="0"/>
                <w:spacing w:val="-3"/>
                <w:kern w:val="0"/>
                <w:sz w:val="21"/>
                <w:szCs w:val="21"/>
              </w:rPr>
              <w:t>采购需求</w:t>
            </w:r>
          </w:p>
        </w:tc>
      </w:tr>
      <w:tr w14:paraId="3C9A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547" w:type="dxa"/>
            <w:vAlign w:val="center"/>
          </w:tcPr>
          <w:p w14:paraId="35A97ED4">
            <w:pPr>
              <w:pStyle w:val="25"/>
              <w:spacing w:before="182" w:line="221" w:lineRule="auto"/>
              <w:jc w:val="center"/>
            </w:pPr>
            <w:r>
              <w:rPr>
                <w:b/>
                <w:bCs/>
                <w:spacing w:val="-5"/>
              </w:rPr>
              <w:t>序号</w:t>
            </w:r>
          </w:p>
        </w:tc>
        <w:tc>
          <w:tcPr>
            <w:tcW w:w="1185" w:type="dxa"/>
            <w:vAlign w:val="center"/>
          </w:tcPr>
          <w:p w14:paraId="3C46E922">
            <w:pPr>
              <w:pStyle w:val="25"/>
              <w:spacing w:before="181" w:line="220" w:lineRule="auto"/>
              <w:jc w:val="center"/>
            </w:pPr>
            <w:r>
              <w:rPr>
                <w:b/>
                <w:bCs/>
                <w:spacing w:val="-5"/>
              </w:rPr>
              <w:t>载体</w:t>
            </w:r>
          </w:p>
        </w:tc>
        <w:tc>
          <w:tcPr>
            <w:tcW w:w="1524" w:type="dxa"/>
            <w:vAlign w:val="center"/>
          </w:tcPr>
          <w:p w14:paraId="175197A5">
            <w:pPr>
              <w:pStyle w:val="25"/>
              <w:spacing w:before="181" w:line="220" w:lineRule="auto"/>
              <w:jc w:val="center"/>
            </w:pPr>
            <w:r>
              <w:rPr>
                <w:b/>
                <w:bCs/>
                <w:spacing w:val="15"/>
              </w:rPr>
              <w:t>项目</w:t>
            </w:r>
          </w:p>
        </w:tc>
        <w:tc>
          <w:tcPr>
            <w:tcW w:w="2385" w:type="dxa"/>
            <w:vAlign w:val="center"/>
          </w:tcPr>
          <w:p w14:paraId="3EAA7F6F">
            <w:pPr>
              <w:pStyle w:val="25"/>
              <w:spacing w:before="181" w:line="219" w:lineRule="auto"/>
              <w:jc w:val="center"/>
            </w:pPr>
            <w:r>
              <w:rPr>
                <w:b/>
                <w:bCs/>
              </w:rPr>
              <w:t>内容</w:t>
            </w:r>
          </w:p>
        </w:tc>
        <w:tc>
          <w:tcPr>
            <w:tcW w:w="840" w:type="dxa"/>
            <w:vAlign w:val="center"/>
          </w:tcPr>
          <w:p w14:paraId="39E8ECDD">
            <w:pPr>
              <w:pStyle w:val="25"/>
              <w:spacing w:before="181" w:line="220" w:lineRule="auto"/>
              <w:jc w:val="center"/>
            </w:pPr>
            <w:r>
              <w:rPr>
                <w:b/>
                <w:bCs/>
                <w:spacing w:val="-5"/>
              </w:rPr>
              <w:t>单位</w:t>
            </w:r>
          </w:p>
        </w:tc>
        <w:tc>
          <w:tcPr>
            <w:tcW w:w="1035" w:type="dxa"/>
            <w:vAlign w:val="center"/>
          </w:tcPr>
          <w:p w14:paraId="60AE180F">
            <w:pPr>
              <w:pStyle w:val="25"/>
              <w:spacing w:before="179" w:line="218" w:lineRule="auto"/>
              <w:jc w:val="center"/>
            </w:pPr>
            <w:r>
              <w:rPr>
                <w:b/>
                <w:bCs/>
                <w:spacing w:val="6"/>
              </w:rPr>
              <w:t>限价(元)</w:t>
            </w:r>
          </w:p>
        </w:tc>
        <w:tc>
          <w:tcPr>
            <w:tcW w:w="2898" w:type="dxa"/>
            <w:vAlign w:val="center"/>
          </w:tcPr>
          <w:p w14:paraId="3BBB6AD6">
            <w:pPr>
              <w:pStyle w:val="25"/>
              <w:spacing w:before="182" w:line="221" w:lineRule="auto"/>
              <w:jc w:val="center"/>
            </w:pPr>
            <w:r>
              <w:rPr>
                <w:b/>
                <w:bCs/>
                <w:spacing w:val="-6"/>
              </w:rPr>
              <w:t>备注</w:t>
            </w:r>
          </w:p>
        </w:tc>
      </w:tr>
      <w:tr w14:paraId="1BB38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547" w:type="dxa"/>
            <w:vAlign w:val="center"/>
          </w:tcPr>
          <w:p w14:paraId="3F86EF09">
            <w:pPr>
              <w:pStyle w:val="25"/>
              <w:spacing w:before="72" w:line="241" w:lineRule="auto"/>
              <w:jc w:val="center"/>
            </w:pPr>
            <w:r>
              <w:t>1</w:t>
            </w:r>
          </w:p>
        </w:tc>
        <w:tc>
          <w:tcPr>
            <w:tcW w:w="1185" w:type="dxa"/>
            <w:vAlign w:val="center"/>
          </w:tcPr>
          <w:p w14:paraId="5DCF3BE1">
            <w:pPr>
              <w:pStyle w:val="25"/>
              <w:spacing w:before="72" w:line="221" w:lineRule="auto"/>
              <w:jc w:val="center"/>
            </w:pPr>
            <w:r>
              <w:rPr>
                <w:spacing w:val="6"/>
              </w:rPr>
              <w:t>公交站台</w:t>
            </w:r>
          </w:p>
        </w:tc>
        <w:tc>
          <w:tcPr>
            <w:tcW w:w="1524" w:type="dxa"/>
            <w:vAlign w:val="center"/>
          </w:tcPr>
          <w:p w14:paraId="187BD8FA">
            <w:pPr>
              <w:pStyle w:val="25"/>
              <w:spacing w:before="72" w:line="219" w:lineRule="auto"/>
              <w:jc w:val="center"/>
            </w:pPr>
            <w:r>
              <w:rPr>
                <w:spacing w:val="1"/>
              </w:rPr>
              <w:t>玻璃维修更换</w:t>
            </w:r>
          </w:p>
        </w:tc>
        <w:tc>
          <w:tcPr>
            <w:tcW w:w="2385" w:type="dxa"/>
            <w:vAlign w:val="center"/>
          </w:tcPr>
          <w:p w14:paraId="76B2E86D">
            <w:pPr>
              <w:pStyle w:val="25"/>
              <w:spacing w:before="71" w:line="220" w:lineRule="auto"/>
              <w:jc w:val="center"/>
            </w:pPr>
            <w:r>
              <w:rPr>
                <w:spacing w:val="2"/>
              </w:rPr>
              <w:t>6</w:t>
            </w:r>
            <w:r>
              <w:t>mm</w:t>
            </w:r>
            <w:r>
              <w:rPr>
                <w:spacing w:val="2"/>
              </w:rPr>
              <w:t>钢化玻璃</w:t>
            </w:r>
          </w:p>
        </w:tc>
        <w:tc>
          <w:tcPr>
            <w:tcW w:w="840" w:type="dxa"/>
            <w:vAlign w:val="center"/>
          </w:tcPr>
          <w:p w14:paraId="651BE0E1">
            <w:pPr>
              <w:pStyle w:val="25"/>
              <w:spacing w:before="72" w:line="219" w:lineRule="auto"/>
              <w:jc w:val="center"/>
            </w:pPr>
            <w:r>
              <w:rPr>
                <w:spacing w:val="-2"/>
              </w:rPr>
              <w:t>平方米</w:t>
            </w:r>
          </w:p>
        </w:tc>
        <w:tc>
          <w:tcPr>
            <w:tcW w:w="1035" w:type="dxa"/>
            <w:vAlign w:val="center"/>
          </w:tcPr>
          <w:p w14:paraId="6797AE3E">
            <w:pPr>
              <w:pStyle w:val="25"/>
              <w:spacing w:before="72"/>
              <w:jc w:val="center"/>
            </w:pPr>
            <w:r>
              <w:rPr>
                <w:spacing w:val="-3"/>
              </w:rPr>
              <w:t>250</w:t>
            </w:r>
          </w:p>
        </w:tc>
        <w:tc>
          <w:tcPr>
            <w:tcW w:w="2898" w:type="dxa"/>
            <w:vAlign w:val="center"/>
          </w:tcPr>
          <w:p w14:paraId="50BC14B4">
            <w:pPr>
              <w:pStyle w:val="25"/>
              <w:spacing w:before="278" w:line="215" w:lineRule="auto"/>
              <w:ind w:right="4"/>
              <w:jc w:val="left"/>
            </w:pPr>
            <w:r>
              <w:rPr>
                <w:spacing w:val="-1"/>
              </w:rPr>
              <w:t>全市范围公交站台，维修期为</w:t>
            </w:r>
            <w:r>
              <w:t>10天之内，质保期为12个月。</w:t>
            </w:r>
          </w:p>
        </w:tc>
      </w:tr>
      <w:tr w14:paraId="2ED68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547" w:type="dxa"/>
            <w:vMerge w:val="restart"/>
            <w:tcBorders>
              <w:bottom w:val="nil"/>
            </w:tcBorders>
            <w:vAlign w:val="center"/>
          </w:tcPr>
          <w:p w14:paraId="6937EAE3">
            <w:pPr>
              <w:pStyle w:val="25"/>
              <w:spacing w:before="71" w:line="241" w:lineRule="auto"/>
              <w:jc w:val="center"/>
            </w:pPr>
            <w:r>
              <w:t>2</w:t>
            </w:r>
          </w:p>
        </w:tc>
        <w:tc>
          <w:tcPr>
            <w:tcW w:w="1185" w:type="dxa"/>
            <w:vMerge w:val="restart"/>
            <w:tcBorders>
              <w:bottom w:val="nil"/>
            </w:tcBorders>
            <w:vAlign w:val="center"/>
          </w:tcPr>
          <w:p w14:paraId="627B5E32">
            <w:pPr>
              <w:pStyle w:val="25"/>
              <w:spacing w:before="72" w:line="221" w:lineRule="auto"/>
              <w:jc w:val="center"/>
            </w:pPr>
            <w:r>
              <w:rPr>
                <w:spacing w:val="6"/>
              </w:rPr>
              <w:t>公交站台</w:t>
            </w:r>
          </w:p>
        </w:tc>
        <w:tc>
          <w:tcPr>
            <w:tcW w:w="1524" w:type="dxa"/>
            <w:vMerge w:val="restart"/>
            <w:tcBorders>
              <w:bottom w:val="nil"/>
            </w:tcBorders>
            <w:vAlign w:val="center"/>
          </w:tcPr>
          <w:p w14:paraId="2565E0C0">
            <w:pPr>
              <w:pStyle w:val="25"/>
              <w:spacing w:before="71" w:line="219" w:lineRule="auto"/>
              <w:jc w:val="center"/>
            </w:pPr>
            <w:r>
              <w:rPr>
                <w:spacing w:val="1"/>
              </w:rPr>
              <w:t>画面制作发布</w:t>
            </w:r>
          </w:p>
        </w:tc>
        <w:tc>
          <w:tcPr>
            <w:tcW w:w="2385" w:type="dxa"/>
            <w:vAlign w:val="center"/>
          </w:tcPr>
          <w:p w14:paraId="34F6518F">
            <w:pPr>
              <w:pStyle w:val="25"/>
              <w:spacing w:before="161" w:line="219" w:lineRule="auto"/>
              <w:jc w:val="center"/>
            </w:pPr>
            <w:r>
              <w:rPr>
                <w:spacing w:val="-1"/>
              </w:rPr>
              <w:t>户外高清写真黑胶车贴</w:t>
            </w:r>
          </w:p>
        </w:tc>
        <w:tc>
          <w:tcPr>
            <w:tcW w:w="840" w:type="dxa"/>
            <w:vAlign w:val="center"/>
          </w:tcPr>
          <w:p w14:paraId="302DE90F">
            <w:pPr>
              <w:pStyle w:val="25"/>
              <w:spacing w:before="161" w:line="219" w:lineRule="auto"/>
              <w:jc w:val="center"/>
            </w:pPr>
            <w:r>
              <w:rPr>
                <w:spacing w:val="-2"/>
              </w:rPr>
              <w:t>平方米</w:t>
            </w:r>
          </w:p>
        </w:tc>
        <w:tc>
          <w:tcPr>
            <w:tcW w:w="1035" w:type="dxa"/>
            <w:vAlign w:val="center"/>
          </w:tcPr>
          <w:p w14:paraId="3726A3F8">
            <w:pPr>
              <w:pStyle w:val="25"/>
              <w:spacing w:before="182"/>
              <w:jc w:val="center"/>
            </w:pPr>
            <w:r>
              <w:rPr>
                <w:spacing w:val="-7"/>
              </w:rPr>
              <w:t>18</w:t>
            </w:r>
          </w:p>
        </w:tc>
        <w:tc>
          <w:tcPr>
            <w:tcW w:w="2898" w:type="dxa"/>
            <w:vMerge w:val="restart"/>
            <w:tcBorders>
              <w:bottom w:val="nil"/>
            </w:tcBorders>
            <w:vAlign w:val="center"/>
          </w:tcPr>
          <w:p w14:paraId="64D43486">
            <w:pPr>
              <w:pStyle w:val="25"/>
              <w:spacing w:before="278" w:line="215" w:lineRule="auto"/>
              <w:ind w:right="4"/>
              <w:jc w:val="left"/>
              <w:rPr>
                <w:spacing w:val="-1"/>
              </w:rPr>
            </w:pPr>
            <w:r>
              <w:rPr>
                <w:spacing w:val="-1"/>
              </w:rPr>
              <w:t>安装平整，质保期为6个月。</w:t>
            </w:r>
          </w:p>
        </w:tc>
      </w:tr>
      <w:tr w14:paraId="3ADDB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547" w:type="dxa"/>
            <w:vMerge w:val="continue"/>
            <w:tcBorders>
              <w:top w:val="nil"/>
            </w:tcBorders>
            <w:vAlign w:val="center"/>
          </w:tcPr>
          <w:p w14:paraId="7910F661">
            <w:pPr>
              <w:jc w:val="center"/>
              <w:rPr>
                <w:rFonts w:ascii="Arial"/>
                <w:sz w:val="21"/>
              </w:rPr>
            </w:pPr>
          </w:p>
        </w:tc>
        <w:tc>
          <w:tcPr>
            <w:tcW w:w="1185" w:type="dxa"/>
            <w:vMerge w:val="continue"/>
            <w:tcBorders>
              <w:top w:val="nil"/>
            </w:tcBorders>
            <w:vAlign w:val="center"/>
          </w:tcPr>
          <w:p w14:paraId="41FBEBA9">
            <w:pPr>
              <w:jc w:val="center"/>
              <w:rPr>
                <w:rFonts w:ascii="Arial"/>
                <w:sz w:val="21"/>
              </w:rPr>
            </w:pPr>
          </w:p>
        </w:tc>
        <w:tc>
          <w:tcPr>
            <w:tcW w:w="1524" w:type="dxa"/>
            <w:vMerge w:val="continue"/>
            <w:tcBorders>
              <w:top w:val="nil"/>
            </w:tcBorders>
            <w:vAlign w:val="center"/>
          </w:tcPr>
          <w:p w14:paraId="596A8806">
            <w:pPr>
              <w:jc w:val="center"/>
              <w:rPr>
                <w:rFonts w:ascii="Arial"/>
                <w:sz w:val="21"/>
              </w:rPr>
            </w:pPr>
          </w:p>
        </w:tc>
        <w:tc>
          <w:tcPr>
            <w:tcW w:w="2385" w:type="dxa"/>
            <w:vAlign w:val="center"/>
          </w:tcPr>
          <w:p w14:paraId="7E9FD95B">
            <w:pPr>
              <w:pStyle w:val="25"/>
              <w:spacing w:before="160" w:line="219" w:lineRule="auto"/>
              <w:jc w:val="center"/>
            </w:pPr>
            <w:r>
              <w:rPr>
                <w:spacing w:val="1"/>
              </w:rPr>
              <w:t>户外高清加厚喷绘布</w:t>
            </w:r>
          </w:p>
        </w:tc>
        <w:tc>
          <w:tcPr>
            <w:tcW w:w="840" w:type="dxa"/>
            <w:vAlign w:val="center"/>
          </w:tcPr>
          <w:p w14:paraId="1B032D3B">
            <w:pPr>
              <w:pStyle w:val="25"/>
              <w:spacing w:before="162" w:line="219" w:lineRule="auto"/>
              <w:jc w:val="center"/>
            </w:pPr>
            <w:r>
              <w:rPr>
                <w:spacing w:val="-2"/>
              </w:rPr>
              <w:t>平方米</w:t>
            </w:r>
          </w:p>
        </w:tc>
        <w:tc>
          <w:tcPr>
            <w:tcW w:w="1035" w:type="dxa"/>
            <w:vAlign w:val="center"/>
          </w:tcPr>
          <w:p w14:paraId="3BB553C3">
            <w:pPr>
              <w:pStyle w:val="25"/>
              <w:spacing w:before="183"/>
              <w:jc w:val="center"/>
            </w:pPr>
            <w:r>
              <w:rPr>
                <w:spacing w:val="-7"/>
              </w:rPr>
              <w:t>15</w:t>
            </w:r>
          </w:p>
        </w:tc>
        <w:tc>
          <w:tcPr>
            <w:tcW w:w="2898" w:type="dxa"/>
            <w:vMerge w:val="continue"/>
            <w:tcBorders>
              <w:top w:val="nil"/>
            </w:tcBorders>
            <w:vAlign w:val="center"/>
          </w:tcPr>
          <w:p w14:paraId="7636DF01">
            <w:pPr>
              <w:pStyle w:val="25"/>
              <w:spacing w:before="278" w:line="215" w:lineRule="auto"/>
              <w:ind w:right="4"/>
              <w:jc w:val="left"/>
              <w:rPr>
                <w:spacing w:val="-1"/>
              </w:rPr>
            </w:pPr>
          </w:p>
        </w:tc>
      </w:tr>
      <w:tr w14:paraId="3BAD2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547" w:type="dxa"/>
            <w:vAlign w:val="center"/>
          </w:tcPr>
          <w:p w14:paraId="226490C1">
            <w:pPr>
              <w:pStyle w:val="25"/>
              <w:spacing w:before="72"/>
              <w:jc w:val="center"/>
            </w:pPr>
            <w:r>
              <w:t>3</w:t>
            </w:r>
          </w:p>
        </w:tc>
        <w:tc>
          <w:tcPr>
            <w:tcW w:w="1185" w:type="dxa"/>
            <w:vAlign w:val="center"/>
          </w:tcPr>
          <w:p w14:paraId="57E9CEDF">
            <w:pPr>
              <w:pStyle w:val="25"/>
              <w:spacing w:before="71" w:line="220" w:lineRule="auto"/>
              <w:jc w:val="center"/>
            </w:pPr>
            <w:r>
              <w:rPr>
                <w:spacing w:val="2"/>
              </w:rPr>
              <w:t>滚动式灯箱</w:t>
            </w:r>
          </w:p>
        </w:tc>
        <w:tc>
          <w:tcPr>
            <w:tcW w:w="1524" w:type="dxa"/>
            <w:vAlign w:val="center"/>
          </w:tcPr>
          <w:p w14:paraId="71CE2699">
            <w:pPr>
              <w:pStyle w:val="25"/>
              <w:spacing w:before="71" w:line="219" w:lineRule="auto"/>
              <w:jc w:val="center"/>
            </w:pPr>
            <w:r>
              <w:rPr>
                <w:spacing w:val="1"/>
              </w:rPr>
              <w:t>画面制作发布</w:t>
            </w:r>
          </w:p>
        </w:tc>
        <w:tc>
          <w:tcPr>
            <w:tcW w:w="2385" w:type="dxa"/>
            <w:vAlign w:val="center"/>
          </w:tcPr>
          <w:p w14:paraId="77E27184">
            <w:pPr>
              <w:pStyle w:val="25"/>
              <w:spacing w:before="293" w:line="210" w:lineRule="auto"/>
              <w:ind w:right="73"/>
              <w:jc w:val="center"/>
            </w:pPr>
            <w:r>
              <w:rPr>
                <w:spacing w:val="1"/>
              </w:rPr>
              <w:t>112</w:t>
            </w:r>
            <w:r>
              <w:t>cm</w:t>
            </w:r>
            <w:r>
              <w:rPr>
                <w:spacing w:val="1"/>
              </w:rPr>
              <w:t>×162</w:t>
            </w:r>
            <w:r>
              <w:t>cm</w:t>
            </w:r>
            <w:r>
              <w:rPr>
                <w:spacing w:val="1"/>
              </w:rPr>
              <w:t>户外高清</w:t>
            </w:r>
            <w:r>
              <w:rPr>
                <w:spacing w:val="2"/>
              </w:rPr>
              <w:t>写真覆光膜</w:t>
            </w:r>
          </w:p>
        </w:tc>
        <w:tc>
          <w:tcPr>
            <w:tcW w:w="840" w:type="dxa"/>
            <w:vAlign w:val="center"/>
          </w:tcPr>
          <w:p w14:paraId="5F1B2DB3">
            <w:pPr>
              <w:pStyle w:val="25"/>
              <w:spacing w:before="72" w:line="218" w:lineRule="auto"/>
              <w:jc w:val="center"/>
            </w:pPr>
            <w:r>
              <w:t>幅</w:t>
            </w:r>
          </w:p>
        </w:tc>
        <w:tc>
          <w:tcPr>
            <w:tcW w:w="1035" w:type="dxa"/>
            <w:vAlign w:val="center"/>
          </w:tcPr>
          <w:p w14:paraId="3EB2CB20">
            <w:pPr>
              <w:pStyle w:val="25"/>
              <w:spacing w:before="72"/>
              <w:jc w:val="center"/>
            </w:pPr>
            <w:r>
              <w:rPr>
                <w:spacing w:val="-2"/>
              </w:rPr>
              <w:t>40</w:t>
            </w:r>
          </w:p>
        </w:tc>
        <w:tc>
          <w:tcPr>
            <w:tcW w:w="2898" w:type="dxa"/>
            <w:vAlign w:val="center"/>
          </w:tcPr>
          <w:p w14:paraId="4B68AE21">
            <w:pPr>
              <w:pStyle w:val="25"/>
              <w:spacing w:before="278" w:line="215" w:lineRule="auto"/>
              <w:ind w:right="4"/>
              <w:jc w:val="left"/>
              <w:rPr>
                <w:rFonts w:hint="eastAsia"/>
                <w:spacing w:val="-1"/>
                <w:lang w:val="en-US" w:eastAsia="zh-CN"/>
              </w:rPr>
            </w:pPr>
            <w:r>
              <w:rPr>
                <w:spacing w:val="-1"/>
              </w:rPr>
              <w:t>画面留白10cm</w:t>
            </w:r>
            <w:r>
              <w:rPr>
                <w:rFonts w:hint="eastAsia"/>
                <w:spacing w:val="-1"/>
                <w:lang w:eastAsia="zh-CN"/>
              </w:rPr>
              <w:t>，</w:t>
            </w:r>
            <w:r>
              <w:rPr>
                <w:spacing w:val="-1"/>
              </w:rPr>
              <w:t>质保期为6个月。</w:t>
            </w:r>
          </w:p>
        </w:tc>
      </w:tr>
      <w:tr w14:paraId="1568A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547" w:type="dxa"/>
            <w:vAlign w:val="center"/>
          </w:tcPr>
          <w:p w14:paraId="282D4B29">
            <w:pPr>
              <w:pStyle w:val="25"/>
              <w:spacing w:before="71" w:line="241" w:lineRule="auto"/>
              <w:jc w:val="center"/>
            </w:pPr>
            <w:r>
              <w:t>4</w:t>
            </w:r>
          </w:p>
        </w:tc>
        <w:tc>
          <w:tcPr>
            <w:tcW w:w="1185" w:type="dxa"/>
            <w:vAlign w:val="center"/>
          </w:tcPr>
          <w:p w14:paraId="4C45094B">
            <w:pPr>
              <w:pStyle w:val="25"/>
              <w:spacing w:before="72" w:line="219" w:lineRule="auto"/>
              <w:jc w:val="center"/>
            </w:pPr>
            <w:r>
              <w:rPr>
                <w:spacing w:val="5"/>
              </w:rPr>
              <w:t>高炮</w:t>
            </w:r>
          </w:p>
        </w:tc>
        <w:tc>
          <w:tcPr>
            <w:tcW w:w="1524" w:type="dxa"/>
            <w:vAlign w:val="center"/>
          </w:tcPr>
          <w:p w14:paraId="0523EAD0">
            <w:pPr>
              <w:pStyle w:val="25"/>
              <w:spacing w:before="71" w:line="219" w:lineRule="auto"/>
              <w:jc w:val="center"/>
            </w:pPr>
            <w:r>
              <w:rPr>
                <w:spacing w:val="1"/>
              </w:rPr>
              <w:t>画面制作发布</w:t>
            </w:r>
          </w:p>
        </w:tc>
        <w:tc>
          <w:tcPr>
            <w:tcW w:w="2385" w:type="dxa"/>
            <w:vAlign w:val="center"/>
          </w:tcPr>
          <w:p w14:paraId="0B674F2E">
            <w:pPr>
              <w:pStyle w:val="25"/>
              <w:spacing w:before="71" w:line="219" w:lineRule="auto"/>
              <w:jc w:val="center"/>
            </w:pPr>
            <w:r>
              <w:rPr>
                <w:spacing w:val="1"/>
              </w:rPr>
              <w:t>户外高清加厚喷绘布</w:t>
            </w:r>
          </w:p>
        </w:tc>
        <w:tc>
          <w:tcPr>
            <w:tcW w:w="840" w:type="dxa"/>
            <w:vAlign w:val="center"/>
          </w:tcPr>
          <w:p w14:paraId="0A50991E">
            <w:pPr>
              <w:pStyle w:val="25"/>
              <w:spacing w:before="72" w:line="219" w:lineRule="auto"/>
              <w:jc w:val="center"/>
            </w:pPr>
            <w:r>
              <w:rPr>
                <w:spacing w:val="-2"/>
              </w:rPr>
              <w:t>平方米</w:t>
            </w:r>
          </w:p>
        </w:tc>
        <w:tc>
          <w:tcPr>
            <w:tcW w:w="1035" w:type="dxa"/>
            <w:vAlign w:val="center"/>
          </w:tcPr>
          <w:p w14:paraId="64CD2982">
            <w:pPr>
              <w:pStyle w:val="25"/>
              <w:spacing w:before="71" w:line="239" w:lineRule="auto"/>
              <w:jc w:val="center"/>
            </w:pPr>
            <w:r>
              <w:rPr>
                <w:spacing w:val="-5"/>
              </w:rPr>
              <w:t>10.5</w:t>
            </w:r>
          </w:p>
        </w:tc>
        <w:tc>
          <w:tcPr>
            <w:tcW w:w="2898" w:type="dxa"/>
            <w:vAlign w:val="center"/>
          </w:tcPr>
          <w:p w14:paraId="0D45019C">
            <w:pPr>
              <w:pStyle w:val="25"/>
              <w:spacing w:before="293" w:line="193" w:lineRule="auto"/>
              <w:jc w:val="left"/>
            </w:pPr>
            <w:r>
              <w:t>包含安装前原画面的拆除，质保期为6个月。</w:t>
            </w:r>
          </w:p>
        </w:tc>
      </w:tr>
      <w:tr w14:paraId="01A8B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547" w:type="dxa"/>
            <w:vAlign w:val="center"/>
          </w:tcPr>
          <w:p w14:paraId="037ADED9">
            <w:pPr>
              <w:pStyle w:val="25"/>
              <w:spacing w:before="72"/>
              <w:jc w:val="center"/>
            </w:pPr>
            <w:r>
              <w:t>5</w:t>
            </w:r>
          </w:p>
        </w:tc>
        <w:tc>
          <w:tcPr>
            <w:tcW w:w="1185" w:type="dxa"/>
            <w:vAlign w:val="center"/>
          </w:tcPr>
          <w:p w14:paraId="79877F37">
            <w:pPr>
              <w:pStyle w:val="25"/>
              <w:spacing w:before="72" w:line="219" w:lineRule="auto"/>
              <w:jc w:val="center"/>
            </w:pPr>
            <w:r>
              <w:rPr>
                <w:spacing w:val="5"/>
              </w:rPr>
              <w:t>高炮</w:t>
            </w:r>
          </w:p>
        </w:tc>
        <w:tc>
          <w:tcPr>
            <w:tcW w:w="1524" w:type="dxa"/>
            <w:vAlign w:val="center"/>
          </w:tcPr>
          <w:p w14:paraId="152FC45E">
            <w:pPr>
              <w:pStyle w:val="25"/>
              <w:spacing w:before="72" w:line="219" w:lineRule="auto"/>
              <w:jc w:val="center"/>
            </w:pPr>
            <w:r>
              <w:rPr>
                <w:spacing w:val="2"/>
              </w:rPr>
              <w:t>画面拆除</w:t>
            </w:r>
          </w:p>
        </w:tc>
        <w:tc>
          <w:tcPr>
            <w:tcW w:w="2385" w:type="dxa"/>
            <w:vAlign w:val="center"/>
          </w:tcPr>
          <w:p w14:paraId="0E543D5D">
            <w:pPr>
              <w:pStyle w:val="25"/>
              <w:spacing w:before="71" w:line="219" w:lineRule="auto"/>
              <w:jc w:val="center"/>
            </w:pPr>
            <w:r>
              <w:rPr>
                <w:spacing w:val="-2"/>
              </w:rPr>
              <w:t>拆除喷绘布</w:t>
            </w:r>
          </w:p>
        </w:tc>
        <w:tc>
          <w:tcPr>
            <w:tcW w:w="840" w:type="dxa"/>
            <w:vAlign w:val="center"/>
          </w:tcPr>
          <w:p w14:paraId="0501FFE9">
            <w:pPr>
              <w:pStyle w:val="25"/>
              <w:spacing w:before="72" w:line="218" w:lineRule="auto"/>
              <w:jc w:val="center"/>
            </w:pPr>
            <w:r>
              <w:t>幅</w:t>
            </w:r>
          </w:p>
        </w:tc>
        <w:tc>
          <w:tcPr>
            <w:tcW w:w="1035" w:type="dxa"/>
            <w:vAlign w:val="center"/>
          </w:tcPr>
          <w:p w14:paraId="692ADBB7">
            <w:pPr>
              <w:pStyle w:val="25"/>
              <w:spacing w:before="72"/>
              <w:jc w:val="center"/>
            </w:pPr>
            <w:r>
              <w:rPr>
                <w:spacing w:val="-6"/>
              </w:rPr>
              <w:t>180</w:t>
            </w:r>
          </w:p>
        </w:tc>
        <w:tc>
          <w:tcPr>
            <w:tcW w:w="2898" w:type="dxa"/>
            <w:vAlign w:val="center"/>
          </w:tcPr>
          <w:p w14:paraId="36D7D4A3">
            <w:pPr>
              <w:jc w:val="left"/>
              <w:rPr>
                <w:rFonts w:ascii="Arial"/>
                <w:sz w:val="21"/>
              </w:rPr>
            </w:pPr>
          </w:p>
        </w:tc>
      </w:tr>
      <w:tr w14:paraId="17B93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47" w:type="dxa"/>
            <w:vAlign w:val="center"/>
          </w:tcPr>
          <w:p w14:paraId="33148A1D">
            <w:pPr>
              <w:jc w:val="center"/>
              <w:rPr>
                <w:rFonts w:ascii="Arial"/>
                <w:sz w:val="21"/>
              </w:rPr>
            </w:pPr>
          </w:p>
        </w:tc>
        <w:tc>
          <w:tcPr>
            <w:tcW w:w="9867" w:type="dxa"/>
            <w:gridSpan w:val="6"/>
            <w:vAlign w:val="center"/>
          </w:tcPr>
          <w:p w14:paraId="2884A01D">
            <w:pPr>
              <w:pStyle w:val="25"/>
              <w:spacing w:before="266" w:line="211" w:lineRule="auto"/>
              <w:jc w:val="center"/>
            </w:pPr>
            <w:r>
              <w:rPr>
                <w:rFonts w:hint="eastAsia"/>
                <w:lang w:eastAsia="zh-CN"/>
              </w:rPr>
              <w:t>备</w:t>
            </w:r>
            <w:r>
              <w:t>注：1、以上</w:t>
            </w:r>
            <w:r>
              <w:rPr>
                <w:rFonts w:hint="eastAsia"/>
                <w:lang w:eastAsia="zh-CN"/>
              </w:rPr>
              <w:t>限价</w:t>
            </w:r>
            <w:r>
              <w:t>均为综合单价，包括人工、材料、保险、日常维护等一切费用，</w:t>
            </w:r>
            <w:r>
              <w:rPr>
                <w:b w:val="0"/>
                <w:bCs w:val="0"/>
              </w:rPr>
              <w:t>不包括税费。</w:t>
            </w:r>
          </w:p>
          <w:p w14:paraId="2EB24E11">
            <w:pPr>
              <w:pStyle w:val="25"/>
              <w:spacing w:line="219" w:lineRule="auto"/>
              <w:ind w:left="30" w:firstLine="880" w:firstLineChars="400"/>
              <w:jc w:val="both"/>
            </w:pPr>
            <w:r>
              <w:t>2、能配合临时性、紧急性任务。</w:t>
            </w:r>
          </w:p>
        </w:tc>
      </w:tr>
    </w:tbl>
    <w:p w14:paraId="78F72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right="0"/>
        <w:jc w:val="left"/>
        <w:rPr>
          <w:rFonts w:hint="eastAsia" w:ascii="宋体" w:hAnsi="宋体" w:eastAsia="宋体" w:cs="宋体"/>
          <w:sz w:val="24"/>
          <w:szCs w:val="32"/>
          <w:lang w:eastAsia="zh-CN"/>
        </w:rPr>
      </w:pPr>
    </w:p>
    <w:p w14:paraId="5EBE24A4">
      <w:pPr>
        <w:spacing w:line="360" w:lineRule="auto"/>
        <w:rPr>
          <w:rFonts w:hint="eastAsia" w:ascii="宋体" w:hAnsi="宋体" w:eastAsia="宋体" w:cs="宋体"/>
          <w:sz w:val="24"/>
          <w:szCs w:val="32"/>
        </w:rPr>
      </w:pPr>
      <w:r>
        <w:rPr>
          <w:rFonts w:hint="eastAsia" w:ascii="宋体" w:hAnsi="宋体" w:eastAsia="宋体" w:cs="宋体"/>
          <w:sz w:val="24"/>
          <w:szCs w:val="32"/>
        </w:rPr>
        <w:t>说明：</w:t>
      </w:r>
    </w:p>
    <w:p w14:paraId="408BEF39">
      <w:pPr>
        <w:numPr>
          <w:ilvl w:val="0"/>
          <w:numId w:val="0"/>
        </w:numPr>
        <w:spacing w:line="360" w:lineRule="auto"/>
        <w:rPr>
          <w:rFonts w:hint="eastAsia" w:ascii="宋体" w:hAnsi="宋体" w:eastAsia="宋体" w:cs="宋体"/>
          <w:sz w:val="24"/>
          <w:szCs w:val="32"/>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报价超过最高限价的为无效报价。</w:t>
      </w:r>
    </w:p>
    <w:p w14:paraId="1031FD0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供应商资格要求</w:t>
      </w:r>
    </w:p>
    <w:p w14:paraId="7C395B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符合《中华人民共和国政府采购法》第二十二条的规定</w:t>
      </w:r>
      <w:r>
        <w:rPr>
          <w:rFonts w:hint="eastAsia" w:ascii="宋体" w:hAnsi="宋体" w:eastAsia="宋体" w:cs="宋体"/>
          <w:sz w:val="24"/>
          <w:szCs w:val="32"/>
          <w:lang w:eastAsia="zh-CN"/>
        </w:rPr>
        <w:t>。</w:t>
      </w:r>
    </w:p>
    <w:p w14:paraId="330076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具有有效的营业执照</w:t>
      </w:r>
      <w:r>
        <w:rPr>
          <w:rFonts w:hint="eastAsia" w:ascii="宋体" w:hAnsi="宋体" w:eastAsia="宋体" w:cs="宋体"/>
          <w:sz w:val="24"/>
          <w:szCs w:val="32"/>
          <w:lang w:val="en-US" w:eastAsia="zh-CN"/>
        </w:rPr>
        <w:t>。</w:t>
      </w:r>
    </w:p>
    <w:p w14:paraId="04A7C8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3、</w:t>
      </w:r>
      <w:r>
        <w:rPr>
          <w:rFonts w:hint="eastAsia" w:ascii="宋体" w:hAnsi="宋体" w:eastAsia="宋体" w:cs="宋体"/>
          <w:sz w:val="24"/>
          <w:szCs w:val="32"/>
        </w:rPr>
        <w:t>近三年内没有因骗取中标、严重违约、违法经营等问题受到有关部门行政处罚或被暂停投标资格并在暂停期内</w:t>
      </w:r>
      <w:r>
        <w:rPr>
          <w:rFonts w:hint="eastAsia" w:ascii="宋体" w:hAnsi="宋体" w:eastAsia="宋体" w:cs="宋体"/>
          <w:sz w:val="24"/>
          <w:szCs w:val="32"/>
          <w:lang w:eastAsia="zh-CN"/>
        </w:rPr>
        <w:t>。</w:t>
      </w:r>
    </w:p>
    <w:p w14:paraId="737DAA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lang w:val="en-US"/>
        </w:rPr>
        <w:t>本项目招标不接受联合体投标。</w:t>
      </w:r>
    </w:p>
    <w:p w14:paraId="577AB4F2">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三、 报价注意事项</w:t>
      </w:r>
    </w:p>
    <w:p w14:paraId="1692BE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1、供应商应按照本询价公告的要求编制报价文件，报价文件应对本询价公告提出的要求和条件作出实质性响应</w:t>
      </w:r>
      <w:r>
        <w:rPr>
          <w:rFonts w:hint="eastAsia" w:ascii="宋体" w:hAnsi="宋体" w:eastAsia="宋体" w:cs="宋体"/>
          <w:sz w:val="24"/>
          <w:szCs w:val="32"/>
          <w:lang w:eastAsia="zh-CN"/>
        </w:rPr>
        <w:t>，</w:t>
      </w:r>
      <w:r>
        <w:rPr>
          <w:rFonts w:hint="eastAsia" w:ascii="宋体" w:hAnsi="宋体" w:eastAsia="宋体" w:cs="宋体"/>
          <w:sz w:val="24"/>
          <w:szCs w:val="32"/>
        </w:rPr>
        <w:t>否则，按照不响应处理。报价含全部设备及辅材、包装、运杂（运抵现场）、卸货、运输保险、</w:t>
      </w:r>
      <w:r>
        <w:rPr>
          <w:rFonts w:hint="eastAsia" w:ascii="宋体" w:hAnsi="宋体" w:eastAsia="宋体" w:cs="宋体"/>
          <w:sz w:val="24"/>
          <w:szCs w:val="32"/>
          <w:lang w:val="en-US" w:eastAsia="zh-CN"/>
        </w:rPr>
        <w:t>日常维护、</w:t>
      </w:r>
      <w:r>
        <w:rPr>
          <w:rFonts w:hint="eastAsia" w:ascii="宋体" w:hAnsi="宋体" w:eastAsia="宋体" w:cs="宋体"/>
          <w:sz w:val="24"/>
          <w:szCs w:val="32"/>
        </w:rPr>
        <w:t>安装调试、培训、质保售后、税金等一切费用。采购方不接受任何可选择的报</w:t>
      </w:r>
      <w:r>
        <w:rPr>
          <w:rFonts w:hint="eastAsia" w:ascii="宋体" w:hAnsi="宋体" w:eastAsia="宋体" w:cs="宋体"/>
          <w:sz w:val="24"/>
          <w:szCs w:val="32"/>
          <w:highlight w:val="none"/>
        </w:rPr>
        <w:t>价，成交供应商也不得在供货、安装期间提出任何增加费用的要求，更不得减少供货项目，不得降低安装质量。请各供应商在报价时充分考虑各种因素，合同价在合同实施期间不因市场变化因素而变动。</w:t>
      </w:r>
    </w:p>
    <w:p w14:paraId="437B99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2、供应商应详细阅读询价文件的全部内容，供应商对询价文件有异议的，请在递交报价文件截止时间2日前以书面形式（加盖单位公章）递交至采购单位。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有关技术及需求问题，请与采购单位联系。</w:t>
      </w:r>
    </w:p>
    <w:p w14:paraId="4240F6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采购单位：</w:t>
      </w:r>
      <w:r>
        <w:rPr>
          <w:rFonts w:hint="eastAsia" w:ascii="宋体" w:hAnsi="宋体" w:eastAsia="宋体" w:cs="宋体"/>
          <w:sz w:val="24"/>
          <w:szCs w:val="32"/>
          <w:lang w:val="en-US" w:eastAsia="zh-CN"/>
        </w:rPr>
        <w:t>启东江海传媒有限公司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杨先生</w:t>
      </w:r>
    </w:p>
    <w:p w14:paraId="12FBD7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yellow"/>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w:t>
      </w:r>
      <w:r>
        <w:rPr>
          <w:rFonts w:hint="eastAsia" w:ascii="宋体" w:hAnsi="宋体" w:eastAsia="宋体" w:cs="宋体"/>
          <w:sz w:val="24"/>
          <w:szCs w:val="32"/>
          <w:highlight w:val="none"/>
          <w:lang w:val="en-US" w:eastAsia="zh-CN"/>
        </w:rPr>
        <w:t>13584724658</w:t>
      </w:r>
    </w:p>
    <w:p w14:paraId="327286E1">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报价文件构成</w:t>
      </w:r>
    </w:p>
    <w:p w14:paraId="46DBF7D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32"/>
        </w:rPr>
        <w:t>法人代表授权委托书原件及被授权人身份证复印件（按附件1格式填写）；</w:t>
      </w:r>
    </w:p>
    <w:p w14:paraId="2EF08A8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（2）法人身份证复印件；</w:t>
      </w:r>
    </w:p>
    <w:p w14:paraId="21E92AC9">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（3）营业执照复印件；</w:t>
      </w:r>
    </w:p>
    <w:p w14:paraId="52DC5BF6">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（4）诚信承诺函（按附件2格式填写）；</w:t>
      </w:r>
    </w:p>
    <w:p w14:paraId="582270A0">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（5）报价货物技术参数完全响应承诺函（格式自拟，供货时提供技术参数满足要求的证明）；</w:t>
      </w:r>
    </w:p>
    <w:p w14:paraId="17F86268">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（6）质保承诺书（按附件3格式填写）；</w:t>
      </w:r>
    </w:p>
    <w:p w14:paraId="1889DE9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（7）报价表（按附件4格式填写）</w:t>
      </w:r>
      <w:r>
        <w:rPr>
          <w:rFonts w:hint="eastAsia" w:ascii="宋体" w:hAnsi="宋体" w:eastAsia="宋体" w:cs="宋体"/>
          <w:sz w:val="24"/>
          <w:szCs w:val="32"/>
          <w:lang w:eastAsia="zh-CN"/>
        </w:rPr>
        <w:t>；</w:t>
      </w:r>
    </w:p>
    <w:p w14:paraId="305F2F7C">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91E804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ascii="宋体" w:hAnsi="宋体" w:eastAsia="宋体" w:cs="宋体"/>
          <w:sz w:val="24"/>
          <w:szCs w:val="32"/>
          <w:lang w:eastAsia="zh-CN"/>
        </w:rPr>
        <w:t>。</w:t>
      </w:r>
    </w:p>
    <w:p w14:paraId="5C192F8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报价文件递交及开标时间</w:t>
      </w:r>
    </w:p>
    <w:p w14:paraId="2B81897C">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报价文</w:t>
      </w:r>
      <w:r>
        <w:rPr>
          <w:rFonts w:hint="eastAsia" w:ascii="宋体" w:hAnsi="宋体" w:eastAsia="宋体" w:cs="宋体"/>
          <w:sz w:val="24"/>
          <w:szCs w:val="32"/>
          <w:highlight w:val="none"/>
        </w:rPr>
        <w:t>件请于</w:t>
      </w:r>
      <w:r>
        <w:rPr>
          <w:rFonts w:hint="eastAsia" w:ascii="宋体" w:hAnsi="宋体" w:eastAsia="宋体" w:cs="宋体"/>
          <w:b/>
          <w:bCs/>
          <w:sz w:val="24"/>
          <w:szCs w:val="32"/>
          <w:highlight w:val="none"/>
          <w:u w:val="single"/>
          <w:lang w:val="en-US" w:eastAsia="zh-CN"/>
        </w:rPr>
        <w:t>2025</w:t>
      </w:r>
      <w:r>
        <w:rPr>
          <w:rFonts w:hint="eastAsia" w:ascii="宋体" w:hAnsi="宋体" w:eastAsia="宋体" w:cs="宋体"/>
          <w:b/>
          <w:bCs/>
          <w:sz w:val="24"/>
          <w:szCs w:val="32"/>
          <w:highlight w:val="none"/>
        </w:rPr>
        <w:t>年</w:t>
      </w:r>
      <w:r>
        <w:rPr>
          <w:rFonts w:hint="eastAsia" w:ascii="宋体" w:hAnsi="宋体" w:eastAsia="宋体" w:cs="宋体"/>
          <w:b/>
          <w:bCs/>
          <w:sz w:val="24"/>
          <w:szCs w:val="32"/>
          <w:highlight w:val="none"/>
          <w:u w:val="single"/>
          <w:lang w:val="en-US" w:eastAsia="zh-CN"/>
        </w:rPr>
        <w:t>09</w:t>
      </w:r>
      <w:r>
        <w:rPr>
          <w:rFonts w:hint="eastAsia" w:ascii="宋体" w:hAnsi="宋体" w:eastAsia="宋体" w:cs="宋体"/>
          <w:b/>
          <w:bCs/>
          <w:sz w:val="24"/>
          <w:szCs w:val="32"/>
          <w:highlight w:val="none"/>
        </w:rPr>
        <w:t>月</w:t>
      </w:r>
      <w:r>
        <w:rPr>
          <w:rFonts w:hint="eastAsia" w:ascii="宋体" w:hAnsi="宋体" w:eastAsia="宋体" w:cs="宋体"/>
          <w:b/>
          <w:bCs/>
          <w:sz w:val="24"/>
          <w:szCs w:val="32"/>
          <w:highlight w:val="none"/>
          <w:u w:val="single"/>
          <w:lang w:val="en-US" w:eastAsia="zh-CN"/>
        </w:rPr>
        <w:t>11</w:t>
      </w:r>
      <w:r>
        <w:rPr>
          <w:rFonts w:hint="eastAsia" w:ascii="宋体" w:hAnsi="宋体" w:eastAsia="宋体" w:cs="宋体"/>
          <w:b/>
          <w:bCs/>
          <w:sz w:val="24"/>
          <w:szCs w:val="32"/>
          <w:highlight w:val="none"/>
        </w:rPr>
        <w:t>日</w:t>
      </w:r>
      <w:r>
        <w:rPr>
          <w:rFonts w:hint="eastAsia" w:ascii="宋体" w:hAnsi="宋体" w:eastAsia="宋体" w:cs="宋体"/>
          <w:b/>
          <w:bCs/>
          <w:sz w:val="24"/>
          <w:szCs w:val="32"/>
          <w:highlight w:val="none"/>
          <w:lang w:eastAsia="zh-CN"/>
        </w:rPr>
        <w:t>下</w:t>
      </w:r>
      <w:r>
        <w:rPr>
          <w:rFonts w:hint="eastAsia" w:ascii="宋体" w:hAnsi="宋体" w:eastAsia="宋体" w:cs="宋体"/>
          <w:b/>
          <w:bCs/>
          <w:sz w:val="24"/>
          <w:szCs w:val="32"/>
          <w:highlight w:val="none"/>
        </w:rPr>
        <w:t>午</w:t>
      </w:r>
      <w:r>
        <w:rPr>
          <w:rFonts w:hint="eastAsia" w:ascii="宋体" w:hAnsi="宋体" w:eastAsia="宋体" w:cs="宋体"/>
          <w:b/>
          <w:bCs/>
          <w:sz w:val="24"/>
          <w:szCs w:val="32"/>
          <w:highlight w:val="none"/>
          <w:u w:val="single"/>
          <w:lang w:val="en-US" w:eastAsia="zh-CN"/>
        </w:rPr>
        <w:t>15:00</w:t>
      </w:r>
      <w:r>
        <w:rPr>
          <w:rFonts w:hint="eastAsia" w:ascii="宋体" w:hAnsi="宋体" w:eastAsia="宋体" w:cs="宋体"/>
          <w:sz w:val="24"/>
          <w:szCs w:val="32"/>
          <w:highlight w:val="none"/>
        </w:rPr>
        <w:t>截止前密封邮寄至</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江苏省</w:t>
      </w:r>
      <w:r>
        <w:rPr>
          <w:rFonts w:hint="eastAsia" w:ascii="宋体" w:hAnsi="宋体" w:eastAsia="宋体" w:cs="宋体"/>
          <w:sz w:val="24"/>
          <w:szCs w:val="32"/>
          <w:highlight w:val="none"/>
          <w:lang w:eastAsia="zh-CN"/>
        </w:rPr>
        <w:t>启东市公园南路</w:t>
      </w:r>
      <w:r>
        <w:rPr>
          <w:rFonts w:hint="eastAsia" w:ascii="宋体" w:hAnsi="宋体" w:eastAsia="宋体" w:cs="宋体"/>
          <w:sz w:val="24"/>
          <w:szCs w:val="32"/>
          <w:highlight w:val="none"/>
          <w:lang w:val="en-US" w:eastAsia="zh-CN"/>
        </w:rPr>
        <w:t>200号启晟大厦前台 (收件人：李女士，</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lang w:val="en-US" w:eastAsia="zh-CN"/>
        </w:rPr>
        <w:t>0513-80920515</w:t>
      </w:r>
      <w:r>
        <w:rPr>
          <w:rFonts w:hint="eastAsia" w:ascii="宋体" w:hAnsi="宋体" w:eastAsia="宋体" w:cs="宋体"/>
          <w:sz w:val="24"/>
          <w:szCs w:val="32"/>
          <w:highlight w:val="none"/>
        </w:rPr>
        <w:t>)。</w:t>
      </w:r>
    </w:p>
    <w:p w14:paraId="454D1327">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b w:val="0"/>
          <w:bCs w:val="0"/>
          <w:sz w:val="24"/>
          <w:szCs w:val="32"/>
          <w:highlight w:val="none"/>
          <w:u w:val="none"/>
        </w:rPr>
        <w:t>开标时间：</w:t>
      </w:r>
      <w:r>
        <w:rPr>
          <w:rFonts w:hint="eastAsia" w:ascii="宋体" w:hAnsi="宋体" w:eastAsia="宋体" w:cs="宋体"/>
          <w:b w:val="0"/>
          <w:bCs w:val="0"/>
          <w:sz w:val="24"/>
          <w:szCs w:val="32"/>
          <w:highlight w:val="none"/>
          <w:u w:val="none"/>
          <w:lang w:val="en-US" w:eastAsia="zh-CN"/>
        </w:rPr>
        <w:t>2025</w:t>
      </w:r>
      <w:r>
        <w:rPr>
          <w:rFonts w:hint="eastAsia" w:ascii="宋体" w:hAnsi="宋体" w:eastAsia="宋体" w:cs="宋体"/>
          <w:b w:val="0"/>
          <w:bCs w:val="0"/>
          <w:sz w:val="24"/>
          <w:szCs w:val="32"/>
          <w:highlight w:val="none"/>
          <w:u w:val="none"/>
        </w:rPr>
        <w:t>年</w:t>
      </w:r>
      <w:r>
        <w:rPr>
          <w:rFonts w:hint="eastAsia" w:ascii="宋体" w:hAnsi="宋体" w:eastAsia="宋体" w:cs="宋体"/>
          <w:b w:val="0"/>
          <w:bCs w:val="0"/>
          <w:sz w:val="24"/>
          <w:szCs w:val="32"/>
          <w:highlight w:val="none"/>
          <w:u w:val="none"/>
          <w:lang w:val="en-US" w:eastAsia="zh-CN"/>
        </w:rPr>
        <w:t>09</w:t>
      </w:r>
      <w:r>
        <w:rPr>
          <w:rFonts w:hint="eastAsia" w:ascii="宋体" w:hAnsi="宋体" w:eastAsia="宋体" w:cs="宋体"/>
          <w:b w:val="0"/>
          <w:bCs w:val="0"/>
          <w:sz w:val="24"/>
          <w:szCs w:val="32"/>
          <w:highlight w:val="none"/>
          <w:u w:val="none"/>
        </w:rPr>
        <w:t>月</w:t>
      </w:r>
      <w:r>
        <w:rPr>
          <w:rFonts w:hint="eastAsia" w:ascii="宋体" w:hAnsi="宋体" w:eastAsia="宋体" w:cs="宋体"/>
          <w:b w:val="0"/>
          <w:bCs w:val="0"/>
          <w:sz w:val="24"/>
          <w:szCs w:val="32"/>
          <w:highlight w:val="none"/>
          <w:u w:val="none"/>
          <w:lang w:val="en-US" w:eastAsia="zh-CN"/>
        </w:rPr>
        <w:t>11</w:t>
      </w:r>
      <w:r>
        <w:rPr>
          <w:rFonts w:hint="eastAsia" w:ascii="宋体" w:hAnsi="宋体" w:eastAsia="宋体" w:cs="宋体"/>
          <w:b w:val="0"/>
          <w:bCs w:val="0"/>
          <w:sz w:val="24"/>
          <w:szCs w:val="32"/>
          <w:highlight w:val="none"/>
          <w:u w:val="none"/>
        </w:rPr>
        <w:t>日</w:t>
      </w:r>
      <w:r>
        <w:rPr>
          <w:rFonts w:hint="eastAsia" w:ascii="宋体" w:hAnsi="宋体" w:eastAsia="宋体" w:cs="宋体"/>
          <w:b w:val="0"/>
          <w:bCs w:val="0"/>
          <w:sz w:val="24"/>
          <w:szCs w:val="32"/>
          <w:highlight w:val="none"/>
          <w:u w:val="none"/>
          <w:lang w:val="en-US" w:eastAsia="zh-CN"/>
        </w:rPr>
        <w:t xml:space="preserve">下午15:00 </w:t>
      </w:r>
    </w:p>
    <w:p w14:paraId="14A72244">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开标地点：江苏</w:t>
      </w:r>
      <w:r>
        <w:rPr>
          <w:rFonts w:hint="eastAsia" w:ascii="宋体" w:hAnsi="宋体" w:eastAsia="宋体" w:cs="宋体"/>
          <w:sz w:val="24"/>
          <w:szCs w:val="32"/>
          <w:lang w:eastAsia="zh-CN"/>
        </w:rPr>
        <w:t>启晟</w:t>
      </w:r>
      <w:r>
        <w:rPr>
          <w:rFonts w:hint="eastAsia" w:ascii="宋体" w:hAnsi="宋体" w:eastAsia="宋体" w:cs="宋体"/>
          <w:sz w:val="24"/>
          <w:szCs w:val="32"/>
        </w:rPr>
        <w:t>集团有限公司</w:t>
      </w:r>
      <w:r>
        <w:rPr>
          <w:rFonts w:hint="eastAsia" w:ascii="宋体" w:hAnsi="宋体" w:eastAsia="宋体" w:cs="宋体"/>
          <w:sz w:val="24"/>
          <w:szCs w:val="32"/>
          <w:lang w:eastAsia="zh-CN"/>
        </w:rPr>
        <w:t>集采中心</w:t>
      </w:r>
      <w:r>
        <w:rPr>
          <w:rFonts w:hint="eastAsia" w:ascii="宋体" w:hAnsi="宋体" w:eastAsia="宋体" w:cs="宋体"/>
          <w:sz w:val="24"/>
          <w:szCs w:val="32"/>
        </w:rPr>
        <w:t>开标室</w:t>
      </w:r>
    </w:p>
    <w:p w14:paraId="1D0116F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875DD98">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报价保证金</w:t>
      </w:r>
      <w:r>
        <w:rPr>
          <w:rFonts w:hint="eastAsia" w:ascii="宋体" w:hAnsi="宋体" w:eastAsia="宋体" w:cs="宋体"/>
          <w:sz w:val="24"/>
          <w:szCs w:val="32"/>
          <w:lang w:eastAsia="zh-CN"/>
        </w:rPr>
        <w:t>：</w:t>
      </w:r>
      <w:r>
        <w:rPr>
          <w:rFonts w:hint="eastAsia" w:ascii="宋体" w:hAnsi="宋体" w:eastAsia="宋体" w:cs="宋体"/>
          <w:sz w:val="24"/>
          <w:szCs w:val="32"/>
        </w:rPr>
        <w:t>本项目不收取报价保证金。</w:t>
      </w:r>
    </w:p>
    <w:p w14:paraId="33E2BEF0">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四、</w:t>
      </w:r>
      <w:r>
        <w:rPr>
          <w:rFonts w:hint="eastAsia" w:ascii="宋体" w:hAnsi="宋体" w:eastAsia="宋体" w:cs="宋体"/>
          <w:sz w:val="24"/>
          <w:szCs w:val="32"/>
        </w:rPr>
        <w:t>商务部分要求</w:t>
      </w:r>
    </w:p>
    <w:p w14:paraId="006436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质量要求：供应商须提供符合采购需求、符合国家质量检测标准和行业标准的全新原装合格产品，并提供设备出厂合格证明及售后保修卡等相关资料，同时供货时须提供技术参数符合要求的相关证明资料，如无法提供视为验收不合格。</w:t>
      </w:r>
    </w:p>
    <w:p w14:paraId="3615A2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质保、售后服务要求：</w:t>
      </w:r>
      <w:r>
        <w:rPr>
          <w:rFonts w:hint="eastAsia" w:ascii="宋体" w:hAnsi="宋体" w:eastAsia="宋体" w:cs="宋体"/>
          <w:sz w:val="24"/>
          <w:szCs w:val="32"/>
          <w:highlight w:val="none"/>
        </w:rPr>
        <w:t>提供全免费质保</w:t>
      </w:r>
      <w:r>
        <w:rPr>
          <w:rFonts w:hint="eastAsia" w:ascii="宋体" w:hAnsi="宋体" w:eastAsia="宋体" w:cs="宋体"/>
          <w:sz w:val="24"/>
          <w:szCs w:val="32"/>
        </w:rPr>
        <w:t>（配件+人工）</w:t>
      </w:r>
      <w:r>
        <w:rPr>
          <w:rFonts w:hint="eastAsia" w:ascii="宋体" w:hAnsi="宋体" w:eastAsia="宋体" w:cs="宋体"/>
          <w:sz w:val="24"/>
          <w:szCs w:val="32"/>
          <w:lang w:eastAsia="zh-CN"/>
        </w:rPr>
        <w:t>，</w:t>
      </w:r>
      <w:r>
        <w:rPr>
          <w:rFonts w:hint="eastAsia" w:ascii="宋体" w:hAnsi="宋体" w:eastAsia="宋体" w:cs="宋体"/>
          <w:sz w:val="24"/>
          <w:szCs w:val="32"/>
        </w:rPr>
        <w:t>如果货物原厂承诺的保修期高于国家规定的保修期，则按原厂承诺的执行。质保期内成交供应商在接到用户单位电话维修通知后，须在24小时内到场并免费修复，确保不影响用户单位实际使用。质保期内同一质量问题连续两次维修仍无法正常使用，成交供应商应无条件给予全套更新，否则按违约处理，记入不良信誉。</w:t>
      </w:r>
    </w:p>
    <w:p w14:paraId="4F6C6F72">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五、</w:t>
      </w:r>
      <w:r>
        <w:rPr>
          <w:rFonts w:hint="eastAsia" w:ascii="宋体" w:hAnsi="宋体" w:eastAsia="宋体" w:cs="宋体"/>
          <w:sz w:val="24"/>
          <w:szCs w:val="32"/>
        </w:rPr>
        <w:t>合同的签订及注意事项：</w:t>
      </w:r>
    </w:p>
    <w:p w14:paraId="16F343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604DAE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61EB11BD">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六、成交原则</w:t>
      </w:r>
    </w:p>
    <w:p w14:paraId="648B68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符合采购需求，</w:t>
      </w:r>
      <w:r>
        <w:rPr>
          <w:rFonts w:hint="eastAsia" w:ascii="宋体" w:hAnsi="宋体" w:eastAsia="宋体" w:cs="宋体"/>
          <w:sz w:val="24"/>
          <w:szCs w:val="32"/>
          <w:lang w:eastAsia="zh-CN"/>
        </w:rPr>
        <w:t>不含税</w:t>
      </w:r>
      <w:r>
        <w:rPr>
          <w:rFonts w:hint="eastAsia" w:ascii="宋体" w:hAnsi="宋体" w:eastAsia="宋体" w:cs="宋体"/>
          <w:sz w:val="24"/>
          <w:szCs w:val="32"/>
        </w:rPr>
        <w:t>报价最低者成交；如有报价相同，则通过抽签确定成交候选人。</w:t>
      </w:r>
    </w:p>
    <w:p w14:paraId="39A321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投标单位需满三家。</w:t>
      </w:r>
    </w:p>
    <w:p w14:paraId="6638E3B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七、付款方式</w:t>
      </w:r>
      <w:bookmarkStart w:id="0" w:name="_GoBack"/>
      <w:bookmarkEnd w:id="0"/>
    </w:p>
    <w:p w14:paraId="77C831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FF0000"/>
          <w:sz w:val="24"/>
          <w:szCs w:val="32"/>
          <w:lang w:val="en-US" w:eastAsia="zh-CN"/>
        </w:rPr>
      </w:pPr>
      <w:r>
        <w:rPr>
          <w:rFonts w:hint="eastAsia" w:ascii="宋体" w:hAnsi="宋体" w:eastAsia="宋体" w:cs="宋体"/>
          <w:color w:val="FF0000"/>
          <w:sz w:val="24"/>
          <w:szCs w:val="32"/>
        </w:rPr>
        <w:t xml:space="preserve"> </w:t>
      </w:r>
      <w:r>
        <w:rPr>
          <w:rFonts w:hint="eastAsia" w:ascii="宋体" w:hAnsi="宋体" w:eastAsia="宋体" w:cs="宋体"/>
          <w:color w:val="auto"/>
          <w:sz w:val="24"/>
          <w:szCs w:val="32"/>
          <w:lang w:val="en-US" w:eastAsia="zh-CN"/>
        </w:rPr>
        <w:t>费用结算以实际制作清单为准，验收合格后凭成交供应商提供的有效增值税专用发票，按季度结算。</w:t>
      </w:r>
    </w:p>
    <w:p w14:paraId="212CDC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3AD7F63F">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7B9490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55E52B6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启东江海传媒有限公司</w:t>
      </w:r>
    </w:p>
    <w:p w14:paraId="6267308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2025</w:t>
      </w:r>
      <w:r>
        <w:rPr>
          <w:rFonts w:hint="eastAsia" w:ascii="宋体" w:hAnsi="宋体" w:eastAsia="宋体" w:cs="宋体"/>
          <w:sz w:val="24"/>
          <w:szCs w:val="32"/>
          <w:highlight w:val="none"/>
        </w:rPr>
        <w:t>年</w:t>
      </w:r>
      <w:r>
        <w:rPr>
          <w:rFonts w:hint="eastAsia" w:ascii="宋体" w:hAnsi="宋体" w:eastAsia="宋体" w:cs="宋体"/>
          <w:sz w:val="24"/>
          <w:szCs w:val="32"/>
          <w:highlight w:val="none"/>
          <w:lang w:val="en-US" w:eastAsia="zh-CN"/>
        </w:rPr>
        <w:t>09</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05</w:t>
      </w:r>
      <w:r>
        <w:rPr>
          <w:rFonts w:hint="eastAsia" w:ascii="宋体" w:hAnsi="宋体" w:eastAsia="宋体" w:cs="宋体"/>
          <w:sz w:val="24"/>
          <w:szCs w:val="32"/>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9B4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383C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1383C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12A"/>
    <w:rsid w:val="0259629F"/>
    <w:rsid w:val="04573FFD"/>
    <w:rsid w:val="05872FAB"/>
    <w:rsid w:val="05DE75CE"/>
    <w:rsid w:val="07A5743E"/>
    <w:rsid w:val="09FC6C3A"/>
    <w:rsid w:val="0EAF5410"/>
    <w:rsid w:val="0FF245EB"/>
    <w:rsid w:val="13386C1E"/>
    <w:rsid w:val="13390B1A"/>
    <w:rsid w:val="17824D2F"/>
    <w:rsid w:val="18344781"/>
    <w:rsid w:val="189746FE"/>
    <w:rsid w:val="1B826FFA"/>
    <w:rsid w:val="1E2642CF"/>
    <w:rsid w:val="22E54BA9"/>
    <w:rsid w:val="23182955"/>
    <w:rsid w:val="266D01A2"/>
    <w:rsid w:val="294947E5"/>
    <w:rsid w:val="296C74E1"/>
    <w:rsid w:val="2A135BAE"/>
    <w:rsid w:val="2AB6159E"/>
    <w:rsid w:val="2D4B7676"/>
    <w:rsid w:val="2E1C04AA"/>
    <w:rsid w:val="2E291E44"/>
    <w:rsid w:val="304F751B"/>
    <w:rsid w:val="323A2127"/>
    <w:rsid w:val="323C7C18"/>
    <w:rsid w:val="34C80ADD"/>
    <w:rsid w:val="35C02D69"/>
    <w:rsid w:val="383C3143"/>
    <w:rsid w:val="3D516CC2"/>
    <w:rsid w:val="3F84751D"/>
    <w:rsid w:val="405E7C9B"/>
    <w:rsid w:val="41D852BC"/>
    <w:rsid w:val="42485A45"/>
    <w:rsid w:val="44FE772F"/>
    <w:rsid w:val="451F3201"/>
    <w:rsid w:val="45C10B4B"/>
    <w:rsid w:val="46E30305"/>
    <w:rsid w:val="497F54EC"/>
    <w:rsid w:val="4B1D3871"/>
    <w:rsid w:val="4C510646"/>
    <w:rsid w:val="4D7E765F"/>
    <w:rsid w:val="505A46D7"/>
    <w:rsid w:val="56E94A7A"/>
    <w:rsid w:val="588C0756"/>
    <w:rsid w:val="59B92BF4"/>
    <w:rsid w:val="5BDB00C7"/>
    <w:rsid w:val="5BDE3CB3"/>
    <w:rsid w:val="5D275545"/>
    <w:rsid w:val="61B0665D"/>
    <w:rsid w:val="63C27722"/>
    <w:rsid w:val="668D2F14"/>
    <w:rsid w:val="668F2A3A"/>
    <w:rsid w:val="67BC2E06"/>
    <w:rsid w:val="689A7DBD"/>
    <w:rsid w:val="72D4094B"/>
    <w:rsid w:val="735955DB"/>
    <w:rsid w:val="73E607BC"/>
    <w:rsid w:val="74E724EC"/>
    <w:rsid w:val="7CF6426C"/>
    <w:rsid w:val="7DC900B8"/>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TML Definition"/>
    <w:basedOn w:val="8"/>
    <w:qFormat/>
    <w:uiPriority w:val="0"/>
  </w:style>
  <w:style w:type="character" w:styleId="12">
    <w:name w:val="HTML Typewriter"/>
    <w:basedOn w:val="8"/>
    <w:qFormat/>
    <w:uiPriority w:val="0"/>
    <w:rPr>
      <w:rFonts w:hint="default" w:ascii="monospace" w:hAnsi="monospace" w:eastAsia="monospace" w:cs="monospace"/>
      <w:sz w:val="20"/>
    </w:rPr>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hint="default" w:ascii="monospace" w:hAnsi="monospace" w:eastAsia="monospace" w:cs="monospace"/>
      <w:sz w:val="20"/>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0"/>
    </w:rPr>
  </w:style>
  <w:style w:type="character" w:styleId="19">
    <w:name w:val="HTML Sample"/>
    <w:basedOn w:val="8"/>
    <w:qFormat/>
    <w:uiPriority w:val="0"/>
    <w:rPr>
      <w:rFonts w:ascii="monospace" w:hAnsi="monospace" w:eastAsia="monospace" w:cs="monospace"/>
    </w:rPr>
  </w:style>
  <w:style w:type="character" w:customStyle="1" w:styleId="20">
    <w:name w:val="layui-this"/>
    <w:basedOn w:val="8"/>
    <w:qFormat/>
    <w:uiPriority w:val="0"/>
    <w:rPr>
      <w:bdr w:val="single" w:color="EEEEEE" w:sz="6" w:space="0"/>
      <w:shd w:val="clear" w:fill="FFFFFF"/>
    </w:rPr>
  </w:style>
  <w:style w:type="character" w:customStyle="1" w:styleId="21">
    <w:name w:val="first-child"/>
    <w:basedOn w:val="8"/>
    <w:qFormat/>
    <w:uiPriority w:val="0"/>
  </w:style>
  <w:style w:type="character" w:customStyle="1" w:styleId="22">
    <w:name w:val="hover3"/>
    <w:basedOn w:val="8"/>
    <w:qFormat/>
    <w:uiPriority w:val="0"/>
    <w:rPr>
      <w:color w:val="5FB878"/>
    </w:rPr>
  </w:style>
  <w:style w:type="character" w:customStyle="1" w:styleId="23">
    <w:name w:val="hover4"/>
    <w:basedOn w:val="8"/>
    <w:qFormat/>
    <w:uiPriority w:val="0"/>
    <w:rPr>
      <w:color w:val="5FB878"/>
    </w:rPr>
  </w:style>
  <w:style w:type="character" w:customStyle="1" w:styleId="24">
    <w:name w:val="hover5"/>
    <w:basedOn w:val="8"/>
    <w:qFormat/>
    <w:uiPriority w:val="0"/>
    <w:rPr>
      <w:color w:val="FFFFFF"/>
    </w:rPr>
  </w:style>
  <w:style w:type="paragraph" w:customStyle="1" w:styleId="25">
    <w:name w:val="Table Text"/>
    <w:basedOn w:val="1"/>
    <w:semiHidden/>
    <w:qFormat/>
    <w:uiPriority w:val="0"/>
    <w:rPr>
      <w:rFonts w:ascii="宋体" w:hAnsi="宋体" w:eastAsia="宋体" w:cs="宋体"/>
      <w:sz w:val="22"/>
      <w:szCs w:val="22"/>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1953</Words>
  <Characters>2027</Characters>
  <Lines>0</Lines>
  <Paragraphs>0</Paragraphs>
  <TotalTime>29</TotalTime>
  <ScaleCrop>false</ScaleCrop>
  <LinksUpToDate>false</LinksUpToDate>
  <CharactersWithSpaces>2033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2025-09-04T08:31:27Z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eyJoZGlkIjoiN2JjYTk1ZGI5ODBjMGI1ODI5YWM1YWRiYzliMjUyYmQiLCJ1c2VySWQiOiI0Njg4ODY0ODUifQ==</vt:lpwstr>
  </property>
  <property fmtid="{D5CDD505-2E9C-101B-9397-08002B2CF9AE}" pid="4" name="ICV">
    <vt:lpwstr>F7BED1A6D93C46F08F288EAF7A158BC0_13</vt:lpwstr>
  </property>
</Properties>
</file>