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6F28">
      <w:pPr>
        <w:autoSpaceDE w:val="0"/>
        <w:autoSpaceDN w:val="0"/>
        <w:adjustRightInd w:val="0"/>
        <w:spacing w:line="312" w:lineRule="auto"/>
        <w:ind w:firstLine="859"/>
        <w:jc w:val="center"/>
        <w:rPr>
          <w:rFonts w:ascii="宋体" w:hAnsi="宋体" w:cs="宋体"/>
          <w:b/>
          <w:color w:val="auto"/>
          <w:spacing w:val="-6"/>
          <w:sz w:val="44"/>
          <w:szCs w:val="44"/>
          <w:highlight w:val="none"/>
        </w:rPr>
      </w:pPr>
      <w:bookmarkStart w:id="59" w:name="_GoBack"/>
      <w:bookmarkEnd w:id="59"/>
    </w:p>
    <w:p w14:paraId="57A67BA4">
      <w:pPr>
        <w:autoSpaceDE w:val="0"/>
        <w:autoSpaceDN w:val="0"/>
        <w:adjustRightInd w:val="0"/>
        <w:spacing w:line="312"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rPr>
        <w:t>启东吕四港集团西港池管理楼服务楼消防维保项目</w:t>
      </w:r>
      <w:r>
        <w:rPr>
          <w:rFonts w:hint="eastAsia" w:ascii="宋体" w:hAnsi="宋体" w:cs="宋体"/>
          <w:b/>
          <w:color w:val="auto"/>
          <w:sz w:val="48"/>
          <w:szCs w:val="48"/>
          <w:highlight w:val="none"/>
          <w:lang w:eastAsia="zh-CN"/>
        </w:rPr>
        <w:t>（三次）</w:t>
      </w:r>
    </w:p>
    <w:p w14:paraId="65983075">
      <w:pPr>
        <w:autoSpaceDE w:val="0"/>
        <w:autoSpaceDN w:val="0"/>
        <w:adjustRightInd w:val="0"/>
        <w:spacing w:line="312" w:lineRule="auto"/>
        <w:ind w:firstLine="1004" w:firstLineChars="100"/>
        <w:rPr>
          <w:rFonts w:ascii="宋体" w:hAnsi="宋体" w:cs="宋体"/>
          <w:b/>
          <w:bCs/>
          <w:color w:val="auto"/>
          <w:sz w:val="100"/>
          <w:szCs w:val="100"/>
          <w:highlight w:val="none"/>
          <w:lang w:val="zh-CN"/>
        </w:rPr>
      </w:pPr>
    </w:p>
    <w:p w14:paraId="53801A64">
      <w:pPr>
        <w:autoSpaceDE w:val="0"/>
        <w:autoSpaceDN w:val="0"/>
        <w:adjustRightInd w:val="0"/>
        <w:spacing w:line="312" w:lineRule="auto"/>
        <w:ind w:firstLine="1004" w:firstLineChars="100"/>
        <w:rPr>
          <w:rFonts w:ascii="宋体" w:hAnsi="宋体" w:cs="宋体"/>
          <w:b/>
          <w:color w:val="auto"/>
          <w:sz w:val="44"/>
          <w:szCs w:val="44"/>
          <w:highlight w:val="none"/>
          <w:lang w:val="zh-CN"/>
        </w:rPr>
      </w:pPr>
      <w:r>
        <w:rPr>
          <w:rFonts w:hint="eastAsia" w:ascii="宋体" w:hAnsi="宋体" w:cs="宋体"/>
          <w:b/>
          <w:bCs/>
          <w:color w:val="auto"/>
          <w:sz w:val="100"/>
          <w:szCs w:val="100"/>
          <w:highlight w:val="none"/>
          <w:lang w:val="zh-CN"/>
        </w:rPr>
        <w:t>采购询价文件</w:t>
      </w:r>
    </w:p>
    <w:p w14:paraId="249F44C4">
      <w:pPr>
        <w:autoSpaceDE w:val="0"/>
        <w:autoSpaceDN w:val="0"/>
        <w:adjustRightInd w:val="0"/>
        <w:spacing w:line="312" w:lineRule="auto"/>
        <w:ind w:firstLine="361" w:firstLineChars="100"/>
        <w:jc w:val="left"/>
        <w:rPr>
          <w:rFonts w:ascii="宋体" w:hAnsi="宋体" w:cs="宋体"/>
          <w:b/>
          <w:color w:val="auto"/>
          <w:sz w:val="36"/>
          <w:szCs w:val="36"/>
          <w:highlight w:val="none"/>
        </w:rPr>
      </w:pPr>
    </w:p>
    <w:p w14:paraId="5EEE17A5">
      <w:pPr>
        <w:autoSpaceDE w:val="0"/>
        <w:autoSpaceDN w:val="0"/>
        <w:adjustRightInd w:val="0"/>
        <w:spacing w:line="312" w:lineRule="auto"/>
        <w:ind w:firstLine="1446" w:firstLineChars="400"/>
        <w:jc w:val="left"/>
        <w:rPr>
          <w:rFonts w:ascii="宋体" w:hAnsi="宋体" w:cs="宋体"/>
          <w:b/>
          <w:color w:val="auto"/>
          <w:sz w:val="36"/>
          <w:szCs w:val="36"/>
          <w:highlight w:val="none"/>
        </w:rPr>
      </w:pPr>
    </w:p>
    <w:p w14:paraId="47D04B59">
      <w:pPr>
        <w:pStyle w:val="8"/>
        <w:rPr>
          <w:rFonts w:ascii="宋体" w:hAnsi="宋体" w:cs="宋体"/>
          <w:color w:val="auto"/>
          <w:highlight w:val="none"/>
          <w:lang w:val="zh-CN"/>
        </w:rPr>
      </w:pPr>
    </w:p>
    <w:p w14:paraId="05D0C076">
      <w:pPr>
        <w:rPr>
          <w:rFonts w:ascii="宋体" w:hAnsi="宋体" w:cs="宋体"/>
          <w:color w:val="auto"/>
          <w:highlight w:val="none"/>
          <w:lang w:val="zh-CN"/>
        </w:rPr>
      </w:pPr>
    </w:p>
    <w:p w14:paraId="194091DD">
      <w:pPr>
        <w:pStyle w:val="8"/>
        <w:rPr>
          <w:rFonts w:ascii="宋体" w:hAnsi="宋体" w:cs="宋体"/>
          <w:color w:val="auto"/>
          <w:highlight w:val="none"/>
          <w:lang w:val="zh-CN"/>
        </w:rPr>
      </w:pPr>
    </w:p>
    <w:p w14:paraId="1CD44D7E">
      <w:pPr>
        <w:rPr>
          <w:rFonts w:ascii="宋体" w:hAnsi="宋体" w:cs="宋体"/>
          <w:color w:val="auto"/>
          <w:highlight w:val="none"/>
          <w:lang w:val="zh-CN"/>
        </w:rPr>
      </w:pPr>
    </w:p>
    <w:p w14:paraId="1101F655">
      <w:pPr>
        <w:pStyle w:val="8"/>
        <w:rPr>
          <w:color w:val="auto"/>
          <w:highlight w:val="none"/>
          <w:lang w:val="zh-CN"/>
        </w:rPr>
      </w:pPr>
    </w:p>
    <w:p w14:paraId="54764D0F">
      <w:pPr>
        <w:autoSpaceDE w:val="0"/>
        <w:autoSpaceDN w:val="0"/>
        <w:adjustRightInd w:val="0"/>
        <w:spacing w:line="312" w:lineRule="auto"/>
        <w:ind w:firstLine="723"/>
        <w:rPr>
          <w:rFonts w:ascii="宋体" w:hAnsi="宋体" w:cs="宋体"/>
          <w:b/>
          <w:bCs/>
          <w:color w:val="auto"/>
          <w:sz w:val="36"/>
          <w:szCs w:val="36"/>
          <w:highlight w:val="none"/>
          <w:lang w:val="zh-CN"/>
        </w:rPr>
      </w:pPr>
    </w:p>
    <w:p w14:paraId="1666902A">
      <w:pPr>
        <w:pStyle w:val="8"/>
        <w:rPr>
          <w:rFonts w:ascii="宋体" w:hAnsi="宋体" w:cs="宋体"/>
          <w:color w:val="auto"/>
          <w:highlight w:val="none"/>
          <w:lang w:val="zh-CN"/>
        </w:rPr>
      </w:pPr>
    </w:p>
    <w:p w14:paraId="3A536854">
      <w:pPr>
        <w:rPr>
          <w:rFonts w:ascii="宋体" w:hAnsi="宋体" w:cs="宋体"/>
          <w:color w:val="auto"/>
          <w:highlight w:val="none"/>
          <w:lang w:val="zh-CN"/>
        </w:rPr>
      </w:pPr>
    </w:p>
    <w:p w14:paraId="798C4C30">
      <w:pPr>
        <w:pStyle w:val="8"/>
        <w:rPr>
          <w:color w:val="auto"/>
          <w:highlight w:val="none"/>
        </w:rPr>
      </w:pPr>
    </w:p>
    <w:p w14:paraId="09A07662">
      <w:pPr>
        <w:rPr>
          <w:color w:val="auto"/>
          <w:highlight w:val="none"/>
        </w:rPr>
      </w:pPr>
    </w:p>
    <w:p w14:paraId="0080A083">
      <w:pPr>
        <w:spacing w:line="312" w:lineRule="auto"/>
        <w:ind w:firstLine="723"/>
        <w:jc w:val="center"/>
        <w:rPr>
          <w:rFonts w:hint="eastAsia" w:ascii="宋体" w:hAnsi="宋体" w:cs="宋体"/>
          <w:b/>
          <w:color w:val="auto"/>
          <w:sz w:val="36"/>
          <w:szCs w:val="36"/>
          <w:highlight w:val="none"/>
        </w:rPr>
      </w:pPr>
    </w:p>
    <w:p w14:paraId="2F97A628">
      <w:pPr>
        <w:spacing w:line="312"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启东港腾资产经营管理有限公司</w:t>
      </w:r>
    </w:p>
    <w:p w14:paraId="5CDC3139">
      <w:pPr>
        <w:spacing w:line="312"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u w:val="single"/>
        </w:rPr>
        <w:t xml:space="preserve"> 202</w:t>
      </w:r>
      <w:r>
        <w:rPr>
          <w:rFonts w:hint="eastAsia" w:ascii="宋体" w:hAnsi="宋体" w:cs="宋体"/>
          <w:b/>
          <w:color w:val="auto"/>
          <w:sz w:val="36"/>
          <w:szCs w:val="36"/>
          <w:highlight w:val="none"/>
          <w:u w:val="single"/>
          <w:lang w:val="en-US" w:eastAsia="zh-CN"/>
        </w:rPr>
        <w:t>6</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05 </w:t>
      </w:r>
      <w:r>
        <w:rPr>
          <w:rFonts w:hint="eastAsia" w:ascii="宋体" w:hAnsi="宋体" w:cs="宋体"/>
          <w:b/>
          <w:color w:val="auto"/>
          <w:sz w:val="36"/>
          <w:szCs w:val="36"/>
          <w:highlight w:val="none"/>
        </w:rPr>
        <w:t>月</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06</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日</w:t>
      </w:r>
    </w:p>
    <w:p w14:paraId="6E55010E">
      <w:pPr>
        <w:adjustRightInd w:val="0"/>
        <w:snapToGrid w:val="0"/>
        <w:spacing w:line="500" w:lineRule="exact"/>
        <w:ind w:left="-158" w:leftChars="-75"/>
        <w:rPr>
          <w:rFonts w:ascii="宋体" w:hAnsi="宋体" w:cs="宋体"/>
          <w:b/>
          <w:snapToGrid w:val="0"/>
          <w:color w:val="auto"/>
          <w:sz w:val="26"/>
          <w:szCs w:val="28"/>
          <w:highlight w:val="none"/>
          <w:u w:val="single"/>
        </w:rPr>
      </w:pPr>
      <w:r>
        <w:rPr>
          <w:rFonts w:hint="eastAsia" w:ascii="宋体" w:hAnsi="宋体" w:cs="宋体"/>
          <w:b/>
          <w:snapToGrid w:val="0"/>
          <w:color w:val="auto"/>
          <w:sz w:val="26"/>
          <w:szCs w:val="28"/>
          <w:highlight w:val="none"/>
          <w:u w:val="single"/>
        </w:rPr>
        <w:t xml:space="preserve">                                                                       </w:t>
      </w:r>
    </w:p>
    <w:p w14:paraId="568636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8"/>
          <w:szCs w:val="28"/>
          <w:highlight w:val="none"/>
        </w:rPr>
      </w:pPr>
      <w:r>
        <w:rPr>
          <w:rFonts w:hint="eastAsia" w:ascii="宋体" w:hAnsi="宋体" w:cs="宋体"/>
          <w:b/>
          <w:snapToGrid w:val="0"/>
          <w:color w:val="auto"/>
          <w:sz w:val="28"/>
          <w:szCs w:val="28"/>
          <w:highlight w:val="none"/>
        </w:rPr>
        <w:t>地址:</w:t>
      </w:r>
      <w:r>
        <w:rPr>
          <w:rFonts w:hint="eastAsia" w:ascii="宋体" w:hAnsi="宋体" w:cs="宋体"/>
          <w:snapToGrid w:val="0"/>
          <w:color w:val="auto"/>
          <w:sz w:val="28"/>
          <w:szCs w:val="28"/>
          <w:highlight w:val="none"/>
        </w:rPr>
        <w:t xml:space="preserve"> </w:t>
      </w:r>
      <w:r>
        <w:rPr>
          <w:rFonts w:hint="eastAsia" w:ascii="宋体" w:hAnsi="宋体" w:cs="宋体"/>
          <w:color w:val="auto"/>
          <w:sz w:val="28"/>
          <w:szCs w:val="28"/>
          <w:highlight w:val="none"/>
        </w:rPr>
        <w:t xml:space="preserve">启东市吕四港镇吕四港经济开发区临港东路888号      </w:t>
      </w:r>
    </w:p>
    <w:p w14:paraId="592945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napToGrid w:val="0"/>
          <w:color w:val="auto"/>
          <w:sz w:val="28"/>
          <w:szCs w:val="28"/>
          <w:highlight w:val="none"/>
        </w:rPr>
      </w:pPr>
      <w:r>
        <w:rPr>
          <w:rFonts w:hint="eastAsia" w:ascii="宋体" w:hAnsi="宋体" w:cs="宋体"/>
          <w:b/>
          <w:snapToGrid w:val="0"/>
          <w:color w:val="auto"/>
          <w:sz w:val="28"/>
          <w:szCs w:val="28"/>
          <w:highlight w:val="none"/>
        </w:rPr>
        <w:t>邮政编码：</w:t>
      </w:r>
      <w:r>
        <w:rPr>
          <w:rFonts w:hint="eastAsia" w:ascii="宋体" w:hAnsi="宋体" w:cs="宋体"/>
          <w:snapToGrid w:val="0"/>
          <w:color w:val="auto"/>
          <w:sz w:val="28"/>
          <w:szCs w:val="28"/>
          <w:highlight w:val="none"/>
        </w:rPr>
        <w:t xml:space="preserve">226200        </w:t>
      </w:r>
    </w:p>
    <w:p w14:paraId="279C88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color w:val="auto"/>
          <w:sz w:val="28"/>
          <w:szCs w:val="28"/>
          <w:highlight w:val="none"/>
        </w:rPr>
      </w:pPr>
      <w:r>
        <w:rPr>
          <w:rFonts w:hint="eastAsia" w:ascii="宋体" w:hAnsi="宋体" w:cs="宋体"/>
          <w:b/>
          <w:snapToGrid w:val="0"/>
          <w:color w:val="auto"/>
          <w:sz w:val="28"/>
          <w:szCs w:val="28"/>
          <w:highlight w:val="none"/>
        </w:rPr>
        <w:t>网址：</w:t>
      </w:r>
      <w:r>
        <w:rPr>
          <w:rFonts w:hint="eastAsia" w:ascii="宋体" w:hAnsi="宋体" w:cs="宋体"/>
          <w:bCs/>
          <w:snapToGrid w:val="0"/>
          <w:color w:val="auto"/>
          <w:sz w:val="28"/>
          <w:szCs w:val="28"/>
          <w:highlight w:val="none"/>
          <w:lang w:eastAsia="zh-CN"/>
        </w:rPr>
        <w:t>启东市人民政府网</w:t>
      </w:r>
      <w:r>
        <w:rPr>
          <w:rFonts w:hint="eastAsia" w:ascii="宋体" w:hAnsi="宋体" w:cs="宋体"/>
          <w:bCs/>
          <w:color w:val="auto"/>
          <w:sz w:val="28"/>
          <w:szCs w:val="28"/>
          <w:highlight w:val="none"/>
        </w:rPr>
        <w:tab/>
      </w:r>
    </w:p>
    <w:p w14:paraId="289AAF8C">
      <w:pPr>
        <w:tabs>
          <w:tab w:val="left" w:pos="1260"/>
        </w:tabs>
        <w:adjustRightInd w:val="0"/>
        <w:snapToGrid w:val="0"/>
        <w:spacing w:line="312" w:lineRule="auto"/>
        <w:ind w:right="-601" w:rightChars="-286"/>
        <w:jc w:val="center"/>
        <w:rPr>
          <w:rFonts w:ascii="宋体" w:hAnsi="宋体" w:cs="宋体"/>
          <w:bCs/>
          <w:color w:val="auto"/>
          <w:spacing w:val="7"/>
          <w:kern w:val="0"/>
          <w:sz w:val="44"/>
          <w:szCs w:val="44"/>
          <w:highlight w:val="none"/>
        </w:rPr>
      </w:pPr>
      <w:r>
        <w:rPr>
          <w:rFonts w:hint="eastAsia" w:ascii="宋体" w:hAnsi="宋体" w:cs="宋体"/>
          <w:bCs/>
          <w:color w:val="auto"/>
          <w:spacing w:val="7"/>
          <w:kern w:val="0"/>
          <w:sz w:val="44"/>
          <w:szCs w:val="44"/>
          <w:highlight w:val="none"/>
        </w:rPr>
        <w:t>目录</w:t>
      </w:r>
    </w:p>
    <w:p w14:paraId="03065021">
      <w:pPr>
        <w:autoSpaceDE w:val="0"/>
        <w:autoSpaceDN w:val="0"/>
        <w:adjustRightInd w:val="0"/>
        <w:snapToGrid w:val="0"/>
        <w:spacing w:line="360" w:lineRule="auto"/>
        <w:ind w:firstLine="588"/>
        <w:rPr>
          <w:rFonts w:ascii="宋体" w:hAnsi="宋体" w:cs="宋体"/>
          <w:bCs/>
          <w:color w:val="auto"/>
          <w:spacing w:val="7"/>
          <w:kern w:val="0"/>
          <w:sz w:val="28"/>
          <w:szCs w:val="28"/>
          <w:highlight w:val="none"/>
        </w:rPr>
      </w:pPr>
    </w:p>
    <w:p w14:paraId="1BF79AB8">
      <w:pPr>
        <w:pStyle w:val="8"/>
        <w:adjustRightInd w:val="0"/>
        <w:snapToGrid w:val="0"/>
        <w:spacing w:after="0" w:line="360" w:lineRule="auto"/>
        <w:rPr>
          <w:rFonts w:ascii="宋体" w:hAnsi="宋体" w:cs="宋体"/>
          <w:color w:val="auto"/>
          <w:highlight w:val="none"/>
        </w:rPr>
      </w:pPr>
    </w:p>
    <w:p w14:paraId="3F99328F">
      <w:pPr>
        <w:adjustRightInd w:val="0"/>
        <w:snapToGrid w:val="0"/>
        <w:spacing w:line="36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第一部分  询价采购公告</w:t>
      </w:r>
    </w:p>
    <w:p w14:paraId="6AC918F9">
      <w:pPr>
        <w:adjustRightInd w:val="0"/>
        <w:snapToGrid w:val="0"/>
        <w:spacing w:line="36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第二部分  响应须知</w:t>
      </w:r>
    </w:p>
    <w:p w14:paraId="7EC2DE74">
      <w:pPr>
        <w:adjustRightInd w:val="0"/>
        <w:snapToGrid w:val="0"/>
        <w:spacing w:line="36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第三部分  项目需求</w:t>
      </w:r>
    </w:p>
    <w:p w14:paraId="4425D539">
      <w:pPr>
        <w:adjustRightInd w:val="0"/>
        <w:snapToGrid w:val="0"/>
        <w:spacing w:line="36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第四部分  响应文件组成</w:t>
      </w:r>
    </w:p>
    <w:p w14:paraId="312DC14E">
      <w:pPr>
        <w:adjustRightInd w:val="0"/>
        <w:snapToGrid w:val="0"/>
        <w:spacing w:line="500" w:lineRule="exact"/>
        <w:ind w:firstLine="588"/>
        <w:jc w:val="center"/>
        <w:rPr>
          <w:rFonts w:ascii="宋体" w:hAnsi="宋体" w:cs="宋体"/>
          <w:color w:val="auto"/>
          <w:sz w:val="36"/>
          <w:szCs w:val="36"/>
          <w:highlight w:val="none"/>
        </w:rPr>
      </w:pPr>
      <w:r>
        <w:rPr>
          <w:rFonts w:hint="eastAsia" w:ascii="宋体" w:hAnsi="宋体" w:cs="宋体"/>
          <w:color w:val="auto"/>
          <w:spacing w:val="7"/>
          <w:kern w:val="0"/>
          <w:sz w:val="28"/>
          <w:szCs w:val="28"/>
          <w:highlight w:val="none"/>
        </w:rPr>
        <w:br w:type="page"/>
      </w:r>
      <w:bookmarkStart w:id="0" w:name="_Toc3520"/>
      <w:bookmarkStart w:id="1" w:name="_Toc82505651"/>
      <w:bookmarkStart w:id="2" w:name="OLE_LINK1"/>
      <w:r>
        <w:rPr>
          <w:rFonts w:hint="eastAsia" w:ascii="宋体" w:hAnsi="宋体" w:cs="宋体"/>
          <w:color w:val="auto"/>
          <w:sz w:val="36"/>
          <w:szCs w:val="36"/>
          <w:highlight w:val="none"/>
        </w:rPr>
        <w:t>第一部分  询价采购公告</w:t>
      </w:r>
      <w:bookmarkEnd w:id="0"/>
      <w:bookmarkEnd w:id="1"/>
    </w:p>
    <w:p w14:paraId="33B6DDB1">
      <w:pPr>
        <w:adjustRightInd w:val="0"/>
        <w:snapToGrid w:val="0"/>
        <w:spacing w:line="500" w:lineRule="exact"/>
        <w:ind w:firstLine="560" w:firstLineChars="200"/>
        <w:rPr>
          <w:rFonts w:ascii="宋体" w:hAnsi="宋体" w:cs="宋体"/>
          <w:color w:val="auto"/>
          <w:sz w:val="28"/>
          <w:szCs w:val="28"/>
          <w:highlight w:val="none"/>
        </w:rPr>
      </w:pPr>
      <w:bookmarkStart w:id="3" w:name="OLE_LINK2"/>
      <w:bookmarkStart w:id="4" w:name="OLE_LINK5"/>
      <w:bookmarkStart w:id="5" w:name="OLE_LINK6"/>
      <w:bookmarkStart w:id="6" w:name="OLE_LINK3"/>
      <w:r>
        <w:rPr>
          <w:rFonts w:hint="eastAsia" w:ascii="宋体" w:hAnsi="宋体" w:cs="宋体"/>
          <w:color w:val="auto"/>
          <w:sz w:val="28"/>
          <w:szCs w:val="28"/>
          <w:highlight w:val="none"/>
        </w:rPr>
        <w:t>受[启东港腾资产经营管理有限公司]的委托，就[启东吕四港集团西港池管理楼服务楼消防维保项目</w:t>
      </w:r>
      <w:r>
        <w:rPr>
          <w:rFonts w:hint="eastAsia" w:ascii="宋体" w:hAnsi="宋体" w:cs="宋体"/>
          <w:color w:val="auto"/>
          <w:sz w:val="28"/>
          <w:szCs w:val="28"/>
          <w:highlight w:val="none"/>
          <w:lang w:eastAsia="zh-CN"/>
        </w:rPr>
        <w:t>（三次）</w:t>
      </w:r>
      <w:r>
        <w:rPr>
          <w:rFonts w:hint="eastAsia" w:ascii="宋体" w:hAnsi="宋体" w:cs="宋体"/>
          <w:color w:val="auto"/>
          <w:sz w:val="28"/>
          <w:szCs w:val="28"/>
          <w:highlight w:val="none"/>
        </w:rPr>
        <w:t>]进行询价采购，欢迎符合条件的供应商响应。</w:t>
      </w:r>
    </w:p>
    <w:p w14:paraId="1AEAF169">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项目概况</w:t>
      </w:r>
    </w:p>
    <w:p w14:paraId="58935780">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[启东吕四港集团西港池管理楼服务楼消防维保项目</w:t>
      </w:r>
      <w:r>
        <w:rPr>
          <w:rFonts w:hint="eastAsia" w:ascii="宋体" w:hAnsi="宋体" w:cs="宋体"/>
          <w:color w:val="auto"/>
          <w:sz w:val="28"/>
          <w:szCs w:val="28"/>
          <w:highlight w:val="none"/>
          <w:lang w:eastAsia="zh-CN"/>
        </w:rPr>
        <w:t>（三次）</w:t>
      </w:r>
      <w:r>
        <w:rPr>
          <w:rFonts w:hint="eastAsia" w:ascii="宋体" w:hAnsi="宋体" w:cs="宋体"/>
          <w:color w:val="auto"/>
          <w:sz w:val="28"/>
          <w:szCs w:val="28"/>
          <w:highlight w:val="none"/>
        </w:rPr>
        <w:t>]的潜在响应供应商应在[启东市人民政府网]网站获取采购文件，并于202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05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rPr>
        <w:t>点</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分（北京时间）前递交响应文件。</w:t>
      </w:r>
    </w:p>
    <w:p w14:paraId="3CC31CFB">
      <w:pPr>
        <w:adjustRightInd w:val="0"/>
        <w:snapToGrid w:val="0"/>
        <w:spacing w:line="500" w:lineRule="exact"/>
        <w:ind w:firstLine="562" w:firstLineChars="200"/>
        <w:rPr>
          <w:rFonts w:ascii="宋体" w:hAnsi="宋体" w:cs="宋体"/>
          <w:color w:val="auto"/>
          <w:sz w:val="28"/>
          <w:szCs w:val="28"/>
          <w:highlight w:val="none"/>
        </w:rPr>
      </w:pPr>
      <w:bookmarkStart w:id="7" w:name="_Toc82505652"/>
      <w:r>
        <w:rPr>
          <w:rFonts w:hint="eastAsia" w:ascii="宋体" w:hAnsi="宋体" w:cs="宋体"/>
          <w:b/>
          <w:bCs/>
          <w:color w:val="auto"/>
          <w:sz w:val="28"/>
          <w:szCs w:val="28"/>
          <w:highlight w:val="none"/>
        </w:rPr>
        <w:t>一、项目基本情况</w:t>
      </w:r>
      <w:bookmarkEnd w:id="7"/>
    </w:p>
    <w:p w14:paraId="04A9D6A9">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项目名称：启东吕四港集团西港池管理楼服务楼消防维保项目</w:t>
      </w:r>
      <w:r>
        <w:rPr>
          <w:rFonts w:hint="eastAsia" w:ascii="宋体" w:hAnsi="宋体" w:cs="宋体"/>
          <w:color w:val="auto"/>
          <w:sz w:val="28"/>
          <w:szCs w:val="28"/>
          <w:highlight w:val="none"/>
          <w:lang w:eastAsia="zh-CN"/>
        </w:rPr>
        <w:t>（三次）</w:t>
      </w:r>
    </w:p>
    <w:p w14:paraId="019481C1">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项目类型：</w:t>
      </w:r>
      <w:r>
        <w:rPr>
          <w:rFonts w:hint="eastAsia" w:ascii="宋体" w:hAnsi="宋体" w:cs="宋体"/>
          <w:color w:val="auto"/>
          <w:sz w:val="28"/>
          <w:szCs w:val="28"/>
          <w:highlight w:val="none"/>
          <w:lang w:val="en-US" w:eastAsia="zh-CN"/>
        </w:rPr>
        <w:t xml:space="preserve">服务 </w:t>
      </w:r>
    </w:p>
    <w:p w14:paraId="71FE0A41">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所属行业：</w:t>
      </w:r>
      <w:r>
        <w:rPr>
          <w:rFonts w:hint="eastAsia" w:ascii="宋体" w:hAnsi="宋体" w:cs="宋体"/>
          <w:b/>
          <w:bCs/>
          <w:color w:val="auto"/>
          <w:sz w:val="28"/>
          <w:szCs w:val="28"/>
          <w:highlight w:val="none"/>
          <w:lang w:val="en-US" w:eastAsia="zh-CN"/>
        </w:rPr>
        <w:t>其他未列明行业</w:t>
      </w:r>
    </w:p>
    <w:p w14:paraId="3585D864">
      <w:pPr>
        <w:adjustRightInd w:val="0"/>
        <w:snapToGrid w:val="0"/>
        <w:spacing w:line="5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rPr>
        <w:t>预算金额：</w:t>
      </w:r>
      <w:r>
        <w:rPr>
          <w:rFonts w:hint="eastAsia" w:ascii="宋体" w:hAnsi="宋体" w:cs="宋体"/>
          <w:color w:val="auto"/>
          <w:sz w:val="28"/>
          <w:szCs w:val="28"/>
          <w:highlight w:val="none"/>
          <w:lang w:val="en-US" w:eastAsia="zh-CN"/>
        </w:rPr>
        <w:t>14万元/两年</w:t>
      </w:r>
    </w:p>
    <w:p w14:paraId="16A4331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最高限价：</w:t>
      </w:r>
      <w:r>
        <w:rPr>
          <w:rFonts w:hint="eastAsia" w:ascii="宋体" w:hAnsi="宋体" w:cs="宋体"/>
          <w:color w:val="auto"/>
          <w:sz w:val="28"/>
          <w:szCs w:val="28"/>
          <w:highlight w:val="none"/>
          <w:lang w:val="en-US" w:eastAsia="zh-CN"/>
        </w:rPr>
        <w:t>14万元/两年</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供应商报价超过最高限价的为无效报价</w:t>
      </w:r>
      <w:r>
        <w:rPr>
          <w:rFonts w:hint="eastAsia" w:ascii="宋体" w:hAnsi="宋体" w:cs="宋体"/>
          <w:color w:val="auto"/>
          <w:sz w:val="28"/>
          <w:szCs w:val="28"/>
          <w:highlight w:val="none"/>
        </w:rPr>
        <w:t>。</w:t>
      </w:r>
    </w:p>
    <w:p w14:paraId="5C4F3545">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采购需求：详见采购文件，请仔细研究。</w:t>
      </w:r>
    </w:p>
    <w:p w14:paraId="2E2488BB">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合同履行期限：在需求中单独提供。</w:t>
      </w:r>
    </w:p>
    <w:p w14:paraId="1D9E1E9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本项目不接受联合体。</w:t>
      </w:r>
    </w:p>
    <w:p w14:paraId="522134FB">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本项目不接受分包。</w:t>
      </w:r>
    </w:p>
    <w:p w14:paraId="21D506E3">
      <w:pPr>
        <w:adjustRightInd w:val="0"/>
        <w:snapToGrid w:val="0"/>
        <w:spacing w:line="500" w:lineRule="exact"/>
        <w:ind w:firstLine="562" w:firstLineChars="200"/>
        <w:rPr>
          <w:rFonts w:ascii="宋体" w:hAnsi="宋体" w:cs="宋体"/>
          <w:b/>
          <w:bCs/>
          <w:color w:val="auto"/>
          <w:sz w:val="28"/>
          <w:szCs w:val="28"/>
          <w:highlight w:val="none"/>
        </w:rPr>
      </w:pPr>
      <w:bookmarkStart w:id="8" w:name="_Toc82505653"/>
      <w:r>
        <w:rPr>
          <w:rFonts w:hint="eastAsia" w:ascii="宋体" w:hAnsi="宋体" w:cs="宋体"/>
          <w:b/>
          <w:bCs/>
          <w:color w:val="auto"/>
          <w:sz w:val="28"/>
          <w:szCs w:val="28"/>
          <w:highlight w:val="none"/>
        </w:rPr>
        <w:t>二、响应供应商的资格要求：</w:t>
      </w:r>
      <w:bookmarkEnd w:id="8"/>
    </w:p>
    <w:p w14:paraId="63E0EFEF">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bookmarkStart w:id="9" w:name="_Toc82505654"/>
      <w:r>
        <w:rPr>
          <w:rFonts w:hint="eastAsia" w:ascii="宋体" w:hAnsi="宋体" w:cs="宋体"/>
          <w:color w:val="auto"/>
          <w:sz w:val="28"/>
          <w:szCs w:val="28"/>
          <w:highlight w:val="none"/>
          <w:lang w:val="en-US" w:eastAsia="zh-CN"/>
        </w:rPr>
        <w:t>1.满足《中华人民共和国政府采购法》第二十二条规定。</w:t>
      </w:r>
    </w:p>
    <w:p w14:paraId="48C21B0F">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落实政府采购政策需满足的资格要求：本项目属于专门面向中小企业采购的项目,服务提供商应为中小微企业、监狱和戒毒企业、残疾人福利性单位。并按照采购文件要求提供《中小企业声明函》、《残疾人福利性单位声明函》或监狱和戒毒企业证明材料。</w:t>
      </w:r>
    </w:p>
    <w:p w14:paraId="5167AB10">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3.本项目特定资格要求：</w:t>
      </w:r>
    </w:p>
    <w:p w14:paraId="07C29577">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（1）供应商具有有效的营业执照；</w:t>
      </w:r>
    </w:p>
    <w:p w14:paraId="36EFE9DF">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（2）供应商须为社会消防技术服务信息系统中消防设施维护保养检测类企业，以“社会消防技术服务信息系统”https://shhxf.119.gov.cn)网站查询结果为准</w:t>
      </w:r>
      <w:r>
        <w:rPr>
          <w:rFonts w:hint="eastAsia" w:ascii="宋体" w:hAnsi="宋体" w:cs="宋体"/>
          <w:b/>
          <w:bCs/>
          <w:color w:val="auto"/>
          <w:sz w:val="28"/>
          <w:szCs w:val="28"/>
          <w:highlight w:val="none"/>
          <w:lang w:val="en-US" w:eastAsia="zh-CN"/>
        </w:rPr>
        <w:t>（提供“社会消防技术服务信息系统”网站查询结果截图）</w:t>
      </w:r>
      <w:r>
        <w:rPr>
          <w:rFonts w:hint="eastAsia" w:ascii="宋体" w:hAnsi="宋体" w:cs="宋体"/>
          <w:color w:val="auto"/>
          <w:sz w:val="28"/>
          <w:szCs w:val="28"/>
          <w:highlight w:val="none"/>
          <w:lang w:val="en-US" w:eastAsia="zh-CN"/>
        </w:rPr>
        <w:t>；</w:t>
      </w:r>
    </w:p>
    <w:p w14:paraId="752D78CB">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（3）拟派项目负责人具有一级注册消防工程师执业资格和二级建造师证书，且为供应商正式人员；拟派技术负责人具有一级注册消防工程师执业资格证书，且均为供应商正式人员；</w:t>
      </w:r>
    </w:p>
    <w:p w14:paraId="076423BB">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（4）拟派维保人员（不少于4人）具有建构筑消防职业资格中级及以上证书或消防设施操作员（消防设施检测维修保养）国家职业资格中级及以上证书，且为供应商正式人员；</w:t>
      </w:r>
    </w:p>
    <w:p w14:paraId="08353B33">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（5）供应商自2023年1月1日（以合同签订时间为准）以来，承担过消防维保项目；</w:t>
      </w:r>
      <w:r>
        <w:rPr>
          <w:rFonts w:hint="eastAsia" w:ascii="宋体" w:hAnsi="宋体" w:cs="宋体"/>
          <w:b/>
          <w:bCs/>
          <w:color w:val="auto"/>
          <w:sz w:val="28"/>
          <w:szCs w:val="28"/>
          <w:highlight w:val="none"/>
          <w:lang w:val="en-US" w:eastAsia="zh-CN"/>
        </w:rPr>
        <w:t>（提供合同复印件并加盖公章）</w:t>
      </w:r>
    </w:p>
    <w:p w14:paraId="1D539815">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（6）未被“信用中国”网站（www.creditchina.gov.cn）列入失信被执行人、重大税收违法案件当事人名单、政府采购严重失信行为记录名单。</w:t>
      </w:r>
      <w:r>
        <w:rPr>
          <w:rFonts w:hint="eastAsia" w:ascii="宋体" w:hAnsi="宋体" w:cs="宋体"/>
          <w:b/>
          <w:bCs/>
          <w:color w:val="auto"/>
          <w:sz w:val="28"/>
          <w:szCs w:val="28"/>
          <w:highlight w:val="none"/>
          <w:lang w:val="en-US" w:eastAsia="zh-CN"/>
        </w:rPr>
        <w:t>（提供网页截图）</w:t>
      </w:r>
    </w:p>
    <w:p w14:paraId="6F22B4D2">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4.本次招标不接受联合体投标。</w:t>
      </w:r>
    </w:p>
    <w:p w14:paraId="5CF741D7">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三、获取采购文件</w:t>
      </w:r>
      <w:bookmarkEnd w:id="9"/>
    </w:p>
    <w:p w14:paraId="3648EF7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时间：自本公告发布之日起至202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rPr>
        <w:t>点</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分</w:t>
      </w:r>
    </w:p>
    <w:p w14:paraId="00FD05A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地点：启东市人民政府网</w:t>
      </w:r>
    </w:p>
    <w:p w14:paraId="02B4FD21">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方式：凡有意参与响应的供应商请登录[启东市人民政府网]网站自行下载采购文件。</w:t>
      </w:r>
    </w:p>
    <w:p w14:paraId="6A6DD0DB">
      <w:pPr>
        <w:adjustRightInd w:val="0"/>
        <w:snapToGrid w:val="0"/>
        <w:spacing w:line="500" w:lineRule="exact"/>
        <w:ind w:firstLine="562" w:firstLineChars="200"/>
        <w:rPr>
          <w:rFonts w:ascii="宋体" w:hAnsi="宋体" w:cs="宋体"/>
          <w:b/>
          <w:bCs/>
          <w:color w:val="auto"/>
          <w:sz w:val="28"/>
          <w:szCs w:val="28"/>
          <w:highlight w:val="none"/>
        </w:rPr>
      </w:pPr>
      <w:bookmarkStart w:id="10" w:name="_Toc82505655"/>
      <w:r>
        <w:rPr>
          <w:rFonts w:hint="eastAsia" w:ascii="宋体" w:hAnsi="宋体" w:cs="宋体"/>
          <w:b/>
          <w:bCs/>
          <w:color w:val="auto"/>
          <w:sz w:val="28"/>
          <w:szCs w:val="28"/>
          <w:highlight w:val="none"/>
        </w:rPr>
        <w:t>四、</w:t>
      </w:r>
      <w:bookmarkEnd w:id="10"/>
      <w:r>
        <w:rPr>
          <w:rFonts w:hint="eastAsia" w:ascii="宋体" w:hAnsi="宋体" w:cs="宋体"/>
          <w:b/>
          <w:bCs/>
          <w:color w:val="auto"/>
          <w:sz w:val="28"/>
          <w:szCs w:val="28"/>
          <w:highlight w:val="none"/>
        </w:rPr>
        <w:t>提交响应文件截止时间、开标时间和地点</w:t>
      </w:r>
    </w:p>
    <w:p w14:paraId="1F1EC559">
      <w:pPr>
        <w:adjustRightInd w:val="0"/>
        <w:snapToGrid w:val="0"/>
        <w:spacing w:line="500" w:lineRule="exact"/>
        <w:ind w:firstLine="560" w:firstLineChars="200"/>
        <w:rPr>
          <w:rFonts w:ascii="宋体" w:hAnsi="宋体" w:cs="宋体"/>
          <w:color w:val="auto"/>
          <w:sz w:val="28"/>
          <w:szCs w:val="28"/>
          <w:highlight w:val="none"/>
        </w:rPr>
      </w:pPr>
      <w:bookmarkStart w:id="11" w:name="_Toc82505656"/>
      <w:r>
        <w:rPr>
          <w:rFonts w:hint="eastAsia" w:ascii="宋体" w:hAnsi="宋体" w:cs="宋体"/>
          <w:color w:val="auto"/>
          <w:sz w:val="28"/>
          <w:szCs w:val="28"/>
          <w:highlight w:val="none"/>
        </w:rPr>
        <w:t>投标截止时间：202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（北京时间）</w:t>
      </w:r>
    </w:p>
    <w:p w14:paraId="4D934B3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开标时间：202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（北京时间）</w:t>
      </w:r>
    </w:p>
    <w:bookmarkEnd w:id="11"/>
    <w:p w14:paraId="63272689">
      <w:pPr>
        <w:keepNext w:val="0"/>
        <w:keepLines w:val="0"/>
        <w:pageBreakBefore w:val="0"/>
        <w:widowControl/>
        <w:kinsoku/>
        <w:wordWrap/>
        <w:overflowPunct/>
        <w:topLinePunct w:val="0"/>
        <w:autoSpaceDE/>
        <w:autoSpaceDN/>
        <w:bidi w:val="0"/>
        <w:adjustRightInd w:val="0"/>
        <w:snapToGrid w:val="0"/>
        <w:spacing w:line="500" w:lineRule="exact"/>
        <w:ind w:firstLine="570"/>
        <w:textAlignment w:val="auto"/>
        <w:rPr>
          <w:rFonts w:ascii="宋体" w:hAnsi="宋体" w:eastAsia="宋体" w:cs="宋体"/>
          <w:b/>
          <w:bCs/>
          <w:color w:val="auto"/>
          <w:sz w:val="28"/>
          <w:szCs w:val="28"/>
          <w:highlight w:val="none"/>
          <w:lang w:eastAsia="zh-CN"/>
        </w:rPr>
      </w:pPr>
      <w:bookmarkStart w:id="12" w:name="_Toc82505657"/>
      <w:r>
        <w:rPr>
          <w:rFonts w:hint="eastAsia" w:ascii="宋体" w:hAnsi="宋体" w:cs="宋体"/>
          <w:b/>
          <w:bCs/>
          <w:color w:val="auto"/>
          <w:sz w:val="28"/>
          <w:szCs w:val="28"/>
          <w:highlight w:val="none"/>
          <w:lang w:eastAsia="zh-CN"/>
        </w:rPr>
        <w:t>开</w:t>
      </w:r>
      <w:r>
        <w:rPr>
          <w:rFonts w:hint="eastAsia" w:ascii="宋体" w:hAnsi="宋体" w:eastAsia="宋体" w:cs="宋体"/>
          <w:b/>
          <w:bCs/>
          <w:color w:val="auto"/>
          <w:sz w:val="28"/>
          <w:szCs w:val="28"/>
          <w:highlight w:val="none"/>
          <w:lang w:eastAsia="zh-CN"/>
        </w:rPr>
        <w:t>标地点：</w:t>
      </w:r>
      <w:r>
        <w:rPr>
          <w:rFonts w:hint="eastAsia" w:ascii="宋体" w:hAnsi="宋体" w:cs="宋体"/>
          <w:b/>
          <w:bCs/>
          <w:color w:val="auto"/>
          <w:sz w:val="28"/>
          <w:szCs w:val="28"/>
          <w:highlight w:val="none"/>
          <w:lang w:eastAsia="zh-CN"/>
        </w:rPr>
        <w:t>江苏天宏华信工程投资管理咨询有限公司</w:t>
      </w:r>
      <w:r>
        <w:rPr>
          <w:rFonts w:hint="eastAsia" w:ascii="宋体" w:hAnsi="宋体" w:eastAsia="宋体" w:cs="宋体"/>
          <w:b/>
          <w:bCs/>
          <w:color w:val="auto"/>
          <w:sz w:val="28"/>
          <w:szCs w:val="28"/>
          <w:highlight w:val="none"/>
          <w:lang w:eastAsia="zh-CN"/>
        </w:rPr>
        <w:t>会议室</w:t>
      </w:r>
      <w:r>
        <w:rPr>
          <w:rFonts w:hint="eastAsia" w:ascii="宋体" w:hAnsi="宋体" w:cs="宋体"/>
          <w:b/>
          <w:bCs/>
          <w:color w:val="auto"/>
          <w:sz w:val="28"/>
          <w:szCs w:val="28"/>
          <w:highlight w:val="none"/>
          <w:lang w:eastAsia="zh-CN"/>
        </w:rPr>
        <w:t>（启东市南苑西路1168号国动产业园2号楼402室）。</w:t>
      </w:r>
    </w:p>
    <w:p w14:paraId="32C7072F">
      <w:pPr>
        <w:keepNext w:val="0"/>
        <w:keepLines w:val="0"/>
        <w:pageBreakBefore w:val="0"/>
        <w:widowControl/>
        <w:kinsoku/>
        <w:wordWrap/>
        <w:overflowPunct/>
        <w:topLinePunct w:val="0"/>
        <w:autoSpaceDE/>
        <w:autoSpaceDN/>
        <w:bidi w:val="0"/>
        <w:adjustRightInd w:val="0"/>
        <w:snapToGrid w:val="0"/>
        <w:spacing w:line="500" w:lineRule="exact"/>
        <w:ind w:firstLine="570"/>
        <w:textAlignment w:val="auto"/>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1）本项目为不见面开标，各投标人须在规定时间内将响应文件邮寄（只接收顺丰）至指定地点。请投标人充分考虑天气、快递速度、路程等因素，不接受到付。未在规定时间内送达的投标文件将不予接收，后果由各潜在投标人自行承担。</w:t>
      </w:r>
    </w:p>
    <w:p w14:paraId="0462E0F7">
      <w:pPr>
        <w:keepNext w:val="0"/>
        <w:keepLines w:val="0"/>
        <w:pageBreakBefore w:val="0"/>
        <w:widowControl/>
        <w:kinsoku/>
        <w:wordWrap/>
        <w:overflowPunct/>
        <w:topLinePunct w:val="0"/>
        <w:autoSpaceDE/>
        <w:autoSpaceDN/>
        <w:bidi w:val="0"/>
        <w:adjustRightInd w:val="0"/>
        <w:snapToGrid w:val="0"/>
        <w:spacing w:line="500" w:lineRule="exact"/>
        <w:ind w:firstLine="570"/>
        <w:textAlignment w:val="auto"/>
        <w:rPr>
          <w:rFonts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（2）投标文件接收截止时间及接收地点：2026年</w:t>
      </w:r>
      <w:r>
        <w:rPr>
          <w:rFonts w:hint="eastAsia" w:ascii="宋体" w:hAnsi="宋体" w:cs="宋体"/>
          <w:b/>
          <w:bCs/>
          <w:color w:val="auto"/>
          <w:sz w:val="28"/>
          <w:szCs w:val="28"/>
          <w:highlight w:val="none"/>
          <w:lang w:val="en-US" w:eastAsia="zh-CN"/>
        </w:rPr>
        <w:t>05</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lang w:eastAsia="zh-CN"/>
        </w:rPr>
        <w:t>日</w:t>
      </w:r>
      <w:r>
        <w:rPr>
          <w:rFonts w:hint="eastAsia" w:ascii="宋体" w:hAnsi="宋体" w:cs="宋体"/>
          <w:b/>
          <w:bCs/>
          <w:color w:val="auto"/>
          <w:sz w:val="28"/>
          <w:szCs w:val="28"/>
          <w:highlight w:val="none"/>
          <w:lang w:val="en-US" w:eastAsia="zh-CN"/>
        </w:rPr>
        <w:t>14</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0分前寄达（以送达签收时间为</w:t>
      </w:r>
      <w:r>
        <w:rPr>
          <w:rFonts w:hint="eastAsia" w:ascii="宋体" w:hAnsi="宋体" w:eastAsia="宋体" w:cs="宋体"/>
          <w:b/>
          <w:bCs/>
          <w:color w:val="auto"/>
          <w:sz w:val="28"/>
          <w:szCs w:val="28"/>
          <w:highlight w:val="none"/>
          <w:lang w:eastAsia="zh-CN"/>
        </w:rPr>
        <w:t>准），接收地点：</w:t>
      </w:r>
      <w:r>
        <w:rPr>
          <w:rFonts w:hint="eastAsia" w:ascii="宋体" w:hAnsi="宋体" w:cs="宋体"/>
          <w:b/>
          <w:bCs/>
          <w:color w:val="auto"/>
          <w:sz w:val="28"/>
          <w:szCs w:val="28"/>
          <w:highlight w:val="none"/>
          <w:lang w:eastAsia="zh-CN"/>
        </w:rPr>
        <w:t>江苏天宏华信工程投资管理咨询有限公司</w:t>
      </w:r>
      <w:r>
        <w:rPr>
          <w:rFonts w:hint="eastAsia" w:ascii="宋体" w:hAnsi="宋体" w:eastAsia="宋体" w:cs="宋体"/>
          <w:b/>
          <w:bCs/>
          <w:color w:val="auto"/>
          <w:sz w:val="28"/>
          <w:szCs w:val="28"/>
          <w:highlight w:val="none"/>
          <w:lang w:eastAsia="zh-CN"/>
        </w:rPr>
        <w:t>会议室</w:t>
      </w:r>
      <w:r>
        <w:rPr>
          <w:rFonts w:hint="eastAsia" w:ascii="宋体" w:hAnsi="宋体" w:cs="宋体"/>
          <w:b/>
          <w:bCs/>
          <w:color w:val="auto"/>
          <w:sz w:val="28"/>
          <w:szCs w:val="28"/>
          <w:highlight w:val="none"/>
          <w:lang w:eastAsia="zh-CN"/>
        </w:rPr>
        <w:t>（启东市南苑西路1168号国动产业园2号楼402室）</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接收联系人</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杨玉秀</w:t>
      </w:r>
      <w:r>
        <w:rPr>
          <w:rFonts w:hint="eastAsia" w:ascii="宋体" w:hAnsi="宋体" w:eastAsia="宋体" w:cs="宋体"/>
          <w:b/>
          <w:bCs/>
          <w:color w:val="auto"/>
          <w:sz w:val="28"/>
          <w:szCs w:val="28"/>
          <w:highlight w:val="none"/>
          <w:lang w:eastAsia="zh-CN"/>
        </w:rPr>
        <w:t>，联系电话：</w:t>
      </w:r>
      <w:r>
        <w:rPr>
          <w:rFonts w:hint="eastAsia" w:ascii="宋体" w:hAnsi="宋体" w:eastAsia="宋体" w:cs="宋体"/>
          <w:b/>
          <w:bCs/>
          <w:color w:val="auto"/>
          <w:sz w:val="28"/>
          <w:szCs w:val="28"/>
          <w:highlight w:val="none"/>
          <w:lang w:val="en-US" w:eastAsia="zh-CN"/>
        </w:rPr>
        <w:t>18252783879</w:t>
      </w:r>
      <w:r>
        <w:rPr>
          <w:rFonts w:hint="eastAsia" w:ascii="宋体" w:hAnsi="宋体" w:eastAsia="宋体" w:cs="宋体"/>
          <w:b/>
          <w:bCs/>
          <w:color w:val="auto"/>
          <w:sz w:val="28"/>
          <w:szCs w:val="28"/>
          <w:highlight w:val="none"/>
          <w:lang w:eastAsia="zh-CN"/>
        </w:rPr>
        <w:t>。</w:t>
      </w:r>
    </w:p>
    <w:p w14:paraId="34C855DF">
      <w:pPr>
        <w:keepNext w:val="0"/>
        <w:keepLines w:val="0"/>
        <w:pageBreakBefore w:val="0"/>
        <w:widowControl/>
        <w:kinsoku/>
        <w:wordWrap/>
        <w:overflowPunct/>
        <w:topLinePunct w:val="0"/>
        <w:autoSpaceDE/>
        <w:autoSpaceDN/>
        <w:bidi w:val="0"/>
        <w:adjustRightInd w:val="0"/>
        <w:snapToGrid w:val="0"/>
        <w:spacing w:line="500" w:lineRule="exact"/>
        <w:ind w:firstLine="570"/>
        <w:textAlignment w:val="auto"/>
        <w:rPr>
          <w:rFonts w:ascii="宋体" w:hAnsi="宋体" w:eastAsia="宋体" w:cs="宋体"/>
          <w:b/>
          <w:bCs/>
          <w:color w:val="auto"/>
          <w:spacing w:val="-6"/>
          <w:sz w:val="28"/>
          <w:szCs w:val="28"/>
          <w:highlight w:val="none"/>
          <w:lang w:eastAsia="zh-CN"/>
        </w:rPr>
      </w:pPr>
      <w:r>
        <w:rPr>
          <w:rFonts w:hint="eastAsia" w:ascii="宋体" w:hAnsi="宋体" w:eastAsia="宋体" w:cs="宋体"/>
          <w:b/>
          <w:bCs/>
          <w:color w:val="auto"/>
          <w:spacing w:val="-6"/>
          <w:sz w:val="28"/>
          <w:szCs w:val="28"/>
          <w:highlight w:val="none"/>
          <w:lang w:eastAsia="zh-CN"/>
        </w:rPr>
        <w:t>友情提醒：拒绝接收未按照招标文件要求密封的投标文件，拒绝接收在投标文件接收截止时间后寄达（以送达签收时间为准）的投标文件，上述情况各潜在投标人充分考虑相关因素，不得就此提出任何异议。</w:t>
      </w:r>
    </w:p>
    <w:p w14:paraId="5A61F595">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五、公告期限</w:t>
      </w:r>
      <w:bookmarkEnd w:id="12"/>
    </w:p>
    <w:p w14:paraId="44AEF6C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自本公告发布之日起3个工作日。</w:t>
      </w:r>
    </w:p>
    <w:p w14:paraId="4D9ACC67">
      <w:pPr>
        <w:adjustRightInd w:val="0"/>
        <w:snapToGrid w:val="0"/>
        <w:spacing w:line="500" w:lineRule="exact"/>
        <w:ind w:firstLine="562" w:firstLineChars="200"/>
        <w:rPr>
          <w:rFonts w:ascii="宋体" w:hAnsi="宋体" w:cs="宋体"/>
          <w:b/>
          <w:bCs/>
          <w:color w:val="auto"/>
          <w:sz w:val="28"/>
          <w:szCs w:val="28"/>
          <w:highlight w:val="none"/>
        </w:rPr>
      </w:pPr>
      <w:bookmarkStart w:id="13" w:name="_Toc82505658"/>
      <w:r>
        <w:rPr>
          <w:rFonts w:hint="eastAsia" w:ascii="宋体" w:hAnsi="宋体" w:cs="宋体"/>
          <w:b/>
          <w:bCs/>
          <w:color w:val="auto"/>
          <w:sz w:val="28"/>
          <w:szCs w:val="28"/>
          <w:highlight w:val="none"/>
        </w:rPr>
        <w:t>六、其他补充事宜</w:t>
      </w:r>
      <w:bookmarkEnd w:id="13"/>
    </w:p>
    <w:p w14:paraId="1156CD8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1.响应保证金：免收。</w:t>
      </w:r>
    </w:p>
    <w:p w14:paraId="2EA328CB">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2.项目开标活动模式：本项目为</w:t>
      </w:r>
      <w:r>
        <w:rPr>
          <w:rFonts w:hint="eastAsia" w:ascii="宋体" w:hAnsi="宋体" w:cs="宋体"/>
          <w:color w:val="auto"/>
          <w:sz w:val="28"/>
          <w:szCs w:val="28"/>
          <w:highlight w:val="none"/>
          <w:lang w:eastAsia="zh-CN"/>
        </w:rPr>
        <w:t>不</w:t>
      </w:r>
      <w:r>
        <w:rPr>
          <w:rFonts w:hint="eastAsia" w:ascii="宋体" w:hAnsi="宋体" w:cs="宋体"/>
          <w:color w:val="auto"/>
          <w:sz w:val="28"/>
          <w:szCs w:val="28"/>
          <w:highlight w:val="none"/>
        </w:rPr>
        <w:t>见面开标模式。</w:t>
      </w:r>
    </w:p>
    <w:p w14:paraId="2AD9A2E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3.项目样品：无。</w:t>
      </w:r>
    </w:p>
    <w:p w14:paraId="16C43BA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4.对项目需求部分（供应商资格要求、项目需求）的询问、质疑请向采购人提出，由采购人负责答复；对项目采购文件其他部分的询问、质疑请向代理机构提出。</w:t>
      </w:r>
    </w:p>
    <w:p w14:paraId="7BDBB07D">
      <w:pPr>
        <w:adjustRightInd w:val="0"/>
        <w:snapToGrid w:val="0"/>
        <w:spacing w:line="500" w:lineRule="exact"/>
        <w:ind w:firstLine="562" w:firstLineChars="200"/>
        <w:rPr>
          <w:rFonts w:ascii="宋体" w:hAnsi="宋体" w:cs="宋体"/>
          <w:b/>
          <w:bCs/>
          <w:color w:val="auto"/>
          <w:sz w:val="28"/>
          <w:szCs w:val="28"/>
          <w:highlight w:val="none"/>
        </w:rPr>
      </w:pPr>
      <w:bookmarkStart w:id="14" w:name="_Toc82505660"/>
      <w:r>
        <w:rPr>
          <w:rFonts w:hint="eastAsia" w:ascii="宋体" w:hAnsi="宋体" w:cs="宋体"/>
          <w:b/>
          <w:bCs/>
          <w:color w:val="auto"/>
          <w:sz w:val="28"/>
          <w:szCs w:val="28"/>
          <w:highlight w:val="none"/>
        </w:rPr>
        <w:t>七、凡对本次采购提出询问，请按以下方式联系</w:t>
      </w:r>
      <w:bookmarkEnd w:id="14"/>
    </w:p>
    <w:p w14:paraId="7963901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1.采购人信息</w:t>
      </w:r>
    </w:p>
    <w:p w14:paraId="41775FD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名称：</w:t>
      </w:r>
      <w:r>
        <w:rPr>
          <w:rFonts w:hint="eastAsia" w:ascii="宋体" w:hAnsi="宋体" w:cs="宋体"/>
          <w:color w:val="auto"/>
          <w:sz w:val="28"/>
          <w:szCs w:val="28"/>
          <w:highlight w:val="none"/>
          <w:lang w:eastAsia="zh-CN"/>
        </w:rPr>
        <w:t>启东港腾资产经营管理有限公司</w:t>
      </w:r>
    </w:p>
    <w:p w14:paraId="3EB0E43F">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地址：启东市吕四港镇吕四港经济开发区临港东路888号</w:t>
      </w:r>
    </w:p>
    <w:p w14:paraId="3FEC4E3D">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联系人：黄柳程</w:t>
      </w:r>
    </w:p>
    <w:p w14:paraId="22B1ABB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联系方式：15250613951</w:t>
      </w:r>
    </w:p>
    <w:p w14:paraId="45AE6E6E">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2.采购代理机构</w:t>
      </w:r>
    </w:p>
    <w:p w14:paraId="5F9D93A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名 称：江苏天宏华信工程投资管理咨询有限公司</w:t>
      </w:r>
    </w:p>
    <w:p w14:paraId="4DC503BF">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  址：启东市南苑西路1168号国动产业园2号楼402室</w:t>
      </w:r>
    </w:p>
    <w:p w14:paraId="14559E5C">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联系人：杨玉秀</w:t>
      </w:r>
    </w:p>
    <w:p w14:paraId="48CBFD55">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联系方式：0513-83248588</w:t>
      </w:r>
    </w:p>
    <w:p w14:paraId="194D28FE">
      <w:pPr>
        <w:pStyle w:val="8"/>
        <w:rPr>
          <w:rFonts w:ascii="宋体" w:hAnsi="宋体" w:cs="宋体"/>
          <w:color w:val="auto"/>
          <w:highlight w:val="none"/>
        </w:rPr>
      </w:pPr>
    </w:p>
    <w:p w14:paraId="54661912">
      <w:pPr>
        <w:adjustRightInd w:val="0"/>
        <w:snapToGrid w:val="0"/>
        <w:spacing w:line="500" w:lineRule="exact"/>
        <w:ind w:firstLine="562"/>
        <w:rPr>
          <w:rFonts w:ascii="宋体" w:hAnsi="宋体" w:cs="宋体"/>
          <w:b/>
          <w:bCs/>
          <w:color w:val="auto"/>
          <w:sz w:val="28"/>
          <w:szCs w:val="28"/>
          <w:highlight w:val="none"/>
        </w:rPr>
      </w:pPr>
      <w:r>
        <w:rPr>
          <w:rFonts w:hint="eastAsia" w:ascii="宋体" w:hAnsi="宋体" w:cs="宋体"/>
          <w:b/>
          <w:bCs/>
          <w:color w:val="auto"/>
          <w:sz w:val="28"/>
          <w:szCs w:val="28"/>
          <w:highlight w:val="none"/>
        </w:rPr>
        <w:t>附件: 项目采购文件</w:t>
      </w:r>
      <w:bookmarkEnd w:id="2"/>
      <w:bookmarkEnd w:id="3"/>
      <w:bookmarkEnd w:id="4"/>
      <w:bookmarkEnd w:id="5"/>
      <w:bookmarkEnd w:id="6"/>
      <w:bookmarkStart w:id="15" w:name="_Toc22736"/>
    </w:p>
    <w:p w14:paraId="698654AE">
      <w:pPr>
        <w:adjustRightInd w:val="0"/>
        <w:snapToGrid w:val="0"/>
        <w:spacing w:line="500" w:lineRule="exact"/>
        <w:ind w:firstLine="720"/>
        <w:rPr>
          <w:rFonts w:ascii="宋体" w:hAnsi="宋体" w:cs="宋体"/>
          <w:bCs/>
          <w:color w:val="auto"/>
          <w:sz w:val="36"/>
          <w:szCs w:val="36"/>
          <w:highlight w:val="none"/>
        </w:rPr>
      </w:pPr>
      <w:bookmarkStart w:id="16" w:name="_Toc82505661"/>
      <w:r>
        <w:rPr>
          <w:rFonts w:hint="eastAsia" w:ascii="宋体" w:hAnsi="宋体" w:cs="宋体"/>
          <w:bCs/>
          <w:color w:val="auto"/>
          <w:sz w:val="36"/>
          <w:szCs w:val="36"/>
          <w:highlight w:val="none"/>
        </w:rPr>
        <w:br w:type="page"/>
      </w:r>
    </w:p>
    <w:bookmarkEnd w:id="15"/>
    <w:bookmarkEnd w:id="16"/>
    <w:p w14:paraId="658AD9C1">
      <w:pPr>
        <w:pStyle w:val="2"/>
        <w:widowControl/>
        <w:adjustRightInd w:val="0"/>
        <w:snapToGrid w:val="0"/>
        <w:spacing w:before="0" w:after="0" w:line="500" w:lineRule="exact"/>
        <w:ind w:firstLine="720"/>
        <w:jc w:val="center"/>
        <w:rPr>
          <w:rFonts w:ascii="宋体" w:hAnsi="宋体" w:cs="宋体"/>
          <w:b w:val="0"/>
          <w:color w:val="auto"/>
          <w:sz w:val="36"/>
          <w:szCs w:val="36"/>
          <w:highlight w:val="none"/>
        </w:rPr>
      </w:pPr>
      <w:bookmarkStart w:id="17" w:name="_Toc82505664"/>
      <w:bookmarkStart w:id="18" w:name="_Toc11926"/>
      <w:r>
        <w:rPr>
          <w:rFonts w:hint="eastAsia" w:ascii="宋体" w:hAnsi="宋体" w:cs="宋体"/>
          <w:b w:val="0"/>
          <w:color w:val="auto"/>
          <w:sz w:val="36"/>
          <w:szCs w:val="36"/>
          <w:highlight w:val="none"/>
        </w:rPr>
        <w:t>第二部分  响应须知</w:t>
      </w:r>
      <w:bookmarkEnd w:id="17"/>
      <w:bookmarkEnd w:id="18"/>
    </w:p>
    <w:p w14:paraId="4C1F867E">
      <w:pPr>
        <w:widowControl/>
        <w:adjustRightInd w:val="0"/>
        <w:snapToGrid w:val="0"/>
        <w:spacing w:line="500" w:lineRule="exact"/>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一、总则</w:t>
      </w:r>
    </w:p>
    <w:p w14:paraId="027D1C76">
      <w:pPr>
        <w:adjustRightInd w:val="0"/>
        <w:snapToGrid w:val="0"/>
        <w:spacing w:line="500" w:lineRule="exact"/>
        <w:ind w:firstLine="560" w:firstLineChars="200"/>
        <w:rPr>
          <w:rFonts w:ascii="宋体" w:hAnsi="宋体" w:cs="宋体"/>
          <w:color w:val="auto"/>
          <w:sz w:val="28"/>
          <w:szCs w:val="28"/>
          <w:highlight w:val="none"/>
        </w:rPr>
      </w:pPr>
      <w:bookmarkStart w:id="19" w:name="_Toc458694821"/>
      <w:bookmarkStart w:id="20" w:name="_Toc20823276"/>
      <w:bookmarkStart w:id="21" w:name="_Toc513029204"/>
      <w:bookmarkStart w:id="22" w:name="_Toc16938520"/>
      <w:r>
        <w:rPr>
          <w:rFonts w:hint="eastAsia" w:ascii="宋体" w:hAnsi="宋体" w:cs="宋体"/>
          <w:color w:val="auto"/>
          <w:sz w:val="28"/>
          <w:szCs w:val="28"/>
          <w:highlight w:val="none"/>
        </w:rPr>
        <w:t>1</w:t>
      </w:r>
      <w:bookmarkEnd w:id="19"/>
      <w:r>
        <w:rPr>
          <w:rFonts w:hint="eastAsia" w:ascii="宋体" w:hAnsi="宋体" w:cs="宋体"/>
          <w:color w:val="auto"/>
          <w:sz w:val="28"/>
          <w:szCs w:val="28"/>
          <w:highlight w:val="none"/>
        </w:rPr>
        <w:t>.采购方式</w:t>
      </w:r>
      <w:bookmarkEnd w:id="20"/>
      <w:bookmarkEnd w:id="21"/>
      <w:bookmarkEnd w:id="22"/>
    </w:p>
    <w:p w14:paraId="2B67D622">
      <w:pPr>
        <w:adjustRightInd w:val="0"/>
        <w:snapToGrid w:val="0"/>
        <w:spacing w:line="500" w:lineRule="exact"/>
        <w:ind w:firstLine="840" w:firstLineChars="300"/>
        <w:rPr>
          <w:rFonts w:ascii="宋体" w:hAnsi="宋体" w:cs="宋体"/>
          <w:color w:val="auto"/>
          <w:sz w:val="28"/>
          <w:szCs w:val="28"/>
          <w:highlight w:val="none"/>
        </w:rPr>
      </w:pPr>
      <w:r>
        <w:rPr>
          <w:rFonts w:hint="eastAsia" w:ascii="宋体" w:hAnsi="宋体" w:cs="宋体"/>
          <w:color w:val="auto"/>
          <w:sz w:val="28"/>
          <w:szCs w:val="28"/>
          <w:highlight w:val="none"/>
        </w:rPr>
        <w:t>本次采购采取询价方式，本询价文件仅适用于询价公告中所述项目。</w:t>
      </w:r>
    </w:p>
    <w:p w14:paraId="44B95105">
      <w:pPr>
        <w:adjustRightInd w:val="0"/>
        <w:snapToGrid w:val="0"/>
        <w:spacing w:line="500" w:lineRule="exact"/>
        <w:ind w:firstLine="560" w:firstLineChars="200"/>
        <w:rPr>
          <w:rFonts w:ascii="宋体" w:hAnsi="宋体" w:cs="宋体"/>
          <w:color w:val="auto"/>
          <w:sz w:val="28"/>
          <w:szCs w:val="28"/>
          <w:highlight w:val="none"/>
        </w:rPr>
      </w:pPr>
      <w:bookmarkStart w:id="23" w:name="_Toc513029205"/>
      <w:bookmarkStart w:id="24" w:name="_Toc16938521"/>
      <w:bookmarkStart w:id="25" w:name="_Toc20823277"/>
      <w:r>
        <w:rPr>
          <w:rFonts w:hint="eastAsia" w:ascii="宋体" w:hAnsi="宋体" w:cs="宋体"/>
          <w:color w:val="auto"/>
          <w:sz w:val="28"/>
          <w:szCs w:val="28"/>
          <w:highlight w:val="none"/>
        </w:rPr>
        <w:t>2.合格的</w:t>
      </w:r>
      <w:bookmarkEnd w:id="23"/>
      <w:bookmarkEnd w:id="24"/>
      <w:bookmarkEnd w:id="25"/>
      <w:r>
        <w:rPr>
          <w:rFonts w:hint="eastAsia" w:ascii="宋体" w:hAnsi="宋体" w:cs="宋体"/>
          <w:color w:val="auto"/>
          <w:sz w:val="28"/>
          <w:szCs w:val="28"/>
          <w:highlight w:val="none"/>
        </w:rPr>
        <w:t>响应供应商</w:t>
      </w:r>
    </w:p>
    <w:p w14:paraId="7A112E9F">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2.1满足询价公告中供应商的资格要求的规定。</w:t>
      </w:r>
    </w:p>
    <w:p w14:paraId="6D54437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 满足本文件实质性条款的规定。</w:t>
      </w:r>
    </w:p>
    <w:p w14:paraId="31AAACE1">
      <w:pPr>
        <w:adjustRightInd w:val="0"/>
        <w:snapToGrid w:val="0"/>
        <w:spacing w:line="500" w:lineRule="exact"/>
        <w:ind w:firstLine="560" w:firstLineChars="200"/>
        <w:rPr>
          <w:rFonts w:ascii="宋体" w:hAnsi="宋体" w:cs="宋体"/>
          <w:color w:val="auto"/>
          <w:sz w:val="28"/>
          <w:szCs w:val="28"/>
          <w:highlight w:val="none"/>
        </w:rPr>
      </w:pPr>
      <w:bookmarkStart w:id="26" w:name="_Toc20823278"/>
      <w:bookmarkStart w:id="27" w:name="_Toc513029206"/>
      <w:bookmarkStart w:id="28" w:name="_Toc16938522"/>
      <w:r>
        <w:rPr>
          <w:rFonts w:hint="eastAsia" w:ascii="宋体" w:hAnsi="宋体" w:cs="宋体"/>
          <w:color w:val="auto"/>
          <w:sz w:val="28"/>
          <w:szCs w:val="28"/>
          <w:highlight w:val="none"/>
        </w:rPr>
        <w:t>3.适用法律</w:t>
      </w:r>
      <w:bookmarkEnd w:id="26"/>
      <w:bookmarkEnd w:id="27"/>
      <w:bookmarkEnd w:id="28"/>
    </w:p>
    <w:p w14:paraId="0A7E1BCB">
      <w:pPr>
        <w:adjustRightInd w:val="0"/>
        <w:snapToGrid w:val="0"/>
        <w:spacing w:line="500" w:lineRule="exact"/>
        <w:ind w:firstLine="840" w:firstLineChars="300"/>
        <w:rPr>
          <w:rFonts w:ascii="宋体" w:hAnsi="宋体" w:cs="宋体"/>
          <w:color w:val="auto"/>
          <w:sz w:val="28"/>
          <w:szCs w:val="28"/>
          <w:highlight w:val="none"/>
        </w:rPr>
      </w:pPr>
      <w:r>
        <w:rPr>
          <w:rFonts w:hint="eastAsia" w:ascii="宋体" w:hAnsi="宋体" w:cs="宋体"/>
          <w:color w:val="auto"/>
          <w:sz w:val="28"/>
          <w:szCs w:val="28"/>
          <w:highlight w:val="none"/>
        </w:rPr>
        <w:t>本次询价采购及由此产生的合同受中华人民共和国有关的法律法规制约和保护。</w:t>
      </w:r>
    </w:p>
    <w:p w14:paraId="6822D6D8">
      <w:pPr>
        <w:adjustRightInd w:val="0"/>
        <w:snapToGrid w:val="0"/>
        <w:spacing w:line="500" w:lineRule="exact"/>
        <w:ind w:firstLine="560" w:firstLineChars="200"/>
        <w:rPr>
          <w:rFonts w:ascii="宋体" w:hAnsi="宋体" w:cs="宋体"/>
          <w:color w:val="auto"/>
          <w:sz w:val="28"/>
          <w:szCs w:val="28"/>
          <w:highlight w:val="none"/>
        </w:rPr>
      </w:pPr>
      <w:bookmarkStart w:id="29" w:name="_Toc513029207"/>
      <w:bookmarkStart w:id="30" w:name="_Toc462564067"/>
      <w:bookmarkStart w:id="31" w:name="_Toc16938523"/>
      <w:bookmarkStart w:id="32" w:name="_Toc20823279"/>
      <w:r>
        <w:rPr>
          <w:rFonts w:hint="eastAsia" w:ascii="宋体" w:hAnsi="宋体" w:cs="宋体"/>
          <w:color w:val="auto"/>
          <w:sz w:val="28"/>
          <w:szCs w:val="28"/>
          <w:highlight w:val="none"/>
        </w:rPr>
        <w:t>4.响应费用</w:t>
      </w:r>
      <w:bookmarkEnd w:id="29"/>
      <w:bookmarkEnd w:id="30"/>
      <w:bookmarkEnd w:id="31"/>
      <w:bookmarkEnd w:id="32"/>
    </w:p>
    <w:p w14:paraId="05F97E9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响应供应商应自行承担所有与参加响应有关的费用，无论响应过程中的做法和结果如何，采购人在任何情况下均无义务和责任承担这些费用。</w:t>
      </w:r>
    </w:p>
    <w:p w14:paraId="0498FED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5.采购文件的约束力</w:t>
      </w:r>
    </w:p>
    <w:p w14:paraId="7F45E50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响应供应商一旦参加本项目采购活动，即被认为接受了本询价采购文件的规定和约束。</w:t>
      </w:r>
    </w:p>
    <w:p w14:paraId="358E701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6.采购文件的解释</w:t>
      </w:r>
    </w:p>
    <w:p w14:paraId="67BC957C">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本采购文件仅适用于本次询价采购，项目需求部分（供应商资格要求、项目需求）由采购人解释，其他部分由代理机构解释。</w:t>
      </w:r>
    </w:p>
    <w:p w14:paraId="4FD57D1B">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7.报价要求</w:t>
      </w:r>
    </w:p>
    <w:p w14:paraId="793A20F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7.1询价为一次性报价，响应供应商应一次性报出不得更改的价格。</w:t>
      </w:r>
    </w:p>
    <w:p w14:paraId="43C1EDDB">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7.2采购人不接受任何可选择的报价，成交供应商不得在供货期间提出任何增加费用的要求。请各供应商在报价时充分考虑各种因素。</w:t>
      </w:r>
    </w:p>
    <w:p w14:paraId="349C818A">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7.3异常低价投标（响应）审查的情形和具体要求：</w:t>
      </w:r>
    </w:p>
    <w:p w14:paraId="7322657E">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（一）评审过程中出现下列情形之一的，询价小组应当启动异常低价投标（响应）审查程序：</w:t>
      </w:r>
    </w:p>
    <w:p w14:paraId="3E68D2F0">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567121FE">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4D320130">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3.投标（响应）报价低于采购项目最高限价45%的，即投标（响应）报价&lt;采购项目最高限价×45%；</w:t>
      </w:r>
    </w:p>
    <w:p w14:paraId="12646834">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4.询价小组基于专业判断，认为供应商报价过低，有可能影响产品质量或者不能诚信履约的其他情形。</w:t>
      </w:r>
    </w:p>
    <w:p w14:paraId="29596DBB">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（二）启动异常低价投标（响应）审查后，属于前述第1 项至第4 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项情形，供应商已随投标（响应）文件一并提交相关书面说明及必要的证明材料的，在评审时可不再重复提交。</w:t>
      </w:r>
    </w:p>
    <w:p w14:paraId="66D36CC8">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widowControl/>
        <w:adjustRightInd w:val="0"/>
        <w:snapToGrid w:val="0"/>
        <w:spacing w:line="500" w:lineRule="exact"/>
        <w:ind w:firstLine="562"/>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35E9688D">
      <w:pPr>
        <w:widowControl/>
        <w:adjustRightInd w:val="0"/>
        <w:snapToGrid w:val="0"/>
        <w:spacing w:line="500" w:lineRule="exact"/>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二、采购文件</w:t>
      </w:r>
    </w:p>
    <w:p w14:paraId="38BE27A4">
      <w:pPr>
        <w:widowControl/>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1.采购文件的构成</w:t>
      </w:r>
    </w:p>
    <w:p w14:paraId="5E24E51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 采购文件由以下部分组成：</w:t>
      </w:r>
    </w:p>
    <w:p w14:paraId="1335130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（1）询价采购公告</w:t>
      </w:r>
    </w:p>
    <w:p w14:paraId="1CC8D34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（2）响应须知</w:t>
      </w:r>
    </w:p>
    <w:p w14:paraId="58762CA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（3）项目需求</w:t>
      </w:r>
    </w:p>
    <w:p w14:paraId="547EB191">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（4）响应文件组成</w:t>
      </w:r>
    </w:p>
    <w:p w14:paraId="3331747E">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（5）附件</w:t>
      </w:r>
    </w:p>
    <w:p w14:paraId="25676D3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请响应供应商仔细检查采购文件是否齐全，如有缺漏请立即与代理机构联系解决。</w:t>
      </w:r>
    </w:p>
    <w:p w14:paraId="618248A1">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1.2</w:t>
      </w:r>
      <w:r>
        <w:rPr>
          <w:rFonts w:hint="eastAsia" w:ascii="宋体" w:hAnsi="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69496A9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2.询价采购文件的澄清</w:t>
      </w:r>
    </w:p>
    <w:p w14:paraId="14250AB1">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68C16303">
      <w:pPr>
        <w:adjustRightInd w:val="0"/>
        <w:snapToGrid w:val="0"/>
        <w:spacing w:line="500" w:lineRule="exact"/>
        <w:ind w:firstLine="560" w:firstLineChars="200"/>
        <w:rPr>
          <w:rFonts w:ascii="宋体" w:hAnsi="宋体" w:cs="宋体"/>
          <w:color w:val="auto"/>
          <w:sz w:val="28"/>
          <w:szCs w:val="28"/>
          <w:highlight w:val="none"/>
        </w:rPr>
      </w:pPr>
      <w:bookmarkStart w:id="33" w:name="_Toc462564071"/>
      <w:bookmarkStart w:id="34" w:name="_Toc16938528"/>
      <w:bookmarkStart w:id="35" w:name="_Toc513029212"/>
      <w:bookmarkStart w:id="36" w:name="_Toc20823284"/>
      <w:r>
        <w:rPr>
          <w:rFonts w:hint="eastAsia" w:ascii="宋体" w:hAnsi="宋体" w:cs="宋体"/>
          <w:color w:val="auto"/>
          <w:sz w:val="28"/>
          <w:szCs w:val="28"/>
          <w:highlight w:val="none"/>
        </w:rPr>
        <w:t>3.询价采购文件的修改</w:t>
      </w:r>
      <w:bookmarkEnd w:id="33"/>
      <w:bookmarkEnd w:id="34"/>
      <w:bookmarkEnd w:id="35"/>
      <w:bookmarkEnd w:id="36"/>
    </w:p>
    <w:p w14:paraId="6127DF0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3.1</w:t>
      </w:r>
      <w:r>
        <w:rPr>
          <w:rFonts w:hint="eastAsia" w:ascii="宋体" w:hAnsi="宋体" w:cs="宋体"/>
          <w:color w:val="auto"/>
          <w:sz w:val="28"/>
          <w:szCs w:val="28"/>
          <w:highlight w:val="none"/>
        </w:rPr>
        <w:t>在响应截止时间前，采购人可以对采购文件进行修改。</w:t>
      </w:r>
    </w:p>
    <w:p w14:paraId="4CD790A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3.2 采购人</w:t>
      </w:r>
      <w:r>
        <w:rPr>
          <w:rFonts w:hint="eastAsia" w:ascii="宋体" w:hAnsi="宋体" w:cs="宋体"/>
          <w:color w:val="auto"/>
          <w:sz w:val="28"/>
          <w:szCs w:val="28"/>
          <w:highlight w:val="none"/>
        </w:rPr>
        <w:t>有权按照法定的要求推迟响应截止日期和开标日期。</w:t>
      </w:r>
    </w:p>
    <w:p w14:paraId="2A4A491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 xml:space="preserve">3.3 </w:t>
      </w:r>
      <w:r>
        <w:rPr>
          <w:rFonts w:hint="eastAsia" w:ascii="宋体" w:hAnsi="宋体" w:cs="宋体"/>
          <w:color w:val="auto"/>
          <w:sz w:val="28"/>
          <w:szCs w:val="28"/>
          <w:highlight w:val="none"/>
        </w:rPr>
        <w:t>采购文件的修改将在[启东市人民政府网]网站公布，补充文件将作为采购文件的组成部分，并对响应供应商具有约束力，请供应商及时关注网站公告信息。</w:t>
      </w:r>
    </w:p>
    <w:p w14:paraId="1837DFB6">
      <w:pPr>
        <w:widowControl/>
        <w:adjustRightInd w:val="0"/>
        <w:snapToGrid w:val="0"/>
        <w:spacing w:line="500" w:lineRule="exact"/>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三、响应文件的编制</w:t>
      </w:r>
    </w:p>
    <w:p w14:paraId="3F221344">
      <w:pPr>
        <w:adjustRightInd w:val="0"/>
        <w:snapToGrid w:val="0"/>
        <w:spacing w:line="500" w:lineRule="exact"/>
        <w:ind w:firstLine="560" w:firstLineChars="200"/>
        <w:rPr>
          <w:rFonts w:ascii="宋体" w:hAnsi="宋体" w:cs="宋体"/>
          <w:bCs/>
          <w:color w:val="auto"/>
          <w:sz w:val="28"/>
          <w:szCs w:val="28"/>
          <w:highlight w:val="none"/>
        </w:rPr>
      </w:pPr>
      <w:bookmarkStart w:id="37" w:name="_Toc513029214"/>
      <w:bookmarkStart w:id="38" w:name="_Toc20823286"/>
      <w:bookmarkStart w:id="39" w:name="_Toc462564073"/>
      <w:bookmarkStart w:id="40" w:name="_Toc16938530"/>
      <w:r>
        <w:rPr>
          <w:rFonts w:hint="eastAsia" w:ascii="宋体" w:hAnsi="宋体" w:cs="宋体"/>
          <w:bCs/>
          <w:color w:val="auto"/>
          <w:sz w:val="28"/>
          <w:szCs w:val="28"/>
          <w:highlight w:val="none"/>
        </w:rPr>
        <w:t>1.响应文件的语言及度量衡单位</w:t>
      </w:r>
      <w:bookmarkEnd w:id="37"/>
      <w:bookmarkEnd w:id="38"/>
      <w:bookmarkEnd w:id="39"/>
      <w:bookmarkEnd w:id="40"/>
    </w:p>
    <w:p w14:paraId="1604AE13">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1.1 响应供应商提交的响应文件以及响应供应商与代理机构就有关响应的所有来往通知、函件和文件均应使用简体中文。</w:t>
      </w:r>
    </w:p>
    <w:p w14:paraId="050A96EB">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1.2 除技术性能另有规定外，响应文件所使用的度量衡单位，均须采用国家法定计量单位。</w:t>
      </w:r>
    </w:p>
    <w:p w14:paraId="6967720F">
      <w:pPr>
        <w:adjustRightInd w:val="0"/>
        <w:snapToGrid w:val="0"/>
        <w:spacing w:line="500" w:lineRule="exact"/>
        <w:ind w:firstLine="560" w:firstLineChars="200"/>
        <w:rPr>
          <w:rFonts w:ascii="宋体" w:hAnsi="宋体" w:cs="宋体"/>
          <w:bCs/>
          <w:color w:val="auto"/>
          <w:sz w:val="28"/>
          <w:szCs w:val="28"/>
          <w:highlight w:val="none"/>
        </w:rPr>
      </w:pPr>
      <w:bookmarkStart w:id="41" w:name="_Toc16938531"/>
      <w:bookmarkStart w:id="42" w:name="_Toc20823287"/>
      <w:bookmarkStart w:id="43" w:name="_Toc513029215"/>
      <w:bookmarkStart w:id="44" w:name="_Toc462564074"/>
      <w:r>
        <w:rPr>
          <w:rFonts w:hint="eastAsia" w:ascii="宋体" w:hAnsi="宋体" w:cs="宋体"/>
          <w:bCs/>
          <w:color w:val="auto"/>
          <w:sz w:val="28"/>
          <w:szCs w:val="28"/>
          <w:highlight w:val="none"/>
        </w:rPr>
        <w:t>2.响应文件构成</w:t>
      </w:r>
      <w:bookmarkEnd w:id="41"/>
      <w:bookmarkEnd w:id="42"/>
      <w:bookmarkEnd w:id="43"/>
      <w:bookmarkEnd w:id="44"/>
    </w:p>
    <w:p w14:paraId="1979BA61">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响应供应商应按“第四部分响应文件组成”要求编写响应文件。</w:t>
      </w:r>
    </w:p>
    <w:p w14:paraId="171F3985">
      <w:pPr>
        <w:adjustRightInd w:val="0"/>
        <w:snapToGrid w:val="0"/>
        <w:spacing w:line="500" w:lineRule="exact"/>
        <w:ind w:firstLine="560" w:firstLineChars="200"/>
        <w:rPr>
          <w:rFonts w:ascii="宋体" w:hAnsi="宋体" w:cs="宋体"/>
          <w:color w:val="auto"/>
          <w:sz w:val="28"/>
          <w:szCs w:val="28"/>
          <w:highlight w:val="none"/>
        </w:rPr>
      </w:pPr>
      <w:bookmarkStart w:id="45" w:name="_Hlt26670360"/>
      <w:bookmarkEnd w:id="45"/>
      <w:bookmarkStart w:id="46" w:name="_Hlt26668975"/>
      <w:bookmarkEnd w:id="46"/>
      <w:bookmarkStart w:id="47" w:name="_Hlt26954838"/>
      <w:bookmarkEnd w:id="47"/>
      <w:bookmarkStart w:id="48" w:name="_Toc14577360"/>
      <w:bookmarkStart w:id="49" w:name="_Toc49090511"/>
      <w:r>
        <w:rPr>
          <w:rFonts w:hint="eastAsia" w:ascii="宋体" w:hAnsi="宋体" w:cs="宋体"/>
          <w:color w:val="auto"/>
          <w:sz w:val="28"/>
          <w:szCs w:val="28"/>
          <w:highlight w:val="none"/>
        </w:rPr>
        <w:t>3.</w:t>
      </w:r>
      <w:r>
        <w:rPr>
          <w:rFonts w:hint="eastAsia" w:ascii="宋体" w:hAnsi="宋体" w:cs="宋体"/>
          <w:bCs/>
          <w:color w:val="auto"/>
          <w:sz w:val="28"/>
          <w:szCs w:val="28"/>
          <w:highlight w:val="none"/>
        </w:rPr>
        <w:t>响应</w:t>
      </w:r>
      <w:r>
        <w:rPr>
          <w:rFonts w:hint="eastAsia" w:ascii="宋体" w:hAnsi="宋体" w:cs="宋体"/>
          <w:color w:val="auto"/>
          <w:sz w:val="28"/>
          <w:szCs w:val="28"/>
          <w:highlight w:val="none"/>
        </w:rPr>
        <w:t>文件的密封、签署、提交</w:t>
      </w:r>
    </w:p>
    <w:p w14:paraId="7E94A2E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3.1</w:t>
      </w:r>
      <w:r>
        <w:rPr>
          <w:rFonts w:hint="eastAsia" w:ascii="宋体" w:hAnsi="宋体" w:cs="宋体"/>
          <w:bCs/>
          <w:color w:val="auto"/>
          <w:sz w:val="28"/>
          <w:szCs w:val="28"/>
          <w:highlight w:val="none"/>
        </w:rPr>
        <w:t>响应</w:t>
      </w:r>
      <w:r>
        <w:rPr>
          <w:rFonts w:hint="eastAsia" w:ascii="宋体" w:hAnsi="宋体" w:cs="宋体"/>
          <w:color w:val="auto"/>
          <w:sz w:val="28"/>
          <w:szCs w:val="28"/>
          <w:highlight w:val="none"/>
        </w:rPr>
        <w:t>文件必须提供1份正本2份副本。</w:t>
      </w:r>
    </w:p>
    <w:p w14:paraId="7F83CD9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3.2</w:t>
      </w:r>
      <w:r>
        <w:rPr>
          <w:rFonts w:hint="eastAsia" w:ascii="宋体" w:hAnsi="宋体" w:cs="宋体"/>
          <w:bCs/>
          <w:color w:val="auto"/>
          <w:sz w:val="28"/>
          <w:szCs w:val="28"/>
          <w:highlight w:val="none"/>
        </w:rPr>
        <w:t>响应</w:t>
      </w:r>
      <w:r>
        <w:rPr>
          <w:rFonts w:hint="eastAsia" w:ascii="宋体" w:hAnsi="宋体" w:cs="宋体"/>
          <w:color w:val="auto"/>
          <w:sz w:val="28"/>
          <w:szCs w:val="28"/>
          <w:highlight w:val="none"/>
        </w:rPr>
        <w:t>文件均需采用A4纸（图纸等除外）打印并装订成册，不允许使用活页夹、拉杆夹、文件夹、塑料方便式书脊（插入式或穿孔式）装订，并应在</w:t>
      </w:r>
      <w:r>
        <w:rPr>
          <w:rFonts w:hint="eastAsia" w:ascii="宋体" w:hAnsi="宋体" w:cs="宋体"/>
          <w:bCs/>
          <w:color w:val="auto"/>
          <w:sz w:val="28"/>
          <w:szCs w:val="28"/>
          <w:highlight w:val="none"/>
        </w:rPr>
        <w:t>响应</w:t>
      </w:r>
      <w:r>
        <w:rPr>
          <w:rFonts w:hint="eastAsia" w:ascii="宋体" w:hAnsi="宋体" w:cs="宋体"/>
          <w:color w:val="auto"/>
          <w:sz w:val="28"/>
          <w:szCs w:val="28"/>
          <w:highlight w:val="none"/>
        </w:rPr>
        <w:t>文件封面的右上角清楚地注明“正本”或“副本”。正本和副本如有不一致之处，以正本为准。</w:t>
      </w:r>
    </w:p>
    <w:p w14:paraId="550CA2E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3.3响应供应商应在响应文件密封袋上标明：采购人名称、项目名称、供应商名称、响应文件名称。</w:t>
      </w:r>
    </w:p>
    <w:p w14:paraId="60AAAE0B">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3.4所有响应文件密封袋的封口处均应加盖供应商印章。</w:t>
      </w:r>
    </w:p>
    <w:p w14:paraId="71BE347E">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3.5如果响应供应商未按上述要求装订密封及加写标记，将作无效响应文件处理。</w:t>
      </w:r>
    </w:p>
    <w:p w14:paraId="7211CFFC">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4.响应文件的盖章要求</w:t>
      </w:r>
    </w:p>
    <w:p w14:paraId="393E066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4.1响应文件必须加盖骑缝章或每页盖章。</w:t>
      </w:r>
    </w:p>
    <w:p w14:paraId="0CF8C5F7">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4.2响应文件如有修改、行间内插字和增删，修改处应由响应供应商加盖印章。</w:t>
      </w:r>
    </w:p>
    <w:p w14:paraId="4738353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A9B200E">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5.响应有效期</w:t>
      </w:r>
      <w:bookmarkEnd w:id="48"/>
      <w:bookmarkEnd w:id="49"/>
    </w:p>
    <w:p w14:paraId="5D181F44">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cs="宋体"/>
          <w:bCs/>
          <w:color w:val="auto"/>
          <w:sz w:val="28"/>
          <w:szCs w:val="28"/>
          <w:highlight w:val="none"/>
        </w:rPr>
        <w:t>响应有效期比规定短的将被视为非响应性响应而予以拒绝。</w:t>
      </w:r>
    </w:p>
    <w:p w14:paraId="4616C9DC">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6.响应有效期的延长</w:t>
      </w:r>
    </w:p>
    <w:p w14:paraId="5C2FB952">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4FBE38AE">
      <w:pPr>
        <w:widowControl/>
        <w:adjustRightInd w:val="0"/>
        <w:snapToGrid w:val="0"/>
        <w:spacing w:line="500" w:lineRule="exact"/>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四、响应文件的递交</w:t>
      </w:r>
    </w:p>
    <w:p w14:paraId="6C56E459">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1.响应文件的递交</w:t>
      </w:r>
    </w:p>
    <w:p w14:paraId="60A55FF5">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1.1响应供应商应当在响应文件提交截止时间前提交按照采购文件要求密封的响应文件。</w:t>
      </w:r>
    </w:p>
    <w:p w14:paraId="7F18227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1.2响应文件的内容不清楚或不清晰的，造成无法评审或部分影响评审的，导致评审差错的，责任由供应商自负。</w:t>
      </w:r>
    </w:p>
    <w:p w14:paraId="545351D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2.响应截止日期</w:t>
      </w:r>
    </w:p>
    <w:p w14:paraId="6AF4481D">
      <w:pPr>
        <w:adjustRightInd w:val="0"/>
        <w:snapToGrid w:val="0"/>
        <w:spacing w:line="500" w:lineRule="exact"/>
        <w:ind w:firstLine="560" w:firstLineChars="200"/>
        <w:rPr>
          <w:rFonts w:ascii="宋体" w:hAnsi="宋体" w:cs="宋体"/>
          <w:color w:val="auto"/>
          <w:sz w:val="28"/>
          <w:szCs w:val="28"/>
          <w:highlight w:val="none"/>
        </w:rPr>
      </w:pPr>
      <w:bookmarkStart w:id="50" w:name="_Toc513029227"/>
      <w:bookmarkStart w:id="51" w:name="_Toc16938543"/>
      <w:bookmarkStart w:id="52" w:name="_Toc20823299"/>
      <w:r>
        <w:rPr>
          <w:rFonts w:hint="eastAsia" w:ascii="宋体" w:hAnsi="宋体" w:cs="宋体"/>
          <w:color w:val="auto"/>
          <w:sz w:val="28"/>
          <w:szCs w:val="28"/>
          <w:highlight w:val="none"/>
        </w:rPr>
        <w:t>2.1 响应供应商提交的响应文件的时间不得迟于采购公告中规定的响应文件提交截止时间。响应供应商应充分考虑天气、路程等因素，如因供应商自身原因造成的后果由响应供应商自行承担全部责任。</w:t>
      </w:r>
    </w:p>
    <w:p w14:paraId="50EDDED9">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 采购人可以按照规定，通过修改响应文件酌情延长响应文件提交截止日期，在此情况下，响应供应商的所有权利和义务以及响应供应商受制的截止日期均应以延长后新的截止日期为准。</w:t>
      </w:r>
    </w:p>
    <w:p w14:paraId="36A466CD">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3.响应文件</w:t>
      </w:r>
      <w:bookmarkEnd w:id="50"/>
      <w:bookmarkEnd w:id="51"/>
      <w:bookmarkEnd w:id="52"/>
      <w:r>
        <w:rPr>
          <w:rFonts w:hint="eastAsia" w:ascii="宋体" w:hAnsi="宋体" w:cs="宋体"/>
          <w:bCs/>
          <w:color w:val="auto"/>
          <w:sz w:val="28"/>
          <w:szCs w:val="28"/>
          <w:highlight w:val="none"/>
        </w:rPr>
        <w:t>的拒收</w:t>
      </w:r>
    </w:p>
    <w:p w14:paraId="2E2F6EB0">
      <w:pPr>
        <w:adjustRightInd w:val="0"/>
        <w:snapToGrid w:val="0"/>
        <w:spacing w:line="500" w:lineRule="exact"/>
        <w:ind w:firstLine="560" w:firstLineChars="200"/>
        <w:rPr>
          <w:rFonts w:ascii="宋体" w:hAnsi="宋体" w:cs="宋体"/>
          <w:color w:val="auto"/>
          <w:sz w:val="28"/>
          <w:szCs w:val="28"/>
          <w:highlight w:val="none"/>
        </w:rPr>
      </w:pPr>
      <w:bookmarkStart w:id="53" w:name="_Toc16938544"/>
      <w:bookmarkStart w:id="54" w:name="_Toc513029228"/>
      <w:bookmarkStart w:id="55" w:name="_Toc20823300"/>
      <w:r>
        <w:rPr>
          <w:rFonts w:hint="eastAsia" w:ascii="宋体" w:hAnsi="宋体" w:cs="宋体"/>
          <w:color w:val="auto"/>
          <w:sz w:val="28"/>
          <w:szCs w:val="28"/>
          <w:highlight w:val="none"/>
        </w:rPr>
        <w:t>采购人拒绝接收未按照采购文件要求密封的响应文件，拒绝接收在响应文件接收截止时间后送达的响应文件。</w:t>
      </w:r>
    </w:p>
    <w:p w14:paraId="6C544E74">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4.响应文件的修改</w:t>
      </w:r>
      <w:bookmarkEnd w:id="53"/>
      <w:bookmarkEnd w:id="54"/>
      <w:bookmarkEnd w:id="55"/>
    </w:p>
    <w:p w14:paraId="48893531">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4.1 在响应文件提交截止时间之后，响应供应商不得对其响应文件作任何修改。</w:t>
      </w:r>
    </w:p>
    <w:p w14:paraId="1CCABA51">
      <w:pPr>
        <w:adjustRightInd w:val="0"/>
        <w:snapToGrid w:val="0"/>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4.2 在响应文件提交截止时间至采购文件中规定的响应有效期满之间的这段时间内，响应供应商不得撤回其响应。</w:t>
      </w:r>
    </w:p>
    <w:p w14:paraId="29BB3287">
      <w:pPr>
        <w:adjustRightInd w:val="0"/>
        <w:snapToGrid w:val="0"/>
        <w:spacing w:line="500" w:lineRule="exact"/>
        <w:ind w:firstLine="562"/>
        <w:jc w:val="left"/>
        <w:rPr>
          <w:rFonts w:ascii="宋体" w:hAnsi="宋体" w:cs="宋体"/>
          <w:b/>
          <w:color w:val="auto"/>
          <w:sz w:val="28"/>
          <w:szCs w:val="28"/>
          <w:highlight w:val="none"/>
        </w:rPr>
      </w:pPr>
      <w:r>
        <w:rPr>
          <w:rFonts w:hint="eastAsia" w:ascii="宋体" w:hAnsi="宋体" w:cs="宋体"/>
          <w:b/>
          <w:color w:val="auto"/>
          <w:sz w:val="28"/>
          <w:szCs w:val="28"/>
          <w:highlight w:val="none"/>
        </w:rPr>
        <w:t>五、询价采购程序</w:t>
      </w:r>
    </w:p>
    <w:p w14:paraId="033D99C1">
      <w:pPr>
        <w:adjustRightInd w:val="0"/>
        <w:snapToGrid w:val="0"/>
        <w:spacing w:line="50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1.询价小组</w:t>
      </w:r>
    </w:p>
    <w:p w14:paraId="7FBDD2A4">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1.1 开标后，采购人将立即组织询价小组进行评标。</w:t>
      </w:r>
    </w:p>
    <w:p w14:paraId="62EB5C58">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1.2 询价小组由采购人代表组成。</w:t>
      </w:r>
    </w:p>
    <w:p w14:paraId="458E64D0">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1.3询价小组应当按照客观、公正、审慎的原则评审响应供应商的响应文件。</w:t>
      </w:r>
    </w:p>
    <w:p w14:paraId="7C7EC70B">
      <w:pPr>
        <w:adjustRightInd w:val="0"/>
        <w:snapToGrid w:val="0"/>
        <w:spacing w:line="50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2.响应的澄清</w:t>
      </w:r>
    </w:p>
    <w:p w14:paraId="48A36F4B">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2.1评审期间，为有助于对响应文件的审查、评价和比较，询价小组有权要求供应商对其响应文件进行澄清，但并非对每个供应商都作澄清要求。</w:t>
      </w:r>
    </w:p>
    <w:p w14:paraId="63031467">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462383E9">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2.3 接到询价小组澄清要求的供应商如未按规定做出澄清，其风险由供应商自行承担。</w:t>
      </w:r>
    </w:p>
    <w:p w14:paraId="4E8CFE8D">
      <w:pPr>
        <w:adjustRightInd w:val="0"/>
        <w:snapToGrid w:val="0"/>
        <w:spacing w:line="50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3.对响应文件的初审</w:t>
      </w:r>
    </w:p>
    <w:p w14:paraId="7D3E52E5">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3.1响应文件初审分为资格性检查和符合性检查。</w:t>
      </w:r>
    </w:p>
    <w:p w14:paraId="4113C108">
      <w:pPr>
        <w:numPr>
          <w:ilvl w:val="0"/>
          <w:numId w:val="1"/>
        </w:num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资格性检查：依据法律法规和采购文件的规定，对响应文件中的资格证明文件等进行审查，以确定供应商是否具备参加询价的资格。</w:t>
      </w:r>
    </w:p>
    <w:p w14:paraId="2FE56A83">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资格性审查未通过的响应供应商作无效响应处理。</w:t>
      </w:r>
    </w:p>
    <w:p w14:paraId="68FFFD09">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3B9117D4">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（3）未通过资格性审查或符合性审查的响应供应商，代理机构将告知其未通过资格性审查或符合性审查的原因。</w:t>
      </w:r>
    </w:p>
    <w:p w14:paraId="08F940E9">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3.2</w:t>
      </w:r>
      <w:r>
        <w:rPr>
          <w:rFonts w:hint="eastAsia" w:ascii="宋体" w:hAnsi="宋体" w:cs="宋体"/>
          <w:bCs/>
          <w:color w:val="auto"/>
          <w:sz w:val="28"/>
          <w:szCs w:val="28"/>
          <w:highlight w:val="none"/>
        </w:rPr>
        <w:t>询价小组将对确定为实质性响应的响应进行进一步审核，看其是否有计算</w:t>
      </w:r>
      <w:r>
        <w:rPr>
          <w:rFonts w:hint="eastAsia" w:ascii="宋体" w:hAnsi="宋体" w:cs="宋体"/>
          <w:color w:val="auto"/>
          <w:sz w:val="28"/>
          <w:szCs w:val="28"/>
          <w:highlight w:val="none"/>
        </w:rPr>
        <w:t>上或累加上的算术错误，修正错误的原则如下：</w:t>
      </w:r>
    </w:p>
    <w:p w14:paraId="30B52118">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（1）响应文件中投标报价明细表内容与响应文件中相应内容不一致的，以投标报价明细表为准。</w:t>
      </w:r>
    </w:p>
    <w:p w14:paraId="16575E7D">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（2）大写金额和小写金额不一致的，以大写金额为准。</w:t>
      </w:r>
    </w:p>
    <w:p w14:paraId="35E7A395">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（3）总价金额与按单价汇总金额不一致的，以单价金额计算结果为准。</w:t>
      </w:r>
    </w:p>
    <w:p w14:paraId="502EC4D3">
      <w:pPr>
        <w:adjustRightInd w:val="0"/>
        <w:snapToGrid w:val="0"/>
        <w:spacing w:line="500" w:lineRule="exact"/>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同时出现两种以上错误的，按照前款规定的顺序修正。</w:t>
      </w:r>
    </w:p>
    <w:p w14:paraId="1E0101C5">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F8503F5">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142ACBD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3F13E5E9">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E95DB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非单一产品采购项目，采购文件中将载明其中的核心产品。多家响应供应商提供的核心产品为同一品牌同一型号的，按前款规定处理。</w:t>
      </w:r>
    </w:p>
    <w:p w14:paraId="14A837D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3.7响应供应商在询价采购活动全过程中应保持通讯畅通，并安排专人与采购人及询价小组联系。</w:t>
      </w:r>
    </w:p>
    <w:p w14:paraId="208A16BF">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4.无效响应及废标情形</w:t>
      </w:r>
    </w:p>
    <w:p w14:paraId="1782BDC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4.1符合下列情形之一者，响应供应商响应无效：</w:t>
      </w:r>
    </w:p>
    <w:p w14:paraId="2FAC7FF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（1）响应供应商未按本采购文件要求进行制作或密封的；</w:t>
      </w:r>
    </w:p>
    <w:p w14:paraId="269493EE">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（2）响应文件未按采购文件的要求签字或盖章的；</w:t>
      </w:r>
    </w:p>
    <w:p w14:paraId="682A23E7">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（3）响应文件未按规定加盖供应商印章，投标报价部分未盖章的；</w:t>
      </w:r>
    </w:p>
    <w:p w14:paraId="27A221B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（4）响应文件的关键内容字迹模糊，无法辨认的；</w:t>
      </w:r>
    </w:p>
    <w:p w14:paraId="44F877D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（5）同一响应供应商提交两个（含两个）以上不同的响应报价的；</w:t>
      </w:r>
    </w:p>
    <w:p w14:paraId="04C4D4A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（6）响应供应商不具备采购文件中规定资格要求的；</w:t>
      </w:r>
    </w:p>
    <w:p w14:paraId="751FA347">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（7）响应供应商的报价超过了采购预算或最高限价的；</w:t>
      </w:r>
    </w:p>
    <w:p w14:paraId="18309007">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（8）未通过资格性、符合性审查的；</w:t>
      </w:r>
    </w:p>
    <w:p w14:paraId="09C0A267">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（9）不符合询价采购文件中规定的其他实质性要求和条件的；</w:t>
      </w:r>
    </w:p>
    <w:p w14:paraId="2CEBAFD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（10）响应文件含有采购人不能接受的附加条件的；</w:t>
      </w:r>
    </w:p>
    <w:p w14:paraId="1EFA38EA">
      <w:pPr>
        <w:adjustRightInd w:val="0"/>
        <w:snapToGrid w:val="0"/>
        <w:spacing w:line="500" w:lineRule="exact"/>
        <w:ind w:left="839" w:leftChars="266" w:hanging="280" w:hangingChars="100"/>
        <w:rPr>
          <w:rFonts w:ascii="宋体" w:hAnsi="宋体" w:cs="宋体"/>
          <w:color w:val="auto"/>
          <w:sz w:val="28"/>
          <w:szCs w:val="28"/>
          <w:highlight w:val="none"/>
        </w:rPr>
      </w:pPr>
      <w:r>
        <w:rPr>
          <w:rFonts w:hint="eastAsia" w:ascii="宋体" w:hAnsi="宋体" w:cs="宋体"/>
          <w:color w:val="auto"/>
          <w:sz w:val="28"/>
          <w:szCs w:val="28"/>
          <w:highlight w:val="none"/>
        </w:rPr>
        <w:t>（11）其他法律、法规及本采购文件规定的属无效响应的情形。</w:t>
      </w:r>
    </w:p>
    <w:p w14:paraId="06005EE4">
      <w:pPr>
        <w:adjustRightInd w:val="0"/>
        <w:snapToGrid w:val="0"/>
        <w:spacing w:line="500" w:lineRule="exact"/>
        <w:ind w:left="839" w:leftChars="266" w:hanging="280" w:hangingChars="100"/>
        <w:rPr>
          <w:rFonts w:ascii="宋体" w:hAnsi="宋体" w:cs="宋体"/>
          <w:color w:val="auto"/>
          <w:sz w:val="28"/>
          <w:szCs w:val="28"/>
          <w:highlight w:val="none"/>
        </w:rPr>
      </w:pPr>
      <w:r>
        <w:rPr>
          <w:rFonts w:hint="eastAsia" w:ascii="宋体" w:hAnsi="宋体" w:cs="宋体"/>
          <w:color w:val="auto"/>
          <w:sz w:val="28"/>
          <w:szCs w:val="28"/>
          <w:highlight w:val="none"/>
        </w:rPr>
        <w:t>4.2符合下列情形之一者，本采购项目废标：</w:t>
      </w:r>
    </w:p>
    <w:p w14:paraId="323BCAA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bCs/>
          <w:color w:val="auto"/>
          <w:sz w:val="28"/>
          <w:szCs w:val="28"/>
          <w:highlight w:val="none"/>
        </w:rPr>
        <w:t>符合专业条件的供应商或者对采购文件作实质响应的供应商不足三家的</w:t>
      </w:r>
      <w:r>
        <w:rPr>
          <w:rFonts w:hint="eastAsia" w:ascii="宋体" w:hAnsi="宋体" w:cs="宋体"/>
          <w:color w:val="auto"/>
          <w:sz w:val="28"/>
          <w:szCs w:val="28"/>
          <w:highlight w:val="none"/>
        </w:rPr>
        <w:t>；</w:t>
      </w:r>
    </w:p>
    <w:p w14:paraId="402B48C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（2）所有合格响应供应商的报价均超过本项目预算金额或最高限价的；</w:t>
      </w:r>
    </w:p>
    <w:p w14:paraId="65D8319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（3）出现影响采购公正的违法、违规行为的；</w:t>
      </w:r>
    </w:p>
    <w:p w14:paraId="2099994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（4）因重大变故，采购任务取消的；</w:t>
      </w:r>
    </w:p>
    <w:p w14:paraId="0BE977F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废标后，对于特殊紧急的采购项目，经监管部门批准后采购人可直接改变采购方式，现场继续组织采购活动。</w:t>
      </w:r>
    </w:p>
    <w:p w14:paraId="4CDB8C8B">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六、成交原则</w:t>
      </w:r>
    </w:p>
    <w:p w14:paraId="31767B76">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1.确定成交单位</w:t>
      </w:r>
    </w:p>
    <w:p w14:paraId="7FBEB5C6">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1.1询价小组将从质量和服务均能满足采购文件实质性响应要求的供应商中，按照报价由低到高顺序推荐1名成交候选供应商，若报价相同时则通过抽签方式随机确定排名顺序，并编写评审报告。</w:t>
      </w:r>
    </w:p>
    <w:p w14:paraId="2589DD42">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采购人应按照询价小组推荐的成交候选供应商确定成交供应商。</w:t>
      </w:r>
    </w:p>
    <w:p w14:paraId="529AFBB7">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5B44E8F4">
      <w:pPr>
        <w:adjustRightInd w:val="0"/>
        <w:snapToGrid w:val="0"/>
        <w:spacing w:line="500" w:lineRule="exact"/>
        <w:ind w:firstLine="560" w:firstLineChars="2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1.2 对小微型企业、监狱企业和残疾人福利单位的价格扣除</w:t>
      </w:r>
    </w:p>
    <w:p w14:paraId="10FCAACD">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1.2.1非专门面向中小企业采购的项目或者采购包，执行以下价格评审优惠的扶持政策。</w:t>
      </w:r>
    </w:p>
    <w:p w14:paraId="48312435">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（1）小微型企业价格扣除：</w:t>
      </w:r>
    </w:p>
    <w:p w14:paraId="2046E5C4">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\o\ac(○,1)</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对小型和微型企业产品给予10%的扣除价格，用扣除后的价格参与评审。</w:t>
      </w:r>
    </w:p>
    <w:p w14:paraId="5AE941E1">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\o\ac(○,2)</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供应商需按照《政府采购促进中小企业发展管理办法》（财库〔2020〕46号）的规定提供相应的《中小企业声明函》。</w:t>
      </w:r>
    </w:p>
    <w:p w14:paraId="41913EFD">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\o\ac(○,3)</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企业标准请参照《关于印发中小企业划型标准规定的通知》（工信部联企业</w:t>
      </w: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rPr>
        <w:t>2011</w:t>
      </w: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rPr>
        <w:t>300号）文件规定自行填写。</w:t>
      </w:r>
    </w:p>
    <w:p w14:paraId="7C2A391D">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（2）残疾人福利单位价格扣除：</w:t>
      </w:r>
    </w:p>
    <w:p w14:paraId="7ADDF921">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\o\ac(○,1)</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对残疾人福利性单位，给予10%的价格扣除，用扣除后的价格参与评审。</w:t>
      </w:r>
    </w:p>
    <w:p w14:paraId="30AB60E6">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\o\ac(○,2)</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残疾人福利单位需按照采购文件的要求提供《残疾人福利性单位声明函》。</w:t>
      </w:r>
    </w:p>
    <w:p w14:paraId="39B11F69">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\o\ac(○,3)</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残疾人福利单位标准请参照《关于促进残疾人就业政府采购政策的通知》（财库〔2017〕141号）。</w:t>
      </w:r>
    </w:p>
    <w:p w14:paraId="5B0EE066">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（3）监狱和戒毒企业价格扣除</w:t>
      </w:r>
    </w:p>
    <w:p w14:paraId="64C3A06A">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\o\ac(○,1)</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对监狱和戒毒企业（简称监狱企业）给予10%的价格扣除，用扣除后的价格参与评审。</w:t>
      </w:r>
    </w:p>
    <w:p w14:paraId="3FEDE9E9">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\o\ac(○,2)</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监狱企业参加政府采购活动时，需提供由省级以上监狱管理局、戒毒管理局(含新疆生产建设兵团)出具的属于监狱企业的证明文件。供应商如不提供上述证明文件，价格将不做相应扣除。</w:t>
      </w:r>
    </w:p>
    <w:p w14:paraId="25335C99">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eq \o\ac(○,3)</w:instrTex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监狱企业标准请参照《关于政府采购支持监狱企业发展有关问题的通知》（财库〔2014</w:t>
      </w: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rPr>
        <w:t>68号）。</w:t>
      </w:r>
    </w:p>
    <w:p w14:paraId="3E7421F7">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（4）残疾人福利单位、监狱企业属于小型、微型企业的，不重复享受政策。</w:t>
      </w:r>
    </w:p>
    <w:p w14:paraId="0847C60B">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44854825">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（6）联合体各方均为小型、微型企业（残疾人福利单位、监狱企业）的，联合体享受上述同类价格扣除，用扣除后的价格参与评审。</w:t>
      </w:r>
    </w:p>
    <w:p w14:paraId="76585610">
      <w:pPr>
        <w:adjustRightInd w:val="0"/>
        <w:snapToGrid w:val="0"/>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1.2.2专门面向中小企业采购的项目或者采购包，不再执行上述价格评审优惠的扶持政策。</w:t>
      </w:r>
    </w:p>
    <w:p w14:paraId="16186834">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1.3成交结果公告</w:t>
      </w:r>
    </w:p>
    <w:p w14:paraId="26FA55E1">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采购人将在“启东市人民政府网”网站发布成交公告，公告期限为1个工作日。</w:t>
      </w:r>
    </w:p>
    <w:p w14:paraId="6A6C85D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 若有充分证据证明，成交供应商出现下列情况之一的，一经查实，将被取消成交资格：</w:t>
      </w:r>
    </w:p>
    <w:p w14:paraId="3D294E1C">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（1）提供虚假材料谋取成交的；</w:t>
      </w:r>
    </w:p>
    <w:p w14:paraId="554A24D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（2）向采购人、代理机构行贿或者提供其他不正当利益的；</w:t>
      </w:r>
    </w:p>
    <w:p w14:paraId="1FE9529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（3）恶意竞争，响应总报价明显低于其自身合理成本且又无法提供证明的；</w:t>
      </w:r>
    </w:p>
    <w:p w14:paraId="312253F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（4）属于本文件规定的无效条件，但在评审过程中又未被询价小组发现的；</w:t>
      </w:r>
    </w:p>
    <w:p w14:paraId="3A81DB49">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（5）与采购人或者其他供应商恶意串通的；</w:t>
      </w:r>
    </w:p>
    <w:p w14:paraId="0223684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（6）采取不正当手段诋毁、排挤其他供应商的；</w:t>
      </w:r>
    </w:p>
    <w:p w14:paraId="3F22DEA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（7）如有涉及对采购文件实质性内容的隐瞒、欺诈或违法违规行为的。</w:t>
      </w:r>
    </w:p>
    <w:p w14:paraId="1DE1FFE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1.5有下列情形之一的，视为响应供应商串通响应，响应无效：</w:t>
      </w:r>
    </w:p>
    <w:p w14:paraId="38A38C25">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（1）不同响应供应商的响应文件由同一单位或者个人编制；</w:t>
      </w:r>
    </w:p>
    <w:p w14:paraId="5CA6B24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（2）不同响应供应商委托同一单位或者个人办理响应事宜；</w:t>
      </w:r>
    </w:p>
    <w:p w14:paraId="45EEBA26">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（3）不同响应供应商的响应文件载明的项目管理成员或者联系人员为同一人；</w:t>
      </w:r>
    </w:p>
    <w:p w14:paraId="3260B64F">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（4）不同响应供应商的响应文件异常一致或者响应报价呈规律性差异；</w:t>
      </w:r>
    </w:p>
    <w:p w14:paraId="0E85D148">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（5）不同响应供应商的响应文件相互混装。</w:t>
      </w:r>
    </w:p>
    <w:p w14:paraId="347230FE">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2.质疑处理</w:t>
      </w:r>
    </w:p>
    <w:p w14:paraId="530A2B8C">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 提出质疑的供应商应当是参与所质疑项目采购活动的供应商。潜在供应商依法获取其可质疑的采购文件的，可以对采购文件提出质疑。</w:t>
      </w:r>
    </w:p>
    <w:p w14:paraId="45BC5995">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2.2供应商认为采购文件、采购过程和采购结果使自己的权益受到损害的，可以在知道或应知其权益受到损害之日起七个工作日内，以书面形式向采购人或代理机构提出质疑。上述应知其权益受到损害之日，是指：</w:t>
      </w:r>
    </w:p>
    <w:p w14:paraId="44043F32">
      <w:pPr>
        <w:adjustRightInd w:val="0"/>
        <w:snapToGrid w:val="0"/>
        <w:spacing w:line="5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（1）</w:t>
      </w:r>
      <w:r>
        <w:rPr>
          <w:rFonts w:hint="eastAsia" w:ascii="宋体" w:hAnsi="宋体" w:cs="宋体"/>
          <w:color w:val="auto"/>
          <w:kern w:val="0"/>
          <w:sz w:val="28"/>
          <w:szCs w:val="28"/>
          <w:highlight w:val="none"/>
        </w:rPr>
        <w:t>对可以质疑的采购文件提出质疑的，为收到采购文件之日或者采购文件公告期限届满之日；</w:t>
      </w:r>
      <w:r>
        <w:rPr>
          <w:rFonts w:hint="eastAsia" w:ascii="宋体" w:hAnsi="宋体" w:cs="宋体"/>
          <w:color w:val="auto"/>
          <w:kern w:val="0"/>
          <w:sz w:val="28"/>
          <w:szCs w:val="28"/>
          <w:highlight w:val="none"/>
        </w:rPr>
        <w:br w:type="textWrapping"/>
      </w:r>
      <w:r>
        <w:rPr>
          <w:rFonts w:hint="eastAsia" w:ascii="宋体" w:hAnsi="宋体" w:cs="宋体"/>
          <w:color w:val="auto"/>
          <w:kern w:val="0"/>
          <w:sz w:val="28"/>
          <w:szCs w:val="28"/>
          <w:highlight w:val="none"/>
        </w:rPr>
        <w:t>　　</w:t>
      </w:r>
      <w:r>
        <w:rPr>
          <w:rFonts w:hint="eastAsia" w:ascii="宋体" w:hAnsi="宋体" w:cs="宋体"/>
          <w:color w:val="auto"/>
          <w:sz w:val="28"/>
          <w:szCs w:val="28"/>
          <w:highlight w:val="none"/>
        </w:rPr>
        <w:t>（2）</w:t>
      </w:r>
      <w:r>
        <w:rPr>
          <w:rFonts w:hint="eastAsia" w:ascii="宋体" w:hAnsi="宋体" w:cs="宋体"/>
          <w:color w:val="auto"/>
          <w:kern w:val="0"/>
          <w:sz w:val="28"/>
          <w:szCs w:val="28"/>
          <w:highlight w:val="none"/>
        </w:rPr>
        <w:t>对采购过程提出质疑的，为各采购程序环节结束之日；</w:t>
      </w:r>
      <w:r>
        <w:rPr>
          <w:rFonts w:hint="eastAsia" w:ascii="宋体" w:hAnsi="宋体" w:cs="宋体"/>
          <w:color w:val="auto"/>
          <w:kern w:val="0"/>
          <w:sz w:val="28"/>
          <w:szCs w:val="28"/>
          <w:highlight w:val="none"/>
        </w:rPr>
        <w:br w:type="textWrapping"/>
      </w:r>
      <w:r>
        <w:rPr>
          <w:rFonts w:hint="eastAsia" w:ascii="宋体" w:hAnsi="宋体" w:cs="宋体"/>
          <w:color w:val="auto"/>
          <w:kern w:val="0"/>
          <w:sz w:val="28"/>
          <w:szCs w:val="28"/>
          <w:highlight w:val="none"/>
        </w:rPr>
        <w:t>　　</w:t>
      </w:r>
      <w:r>
        <w:rPr>
          <w:rFonts w:hint="eastAsia" w:ascii="宋体" w:hAnsi="宋体" w:cs="宋体"/>
          <w:color w:val="auto"/>
          <w:sz w:val="28"/>
          <w:szCs w:val="28"/>
          <w:highlight w:val="none"/>
        </w:rPr>
        <w:t>（3）</w:t>
      </w:r>
      <w:r>
        <w:rPr>
          <w:rFonts w:hint="eastAsia" w:ascii="宋体" w:hAnsi="宋体" w:cs="宋体"/>
          <w:color w:val="auto"/>
          <w:kern w:val="0"/>
          <w:sz w:val="28"/>
          <w:szCs w:val="28"/>
          <w:highlight w:val="none"/>
        </w:rPr>
        <w:t>对中标或者成交结果提出质疑的，为中标或者成交结果公告期限届满之日。</w:t>
      </w:r>
    </w:p>
    <w:p w14:paraId="111D1E35">
      <w:pPr>
        <w:adjustRightInd w:val="0"/>
        <w:snapToGrid w:val="0"/>
        <w:spacing w:line="5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供应商应当在法定质疑期内一次性提出针对同一采购程序环节的质疑。</w:t>
      </w:r>
    </w:p>
    <w:p w14:paraId="0E6B62C0">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2.3质疑函必须按照本采购文件中《质疑函范本》（附件12）要求的格式和内容进行填写。</w:t>
      </w:r>
    </w:p>
    <w:p w14:paraId="384218F9">
      <w:pPr>
        <w:adjustRightInd w:val="0"/>
        <w:snapToGrid w:val="0"/>
        <w:spacing w:line="500" w:lineRule="exact"/>
        <w:ind w:firstLine="560" w:firstLineChars="200"/>
        <w:jc w:val="left"/>
        <w:rPr>
          <w:rFonts w:ascii="宋体" w:hAnsi="宋体" w:cs="宋体"/>
          <w:b/>
          <w:color w:val="auto"/>
          <w:sz w:val="28"/>
          <w:szCs w:val="28"/>
          <w:highlight w:val="none"/>
        </w:rPr>
      </w:pPr>
      <w:r>
        <w:rPr>
          <w:rFonts w:hint="eastAsia" w:ascii="宋体" w:hAnsi="宋体" w:cs="宋体"/>
          <w:color w:val="auto"/>
          <w:sz w:val="28"/>
          <w:szCs w:val="28"/>
          <w:highlight w:val="none"/>
        </w:rPr>
        <w:t>2.4对采购方式、采购文件中项目需求、供应商资格条件等应当由采购人答复的质疑，请向采购人提出，由采购人负责答复。为方便供应商提起质疑，供应商向采购人以书面形式提交质疑函。</w:t>
      </w:r>
    </w:p>
    <w:p w14:paraId="1A3B1422">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采购人质疑接收人及联系方式，见采购文件第一部分。</w:t>
      </w:r>
    </w:p>
    <w:p w14:paraId="0FB0FF84">
      <w:pPr>
        <w:adjustRightInd w:val="0"/>
        <w:snapToGri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2.5 以下情形的质疑不予受理</w:t>
      </w:r>
    </w:p>
    <w:p w14:paraId="7E23ADAC">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（1）内容不符合《政府采购质疑和投诉办法》第十二条规定的质疑。</w:t>
      </w:r>
    </w:p>
    <w:p w14:paraId="20B0FD4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（2）超出政府采购法定期限的质疑。</w:t>
      </w:r>
    </w:p>
    <w:p w14:paraId="1CE0EE1D">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（3）未参加响应活动的供应商或在响应活动中自身权益未受到损害的供应商所提出的质疑。</w:t>
      </w:r>
    </w:p>
    <w:p w14:paraId="256B4FC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（4）供应商组成联合体参加响应，联合体中任何一方或多方未按要求签字、盖章、加盖公章的质疑。</w:t>
      </w:r>
    </w:p>
    <w:p w14:paraId="0CC56EDD">
      <w:pPr>
        <w:adjustRightInd w:val="0"/>
        <w:snapToGrid w:val="0"/>
        <w:spacing w:line="500" w:lineRule="exact"/>
        <w:ind w:firstLine="546" w:firstLineChars="195"/>
        <w:rPr>
          <w:rFonts w:ascii="宋体" w:hAnsi="宋体" w:cs="宋体"/>
          <w:color w:val="auto"/>
          <w:sz w:val="28"/>
          <w:szCs w:val="28"/>
          <w:highlight w:val="none"/>
        </w:rPr>
      </w:pPr>
      <w:r>
        <w:rPr>
          <w:rFonts w:hint="eastAsia" w:ascii="宋体" w:hAnsi="宋体" w:cs="宋体"/>
          <w:color w:val="auto"/>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5149F2CA">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3.成交通知书</w:t>
      </w:r>
    </w:p>
    <w:p w14:paraId="706D1D3D">
      <w:pPr>
        <w:pStyle w:val="44"/>
        <w:adjustRightInd w:val="0"/>
        <w:snapToGrid w:val="0"/>
        <w:spacing w:line="500" w:lineRule="exact"/>
        <w:ind w:firstLine="560"/>
        <w:rPr>
          <w:rFonts w:ascii="宋体" w:hAnsi="宋体" w:cs="宋体"/>
          <w:bCs/>
          <w:color w:val="auto"/>
          <w:sz w:val="28"/>
          <w:szCs w:val="28"/>
          <w:highlight w:val="none"/>
        </w:rPr>
      </w:pPr>
      <w:r>
        <w:rPr>
          <w:rFonts w:hint="eastAsia" w:ascii="宋体" w:hAnsi="宋体" w:cs="宋体"/>
          <w:color w:val="auto"/>
          <w:sz w:val="28"/>
          <w:szCs w:val="28"/>
          <w:highlight w:val="none"/>
        </w:rPr>
        <w:t>公告成交结果的同时，采购人</w:t>
      </w:r>
      <w:r>
        <w:rPr>
          <w:rFonts w:hint="eastAsia" w:ascii="宋体" w:hAnsi="宋体" w:cs="宋体"/>
          <w:bCs/>
          <w:color w:val="auto"/>
          <w:sz w:val="28"/>
          <w:szCs w:val="28"/>
          <w:highlight w:val="none"/>
        </w:rPr>
        <w:t>向成交供应商发放成交通知书。</w:t>
      </w:r>
    </w:p>
    <w:p w14:paraId="6854FBEF">
      <w:pPr>
        <w:pStyle w:val="44"/>
        <w:adjustRightInd w:val="0"/>
        <w:snapToGrid w:val="0"/>
        <w:spacing w:line="50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成交通知书发出后，采购人不得违法改变成交结果，成交供应商无正当理由不得放弃成交。</w:t>
      </w:r>
    </w:p>
    <w:p w14:paraId="4E2A7AA0">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七、授予合同</w:t>
      </w:r>
    </w:p>
    <w:p w14:paraId="61416A7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1.签订合同</w:t>
      </w:r>
    </w:p>
    <w:p w14:paraId="40D6A6E0">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1.1成交供应商应当在成交通知书发出之日起三十日内，按照采购文件确定的事项与采购人签订政府采购合同。</w:t>
      </w:r>
    </w:p>
    <w:p w14:paraId="2705E5F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1.2采购文件、成交供应商的响应文件及采购过程中有关澄清、承诺文件均应作为合同附件。</w:t>
      </w:r>
    </w:p>
    <w:p w14:paraId="14A9B749">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60C7825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2.货物和服务的追加、减少和添购</w:t>
      </w:r>
    </w:p>
    <w:p w14:paraId="53BA823F">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66241D53">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60F80703">
      <w:pPr>
        <w:adjustRightInd w:val="0"/>
        <w:snapToGrid w:val="0"/>
        <w:spacing w:line="500" w:lineRule="exact"/>
        <w:ind w:firstLine="562" w:firstLineChars="200"/>
        <w:rPr>
          <w:rFonts w:ascii="宋体" w:hAnsi="宋体" w:cs="宋体"/>
          <w:color w:val="auto"/>
          <w:sz w:val="28"/>
          <w:szCs w:val="28"/>
          <w:highlight w:val="none"/>
        </w:rPr>
      </w:pPr>
      <w:r>
        <w:rPr>
          <w:rFonts w:hint="eastAsia" w:ascii="宋体" w:hAnsi="宋体" w:cs="宋体"/>
          <w:b/>
          <w:color w:val="auto"/>
          <w:sz w:val="28"/>
          <w:szCs w:val="28"/>
          <w:highlight w:val="none"/>
        </w:rPr>
        <w:t>八、其他说明</w:t>
      </w:r>
    </w:p>
    <w:p w14:paraId="2AFC1B79">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1.法定代表人为同一个人的两个及两个以上法人，母公司、全资子公司及其控股公司，只能有一家单位参加本项目的响应。</w:t>
      </w:r>
    </w:p>
    <w:p w14:paraId="793E15F2">
      <w:pPr>
        <w:adjustRightInd w:val="0"/>
        <w:snapToGrid w:val="0"/>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2.采购人和询价小组不向未成交的响应供应商解释未成交原因，也不公布评审过程中的相关细节。</w:t>
      </w:r>
    </w:p>
    <w:p w14:paraId="555A8B38">
      <w:pPr>
        <w:adjustRightInd w:val="0"/>
        <w:snapToGrid w:val="0"/>
        <w:spacing w:line="500" w:lineRule="exact"/>
        <w:ind w:firstLine="560" w:firstLineChars="200"/>
        <w:rPr>
          <w:rFonts w:ascii="宋体" w:hAnsi="宋体" w:cs="宋体"/>
          <w:color w:val="auto"/>
          <w:sz w:val="28"/>
          <w:szCs w:val="28"/>
          <w:highlight w:val="none"/>
        </w:rPr>
      </w:pPr>
    </w:p>
    <w:p w14:paraId="7CFA64F5">
      <w:pPr>
        <w:adjustRightInd w:val="0"/>
        <w:snapToGrid w:val="0"/>
        <w:spacing w:line="500" w:lineRule="exact"/>
        <w:ind w:firstLine="720"/>
        <w:rPr>
          <w:rFonts w:ascii="宋体" w:hAnsi="宋体" w:cs="宋体"/>
          <w:bCs/>
          <w:color w:val="auto"/>
          <w:sz w:val="36"/>
          <w:szCs w:val="36"/>
          <w:highlight w:val="none"/>
        </w:rPr>
      </w:pPr>
      <w:bookmarkStart w:id="56" w:name="_Toc32735"/>
      <w:r>
        <w:rPr>
          <w:rFonts w:hint="eastAsia" w:ascii="宋体" w:hAnsi="宋体" w:cs="宋体"/>
          <w:bCs/>
          <w:color w:val="auto"/>
          <w:sz w:val="36"/>
          <w:szCs w:val="36"/>
          <w:highlight w:val="none"/>
        </w:rPr>
        <w:br w:type="page"/>
      </w:r>
    </w:p>
    <w:p w14:paraId="1FDCA453">
      <w:pPr>
        <w:pStyle w:val="2"/>
        <w:widowControl/>
        <w:adjustRightInd w:val="0"/>
        <w:snapToGrid w:val="0"/>
        <w:spacing w:before="0" w:after="0" w:line="500" w:lineRule="exact"/>
        <w:ind w:firstLine="720"/>
        <w:jc w:val="center"/>
        <w:rPr>
          <w:rFonts w:ascii="宋体" w:hAnsi="宋体" w:cs="宋体"/>
          <w:b w:val="0"/>
          <w:color w:val="auto"/>
          <w:sz w:val="36"/>
          <w:szCs w:val="36"/>
          <w:highlight w:val="none"/>
        </w:rPr>
      </w:pPr>
      <w:r>
        <w:rPr>
          <w:rFonts w:hint="eastAsia" w:ascii="宋体" w:hAnsi="宋体" w:cs="宋体"/>
          <w:b w:val="0"/>
          <w:color w:val="auto"/>
          <w:sz w:val="36"/>
          <w:szCs w:val="36"/>
          <w:highlight w:val="none"/>
        </w:rPr>
        <w:t>第三部分  项目需求</w:t>
      </w:r>
    </w:p>
    <w:p w14:paraId="432ED1AC">
      <w:pPr>
        <w:adjustRightInd w:val="0"/>
        <w:snapToGrid w:val="0"/>
        <w:spacing w:line="500" w:lineRule="exact"/>
        <w:ind w:firstLine="562" w:firstLineChars="200"/>
        <w:rPr>
          <w:rFonts w:ascii="宋体" w:hAnsi="宋体" w:cs="宋体"/>
          <w:b/>
          <w:bCs/>
          <w:color w:val="auto"/>
          <w:sz w:val="28"/>
          <w:szCs w:val="28"/>
          <w:highlight w:val="none"/>
        </w:rPr>
      </w:pPr>
      <w:bookmarkStart w:id="57" w:name="_Toc82505662"/>
      <w:r>
        <w:rPr>
          <w:rFonts w:hint="eastAsia" w:ascii="宋体" w:hAnsi="宋体" w:cs="宋体"/>
          <w:b/>
          <w:bCs/>
          <w:color w:val="auto"/>
          <w:sz w:val="28"/>
          <w:szCs w:val="28"/>
          <w:highlight w: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E8A4D74">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E085D9D">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其内容包含：</w:t>
      </w:r>
    </w:p>
    <w:p w14:paraId="0A967905">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一、项目具体需求：</w:t>
      </w:r>
    </w:p>
    <w:p w14:paraId="416EDFDC">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（一）</w:t>
      </w:r>
      <w:r>
        <w:rPr>
          <w:rFonts w:hint="eastAsia" w:ascii="宋体" w:hAnsi="宋体" w:eastAsia="宋体" w:cs="宋体"/>
          <w:b/>
          <w:bCs/>
          <w:kern w:val="0"/>
          <w:sz w:val="28"/>
          <w:szCs w:val="28"/>
          <w:highlight w:val="none"/>
          <w:lang w:eastAsia="zh-CN"/>
        </w:rPr>
        <w:t>维保范围</w:t>
      </w:r>
      <w:r>
        <w:rPr>
          <w:rFonts w:hint="eastAsia" w:ascii="宋体" w:hAnsi="宋体" w:eastAsia="宋体" w:cs="宋体"/>
          <w:b/>
          <w:bCs/>
          <w:kern w:val="0"/>
          <w:sz w:val="28"/>
          <w:szCs w:val="28"/>
          <w:highlight w:val="none"/>
        </w:rPr>
        <w:t>：</w:t>
      </w:r>
    </w:p>
    <w:p w14:paraId="1AA9DF6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江苏吕四港集团西港池管理楼、服务楼、车辆维修中心的消防设施设备：</w:t>
      </w:r>
    </w:p>
    <w:p w14:paraId="0E8751F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建筑1</w:t>
      </w:r>
      <w:r>
        <w:rPr>
          <w:rFonts w:hint="eastAsia" w:ascii="宋体" w:hAnsi="宋体" w:eastAsia="宋体" w:cs="宋体"/>
          <w:kern w:val="0"/>
          <w:sz w:val="28"/>
          <w:szCs w:val="28"/>
          <w:highlight w:val="none"/>
          <w:lang w:val="zh-CN" w:eastAsia="zh-CN"/>
        </w:rPr>
        <w:sym w:font="Times New Roman" w:char="0000"/>
      </w:r>
      <w:r>
        <w:rPr>
          <w:rFonts w:hint="eastAsia" w:ascii="宋体" w:hAnsi="宋体" w:eastAsia="宋体" w:cs="宋体"/>
          <w:kern w:val="0"/>
          <w:sz w:val="28"/>
          <w:szCs w:val="28"/>
          <w:highlight w:val="none"/>
          <w:lang w:val="zh-CN" w:eastAsia="zh-CN"/>
        </w:rPr>
        <w:t>港区综合管理楼)：建筑层数：地上9层、地下1层，建筑高度：42.70m,建筑面积：地上18163.67m²、地下4434.65m²,耐火等级：一级。</w:t>
      </w:r>
    </w:p>
    <w:p w14:paraId="60201F3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建筑2</w:t>
      </w:r>
      <w:r>
        <w:rPr>
          <w:rFonts w:hint="eastAsia" w:ascii="宋体" w:hAnsi="宋体" w:eastAsia="宋体" w:cs="宋体"/>
          <w:kern w:val="0"/>
          <w:sz w:val="28"/>
          <w:szCs w:val="28"/>
          <w:highlight w:val="none"/>
          <w:lang w:val="zh-CN" w:eastAsia="zh-CN"/>
        </w:rPr>
        <w:sym w:font="Times New Roman" w:char="0000"/>
      </w:r>
      <w:r>
        <w:rPr>
          <w:rFonts w:hint="eastAsia" w:ascii="宋体" w:hAnsi="宋体" w:eastAsia="宋体" w:cs="宋体"/>
          <w:kern w:val="0"/>
          <w:sz w:val="28"/>
          <w:szCs w:val="28"/>
          <w:highlight w:val="none"/>
          <w:lang w:val="zh-CN" w:eastAsia="zh-CN"/>
        </w:rPr>
        <w:t>门卫)：建筑层数：地上1层，建筑高度：4.30m,建筑面积：地上26.63m²,耐火等级：二级。</w:t>
      </w:r>
    </w:p>
    <w:p w14:paraId="4B16307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建筑3</w:t>
      </w:r>
      <w:r>
        <w:rPr>
          <w:rFonts w:hint="eastAsia" w:ascii="宋体" w:hAnsi="宋体" w:eastAsia="宋体" w:cs="宋体"/>
          <w:kern w:val="0"/>
          <w:sz w:val="28"/>
          <w:szCs w:val="28"/>
          <w:highlight w:val="none"/>
          <w:lang w:val="zh-CN" w:eastAsia="zh-CN"/>
        </w:rPr>
        <w:sym w:font="Times New Roman" w:char="0000"/>
      </w:r>
      <w:r>
        <w:rPr>
          <w:rFonts w:hint="eastAsia" w:ascii="宋体" w:hAnsi="宋体" w:eastAsia="宋体" w:cs="宋体"/>
          <w:kern w:val="0"/>
          <w:sz w:val="28"/>
          <w:szCs w:val="28"/>
          <w:highlight w:val="none"/>
          <w:lang w:val="zh-CN" w:eastAsia="zh-CN"/>
        </w:rPr>
        <w:t>港区综合服务楼)：建筑层数：地上9层，建筑高度：40.85m,建筑面积：地上15136.89m²,耐火等级：一级。</w:t>
      </w:r>
      <w:r>
        <w:rPr>
          <w:rFonts w:hint="eastAsia" w:ascii="宋体" w:hAnsi="宋体" w:eastAsia="宋体" w:cs="宋体"/>
          <w:kern w:val="0"/>
          <w:sz w:val="28"/>
          <w:szCs w:val="28"/>
          <w:highlight w:val="none"/>
          <w:lang w:val="zh-CN" w:eastAsia="zh-CN"/>
        </w:rPr>
        <w:br w:type="textWrapping"/>
      </w:r>
      <w:r>
        <w:rPr>
          <w:rFonts w:hint="eastAsia" w:ascii="宋体" w:hAnsi="宋体" w:eastAsia="宋体" w:cs="宋体"/>
          <w:kern w:val="0"/>
          <w:sz w:val="28"/>
          <w:szCs w:val="28"/>
          <w:highlight w:val="none"/>
          <w:lang w:val="zh-CN" w:eastAsia="zh-CN"/>
        </w:rPr>
        <w:t xml:space="preserve">    建筑4</w:t>
      </w:r>
      <w:r>
        <w:rPr>
          <w:rFonts w:hint="eastAsia" w:ascii="宋体" w:hAnsi="宋体" w:eastAsia="宋体" w:cs="宋体"/>
          <w:kern w:val="0"/>
          <w:sz w:val="28"/>
          <w:szCs w:val="28"/>
          <w:highlight w:val="none"/>
          <w:lang w:val="zh-CN" w:eastAsia="zh-CN"/>
        </w:rPr>
        <w:sym w:font="Times New Roman" w:char="0000"/>
      </w:r>
      <w:r>
        <w:rPr>
          <w:rFonts w:hint="eastAsia" w:ascii="宋体" w:hAnsi="宋体" w:eastAsia="宋体" w:cs="宋体"/>
          <w:kern w:val="0"/>
          <w:sz w:val="28"/>
          <w:szCs w:val="28"/>
          <w:highlight w:val="none"/>
          <w:lang w:val="zh-CN" w:eastAsia="zh-CN"/>
        </w:rPr>
        <w:t>服务中心、维修中心楼)：建筑层数：地上2层，地下1层，建筑高度：9.6m,建筑面积：地上2132.36m²,地下145.29m²，耐火等级：二级。</w:t>
      </w:r>
    </w:p>
    <w:p w14:paraId="516D421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建筑5</w:t>
      </w:r>
      <w:r>
        <w:rPr>
          <w:rFonts w:hint="eastAsia" w:ascii="宋体" w:hAnsi="宋体" w:eastAsia="宋体" w:cs="宋体"/>
          <w:kern w:val="0"/>
          <w:sz w:val="28"/>
          <w:szCs w:val="28"/>
          <w:highlight w:val="none"/>
          <w:lang w:val="zh-CN" w:eastAsia="zh-CN"/>
        </w:rPr>
        <w:sym w:font="Times New Roman" w:char="0000"/>
      </w:r>
      <w:r>
        <w:rPr>
          <w:rFonts w:hint="eastAsia" w:ascii="宋体" w:hAnsi="宋体" w:eastAsia="宋体" w:cs="宋体"/>
          <w:kern w:val="0"/>
          <w:sz w:val="28"/>
          <w:szCs w:val="28"/>
          <w:highlight w:val="none"/>
          <w:lang w:val="zh-CN" w:eastAsia="zh-CN"/>
        </w:rPr>
        <w:t>维修中心门卫)：建筑层数：地上1层，建筑高度：6m,建筑面积：地上86.43m²,耐火等级：二级。</w:t>
      </w:r>
    </w:p>
    <w:p w14:paraId="60B2573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供应商并协助采购人完成各承租户消防调试、验收、维保及消防演练工作。</w:t>
      </w:r>
    </w:p>
    <w:p w14:paraId="2DA29D7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zh-CN" w:eastAsia="zh-CN"/>
        </w:rPr>
      </w:pPr>
      <w:r>
        <w:rPr>
          <w:rFonts w:hint="eastAsia" w:ascii="宋体" w:hAnsi="宋体" w:eastAsia="宋体" w:cs="宋体"/>
          <w:b/>
          <w:bCs/>
          <w:kern w:val="0"/>
          <w:sz w:val="28"/>
          <w:szCs w:val="28"/>
          <w:highlight w:val="none"/>
          <w:lang w:val="zh-CN" w:eastAsia="zh-CN"/>
        </w:rPr>
        <w:t>注:如相关配件材料不包含在原施工单位的质保范围内，维修费用在800以下(含800元)的配件均由中标单位免费提供。</w:t>
      </w:r>
    </w:p>
    <w:p w14:paraId="481589B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（二）维保服务内容：</w:t>
      </w:r>
    </w:p>
    <w:p w14:paraId="47C6386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供应商根据国家消防相关法律法规以及GB25201-2010《建筑消防设施的管理维护》等 相关国家、行业标准规定提供以下消防维保服务：</w:t>
      </w:r>
    </w:p>
    <w:p w14:paraId="68BD2C5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1、维保内容</w:t>
      </w:r>
    </w:p>
    <w:p w14:paraId="3318F21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(1)火灾自动报警及联动系统</w:t>
      </w:r>
      <w:r>
        <w:rPr>
          <w:rFonts w:hint="eastAsia" w:ascii="宋体" w:hAnsi="宋体" w:eastAsia="宋体" w:cs="宋体"/>
          <w:kern w:val="0"/>
          <w:sz w:val="28"/>
          <w:szCs w:val="28"/>
          <w:highlight w:val="none"/>
          <w:lang w:val="en-US" w:eastAsia="zh-CN"/>
        </w:rPr>
        <w:tab/>
      </w:r>
    </w:p>
    <w:p w14:paraId="6273128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探测器：每月对探测器进行模拟火灾响应试验和故障报警试验；每月按总量的10%完成抽检,六个月完成一次全样检测。核对探测器安装位置和联动关系的准确性,对日常发生误报或故障的探测器，维保单位应在12小时内提供维修服务。</w:t>
      </w:r>
    </w:p>
    <w:p w14:paraId="4F5E840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②手动报警按钮：每月对手动报警按钮进行模拟火灾响应试验和故障报警试验；每月按总量的10%完成抽检；每年完成二次全样检测。</w:t>
      </w:r>
    </w:p>
    <w:p w14:paraId="6111209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③火灾报警控制屏：进行故障、报警、消音、复位、火灾记忆、备用电池等功能测试 ,每月进行一次检测。</w:t>
      </w:r>
    </w:p>
    <w:p w14:paraId="0EA5FDD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④线路维护：每半年对管线、接线箱(盒)等进行一次测试和检查维护，以保线路正常，运行畅通。</w:t>
      </w:r>
    </w:p>
    <w:p w14:paraId="6B9A524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⑤消防系统联动测试：每月对风机、防火阀、非消防电源切除等的联动设备进行抽样测试，确定设备的动作信号和回答信号正常,测试、检测记录建档留存。</w:t>
      </w:r>
    </w:p>
    <w:p w14:paraId="38B48F0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(2)自动喷淋灭火系统</w:t>
      </w:r>
    </w:p>
    <w:p w14:paraId="32676D4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①水流指示器：用末端放水装置进行放水试验，检查水流指示器是否正常，每月按总量的30%测试一次。</w:t>
      </w:r>
    </w:p>
    <w:p w14:paraId="631F7DB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②湿式报警阀：打开试警铃阀，检测压力开关动作是否正常，其电气信号是否正确，打开排水阀检查主阀是否正常,每月按总量的100%测试一遍。</w:t>
      </w:r>
    </w:p>
    <w:p w14:paraId="36B69C1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③水泵：启动水泵，观察水泵运行是否正常，系统失压时水泵能否正常启动,每月测试一次。</w:t>
      </w:r>
    </w:p>
    <w:p w14:paraId="7BAE586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④联动控制：通过消防控制柜启、停水泵，检查反馈信号是否正确。每月测试一次,同时试验主备泵的切换功能。</w:t>
      </w:r>
    </w:p>
    <w:p w14:paraId="5E71547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⑤管网维护：每月检查系统配置情况，及时排除锈蚀、滴漏等现象。</w:t>
      </w:r>
    </w:p>
    <w:p w14:paraId="7F20A42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⑥阀门：每月检查阀门的开关状态；每月检查开关性能，及时排除泄漏等情况。</w:t>
      </w:r>
    </w:p>
    <w:p w14:paraId="143D216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⑦水泵结合器：每月检查水泵结合器的外观情况，及时排除锈蚀、滴漏等现象。</w:t>
      </w:r>
    </w:p>
    <w:p w14:paraId="5962848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⑧水泵Y型过滤器：每半年检查其阻塞情况，如有需要及时清理。</w:t>
      </w:r>
    </w:p>
    <w:p w14:paraId="402A9F4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(3)消火栓灭火系统</w:t>
      </w:r>
    </w:p>
    <w:p w14:paraId="77A2DB6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①室外消火栓：对消防水源、取水设施、水处理设施、给水设备、给水管网和室外消火栓等设施进行常规测试和维护；每月测试室外消火栓，检查水压、水量，控制阀门是否开启。</w:t>
      </w:r>
    </w:p>
    <w:p w14:paraId="3E3BDD3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②室内消火栓：进行常规检查，测试最不利点水压，检查管网压力，并进行放水试验，每月按总量的10%抽测。</w:t>
      </w:r>
    </w:p>
    <w:p w14:paraId="260EA90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③联动控制：通过消防控制室启、停水泵，检查反馈信号是否正确，每月一次。</w:t>
      </w:r>
    </w:p>
    <w:p w14:paraId="7531C6D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④管网维护：每月检查系统管网情况，及时排除锈蚀，滴漏等现象。</w:t>
      </w:r>
    </w:p>
    <w:p w14:paraId="0E96AE9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⑤阀门：每月检查阀门的开关状态；每月检查开关性能，及时排除泄漏等情况。</w:t>
      </w:r>
    </w:p>
    <w:p w14:paraId="62ECED9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⑥系统水池：每月检查系统水池的水位情况，每半年检查系统水池的完好情况。</w:t>
      </w:r>
    </w:p>
    <w:p w14:paraId="702D0FE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⑦水泵结合器：每月检查水泵结合器的外观情况，及时排除锈蚀、滴漏等现象。</w:t>
      </w:r>
    </w:p>
    <w:p w14:paraId="4A89FC5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⑧水泵Y 型过滤器：每半年检查其阻塞情况，如有阻塞及时清理。</w:t>
      </w:r>
    </w:p>
    <w:p w14:paraId="1E3BDEA7">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注：室内消火栓压力测试主要为测试管网静态压力，室内消火栓在测试时，在测试仪器和消火栓接口处会有小部分水流出，所以主要测试允许测试的区域。动态压力在最不利点进行测试。消火栓箱内水龙带、水喉等物如缺失或损坏，则随时添加或更换。</w:t>
      </w:r>
    </w:p>
    <w:p w14:paraId="35DA902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(4)防排烟系统</w:t>
      </w:r>
    </w:p>
    <w:p w14:paraId="28C60F6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每月检查送风、排烟机房工作环境及送风机、排烟机、电源控制柜、送风阀、排烟阀等是否处于正常工作状态，发现异常及时排除。</w:t>
      </w:r>
    </w:p>
    <w:p w14:paraId="5E010ED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(5)气体灭火系统</w:t>
      </w:r>
    </w:p>
    <w:p w14:paraId="71A7230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①检查保养气体控制屏，保证正常运行。</w:t>
      </w:r>
    </w:p>
    <w:p w14:paraId="4E228D7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②检测气瓶的压力是否达到规范要求，有无泄漏现象。</w:t>
      </w:r>
    </w:p>
    <w:p w14:paraId="51CE155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③检查试验手动和自动放气装置是否正常。</w:t>
      </w:r>
    </w:p>
    <w:p w14:paraId="39A7151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④模拟自动报警系统中的烟、温感探测器同时动作，检查气瓶的电磁阀是否动作，控制屏是否有放气信号，警铃、蜂鸣器是否动作。</w:t>
      </w:r>
    </w:p>
    <w:p w14:paraId="6B8077A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⑤每月检测控制屏的功能情况、气瓶压力是否正常。</w:t>
      </w:r>
    </w:p>
    <w:p w14:paraId="1CF90F0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⑥每季度检查试验手动和自动放气装置。</w:t>
      </w:r>
    </w:p>
    <w:p w14:paraId="7CC78D9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⑦每季度模拟进行烟、温感探测器动作，是否有放气信号，警铃、蜂鸣器是否动作灵敏。</w:t>
      </w:r>
    </w:p>
    <w:p w14:paraId="3D4D00D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(6)防火分隔系统</w:t>
      </w:r>
    </w:p>
    <w:p w14:paraId="7474B9C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①每月检查防火卷帘、防火门的外观。</w:t>
      </w:r>
    </w:p>
    <w:p w14:paraId="115CE50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②每月手动和联动测试防火卷帘、防火门的启闭性能。</w:t>
      </w:r>
    </w:p>
    <w:p w14:paraId="7478632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③每月检查防火卷帘、防火门前通道的畅通性。</w:t>
      </w:r>
    </w:p>
    <w:p w14:paraId="5EDC065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④每月检查灭火器是否有效。</w:t>
      </w:r>
    </w:p>
    <w:p w14:paraId="5E01787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(7)火灾应急照明和疏散指示系统</w:t>
      </w:r>
    </w:p>
    <w:p w14:paraId="0B58CB9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①日常对应急照明灯的自检测试与清洁维护。</w:t>
      </w:r>
    </w:p>
    <w:p w14:paraId="5865B9E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②日常对疏散指示标志的自检测试与清洁维护。</w:t>
      </w:r>
    </w:p>
    <w:p w14:paraId="6C61434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(8)消防通讯及消防广播系统</w:t>
      </w:r>
    </w:p>
    <w:p w14:paraId="7E20D73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①消防控制室进行选区广播，进行扩音机控制功能试验。每月测试一次。</w:t>
      </w:r>
    </w:p>
    <w:p w14:paraId="04AF113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②公用扬声器运行切换试验。每月测试一次。</w:t>
      </w:r>
    </w:p>
    <w:p w14:paraId="519C806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③消防控制室进行消防紧急电话通话试验，每月测试一次。</w:t>
      </w:r>
    </w:p>
    <w:p w14:paraId="231BBEB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④线路维护：每半年对消防广播线路进行测试，每年5月和10月对消防电话进行测试,检查线路敷设情况，确保系统正常运行。</w:t>
      </w:r>
    </w:p>
    <w:p w14:paraId="03A0505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2、维保要求</w:t>
      </w:r>
    </w:p>
    <w:p w14:paraId="39C442A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(1)满足国家消防相关法律法规以及GB25201-2010《建筑消防设施的管理维护》等相关国家、行业标准规定。</w:t>
      </w:r>
    </w:p>
    <w:p w14:paraId="0E6DDAA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(2)协助采购人完成各承租商户消防调试、验收、维保及消防演练工作。</w:t>
      </w:r>
    </w:p>
    <w:p w14:paraId="6AD1CAA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设备、设施发生故障，供应商接收到故障信息或接到采购人通知2小时内到达现场,6小时内排除故障，保证系统正常运行。在确实没有配件的情况下应及时向采购人汇报和消防大队备案，并采取有效的应急措施，防止出现安全事故。</w:t>
      </w:r>
    </w:p>
    <w:p w14:paraId="0147777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(4)维保期限满前一个月内，由经双方认可的具有相应资质的第三方对消防系统进行年度检测，确保消防系统正常(相关费用由成交供应商承担)。</w:t>
      </w:r>
    </w:p>
    <w:p w14:paraId="2AB5F53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(5)成交供应商有一套完整、有效的质保体系，同时在维护保养过程中派技术人员现场 监督维护保养工作人员，严格按照国家有关规范进行维保，有效保证维保质量。</w:t>
      </w:r>
    </w:p>
    <w:p w14:paraId="2FF8761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（三）服务要求</w:t>
      </w:r>
    </w:p>
    <w:p w14:paraId="17ABC24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为确保服务质量，成交供应商根据维修保养对象的具体情况，拟定具体的维修保养方案，明确项目负责人，至少指定4名以上执业人员负责实施并常驻1名以上执业人员，并注明姓名和联系方式，其中维修人员（不少于2人）具有登高证、低压电工证、电焊与热切割作业证等相关证书。</w:t>
      </w:r>
    </w:p>
    <w:p w14:paraId="3C850787">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zh-CN" w:eastAsia="zh-CN"/>
        </w:rPr>
      </w:pPr>
      <w:r>
        <w:rPr>
          <w:rFonts w:hint="eastAsia" w:ascii="宋体" w:hAnsi="宋体" w:eastAsia="宋体" w:cs="宋体"/>
          <w:b/>
          <w:bCs/>
          <w:kern w:val="0"/>
          <w:sz w:val="28"/>
          <w:szCs w:val="28"/>
          <w:highlight w:val="none"/>
          <w:lang w:val="zh-CN" w:eastAsia="zh-CN"/>
        </w:rPr>
        <w:t>二、商务部分要求</w:t>
      </w:r>
    </w:p>
    <w:p w14:paraId="7BF0119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b/>
          <w:bCs/>
          <w:kern w:val="0"/>
          <w:sz w:val="28"/>
          <w:szCs w:val="28"/>
          <w:highlight w:val="none"/>
          <w:lang w:val="zh-CN" w:eastAsia="zh-CN"/>
        </w:rPr>
        <w:t>（一）服务期限：</w:t>
      </w:r>
      <w:r>
        <w:rPr>
          <w:rFonts w:hint="eastAsia" w:ascii="宋体" w:hAnsi="宋体" w:eastAsia="宋体" w:cs="宋体"/>
          <w:kern w:val="0"/>
          <w:sz w:val="28"/>
          <w:szCs w:val="28"/>
          <w:highlight w:val="none"/>
          <w:lang w:val="zh-CN" w:eastAsia="zh-CN"/>
        </w:rPr>
        <w:t>二年。</w:t>
      </w:r>
    </w:p>
    <w:p w14:paraId="7CBBA13C">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kern w:val="0"/>
          <w:sz w:val="28"/>
          <w:szCs w:val="28"/>
          <w:highlight w:val="none"/>
          <w:lang w:val="zh-CN" w:eastAsia="zh-CN"/>
        </w:rPr>
      </w:pPr>
      <w:r>
        <w:rPr>
          <w:rFonts w:hint="eastAsia" w:ascii="宋体" w:hAnsi="宋体" w:eastAsia="宋体" w:cs="宋体"/>
          <w:b/>
          <w:bCs/>
          <w:kern w:val="0"/>
          <w:sz w:val="28"/>
          <w:szCs w:val="28"/>
          <w:highlight w:val="none"/>
          <w:lang w:val="zh-CN" w:eastAsia="zh-CN"/>
        </w:rPr>
        <w:t>（二）服务地点：</w:t>
      </w:r>
      <w:r>
        <w:rPr>
          <w:rFonts w:hint="eastAsia" w:ascii="宋体" w:hAnsi="宋体" w:eastAsia="宋体" w:cs="宋体"/>
          <w:kern w:val="0"/>
          <w:sz w:val="28"/>
          <w:szCs w:val="28"/>
          <w:highlight w:val="none"/>
          <w:lang w:val="zh-CN" w:eastAsia="zh-CN"/>
        </w:rPr>
        <w:t>启东吕四港集团西港池，具体由采购人指定。</w:t>
      </w:r>
    </w:p>
    <w:p w14:paraId="5A694EB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（三）培训要求：</w:t>
      </w:r>
    </w:p>
    <w:p w14:paraId="46B3F7A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技术培训：成交供应商负责对采购单位的值班或者管理人员提供技术培训，保证消防控制室值班人员能够进行日常的维护和管理。培训安排在每次检修/试验时进行，也可应采购单位要求在合同有效期内随时进行，次数不限。</w:t>
      </w:r>
    </w:p>
    <w:p w14:paraId="3E10DB6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2、如采购单位对安装有消防系统的建筑物进行改造施工时，成交供应商应负责施工期间的消防报警系统探测点及联动控制点恢复安装的监督、指导、验收，验收后自动纳入本标的技术服务范围。</w:t>
      </w:r>
    </w:p>
    <w:p w14:paraId="6350505A">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（四）考核要求</w:t>
      </w:r>
    </w:p>
    <w:p w14:paraId="7062815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 xml:space="preserve"> 采购人按季度组织对成交供应商的服务工作进行百分制考核(相关考核细则见附件),季度考核分数低于95分，每差一分扣减维保费用的1%,季度考核低于80分者，由采购人出具整改通知书并进行整改监督，拒不整改者，采购人有权根据考核结果扣减相应服务费后提前解除合同。</w:t>
      </w:r>
    </w:p>
    <w:p w14:paraId="34FEB6B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在合同履行过程中，因成交供应商原因造成重大安全事故或重大不良影响及舆情的，采购人有权解除合同。</w:t>
      </w:r>
    </w:p>
    <w:p w14:paraId="74E45857">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（五）其他</w:t>
      </w:r>
    </w:p>
    <w:p w14:paraId="04FEA60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1、签订合同之日起中标单位须在30日之内完成消防系统的全面检查，并出具符合要求的检测评估报告并针对发现的问题提供详细的维修方案；建立消防维保档案并协助采购单位建立健全消防档案</w:t>
      </w:r>
      <w:r>
        <w:rPr>
          <w:rFonts w:hint="eastAsia" w:ascii="宋体" w:hAnsi="宋体" w:cs="宋体"/>
          <w:b w:val="0"/>
          <w:bCs w:val="0"/>
          <w:kern w:val="0"/>
          <w:sz w:val="28"/>
          <w:szCs w:val="28"/>
          <w:highlight w:val="none"/>
          <w:lang w:val="en-US" w:eastAsia="zh-CN"/>
        </w:rPr>
        <w:t>。</w:t>
      </w:r>
    </w:p>
    <w:p w14:paraId="705C691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2、维保合同期内发生火灾事故，双方按照事故调查结论承担相应责任。如因维护措施不到位导致发生火灾事故的，成交供应商承担全部责任。发生重大伤亡事故，成交供应商应按有关规定立即上报有关部门并通知采购单位，同时按政府有关部门的要求来处理。</w:t>
      </w:r>
    </w:p>
    <w:p w14:paraId="2D79B5A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3、成交供应商承担约定范围内消防系统所有设备设施的维保，设备设施维保工作涉及费用说明：日常普通维保使用辅材及器械、人工由成交供应商负责；如发生大的消防故障，(因大楼都在质保期内)必须先汇报采购人，成交供应商必须排查原因及损坏程度，并拟定可行修复方案和预估维修费用书面提交采购人，经采购人审核后再予以确认并联系原施工方加急处置。</w:t>
      </w:r>
    </w:p>
    <w:p w14:paraId="207EF1D4">
      <w:pPr>
        <w:adjustRightInd w:val="0"/>
        <w:snapToGrid w:val="0"/>
        <w:spacing w:line="50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、报价要求：</w:t>
      </w:r>
    </w:p>
    <w:p w14:paraId="3277DFF0">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本项目固定总价报价，包括但不限于合同价格中应包括在服务期内完成服务内容所需要的一切费用，包括但不限于维保服务需要的人员酬金、食宿、维护保养辅助性材料、器材、工具费、年检准备工作及配合的相关费用、合同到期前与下一个维保公司或采购人进行交接涉及的配合费、管理费、保险、利润、税金、政策性文件规定及合同包含的所有风险、责任（充分考虑采购人的管理制度及惩罚措施）等一切费用，如有漏项，视同已包含在其总项目中，即项目履行到项目执行结束的过程中所发生的一切费用及响应招标文件要求的所有费用。</w:t>
      </w:r>
    </w:p>
    <w:p w14:paraId="0A14ECF2">
      <w:pPr>
        <w:adjustRightInd w:val="0"/>
        <w:snapToGrid w:val="0"/>
        <w:spacing w:line="500" w:lineRule="exact"/>
        <w:ind w:firstLine="562" w:firstLineChars="20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四、付款方式：</w:t>
      </w:r>
    </w:p>
    <w:p w14:paraId="522F8F8D">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维保期满系统运行正常无任何服务质量问题，成交供应商向采购人提交合格的第三方消防设施设备检测报告及相应金额的增值税专用发票后一次性付款(根据考核结果扣款后),付款申请材料符合采购人集团公司财务管理制度。</w:t>
      </w:r>
    </w:p>
    <w:p w14:paraId="7682D207">
      <w:pPr>
        <w:adjustRightInd w:val="0"/>
        <w:snapToGrid w:val="0"/>
        <w:spacing w:line="500" w:lineRule="exact"/>
        <w:ind w:firstLine="562" w:firstLineChars="2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成交供应商申请付款的程序应符合采购人的财务规定，提供加盖申请单位公章的付款审批单原件、增值税专用发票原件、合同复印件、中标通知书复印件以及由采购人确认的阶段成果等相关材料，以上付款均不计息。</w:t>
      </w:r>
    </w:p>
    <w:p w14:paraId="03109994">
      <w:pPr>
        <w:adjustRightInd w:val="0"/>
        <w:snapToGrid w:val="0"/>
        <w:spacing w:line="500" w:lineRule="exact"/>
        <w:ind w:firstLine="562" w:firstLineChars="20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五、履约保证金：</w:t>
      </w:r>
    </w:p>
    <w:p w14:paraId="7DC8A89C">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2888EB78">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2．成交供应商全部履约合同义务，经采购单位验收合格无质量、进度等问题的，采购人在验收合格后一次性退还履约保证金。</w:t>
      </w:r>
    </w:p>
    <w:p w14:paraId="56F78DDB">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3．发生以下情况的，履约保证金不予退还或部分退还：</w:t>
      </w:r>
    </w:p>
    <w:p w14:paraId="68B4E019">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a.签订合同后，成交供应商不履行合同义务的，采购单位有权全额扣除履约保证金，全额不予退还，同时采购单位亦有权终止合同，成交供应商还须承担相应的法律赔偿责任。</w:t>
      </w:r>
    </w:p>
    <w:p w14:paraId="703D28B4">
      <w:pPr>
        <w:adjustRightInd w:val="0"/>
        <w:snapToGrid w:val="0"/>
        <w:spacing w:line="50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A71C582">
      <w:pPr>
        <w:tabs>
          <w:tab w:val="left" w:pos="2520"/>
        </w:tabs>
        <w:adjustRightInd w:val="0"/>
        <w:snapToGrid w:val="0"/>
        <w:spacing w:line="500" w:lineRule="exact"/>
        <w:ind w:firstLine="562" w:firstLineChars="200"/>
        <w:rPr>
          <w:rFonts w:ascii="宋体" w:hAnsi="宋体" w:cs="宋体"/>
          <w:color w:val="auto"/>
          <w:sz w:val="28"/>
          <w:szCs w:val="28"/>
          <w:highlight w:val="none"/>
        </w:rPr>
      </w:pPr>
      <w:r>
        <w:rPr>
          <w:rFonts w:hint="eastAsia" w:ascii="宋体" w:hAnsi="宋体" w:cs="宋体"/>
          <w:b/>
          <w:color w:val="auto"/>
          <w:sz w:val="28"/>
          <w:szCs w:val="28"/>
          <w:highlight w:val="none"/>
          <w:lang w:eastAsia="zh-CN"/>
        </w:rPr>
        <w:t>六</w:t>
      </w:r>
      <w:r>
        <w:rPr>
          <w:rFonts w:hint="eastAsia" w:ascii="宋体" w:hAnsi="宋体" w:cs="宋体"/>
          <w:b/>
          <w:color w:val="auto"/>
          <w:sz w:val="28"/>
          <w:szCs w:val="28"/>
          <w:highlight w:val="none"/>
        </w:rPr>
        <w:t>、本项目不接受进口产品响应</w:t>
      </w:r>
      <w:r>
        <w:rPr>
          <w:rFonts w:hint="eastAsia" w:ascii="宋体" w:hAnsi="宋体" w:cs="宋体"/>
          <w:color w:val="auto"/>
          <w:sz w:val="28"/>
          <w:szCs w:val="28"/>
          <w:highlight w:val="none"/>
        </w:rPr>
        <w:t>。</w:t>
      </w:r>
    </w:p>
    <w:p w14:paraId="6D7506EA">
      <w:pPr>
        <w:pStyle w:val="8"/>
        <w:spacing w:after="0" w:line="500" w:lineRule="exact"/>
        <w:ind w:firstLine="562" w:firstLineChars="200"/>
        <w:rPr>
          <w:rFonts w:ascii="宋体" w:hAnsi="宋体" w:cs="宋体"/>
          <w:color w:val="auto"/>
          <w:sz w:val="28"/>
          <w:szCs w:val="28"/>
          <w:highlight w:val="none"/>
        </w:rPr>
      </w:pPr>
      <w:r>
        <w:rPr>
          <w:rFonts w:hint="eastAsia" w:ascii="宋体" w:hAnsi="宋体" w:cs="宋体"/>
          <w:b/>
          <w:color w:val="auto"/>
          <w:sz w:val="28"/>
          <w:szCs w:val="28"/>
          <w:highlight w:val="none"/>
          <w:lang w:eastAsia="zh-CN"/>
        </w:rPr>
        <w:t>七</w:t>
      </w:r>
      <w:r>
        <w:rPr>
          <w:rFonts w:hint="eastAsia" w:ascii="宋体" w:hAnsi="宋体" w:cs="宋体"/>
          <w:b/>
          <w:color w:val="auto"/>
          <w:sz w:val="28"/>
          <w:szCs w:val="28"/>
          <w:highlight w:val="none"/>
        </w:rPr>
        <w:t>、合同条款</w:t>
      </w:r>
    </w:p>
    <w:bookmarkEnd w:id="57"/>
    <w:p w14:paraId="2976FD30">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color w:val="auto"/>
          <w:sz w:val="24"/>
          <w:highlight w:val="none"/>
        </w:rPr>
      </w:pPr>
      <w:bookmarkStart w:id="58" w:name="_Toc82505665"/>
      <w:r>
        <w:rPr>
          <w:rFonts w:hint="eastAsia" w:ascii="宋体" w:hAnsi="宋体" w:cs="宋体"/>
          <w:color w:val="auto"/>
          <w:sz w:val="24"/>
          <w:highlight w:val="none"/>
          <w:lang w:eastAsia="zh-CN"/>
        </w:rPr>
        <w:t>乙方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（下称</w:t>
      </w:r>
      <w:r>
        <w:rPr>
          <w:rFonts w:hint="eastAsia" w:ascii="宋体" w:hAnsi="宋体" w:cs="宋体"/>
          <w:color w:val="auto"/>
          <w:sz w:val="24"/>
          <w:highlight w:val="none"/>
          <w:lang w:eastAsia="zh-CN"/>
        </w:rPr>
        <w:t>乙方</w:t>
      </w:r>
      <w:r>
        <w:rPr>
          <w:rFonts w:hint="eastAsia" w:ascii="宋体" w:hAnsi="宋体" w:cs="宋体"/>
          <w:color w:val="auto"/>
          <w:sz w:val="24"/>
          <w:highlight w:val="none"/>
        </w:rPr>
        <w:t>）</w:t>
      </w:r>
    </w:p>
    <w:p w14:paraId="60535B9A">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highlight w:val="none"/>
        </w:rPr>
      </w:pPr>
      <w:r>
        <w:rPr>
          <w:rFonts w:hint="eastAsia" w:ascii="宋体" w:hAnsi="宋体" w:cs="宋体"/>
          <w:color w:val="auto"/>
          <w:sz w:val="24"/>
          <w:highlight w:val="none"/>
          <w:lang w:eastAsia="zh-CN"/>
        </w:rPr>
        <w:t>甲方</w:t>
      </w:r>
      <w:r>
        <w:rPr>
          <w:rFonts w:hint="eastAsia" w:ascii="宋体" w:hAnsi="宋体" w:cs="宋体"/>
          <w:color w:val="auto"/>
          <w:sz w:val="24"/>
          <w:highlight w:val="none"/>
        </w:rPr>
        <w:t xml:space="preserve">: </w:t>
      </w:r>
      <w:r>
        <w:rPr>
          <w:rFonts w:hint="eastAsia" w:ascii="宋体" w:hAnsi="宋体" w:cs="宋体"/>
          <w:color w:val="auto"/>
          <w:sz w:val="24"/>
          <w:highlight w:val="none"/>
          <w:u w:val="single"/>
          <w:lang w:val="en-US" w:eastAsia="zh-CN"/>
        </w:rPr>
        <w:t>启东港腾资产经营管理有限公司</w:t>
      </w:r>
      <w:r>
        <w:rPr>
          <w:rFonts w:hint="eastAsia" w:ascii="宋体" w:hAnsi="宋体" w:cs="宋体"/>
          <w:color w:val="auto"/>
          <w:sz w:val="24"/>
          <w:highlight w:val="none"/>
        </w:rPr>
        <w:t>（下称</w:t>
      </w:r>
      <w:r>
        <w:rPr>
          <w:rFonts w:hint="eastAsia" w:ascii="宋体" w:hAnsi="宋体" w:cs="宋体"/>
          <w:color w:val="auto"/>
          <w:sz w:val="24"/>
          <w:highlight w:val="none"/>
          <w:lang w:eastAsia="zh-CN"/>
        </w:rPr>
        <w:t>甲方</w:t>
      </w:r>
      <w:r>
        <w:rPr>
          <w:rFonts w:hint="eastAsia" w:ascii="宋体" w:hAnsi="宋体" w:cs="宋体"/>
          <w:color w:val="auto"/>
          <w:sz w:val="24"/>
          <w:highlight w:val="none"/>
        </w:rPr>
        <w:t>）</w:t>
      </w:r>
    </w:p>
    <w:p w14:paraId="3FB2E1F8">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启东港腾资产经营管理有限公司 </w:t>
      </w: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4FF3253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依据《中华人民共和国民法典》及其他有关法律、行政法规，遵循平等、自愿、公平和诚实信用的原则，对</w:t>
      </w:r>
      <w:r>
        <w:rPr>
          <w:rFonts w:hint="eastAsia" w:ascii="宋体" w:hAnsi="宋体"/>
          <w:color w:val="auto"/>
          <w:sz w:val="24"/>
          <w:highlight w:val="none"/>
          <w:u w:val="single"/>
          <w:lang w:val="en-US" w:eastAsia="zh-CN"/>
        </w:rPr>
        <w:t xml:space="preserve"> 启东吕四港集团西港池管理楼服务楼消防维保项目 </w:t>
      </w:r>
      <w:r>
        <w:rPr>
          <w:rFonts w:hint="eastAsia" w:ascii="宋体" w:hAnsi="宋体"/>
          <w:color w:val="auto"/>
          <w:sz w:val="24"/>
          <w:highlight w:val="none"/>
        </w:rPr>
        <w:t>进行</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询价</w:t>
      </w:r>
      <w:r>
        <w:rPr>
          <w:rFonts w:hint="eastAsia" w:ascii="宋体" w:hAnsi="宋体"/>
          <w:color w:val="auto"/>
          <w:sz w:val="24"/>
          <w:highlight w:val="none"/>
          <w:u w:val="single"/>
        </w:rPr>
        <w:t xml:space="preserve"> </w:t>
      </w:r>
      <w:r>
        <w:rPr>
          <w:rFonts w:hint="eastAsia" w:ascii="宋体" w:hAnsi="宋体"/>
          <w:color w:val="auto"/>
          <w:sz w:val="24"/>
          <w:highlight w:val="none"/>
        </w:rPr>
        <w:t>采购，经过评委的严格审核评定，确定</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为本次</w:t>
      </w:r>
      <w:r>
        <w:rPr>
          <w:rFonts w:hint="eastAsia" w:ascii="宋体" w:hAnsi="宋体"/>
          <w:color w:val="auto"/>
          <w:sz w:val="24"/>
          <w:highlight w:val="none"/>
          <w:lang w:val="en-US" w:eastAsia="zh-CN"/>
        </w:rPr>
        <w:t>乙方</w:t>
      </w:r>
      <w:r>
        <w:rPr>
          <w:rFonts w:hint="eastAsia" w:ascii="宋体" w:hAnsi="宋体"/>
          <w:color w:val="auto"/>
          <w:sz w:val="24"/>
          <w:highlight w:val="none"/>
        </w:rPr>
        <w:t>。现就本次</w:t>
      </w:r>
      <w:r>
        <w:rPr>
          <w:rFonts w:hint="eastAsia" w:ascii="宋体" w:hAnsi="宋体"/>
          <w:color w:val="auto"/>
          <w:sz w:val="24"/>
          <w:highlight w:val="none"/>
          <w:lang w:eastAsia="zh-CN"/>
        </w:rPr>
        <w:t>服务</w:t>
      </w:r>
      <w:r>
        <w:rPr>
          <w:rFonts w:hint="eastAsia" w:ascii="宋体" w:hAnsi="宋体"/>
          <w:color w:val="auto"/>
          <w:sz w:val="24"/>
          <w:highlight w:val="none"/>
        </w:rPr>
        <w:t>事宜订立如下合同：</w:t>
      </w:r>
    </w:p>
    <w:p w14:paraId="40187E59">
      <w:pPr>
        <w:keepNext w:val="0"/>
        <w:keepLines w:val="0"/>
        <w:pageBreakBefore w:val="0"/>
        <w:kinsoku/>
        <w:wordWrap/>
        <w:overflowPunct/>
        <w:topLinePunct w:val="0"/>
        <w:autoSpaceDE/>
        <w:autoSpaceDN/>
        <w:bidi w:val="0"/>
        <w:spacing w:line="48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highlight w:val="none"/>
        </w:rPr>
        <w:t xml:space="preserve">第一条 </w:t>
      </w:r>
      <w:r>
        <w:rPr>
          <w:rFonts w:hint="eastAsia" w:ascii="宋体" w:hAnsi="宋体" w:eastAsia="宋体" w:cs="宋体"/>
          <w:b/>
          <w:bCs/>
          <w:color w:val="auto"/>
          <w:sz w:val="24"/>
          <w:szCs w:val="24"/>
          <w:highlight w:val="none"/>
          <w:lang w:eastAsia="zh-CN"/>
        </w:rPr>
        <w:t>采购内容</w:t>
      </w:r>
      <w:r>
        <w:rPr>
          <w:rFonts w:hint="eastAsia" w:ascii="宋体" w:hAnsi="宋体" w:eastAsia="宋体" w:cs="宋体"/>
          <w:b/>
          <w:bCs/>
          <w:color w:val="auto"/>
          <w:sz w:val="24"/>
          <w:szCs w:val="24"/>
          <w:highlight w:val="none"/>
          <w:lang w:val="en-US" w:eastAsia="zh-CN"/>
        </w:rPr>
        <w:t>及要求</w:t>
      </w:r>
    </w:p>
    <w:p w14:paraId="6BE5564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w:t>
      </w:r>
      <w:r>
        <w:rPr>
          <w:rFonts w:hint="eastAsia" w:ascii="宋体" w:hAnsi="宋体" w:eastAsia="宋体" w:cs="宋体"/>
          <w:b/>
          <w:bCs/>
          <w:kern w:val="0"/>
          <w:sz w:val="24"/>
          <w:szCs w:val="24"/>
          <w:highlight w:val="none"/>
          <w:lang w:eastAsia="zh-CN"/>
        </w:rPr>
        <w:t>维保范围</w:t>
      </w:r>
      <w:r>
        <w:rPr>
          <w:rFonts w:hint="eastAsia" w:ascii="宋体" w:hAnsi="宋体" w:eastAsia="宋体" w:cs="宋体"/>
          <w:b/>
          <w:bCs/>
          <w:kern w:val="0"/>
          <w:sz w:val="24"/>
          <w:szCs w:val="24"/>
          <w:highlight w:val="none"/>
        </w:rPr>
        <w:t>：</w:t>
      </w:r>
    </w:p>
    <w:p w14:paraId="688A703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江苏吕四港集团西港池管理楼、服务楼、车辆维修中心的消防设施设备：</w:t>
      </w:r>
    </w:p>
    <w:p w14:paraId="5AD00BA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建筑1</w:t>
      </w:r>
      <w:r>
        <w:rPr>
          <w:rFonts w:hint="eastAsia" w:ascii="宋体" w:hAnsi="宋体" w:eastAsia="宋体" w:cs="宋体"/>
          <w:kern w:val="0"/>
          <w:sz w:val="24"/>
          <w:szCs w:val="24"/>
          <w:highlight w:val="none"/>
          <w:lang w:val="zh-CN" w:eastAsia="zh-CN"/>
        </w:rPr>
        <w:sym w:font="Times New Roman" w:char="0000"/>
      </w:r>
      <w:r>
        <w:rPr>
          <w:rFonts w:hint="eastAsia" w:ascii="宋体" w:hAnsi="宋体" w:eastAsia="宋体" w:cs="宋体"/>
          <w:kern w:val="0"/>
          <w:sz w:val="24"/>
          <w:szCs w:val="24"/>
          <w:highlight w:val="none"/>
          <w:lang w:val="zh-CN" w:eastAsia="zh-CN"/>
        </w:rPr>
        <w:t>港区综合管理楼)：建筑层数：地上9层、地下1层，建筑高度：42.70m,建筑面积：地上18163.67m²、地下4434.65m²,耐火等级：一级。</w:t>
      </w:r>
    </w:p>
    <w:p w14:paraId="5074E2E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建筑2</w:t>
      </w:r>
      <w:r>
        <w:rPr>
          <w:rFonts w:hint="eastAsia" w:ascii="宋体" w:hAnsi="宋体" w:eastAsia="宋体" w:cs="宋体"/>
          <w:kern w:val="0"/>
          <w:sz w:val="24"/>
          <w:szCs w:val="24"/>
          <w:highlight w:val="none"/>
          <w:lang w:val="zh-CN" w:eastAsia="zh-CN"/>
        </w:rPr>
        <w:sym w:font="Times New Roman" w:char="0000"/>
      </w:r>
      <w:r>
        <w:rPr>
          <w:rFonts w:hint="eastAsia" w:ascii="宋体" w:hAnsi="宋体" w:eastAsia="宋体" w:cs="宋体"/>
          <w:kern w:val="0"/>
          <w:sz w:val="24"/>
          <w:szCs w:val="24"/>
          <w:highlight w:val="none"/>
          <w:lang w:val="zh-CN" w:eastAsia="zh-CN"/>
        </w:rPr>
        <w:t>门卫)：建筑层数：地上1层，建筑高度：4.30m,建筑面积：地上26.63m²,耐火等级：二级。</w:t>
      </w:r>
    </w:p>
    <w:p w14:paraId="12CE217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建筑3</w:t>
      </w:r>
      <w:r>
        <w:rPr>
          <w:rFonts w:hint="eastAsia" w:ascii="宋体" w:hAnsi="宋体" w:eastAsia="宋体" w:cs="宋体"/>
          <w:kern w:val="0"/>
          <w:sz w:val="24"/>
          <w:szCs w:val="24"/>
          <w:highlight w:val="none"/>
          <w:lang w:val="zh-CN" w:eastAsia="zh-CN"/>
        </w:rPr>
        <w:sym w:font="Times New Roman" w:char="0000"/>
      </w:r>
      <w:r>
        <w:rPr>
          <w:rFonts w:hint="eastAsia" w:ascii="宋体" w:hAnsi="宋体" w:eastAsia="宋体" w:cs="宋体"/>
          <w:kern w:val="0"/>
          <w:sz w:val="24"/>
          <w:szCs w:val="24"/>
          <w:highlight w:val="none"/>
          <w:lang w:val="zh-CN" w:eastAsia="zh-CN"/>
        </w:rPr>
        <w:t>港区综合服务楼)：建筑层数：地上9层，建筑高度：40.85m,建筑面积：地上15136.89m²,耐火等级：一级。</w:t>
      </w:r>
      <w:r>
        <w:rPr>
          <w:rFonts w:hint="eastAsia" w:ascii="宋体" w:hAnsi="宋体" w:eastAsia="宋体" w:cs="宋体"/>
          <w:kern w:val="0"/>
          <w:sz w:val="24"/>
          <w:szCs w:val="24"/>
          <w:highlight w:val="none"/>
          <w:lang w:val="zh-CN" w:eastAsia="zh-CN"/>
        </w:rPr>
        <w:br w:type="textWrapping"/>
      </w:r>
      <w:r>
        <w:rPr>
          <w:rFonts w:hint="eastAsia" w:ascii="宋体" w:hAnsi="宋体" w:eastAsia="宋体" w:cs="宋体"/>
          <w:kern w:val="0"/>
          <w:sz w:val="24"/>
          <w:szCs w:val="24"/>
          <w:highlight w:val="none"/>
          <w:lang w:val="zh-CN" w:eastAsia="zh-CN"/>
        </w:rPr>
        <w:t xml:space="preserve">    建筑4</w:t>
      </w:r>
      <w:r>
        <w:rPr>
          <w:rFonts w:hint="eastAsia" w:ascii="宋体" w:hAnsi="宋体" w:eastAsia="宋体" w:cs="宋体"/>
          <w:kern w:val="0"/>
          <w:sz w:val="24"/>
          <w:szCs w:val="24"/>
          <w:highlight w:val="none"/>
          <w:lang w:val="zh-CN" w:eastAsia="zh-CN"/>
        </w:rPr>
        <w:sym w:font="Times New Roman" w:char="0000"/>
      </w:r>
      <w:r>
        <w:rPr>
          <w:rFonts w:hint="eastAsia" w:ascii="宋体" w:hAnsi="宋体" w:eastAsia="宋体" w:cs="宋体"/>
          <w:kern w:val="0"/>
          <w:sz w:val="24"/>
          <w:szCs w:val="24"/>
          <w:highlight w:val="none"/>
          <w:lang w:val="zh-CN" w:eastAsia="zh-CN"/>
        </w:rPr>
        <w:t>服务中心、维修中心楼)：建筑层数：地上2层，地下1层，建筑高度：9.6m,建筑面积：地上2132.36m²,地下145.29m²，耐火等级：二级。</w:t>
      </w:r>
    </w:p>
    <w:p w14:paraId="4ECC170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建筑5</w:t>
      </w:r>
      <w:r>
        <w:rPr>
          <w:rFonts w:hint="eastAsia" w:ascii="宋体" w:hAnsi="宋体" w:eastAsia="宋体" w:cs="宋体"/>
          <w:kern w:val="0"/>
          <w:sz w:val="24"/>
          <w:szCs w:val="24"/>
          <w:highlight w:val="none"/>
          <w:lang w:val="zh-CN" w:eastAsia="zh-CN"/>
        </w:rPr>
        <w:sym w:font="Times New Roman" w:char="0000"/>
      </w:r>
      <w:r>
        <w:rPr>
          <w:rFonts w:hint="eastAsia" w:ascii="宋体" w:hAnsi="宋体" w:eastAsia="宋体" w:cs="宋体"/>
          <w:kern w:val="0"/>
          <w:sz w:val="24"/>
          <w:szCs w:val="24"/>
          <w:highlight w:val="none"/>
          <w:lang w:val="zh-CN" w:eastAsia="zh-CN"/>
        </w:rPr>
        <w:t>维修中心门卫)：建筑层数：地上1层，建筑高度：6m,建筑面积：地上86.43m²,耐火等级：二级。</w:t>
      </w:r>
    </w:p>
    <w:p w14:paraId="24EC229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zh-CN" w:eastAsia="zh-CN"/>
        </w:rPr>
      </w:pP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zh-CN" w:eastAsia="zh-CN"/>
        </w:rPr>
        <w:t>并协助</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zh-CN" w:eastAsia="zh-CN"/>
        </w:rPr>
        <w:t>完成各承租户消防调试、验收、维保及消防演练工作。</w:t>
      </w:r>
    </w:p>
    <w:p w14:paraId="3568B49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b/>
          <w:bCs/>
          <w:kern w:val="0"/>
          <w:sz w:val="24"/>
          <w:szCs w:val="24"/>
          <w:highlight w:val="none"/>
          <w:lang w:val="zh-CN" w:eastAsia="zh-CN"/>
        </w:rPr>
        <w:t>注:如相关配件材料不包含在原施工单位的质保范围内，维修费用在800以下(含800元)的配件均由乙方免费提供。</w:t>
      </w:r>
    </w:p>
    <w:p w14:paraId="1CEF67D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（二）维保服务内容：</w:t>
      </w:r>
    </w:p>
    <w:p w14:paraId="2F87AA5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kern w:val="0"/>
          <w:sz w:val="24"/>
          <w:szCs w:val="24"/>
          <w:highlight w:val="none"/>
          <w:lang w:val="en-US" w:eastAsia="zh-CN"/>
        </w:rPr>
        <w:t>乙方</w:t>
      </w:r>
      <w:r>
        <w:rPr>
          <w:rFonts w:hint="eastAsia" w:ascii="宋体" w:hAnsi="宋体" w:cs="宋体"/>
          <w:b w:val="0"/>
          <w:bCs w:val="0"/>
          <w:kern w:val="0"/>
          <w:sz w:val="24"/>
          <w:szCs w:val="24"/>
          <w:highlight w:val="none"/>
          <w:lang w:val="en-US" w:eastAsia="zh-CN"/>
        </w:rPr>
        <w:t>根据国家消防相关法律法规以及GB25201-2010《建筑消防设施的管理维护》等相关国家、行业标准规定提供以下消防维保服务：</w:t>
      </w:r>
    </w:p>
    <w:p w14:paraId="02859DD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1、维保内容</w:t>
      </w:r>
    </w:p>
    <w:p w14:paraId="6A10A58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(1)火灾自动报警及联动系统</w:t>
      </w:r>
      <w:r>
        <w:rPr>
          <w:rFonts w:hint="eastAsia" w:ascii="宋体" w:hAnsi="宋体" w:cs="宋体"/>
          <w:b w:val="0"/>
          <w:bCs w:val="0"/>
          <w:kern w:val="0"/>
          <w:sz w:val="24"/>
          <w:szCs w:val="24"/>
          <w:highlight w:val="none"/>
          <w:lang w:val="en-US" w:eastAsia="zh-CN"/>
        </w:rPr>
        <w:tab/>
      </w:r>
    </w:p>
    <w:p w14:paraId="0354D84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探测器：每月对探测器进行模拟火灾响应试验和故障报警试验；每月按总量的10%完成抽检,六个月完成一次全样检测。核对探测器安装位置和联动关系的准确性,对日常发生误报或故障的探测器，乙方应在12小时内提供维修服务。</w:t>
      </w:r>
    </w:p>
    <w:p w14:paraId="5D74C28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②手动报警按钮：每月对手动报警按钮进行模拟火灾响应试验和故障报警试验；每月按总量的10%完成抽检；每年完成二次全样检测。</w:t>
      </w:r>
    </w:p>
    <w:p w14:paraId="353F017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③火灾报警控制屏：进行故障、报警、消音、复位、火灾记忆、备用电池等功能测试 ,每月进行一次检测。</w:t>
      </w:r>
    </w:p>
    <w:p w14:paraId="437161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④线路维护：每半年对管线、接线箱(盒)等进行一次测试和检查维护，以保线路正常，运行畅通。</w:t>
      </w:r>
    </w:p>
    <w:p w14:paraId="5CB09C7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⑤消防系统联动测试：每月对风机、防火阀、非消防电源切除等的联动设备进行抽样测试，确定设备的动作信号和回答信号正常,测试、检测记录建档留存。</w:t>
      </w:r>
    </w:p>
    <w:p w14:paraId="20FCB27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(2)自动喷淋灭火系统</w:t>
      </w:r>
    </w:p>
    <w:p w14:paraId="37A63E7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①水流指示器：用末端放水装置进行放水试验，检查水流指示器是否正常，每月按总量的30%测试一次。</w:t>
      </w:r>
    </w:p>
    <w:p w14:paraId="169EA05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②湿式报警阀：打开试警铃阀，检测压力开关动作是否正常，其电气信号是否正确，打开排水阀检查主阀是否正常,每月按总量的100%测试一遍。</w:t>
      </w:r>
    </w:p>
    <w:p w14:paraId="0DA5544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③水泵：启动水泵，观察水泵运行是否正常，系统失压时水泵能否正常启动,每月测试一次。</w:t>
      </w:r>
    </w:p>
    <w:p w14:paraId="43A2C6B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④联动控制：通过消防控制柜启、停水泵，检查反馈信号是否正确。每月测试一次,同时试验主备泵的切换功能。</w:t>
      </w:r>
    </w:p>
    <w:p w14:paraId="4EB212F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⑤管网维护：每月检查系统配置情况，及时排除锈蚀、滴漏等现象。</w:t>
      </w:r>
    </w:p>
    <w:p w14:paraId="2EF12E4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⑥阀门：每月检查阀门的开关状态；每月检查开关性能，及时排除泄漏等情况。</w:t>
      </w:r>
    </w:p>
    <w:p w14:paraId="796FE3E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⑦水泵结合器：每月检查水泵结合器的外观情况，及时排除锈蚀、滴漏等现象。</w:t>
      </w:r>
    </w:p>
    <w:p w14:paraId="6300C68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⑧水泵Y型过滤器：每半年检查其阻塞情况，如有需要及时清理。</w:t>
      </w:r>
    </w:p>
    <w:p w14:paraId="4B2D291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(3)消火栓灭火系统</w:t>
      </w:r>
    </w:p>
    <w:p w14:paraId="12685B8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①室外消火栓：对消防水源、取水设施、水处理设施、给水设备、给水管网和室外消火栓等设施进行常规测试和维护；每月测试室外消火栓，检查水压、水量，控制阀门是否开启。</w:t>
      </w:r>
    </w:p>
    <w:p w14:paraId="53E56DD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②室内消火栓：进行常规检查，测试最不利点水压，检查管网压力，并进行放水试验，每月按总量的10%抽测。</w:t>
      </w:r>
    </w:p>
    <w:p w14:paraId="61E64AC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③联动控制：通过消防控制室启、停水泵，检查反馈信号是否正确，每月一次。</w:t>
      </w:r>
    </w:p>
    <w:p w14:paraId="3AD6BB6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④管网维护：每月检查系统管网情况，及时排除锈蚀，滴漏等现象。</w:t>
      </w:r>
    </w:p>
    <w:p w14:paraId="280CB50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⑤阀门：每月检查阀门的开关状态；每月检查开关性能，及时排除泄漏等情况。</w:t>
      </w:r>
    </w:p>
    <w:p w14:paraId="0527E64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⑥系统水池：每月检查系统水池的水位情况，每半年检查系统水池的完好情况。</w:t>
      </w:r>
    </w:p>
    <w:p w14:paraId="718D47C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⑦水泵结合器：每月检查水泵结合器的外观情况，及时排除锈蚀、滴漏等现象。</w:t>
      </w:r>
    </w:p>
    <w:p w14:paraId="223955D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⑧水泵Y 型过滤器：每半年检查其阻塞情况，如有阻塞及时清理。</w:t>
      </w:r>
    </w:p>
    <w:p w14:paraId="1BD57F8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注：室内消火栓压力测试主要为测试管网静态压力，室内消火栓在测试时，在测试仪器和消火栓接口处会有小部分水流出，所以主要测试允许测试的区域。动态压力在最不利点进行测试。消火栓箱内水龙带、水喉等物如缺失或损坏，则随时添加或更换。</w:t>
      </w:r>
    </w:p>
    <w:p w14:paraId="4BC000A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(4)防排烟系统</w:t>
      </w:r>
    </w:p>
    <w:p w14:paraId="4B57AF8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每月检查送风、排烟机房工作环境及送风机、排烟机、电源控制柜、送风阀、排烟阀等是否处于正常工作状态，发现异常及时排除。</w:t>
      </w:r>
    </w:p>
    <w:p w14:paraId="5FD6CCF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(5)气体灭火系统</w:t>
      </w:r>
    </w:p>
    <w:p w14:paraId="06F8819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①检查保养气体控制屏，保证正常运行。</w:t>
      </w:r>
    </w:p>
    <w:p w14:paraId="19C4AB8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②检测气瓶的压力是否达到规范要求，有无泄漏现象。</w:t>
      </w:r>
    </w:p>
    <w:p w14:paraId="313065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③检查试验手动和自动放气装置是否正常。</w:t>
      </w:r>
    </w:p>
    <w:p w14:paraId="7ADCFA9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④模拟自动报警系统中的烟、温感探测器同时动作，检查气瓶的电磁阀是否动作，控制屏是否有放气信号，警铃、蜂鸣器是否动作。</w:t>
      </w:r>
    </w:p>
    <w:p w14:paraId="182ADA2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⑤每月检测控制屏的功能情况、气瓶压力是否正常。</w:t>
      </w:r>
    </w:p>
    <w:p w14:paraId="1909715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⑥每季度检查试验手动和自动放气装置。</w:t>
      </w:r>
    </w:p>
    <w:p w14:paraId="2F4BDB0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⑦每季度模拟进行烟、温感探测器动作，是否有放气信号，警铃、蜂鸣器是否动作灵敏。</w:t>
      </w:r>
    </w:p>
    <w:p w14:paraId="5E022FC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(6)防火分隔系统</w:t>
      </w:r>
    </w:p>
    <w:p w14:paraId="2E33CAA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①每月检查防火卷帘、防火门的外观。</w:t>
      </w:r>
    </w:p>
    <w:p w14:paraId="4A9C63F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②每月手动和联动测试防火卷帘、防火门的启闭性能。</w:t>
      </w:r>
    </w:p>
    <w:p w14:paraId="1915ADE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③每月检查防火卷帘、防火门前通道的畅通性。</w:t>
      </w:r>
    </w:p>
    <w:p w14:paraId="7EB15E1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④每月检查灭火器是否有效。</w:t>
      </w:r>
    </w:p>
    <w:p w14:paraId="6CCA849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(7)火灾应急照明和疏散指示系统</w:t>
      </w:r>
    </w:p>
    <w:p w14:paraId="1A0FC47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①日常对应急照明灯的自检测试与清洁维护。</w:t>
      </w:r>
    </w:p>
    <w:p w14:paraId="60A4EAE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②日常对疏散指示标志的自检测试与清洁维护。</w:t>
      </w:r>
    </w:p>
    <w:p w14:paraId="667FB7A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(8)消防通讯及消防广播系统</w:t>
      </w:r>
    </w:p>
    <w:p w14:paraId="2ED6C34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①消防控制室进行选区广播，进行扩音机控制功能试验。每月测试一次。</w:t>
      </w:r>
    </w:p>
    <w:p w14:paraId="3BD746F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②公用扬声器运行切换试验。每月测试一次。</w:t>
      </w:r>
    </w:p>
    <w:p w14:paraId="785078D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③消防控制室进行消防紧急电话通话试验，每月测试一次。</w:t>
      </w:r>
    </w:p>
    <w:p w14:paraId="6A68D11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④线路维护：每半年对消防广播线路进行测试，每年5月和10月对消防电话进行测试,检查线路敷设情况，确保系统正常运行。</w:t>
      </w:r>
    </w:p>
    <w:p w14:paraId="2258E64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2、维保要求</w:t>
      </w:r>
    </w:p>
    <w:p w14:paraId="541A2E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(1)满足国家消防相关法律法规以及GB25201-2010《建筑消防设施的管理维护》等相关国家、行业标准规定。</w:t>
      </w:r>
    </w:p>
    <w:p w14:paraId="18123D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(2)协助甲方完成各承租商户消防调试、验收、维保及消防演练工作。</w:t>
      </w:r>
    </w:p>
    <w:p w14:paraId="04D947D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(3)设备、设施发生故障，乙方接收到故障信息或接到甲方通知2小时内到达现场,6小时内排除故障，保证系统正常运行。在确实没有配件的情况下应及时向甲方汇报和消防大队备案，并采取有效的应急措施，防止出现安全事故。</w:t>
      </w:r>
    </w:p>
    <w:p w14:paraId="769CE5F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(4)维保期限满前一个月内，由经双方认可的具有相应资质的第三方对消防系统进行年度检测，确保消防系统正常(相关费用由</w:t>
      </w:r>
      <w:r>
        <w:rPr>
          <w:rFonts w:hint="eastAsia" w:ascii="宋体" w:hAnsi="宋体" w:cs="宋体"/>
          <w:kern w:val="0"/>
          <w:sz w:val="24"/>
          <w:szCs w:val="24"/>
          <w:highlight w:val="none"/>
          <w:lang w:val="en-US" w:eastAsia="zh-CN"/>
        </w:rPr>
        <w:t>乙方</w:t>
      </w:r>
      <w:r>
        <w:rPr>
          <w:rFonts w:hint="eastAsia" w:ascii="宋体" w:hAnsi="宋体" w:cs="宋体"/>
          <w:b w:val="0"/>
          <w:bCs w:val="0"/>
          <w:kern w:val="0"/>
          <w:sz w:val="24"/>
          <w:szCs w:val="24"/>
          <w:highlight w:val="none"/>
          <w:lang w:val="en-US" w:eastAsia="zh-CN"/>
        </w:rPr>
        <w:t>承担)。</w:t>
      </w:r>
    </w:p>
    <w:p w14:paraId="671339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(5)</w:t>
      </w:r>
      <w:r>
        <w:rPr>
          <w:rFonts w:hint="eastAsia" w:ascii="宋体" w:hAnsi="宋体" w:cs="宋体"/>
          <w:kern w:val="0"/>
          <w:sz w:val="24"/>
          <w:szCs w:val="24"/>
          <w:highlight w:val="none"/>
          <w:lang w:val="en-US" w:eastAsia="zh-CN"/>
        </w:rPr>
        <w:t>乙方</w:t>
      </w:r>
      <w:r>
        <w:rPr>
          <w:rFonts w:hint="eastAsia" w:ascii="宋体" w:hAnsi="宋体" w:cs="宋体"/>
          <w:b w:val="0"/>
          <w:bCs w:val="0"/>
          <w:kern w:val="0"/>
          <w:sz w:val="24"/>
          <w:szCs w:val="24"/>
          <w:highlight w:val="none"/>
          <w:lang w:val="en-US" w:eastAsia="zh-CN"/>
        </w:rPr>
        <w:t>有一套完整、有效的质保体系，同时在维护保养过程中派技术人员现场 监督维护保养工作人员，严格按照国家有关规范进行维保，有效保证维保质量。</w:t>
      </w:r>
    </w:p>
    <w:p w14:paraId="143F101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（三）服务要求</w:t>
      </w:r>
    </w:p>
    <w:p w14:paraId="75AC7FB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为确保服务质量，</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en-US" w:eastAsia="zh-CN"/>
        </w:rPr>
        <w:t>根据维修保养对象的具体情况，拟定具体的维修保养方案，明确项目负责人，至少指定4名以上执业人员负责实施并常驻1名以上执业人员，并注明姓名和联系方式，其中维修人员（不少于2人）具有登高证、低压电工证、电焊与热切割作业证等相关证书。</w:t>
      </w:r>
    </w:p>
    <w:tbl>
      <w:tblPr>
        <w:tblStyle w:val="1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13"/>
        <w:gridCol w:w="1270"/>
        <w:gridCol w:w="1548"/>
        <w:gridCol w:w="2042"/>
        <w:gridCol w:w="1975"/>
      </w:tblGrid>
      <w:tr w14:paraId="767F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482D9D21">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513" w:type="dxa"/>
            <w:vAlign w:val="center"/>
          </w:tcPr>
          <w:p w14:paraId="571EBE7A">
            <w:pP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岗位</w:t>
            </w:r>
          </w:p>
        </w:tc>
        <w:tc>
          <w:tcPr>
            <w:tcW w:w="1270" w:type="dxa"/>
            <w:vAlign w:val="center"/>
          </w:tcPr>
          <w:p w14:paraId="1F06BE56">
            <w:pP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姓名</w:t>
            </w:r>
          </w:p>
        </w:tc>
        <w:tc>
          <w:tcPr>
            <w:tcW w:w="1548" w:type="dxa"/>
            <w:vAlign w:val="center"/>
          </w:tcPr>
          <w:p w14:paraId="1ADFC2DD">
            <w:pP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联系电话</w:t>
            </w:r>
          </w:p>
        </w:tc>
        <w:tc>
          <w:tcPr>
            <w:tcW w:w="2042" w:type="dxa"/>
            <w:vAlign w:val="center"/>
          </w:tcPr>
          <w:p w14:paraId="206871A4">
            <w:pP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岗位证书及编号</w:t>
            </w:r>
          </w:p>
        </w:tc>
        <w:tc>
          <w:tcPr>
            <w:tcW w:w="1975" w:type="dxa"/>
            <w:vAlign w:val="center"/>
          </w:tcPr>
          <w:p w14:paraId="3D7E7DDE">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eastAsia="zh-CN"/>
              </w:rPr>
              <w:t>主要工作内容</w:t>
            </w:r>
          </w:p>
        </w:tc>
      </w:tr>
      <w:tr w14:paraId="4342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79E8519F">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13" w:type="dxa"/>
            <w:vAlign w:val="center"/>
          </w:tcPr>
          <w:p w14:paraId="75F783C2">
            <w:pP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项目负责人</w:t>
            </w:r>
          </w:p>
        </w:tc>
        <w:tc>
          <w:tcPr>
            <w:tcW w:w="1270" w:type="dxa"/>
            <w:vAlign w:val="center"/>
          </w:tcPr>
          <w:p w14:paraId="6AE34896">
            <w:pPr>
              <w:spacing w:line="240" w:lineRule="auto"/>
              <w:jc w:val="center"/>
              <w:rPr>
                <w:rFonts w:hint="eastAsia" w:ascii="宋体" w:hAnsi="宋体" w:eastAsia="宋体" w:cs="宋体"/>
                <w:color w:val="auto"/>
                <w:sz w:val="24"/>
                <w:szCs w:val="24"/>
                <w:highlight w:val="none"/>
                <w:vertAlign w:val="baseline"/>
                <w:lang w:eastAsia="zh-CN"/>
              </w:rPr>
            </w:pPr>
          </w:p>
        </w:tc>
        <w:tc>
          <w:tcPr>
            <w:tcW w:w="1548" w:type="dxa"/>
            <w:vAlign w:val="center"/>
          </w:tcPr>
          <w:p w14:paraId="196CE8FB">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458A2ABC">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24011403">
            <w:pPr>
              <w:spacing w:line="240" w:lineRule="auto"/>
              <w:jc w:val="center"/>
              <w:rPr>
                <w:rFonts w:hint="eastAsia" w:ascii="宋体" w:hAnsi="宋体" w:eastAsia="宋体" w:cs="宋体"/>
                <w:color w:val="auto"/>
                <w:sz w:val="24"/>
                <w:szCs w:val="24"/>
                <w:highlight w:val="none"/>
                <w:vertAlign w:val="baseline"/>
              </w:rPr>
            </w:pPr>
          </w:p>
        </w:tc>
      </w:tr>
      <w:tr w14:paraId="75DA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02BE783D">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513" w:type="dxa"/>
            <w:vAlign w:val="center"/>
          </w:tcPr>
          <w:p w14:paraId="2A1B63C7">
            <w:pP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技术负责人</w:t>
            </w:r>
          </w:p>
        </w:tc>
        <w:tc>
          <w:tcPr>
            <w:tcW w:w="1270" w:type="dxa"/>
            <w:vAlign w:val="center"/>
          </w:tcPr>
          <w:p w14:paraId="09BE47FF">
            <w:pPr>
              <w:spacing w:line="240" w:lineRule="auto"/>
              <w:jc w:val="center"/>
              <w:rPr>
                <w:rFonts w:hint="eastAsia" w:ascii="宋体" w:hAnsi="宋体" w:eastAsia="宋体" w:cs="宋体"/>
                <w:color w:val="auto"/>
                <w:sz w:val="24"/>
                <w:szCs w:val="24"/>
                <w:highlight w:val="none"/>
                <w:vertAlign w:val="baseline"/>
              </w:rPr>
            </w:pPr>
          </w:p>
        </w:tc>
        <w:tc>
          <w:tcPr>
            <w:tcW w:w="1548" w:type="dxa"/>
            <w:vAlign w:val="center"/>
          </w:tcPr>
          <w:p w14:paraId="7614E657">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7A1766DF">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3E65BBA3">
            <w:pPr>
              <w:spacing w:line="240" w:lineRule="auto"/>
              <w:jc w:val="center"/>
              <w:rPr>
                <w:rFonts w:hint="eastAsia" w:ascii="宋体" w:hAnsi="宋体" w:eastAsia="宋体" w:cs="宋体"/>
                <w:color w:val="auto"/>
                <w:sz w:val="24"/>
                <w:szCs w:val="24"/>
                <w:highlight w:val="none"/>
                <w:vertAlign w:val="baseline"/>
              </w:rPr>
            </w:pPr>
          </w:p>
        </w:tc>
      </w:tr>
      <w:tr w14:paraId="28E2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18A49EEA">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513" w:type="dxa"/>
            <w:vAlign w:val="center"/>
          </w:tcPr>
          <w:p w14:paraId="2021158E">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维保人员</w:t>
            </w:r>
          </w:p>
        </w:tc>
        <w:tc>
          <w:tcPr>
            <w:tcW w:w="1270" w:type="dxa"/>
            <w:vAlign w:val="center"/>
          </w:tcPr>
          <w:p w14:paraId="66403749">
            <w:pPr>
              <w:spacing w:line="240" w:lineRule="auto"/>
              <w:jc w:val="center"/>
              <w:rPr>
                <w:rFonts w:hint="eastAsia" w:ascii="宋体" w:hAnsi="宋体" w:eastAsia="宋体" w:cs="宋体"/>
                <w:color w:val="auto"/>
                <w:sz w:val="24"/>
                <w:szCs w:val="24"/>
                <w:highlight w:val="none"/>
                <w:vertAlign w:val="baseline"/>
              </w:rPr>
            </w:pPr>
          </w:p>
        </w:tc>
        <w:tc>
          <w:tcPr>
            <w:tcW w:w="1548" w:type="dxa"/>
            <w:vAlign w:val="center"/>
          </w:tcPr>
          <w:p w14:paraId="4D7349A5">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68989E9D">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7BD27978">
            <w:pPr>
              <w:spacing w:line="240" w:lineRule="auto"/>
              <w:jc w:val="center"/>
              <w:rPr>
                <w:rFonts w:hint="eastAsia" w:ascii="宋体" w:hAnsi="宋体" w:eastAsia="宋体" w:cs="宋体"/>
                <w:color w:val="auto"/>
                <w:sz w:val="24"/>
                <w:szCs w:val="24"/>
                <w:highlight w:val="none"/>
                <w:vertAlign w:val="baseline"/>
              </w:rPr>
            </w:pPr>
          </w:p>
        </w:tc>
      </w:tr>
      <w:tr w14:paraId="6B6E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0B98DF1B">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513" w:type="dxa"/>
            <w:vAlign w:val="center"/>
          </w:tcPr>
          <w:p w14:paraId="1A6CECDC">
            <w:pP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维保人员</w:t>
            </w:r>
          </w:p>
        </w:tc>
        <w:tc>
          <w:tcPr>
            <w:tcW w:w="1270" w:type="dxa"/>
            <w:vAlign w:val="center"/>
          </w:tcPr>
          <w:p w14:paraId="546040FC">
            <w:pPr>
              <w:spacing w:line="240" w:lineRule="auto"/>
              <w:jc w:val="center"/>
              <w:rPr>
                <w:rFonts w:hint="eastAsia" w:ascii="宋体" w:hAnsi="宋体" w:eastAsia="宋体" w:cs="宋体"/>
                <w:color w:val="auto"/>
                <w:sz w:val="24"/>
                <w:szCs w:val="24"/>
                <w:highlight w:val="none"/>
                <w:vertAlign w:val="baseline"/>
              </w:rPr>
            </w:pPr>
          </w:p>
        </w:tc>
        <w:tc>
          <w:tcPr>
            <w:tcW w:w="1548" w:type="dxa"/>
            <w:vAlign w:val="center"/>
          </w:tcPr>
          <w:p w14:paraId="7FBAF47B">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345ACBEE">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7624A851">
            <w:pPr>
              <w:spacing w:line="240" w:lineRule="auto"/>
              <w:jc w:val="center"/>
              <w:rPr>
                <w:rFonts w:hint="eastAsia" w:ascii="宋体" w:hAnsi="宋体" w:eastAsia="宋体" w:cs="宋体"/>
                <w:color w:val="auto"/>
                <w:sz w:val="24"/>
                <w:szCs w:val="24"/>
                <w:highlight w:val="none"/>
                <w:vertAlign w:val="baseline"/>
              </w:rPr>
            </w:pPr>
          </w:p>
        </w:tc>
      </w:tr>
      <w:tr w14:paraId="2E2B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42D290F7">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513" w:type="dxa"/>
            <w:vAlign w:val="center"/>
          </w:tcPr>
          <w:p w14:paraId="05723117">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维修人员</w:t>
            </w:r>
          </w:p>
        </w:tc>
        <w:tc>
          <w:tcPr>
            <w:tcW w:w="1270" w:type="dxa"/>
            <w:vAlign w:val="center"/>
          </w:tcPr>
          <w:p w14:paraId="698A8767">
            <w:pPr>
              <w:spacing w:line="240" w:lineRule="auto"/>
              <w:jc w:val="center"/>
              <w:rPr>
                <w:rFonts w:hint="eastAsia" w:ascii="宋体" w:hAnsi="宋体" w:eastAsia="宋体" w:cs="宋体"/>
                <w:color w:val="auto"/>
                <w:sz w:val="24"/>
                <w:szCs w:val="24"/>
                <w:highlight w:val="none"/>
                <w:vertAlign w:val="baseline"/>
              </w:rPr>
            </w:pPr>
          </w:p>
        </w:tc>
        <w:tc>
          <w:tcPr>
            <w:tcW w:w="1548" w:type="dxa"/>
            <w:vAlign w:val="center"/>
          </w:tcPr>
          <w:p w14:paraId="09D579C0">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43A6BBD5">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04080536">
            <w:pPr>
              <w:spacing w:line="240" w:lineRule="auto"/>
              <w:jc w:val="center"/>
              <w:rPr>
                <w:rFonts w:hint="eastAsia" w:ascii="宋体" w:hAnsi="宋体" w:eastAsia="宋体" w:cs="宋体"/>
                <w:color w:val="auto"/>
                <w:sz w:val="24"/>
                <w:szCs w:val="24"/>
                <w:highlight w:val="none"/>
                <w:vertAlign w:val="baseline"/>
              </w:rPr>
            </w:pPr>
          </w:p>
        </w:tc>
      </w:tr>
      <w:tr w14:paraId="4388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1F37E548">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513" w:type="dxa"/>
            <w:vAlign w:val="center"/>
          </w:tcPr>
          <w:p w14:paraId="03A51D1B">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维修人员</w:t>
            </w:r>
          </w:p>
        </w:tc>
        <w:tc>
          <w:tcPr>
            <w:tcW w:w="1270" w:type="dxa"/>
            <w:vAlign w:val="center"/>
          </w:tcPr>
          <w:p w14:paraId="55F25B7B">
            <w:pPr>
              <w:spacing w:line="240" w:lineRule="auto"/>
              <w:jc w:val="center"/>
              <w:rPr>
                <w:rFonts w:hint="eastAsia" w:ascii="宋体" w:hAnsi="宋体" w:eastAsia="宋体" w:cs="宋体"/>
                <w:color w:val="auto"/>
                <w:sz w:val="24"/>
                <w:szCs w:val="24"/>
                <w:highlight w:val="none"/>
                <w:vertAlign w:val="baseline"/>
              </w:rPr>
            </w:pPr>
          </w:p>
        </w:tc>
        <w:tc>
          <w:tcPr>
            <w:tcW w:w="1548" w:type="dxa"/>
            <w:vAlign w:val="center"/>
          </w:tcPr>
          <w:p w14:paraId="4A193A61">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54D62CFE">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45DE1A31">
            <w:pPr>
              <w:spacing w:line="240" w:lineRule="auto"/>
              <w:jc w:val="center"/>
              <w:rPr>
                <w:rFonts w:hint="eastAsia" w:ascii="宋体" w:hAnsi="宋体" w:eastAsia="宋体" w:cs="宋体"/>
                <w:color w:val="auto"/>
                <w:sz w:val="24"/>
                <w:szCs w:val="24"/>
                <w:highlight w:val="none"/>
                <w:vertAlign w:val="baseline"/>
              </w:rPr>
            </w:pPr>
          </w:p>
        </w:tc>
      </w:tr>
      <w:tr w14:paraId="1B9E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vAlign w:val="center"/>
          </w:tcPr>
          <w:p w14:paraId="11621DBB">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513" w:type="dxa"/>
            <w:vAlign w:val="center"/>
          </w:tcPr>
          <w:p w14:paraId="62FD2FCB">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p>
        </w:tc>
        <w:tc>
          <w:tcPr>
            <w:tcW w:w="1270" w:type="dxa"/>
            <w:vAlign w:val="center"/>
          </w:tcPr>
          <w:p w14:paraId="621BCF0C">
            <w:pPr>
              <w:spacing w:line="240" w:lineRule="auto"/>
              <w:jc w:val="center"/>
              <w:rPr>
                <w:rFonts w:hint="eastAsia" w:ascii="宋体" w:hAnsi="宋体" w:eastAsia="宋体" w:cs="宋体"/>
                <w:color w:val="auto"/>
                <w:sz w:val="24"/>
                <w:szCs w:val="24"/>
                <w:highlight w:val="none"/>
                <w:vertAlign w:val="baseline"/>
              </w:rPr>
            </w:pPr>
          </w:p>
        </w:tc>
        <w:tc>
          <w:tcPr>
            <w:tcW w:w="1548" w:type="dxa"/>
            <w:vAlign w:val="center"/>
          </w:tcPr>
          <w:p w14:paraId="7DA59074">
            <w:pPr>
              <w:spacing w:line="240" w:lineRule="auto"/>
              <w:jc w:val="center"/>
              <w:rPr>
                <w:rFonts w:hint="eastAsia" w:ascii="宋体" w:hAnsi="宋体" w:eastAsia="宋体" w:cs="宋体"/>
                <w:color w:val="auto"/>
                <w:sz w:val="24"/>
                <w:szCs w:val="24"/>
                <w:highlight w:val="none"/>
                <w:vertAlign w:val="baseline"/>
              </w:rPr>
            </w:pPr>
          </w:p>
        </w:tc>
        <w:tc>
          <w:tcPr>
            <w:tcW w:w="2042" w:type="dxa"/>
            <w:vAlign w:val="center"/>
          </w:tcPr>
          <w:p w14:paraId="6F733A6C">
            <w:pPr>
              <w:spacing w:line="240" w:lineRule="auto"/>
              <w:jc w:val="center"/>
              <w:rPr>
                <w:rFonts w:hint="eastAsia" w:ascii="宋体" w:hAnsi="宋体" w:eastAsia="宋体" w:cs="宋体"/>
                <w:color w:val="auto"/>
                <w:sz w:val="24"/>
                <w:szCs w:val="24"/>
                <w:highlight w:val="none"/>
                <w:vertAlign w:val="baseline"/>
              </w:rPr>
            </w:pPr>
          </w:p>
        </w:tc>
        <w:tc>
          <w:tcPr>
            <w:tcW w:w="1975" w:type="dxa"/>
            <w:vAlign w:val="center"/>
          </w:tcPr>
          <w:p w14:paraId="64B6A14D">
            <w:pPr>
              <w:spacing w:line="240" w:lineRule="auto"/>
              <w:jc w:val="center"/>
              <w:rPr>
                <w:rFonts w:hint="eastAsia" w:ascii="宋体" w:hAnsi="宋体" w:eastAsia="宋体" w:cs="宋体"/>
                <w:color w:val="auto"/>
                <w:sz w:val="24"/>
                <w:szCs w:val="24"/>
                <w:highlight w:val="none"/>
                <w:vertAlign w:val="baseline"/>
              </w:rPr>
            </w:pPr>
          </w:p>
        </w:tc>
      </w:tr>
    </w:tbl>
    <w:p w14:paraId="49537FB9">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w:t>
      </w:r>
      <w:r>
        <w:rPr>
          <w:rFonts w:hint="eastAsia" w:ascii="宋体" w:hAnsi="宋体" w:cs="宋体"/>
          <w:b/>
          <w:bCs/>
          <w:kern w:val="0"/>
          <w:sz w:val="24"/>
          <w:szCs w:val="24"/>
          <w:highlight w:val="none"/>
          <w:lang w:val="en-US" w:eastAsia="zh-CN"/>
        </w:rPr>
        <w:t>四</w:t>
      </w:r>
      <w:r>
        <w:rPr>
          <w:rFonts w:hint="eastAsia" w:ascii="宋体" w:hAnsi="宋体" w:eastAsia="宋体" w:cs="宋体"/>
          <w:b/>
          <w:bCs/>
          <w:kern w:val="0"/>
          <w:sz w:val="24"/>
          <w:szCs w:val="24"/>
          <w:highlight w:val="none"/>
          <w:lang w:val="en-US" w:eastAsia="zh-CN"/>
        </w:rPr>
        <w:t>）培训要求：</w:t>
      </w:r>
    </w:p>
    <w:p w14:paraId="19349A4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1、技术培训：</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en-US" w:eastAsia="zh-CN"/>
        </w:rPr>
        <w:t>负责对</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的值班或者管理人员提供技术培训，保证消防控制室值班人员能够进行日常的维护和管理。培训安排在每次检修/试验时进行，也可应</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要求在合同有效期内随时进行，次数不限。</w:t>
      </w:r>
    </w:p>
    <w:p w14:paraId="5432F94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2、如</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对安装有消防系统的建筑物进行改造施工时，</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en-US" w:eastAsia="zh-CN"/>
        </w:rPr>
        <w:t>应负责施工期间的消防报警系统探测点及联动控制点恢复安装的监督、指导、验收，验收后自动纳入本标的技术服务范围。</w:t>
      </w:r>
    </w:p>
    <w:p w14:paraId="2B25E430">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w:t>
      </w:r>
      <w:r>
        <w:rPr>
          <w:rFonts w:hint="eastAsia" w:ascii="宋体" w:hAnsi="宋体" w:cs="宋体"/>
          <w:b/>
          <w:bCs/>
          <w:kern w:val="0"/>
          <w:sz w:val="24"/>
          <w:szCs w:val="24"/>
          <w:highlight w:val="none"/>
          <w:lang w:val="en-US" w:eastAsia="zh-CN"/>
        </w:rPr>
        <w:t>五</w:t>
      </w:r>
      <w:r>
        <w:rPr>
          <w:rFonts w:hint="eastAsia" w:ascii="宋体" w:hAnsi="宋体" w:eastAsia="宋体" w:cs="宋体"/>
          <w:b/>
          <w:bCs/>
          <w:kern w:val="0"/>
          <w:sz w:val="24"/>
          <w:szCs w:val="24"/>
          <w:highlight w:val="none"/>
          <w:lang w:val="en-US" w:eastAsia="zh-CN"/>
        </w:rPr>
        <w:t>）考核要求</w:t>
      </w:r>
    </w:p>
    <w:p w14:paraId="08E0712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按季度组织对</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en-US" w:eastAsia="zh-CN"/>
        </w:rPr>
        <w:t>的服务工作进行百分制考核(相关考核细则见附件),季度考核分数低于95分，每差一分扣减维保费用的1%,季度考核低于80分者，由</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出具整改通知书并进行整改监督，拒不整改者，</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有权根据考核结果扣减相应服务费后提前解除合同。</w:t>
      </w:r>
    </w:p>
    <w:p w14:paraId="6D2C3EC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在合同履行过程中，因</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en-US" w:eastAsia="zh-CN"/>
        </w:rPr>
        <w:t>原因造成重大安全事故或重大不良影响及舆情的，</w:t>
      </w:r>
      <w:r>
        <w:rPr>
          <w:rFonts w:hint="eastAsia" w:ascii="宋体" w:hAnsi="宋体" w:cs="宋体"/>
          <w:b w:val="0"/>
          <w:bCs w:val="0"/>
          <w:kern w:val="0"/>
          <w:sz w:val="24"/>
          <w:szCs w:val="24"/>
          <w:highlight w:val="none"/>
          <w:lang w:val="en-US" w:eastAsia="zh-CN"/>
        </w:rPr>
        <w:t>甲方</w:t>
      </w:r>
      <w:r>
        <w:rPr>
          <w:rFonts w:hint="eastAsia" w:ascii="宋体" w:hAnsi="宋体" w:eastAsia="宋体" w:cs="宋体"/>
          <w:kern w:val="0"/>
          <w:sz w:val="24"/>
          <w:szCs w:val="24"/>
          <w:highlight w:val="none"/>
          <w:lang w:val="en-US" w:eastAsia="zh-CN"/>
        </w:rPr>
        <w:t>有权解除合同。</w:t>
      </w:r>
    </w:p>
    <w:p w14:paraId="3E30D9B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w:t>
      </w:r>
      <w:r>
        <w:rPr>
          <w:rFonts w:hint="eastAsia" w:ascii="宋体" w:hAnsi="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rPr>
        <w:t>）其他</w:t>
      </w:r>
    </w:p>
    <w:p w14:paraId="4C82FA4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1、签订合同之日起</w:t>
      </w:r>
      <w:r>
        <w:rPr>
          <w:rFonts w:hint="eastAsia" w:ascii="宋体" w:hAnsi="宋体" w:cs="宋体"/>
          <w:kern w:val="0"/>
          <w:sz w:val="24"/>
          <w:szCs w:val="24"/>
          <w:highlight w:val="none"/>
          <w:lang w:val="en-US" w:eastAsia="zh-CN"/>
        </w:rPr>
        <w:t>乙方</w:t>
      </w:r>
      <w:r>
        <w:rPr>
          <w:rFonts w:hint="eastAsia" w:ascii="宋体" w:hAnsi="宋体" w:eastAsia="宋体" w:cs="宋体"/>
          <w:b w:val="0"/>
          <w:bCs w:val="0"/>
          <w:kern w:val="0"/>
          <w:sz w:val="24"/>
          <w:szCs w:val="24"/>
          <w:highlight w:val="none"/>
          <w:lang w:val="en-US" w:eastAsia="zh-CN"/>
        </w:rPr>
        <w:t>须在30日之内完成消防系统的全面检查，并出具符合要求的检测评估报告并针对发现的问题提供详细的维修方案；建立消防维保档案并协助</w:t>
      </w:r>
      <w:r>
        <w:rPr>
          <w:rFonts w:hint="eastAsia" w:ascii="宋体" w:hAnsi="宋体" w:cs="宋体"/>
          <w:b w:val="0"/>
          <w:bCs w:val="0"/>
          <w:kern w:val="0"/>
          <w:sz w:val="24"/>
          <w:szCs w:val="24"/>
          <w:highlight w:val="none"/>
          <w:lang w:val="en-US" w:eastAsia="zh-CN"/>
        </w:rPr>
        <w:t>甲方</w:t>
      </w:r>
      <w:r>
        <w:rPr>
          <w:rFonts w:hint="eastAsia" w:ascii="宋体" w:hAnsi="宋体" w:eastAsia="宋体" w:cs="宋体"/>
          <w:b w:val="0"/>
          <w:bCs w:val="0"/>
          <w:kern w:val="0"/>
          <w:sz w:val="24"/>
          <w:szCs w:val="24"/>
          <w:highlight w:val="none"/>
          <w:lang w:val="en-US" w:eastAsia="zh-CN"/>
        </w:rPr>
        <w:t>建立健全消防档案.</w:t>
      </w:r>
    </w:p>
    <w:p w14:paraId="63FD628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2、维保合同期内发生火灾事故，双方按照事故调查结论承担相应责任。如因维护措施不到位导致发生火灾事故的，</w:t>
      </w:r>
      <w:r>
        <w:rPr>
          <w:rFonts w:hint="eastAsia" w:ascii="宋体" w:hAnsi="宋体" w:cs="宋体"/>
          <w:kern w:val="0"/>
          <w:sz w:val="24"/>
          <w:szCs w:val="24"/>
          <w:highlight w:val="none"/>
          <w:lang w:val="en-US" w:eastAsia="zh-CN"/>
        </w:rPr>
        <w:t>乙方</w:t>
      </w:r>
      <w:r>
        <w:rPr>
          <w:rFonts w:hint="eastAsia" w:ascii="宋体" w:hAnsi="宋体" w:eastAsia="宋体" w:cs="宋体"/>
          <w:b w:val="0"/>
          <w:bCs w:val="0"/>
          <w:kern w:val="0"/>
          <w:sz w:val="24"/>
          <w:szCs w:val="24"/>
          <w:highlight w:val="none"/>
          <w:lang w:val="en-US" w:eastAsia="zh-CN"/>
        </w:rPr>
        <w:t>承担全部责任。发生重大伤亡事故，</w:t>
      </w:r>
      <w:r>
        <w:rPr>
          <w:rFonts w:hint="eastAsia" w:ascii="宋体" w:hAnsi="宋体" w:cs="宋体"/>
          <w:kern w:val="0"/>
          <w:sz w:val="24"/>
          <w:szCs w:val="24"/>
          <w:highlight w:val="none"/>
          <w:lang w:val="en-US" w:eastAsia="zh-CN"/>
        </w:rPr>
        <w:t>乙方</w:t>
      </w:r>
      <w:r>
        <w:rPr>
          <w:rFonts w:hint="eastAsia" w:ascii="宋体" w:hAnsi="宋体" w:eastAsia="宋体" w:cs="宋体"/>
          <w:b w:val="0"/>
          <w:bCs w:val="0"/>
          <w:kern w:val="0"/>
          <w:sz w:val="24"/>
          <w:szCs w:val="24"/>
          <w:highlight w:val="none"/>
          <w:lang w:val="en-US" w:eastAsia="zh-CN"/>
        </w:rPr>
        <w:t>应按有关规定立即上报有关部门并通知</w:t>
      </w:r>
      <w:r>
        <w:rPr>
          <w:rFonts w:hint="eastAsia" w:ascii="宋体" w:hAnsi="宋体" w:cs="宋体"/>
          <w:b w:val="0"/>
          <w:bCs w:val="0"/>
          <w:kern w:val="0"/>
          <w:sz w:val="24"/>
          <w:szCs w:val="24"/>
          <w:highlight w:val="none"/>
          <w:lang w:val="en-US" w:eastAsia="zh-CN"/>
        </w:rPr>
        <w:t>甲方</w:t>
      </w:r>
      <w:r>
        <w:rPr>
          <w:rFonts w:hint="eastAsia" w:ascii="宋体" w:hAnsi="宋体" w:eastAsia="宋体" w:cs="宋体"/>
          <w:b w:val="0"/>
          <w:bCs w:val="0"/>
          <w:kern w:val="0"/>
          <w:sz w:val="24"/>
          <w:szCs w:val="24"/>
          <w:highlight w:val="none"/>
          <w:lang w:val="en-US" w:eastAsia="zh-CN"/>
        </w:rPr>
        <w:t>，同时按政府有关部门的要求来处理。</w:t>
      </w:r>
    </w:p>
    <w:p w14:paraId="2F4691F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w:t>
      </w:r>
      <w:r>
        <w:rPr>
          <w:rFonts w:hint="eastAsia" w:ascii="宋体" w:hAnsi="宋体" w:cs="宋体"/>
          <w:kern w:val="0"/>
          <w:sz w:val="24"/>
          <w:szCs w:val="24"/>
          <w:highlight w:val="none"/>
          <w:lang w:val="en-US" w:eastAsia="zh-CN"/>
        </w:rPr>
        <w:t>乙方</w:t>
      </w:r>
      <w:r>
        <w:rPr>
          <w:rFonts w:hint="eastAsia" w:ascii="宋体" w:hAnsi="宋体" w:eastAsia="宋体" w:cs="宋体"/>
          <w:b w:val="0"/>
          <w:bCs w:val="0"/>
          <w:kern w:val="0"/>
          <w:sz w:val="24"/>
          <w:szCs w:val="24"/>
          <w:highlight w:val="none"/>
          <w:lang w:val="en-US" w:eastAsia="zh-CN"/>
        </w:rPr>
        <w:t>承担约定范围内消防系统所有设备设施的维保，设备设施维保工作涉及费用说明：日常普通维保使用辅材及器械、人工由</w:t>
      </w:r>
      <w:r>
        <w:rPr>
          <w:rFonts w:hint="eastAsia" w:ascii="宋体" w:hAnsi="宋体" w:cs="宋体"/>
          <w:kern w:val="0"/>
          <w:sz w:val="24"/>
          <w:szCs w:val="24"/>
          <w:highlight w:val="none"/>
          <w:lang w:val="en-US" w:eastAsia="zh-CN"/>
        </w:rPr>
        <w:t>乙方</w:t>
      </w:r>
      <w:r>
        <w:rPr>
          <w:rFonts w:hint="eastAsia" w:ascii="宋体" w:hAnsi="宋体" w:eastAsia="宋体" w:cs="宋体"/>
          <w:b w:val="0"/>
          <w:bCs w:val="0"/>
          <w:kern w:val="0"/>
          <w:sz w:val="24"/>
          <w:szCs w:val="24"/>
          <w:highlight w:val="none"/>
          <w:lang w:val="en-US" w:eastAsia="zh-CN"/>
        </w:rPr>
        <w:t>负责；如发生大的消防故障，(因大楼都在质保期内)必须先汇报</w:t>
      </w:r>
      <w:r>
        <w:rPr>
          <w:rFonts w:hint="eastAsia" w:ascii="宋体" w:hAnsi="宋体" w:cs="宋体"/>
          <w:b w:val="0"/>
          <w:bCs w:val="0"/>
          <w:kern w:val="0"/>
          <w:sz w:val="24"/>
          <w:szCs w:val="24"/>
          <w:highlight w:val="none"/>
          <w:lang w:val="en-US" w:eastAsia="zh-CN"/>
        </w:rPr>
        <w:t>甲方</w:t>
      </w:r>
      <w:r>
        <w:rPr>
          <w:rFonts w:hint="eastAsia" w:ascii="宋体" w:hAnsi="宋体" w:eastAsia="宋体" w:cs="宋体"/>
          <w:b w:val="0"/>
          <w:bCs w:val="0"/>
          <w:kern w:val="0"/>
          <w:sz w:val="24"/>
          <w:szCs w:val="24"/>
          <w:highlight w:val="none"/>
          <w:lang w:val="en-US" w:eastAsia="zh-CN"/>
        </w:rPr>
        <w:t>，</w:t>
      </w:r>
      <w:r>
        <w:rPr>
          <w:rFonts w:hint="eastAsia" w:ascii="宋体" w:hAnsi="宋体" w:cs="宋体"/>
          <w:kern w:val="0"/>
          <w:sz w:val="24"/>
          <w:szCs w:val="24"/>
          <w:highlight w:val="none"/>
          <w:lang w:val="en-US" w:eastAsia="zh-CN"/>
        </w:rPr>
        <w:t>乙方</w:t>
      </w:r>
      <w:r>
        <w:rPr>
          <w:rFonts w:hint="eastAsia" w:ascii="宋体" w:hAnsi="宋体" w:eastAsia="宋体" w:cs="宋体"/>
          <w:b w:val="0"/>
          <w:bCs w:val="0"/>
          <w:kern w:val="0"/>
          <w:sz w:val="24"/>
          <w:szCs w:val="24"/>
          <w:highlight w:val="none"/>
          <w:lang w:val="en-US" w:eastAsia="zh-CN"/>
        </w:rPr>
        <w:t>必须排查原因及损坏程度，并拟定可行修复方案和预估维修费用书面提交</w:t>
      </w:r>
      <w:r>
        <w:rPr>
          <w:rFonts w:hint="eastAsia" w:ascii="宋体" w:hAnsi="宋体" w:cs="宋体"/>
          <w:b w:val="0"/>
          <w:bCs w:val="0"/>
          <w:kern w:val="0"/>
          <w:sz w:val="24"/>
          <w:szCs w:val="24"/>
          <w:highlight w:val="none"/>
          <w:lang w:val="en-US" w:eastAsia="zh-CN"/>
        </w:rPr>
        <w:t>甲方</w:t>
      </w:r>
      <w:r>
        <w:rPr>
          <w:rFonts w:hint="eastAsia" w:ascii="宋体" w:hAnsi="宋体" w:eastAsia="宋体" w:cs="宋体"/>
          <w:b w:val="0"/>
          <w:bCs w:val="0"/>
          <w:kern w:val="0"/>
          <w:sz w:val="24"/>
          <w:szCs w:val="24"/>
          <w:highlight w:val="none"/>
          <w:lang w:val="en-US" w:eastAsia="zh-CN"/>
        </w:rPr>
        <w:t>，经</w:t>
      </w:r>
      <w:r>
        <w:rPr>
          <w:rFonts w:hint="eastAsia" w:ascii="宋体" w:hAnsi="宋体" w:cs="宋体"/>
          <w:b w:val="0"/>
          <w:bCs w:val="0"/>
          <w:kern w:val="0"/>
          <w:sz w:val="24"/>
          <w:szCs w:val="24"/>
          <w:highlight w:val="none"/>
          <w:lang w:val="en-US" w:eastAsia="zh-CN"/>
        </w:rPr>
        <w:t>甲方</w:t>
      </w:r>
      <w:r>
        <w:rPr>
          <w:rFonts w:hint="eastAsia" w:ascii="宋体" w:hAnsi="宋体" w:eastAsia="宋体" w:cs="宋体"/>
          <w:b w:val="0"/>
          <w:bCs w:val="0"/>
          <w:kern w:val="0"/>
          <w:sz w:val="24"/>
          <w:szCs w:val="24"/>
          <w:highlight w:val="none"/>
          <w:lang w:val="en-US" w:eastAsia="zh-CN"/>
        </w:rPr>
        <w:t>审核后再予以确认并联系原施工方加急处置。</w:t>
      </w:r>
    </w:p>
    <w:p w14:paraId="2CEA8983">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第二条</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bCs/>
          <w:color w:val="auto"/>
          <w:sz w:val="24"/>
          <w:szCs w:val="24"/>
          <w:highlight w:val="none"/>
          <w:lang w:eastAsia="zh-CN"/>
        </w:rPr>
        <w:t>合同金额：</w:t>
      </w:r>
    </w:p>
    <w:p w14:paraId="2B5E91DF">
      <w:pPr>
        <w:keepNext w:val="0"/>
        <w:keepLines w:val="0"/>
        <w:pageBreakBefore w:val="0"/>
        <w:widowControl w:val="0"/>
        <w:numPr>
          <w:ilvl w:val="0"/>
          <w:numId w:val="0"/>
        </w:numPr>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总价人民币大写：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p w14:paraId="6ED3B101">
      <w:pPr>
        <w:keepNext w:val="0"/>
        <w:keepLines w:val="0"/>
        <w:pageBreakBefore w:val="0"/>
        <w:widowControl w:val="0"/>
        <w:numPr>
          <w:ilvl w:val="0"/>
          <w:numId w:val="0"/>
        </w:numPr>
        <w:kinsoku/>
        <w:wordWrap/>
        <w:overflowPunct/>
        <w:topLinePunct w:val="0"/>
        <w:autoSpaceDE/>
        <w:autoSpaceDN/>
        <w:bidi w:val="0"/>
        <w:spacing w:line="480" w:lineRule="exact"/>
        <w:ind w:firstLine="1687" w:firstLineChars="7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小写：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元</w:t>
      </w:r>
      <w:r>
        <w:rPr>
          <w:rFonts w:hint="eastAsia" w:ascii="宋体" w:hAnsi="宋体" w:eastAsia="宋体" w:cs="宋体"/>
          <w:b/>
          <w:bCs/>
          <w:color w:val="auto"/>
          <w:sz w:val="24"/>
          <w:szCs w:val="24"/>
          <w:highlight w:val="none"/>
          <w:lang w:val="en-US" w:eastAsia="zh-CN"/>
        </w:rPr>
        <w:t>。</w:t>
      </w:r>
    </w:p>
    <w:p w14:paraId="221EC96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项目固定总价报价，包括但不限于合同价格中应包括在服务期内完成服务内容所需要的一切费用，包括但不限于维保服务需要的人员酬金、食宿、维护保养辅助性材料、器材、工具费、年检准备工作及配合的相关费用、合同到期前与下一个维保公司或</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en-US" w:eastAsia="zh-CN"/>
        </w:rPr>
        <w:t>进行交接涉及的配合费、管理费、保险、利润、税金、政策性文件规定及合同包含的所有风险、责任（充分考虑</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en-US" w:eastAsia="zh-CN"/>
        </w:rPr>
        <w:t>的管理制度及惩罚措施）等一切费用，如有漏项，视同已包含在其总项目中，即项目履行到项目执行结束的过程中所发生的一切费用及响应招标文件要求的所有费用。</w:t>
      </w:r>
    </w:p>
    <w:p w14:paraId="2D5FAB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第三条</w:t>
      </w:r>
      <w:r>
        <w:rPr>
          <w:rFonts w:hint="eastAsia" w:ascii="宋体" w:hAnsi="宋体" w:cs="Times New Roman"/>
          <w:b/>
          <w:bCs/>
          <w:color w:val="auto"/>
          <w:kern w:val="2"/>
          <w:sz w:val="24"/>
          <w:szCs w:val="24"/>
          <w:lang w:val="en-US" w:eastAsia="zh-CN" w:bidi="ar-SA"/>
        </w:rPr>
        <w:t xml:space="preserve"> </w:t>
      </w:r>
      <w:r>
        <w:rPr>
          <w:rFonts w:hint="eastAsia" w:ascii="宋体" w:hAnsi="宋体" w:eastAsia="宋体" w:cs="宋体"/>
          <w:b/>
          <w:bCs/>
          <w:color w:val="auto"/>
          <w:sz w:val="24"/>
          <w:szCs w:val="24"/>
          <w:highlight w:val="none"/>
          <w:lang w:val="en-US" w:eastAsia="zh-CN"/>
        </w:rPr>
        <w:t>服务期限：</w:t>
      </w:r>
      <w:r>
        <w:rPr>
          <w:rFonts w:hint="eastAsia" w:ascii="宋体" w:hAnsi="宋体" w:cs="宋体"/>
          <w:b w:val="0"/>
          <w:bCs w:val="0"/>
          <w:color w:val="auto"/>
          <w:sz w:val="24"/>
          <w:szCs w:val="24"/>
          <w:highlight w:val="none"/>
          <w:lang w:val="en-US" w:eastAsia="zh-CN"/>
        </w:rPr>
        <w:t>二年。</w:t>
      </w:r>
    </w:p>
    <w:p w14:paraId="607F563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第四条 服务地点：</w:t>
      </w:r>
      <w:r>
        <w:rPr>
          <w:rFonts w:hint="eastAsia" w:ascii="宋体" w:hAnsi="宋体" w:eastAsia="宋体" w:cs="Times New Roman"/>
          <w:color w:val="auto"/>
          <w:sz w:val="24"/>
          <w:szCs w:val="24"/>
          <w:highlight w:val="none"/>
          <w:lang w:val="en-US" w:eastAsia="zh-CN"/>
        </w:rPr>
        <w:t>启东吕四港集团西港池，具体由</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en-US" w:eastAsia="zh-CN"/>
        </w:rPr>
        <w:t>指定。</w:t>
      </w:r>
    </w:p>
    <w:p w14:paraId="34707D9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Times New Roman"/>
          <w:b/>
          <w:bCs/>
          <w:color w:val="auto"/>
          <w:sz w:val="24"/>
          <w:szCs w:val="24"/>
          <w:highlight w:val="none"/>
          <w:lang w:val="en-US" w:eastAsia="zh-CN"/>
        </w:rPr>
        <w:t xml:space="preserve">第五条 </w:t>
      </w:r>
      <w:r>
        <w:rPr>
          <w:rFonts w:hint="eastAsia" w:ascii="宋体" w:hAnsi="宋体" w:eastAsia="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方式</w:t>
      </w:r>
    </w:p>
    <w:p w14:paraId="7FA47BB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维保期满系统运行正常无任何服务质量问题，</w:t>
      </w:r>
      <w:r>
        <w:rPr>
          <w:rFonts w:hint="eastAsia" w:ascii="宋体" w:hAnsi="宋体" w:cs="宋体"/>
          <w:kern w:val="0"/>
          <w:sz w:val="24"/>
          <w:szCs w:val="24"/>
          <w:highlight w:val="none"/>
          <w:lang w:val="en-US" w:eastAsia="zh-CN"/>
        </w:rPr>
        <w:t>乙方</w:t>
      </w:r>
      <w:r>
        <w:rPr>
          <w:rFonts w:hint="eastAsia" w:ascii="宋体" w:hAnsi="宋体" w:eastAsia="宋体" w:cs="Times New Roman"/>
          <w:color w:val="auto"/>
          <w:sz w:val="24"/>
          <w:szCs w:val="24"/>
          <w:highlight w:val="none"/>
          <w:lang w:val="en-US" w:eastAsia="zh-CN"/>
        </w:rPr>
        <w:t>向</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en-US" w:eastAsia="zh-CN"/>
        </w:rPr>
        <w:t>提交合格的第三方消防设施设备检测报告及相应金额的增值税专用发票后一次性付款(根据考核结果扣款后),付款申请材料符合</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en-US" w:eastAsia="zh-CN"/>
        </w:rPr>
        <w:t>集团公司财务管理制度。</w:t>
      </w:r>
    </w:p>
    <w:p w14:paraId="7B881A2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乙方申请付款的程序应符合甲方的财务规定，提供加盖申请单位公章的付款审批单原件、增值税专用发票原件、合同复印件、中标通知书复印件以及由甲方确认的阶段成果等相关材料，以上付款均不计息。</w:t>
      </w:r>
    </w:p>
    <w:p w14:paraId="2E1B4A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 担保条款</w:t>
      </w:r>
    </w:p>
    <w:p w14:paraId="2FA3A9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1</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zh-CN" w:eastAsia="zh-CN"/>
        </w:rPr>
        <w:t>本项目成交后的履约保证金为项目成交价的10%</w:t>
      </w:r>
      <w:r>
        <w:rPr>
          <w:rFonts w:hint="eastAsia" w:ascii="宋体" w:hAnsi="宋体" w:cs="Times New Roman"/>
          <w:color w:val="auto"/>
          <w:sz w:val="24"/>
          <w:szCs w:val="24"/>
          <w:highlight w:val="none"/>
          <w:lang w:val="zh-CN" w:eastAsia="zh-CN"/>
        </w:rPr>
        <w:t>（</w:t>
      </w:r>
      <w:r>
        <w:rPr>
          <w:rFonts w:hint="eastAsia" w:ascii="宋体" w:hAnsi="宋体" w:cs="Times New Roman"/>
          <w:color w:val="auto"/>
          <w:sz w:val="24"/>
          <w:szCs w:val="24"/>
          <w:highlight w:val="none"/>
          <w:u w:val="single"/>
          <w:lang w:val="en-US" w:eastAsia="zh-CN"/>
        </w:rPr>
        <w:t xml:space="preserve">    </w:t>
      </w:r>
      <w:r>
        <w:rPr>
          <w:rFonts w:hint="eastAsia" w:ascii="宋体" w:hAnsi="宋体" w:cs="Times New Roman"/>
          <w:color w:val="auto"/>
          <w:sz w:val="24"/>
          <w:szCs w:val="24"/>
          <w:highlight w:val="none"/>
          <w:lang w:val="en-US" w:eastAsia="zh-CN"/>
        </w:rPr>
        <w:t>元</w:t>
      </w:r>
      <w:r>
        <w:rPr>
          <w:rFonts w:hint="eastAsia" w:ascii="宋体" w:hAnsi="宋体" w:cs="Times New Roman"/>
          <w:color w:val="auto"/>
          <w:sz w:val="24"/>
          <w:szCs w:val="24"/>
          <w:highlight w:val="none"/>
          <w:lang w:val="zh-CN" w:eastAsia="zh-CN"/>
        </w:rPr>
        <w:t>）</w:t>
      </w:r>
      <w:r>
        <w:rPr>
          <w:rFonts w:hint="eastAsia" w:ascii="宋体" w:hAnsi="宋体" w:eastAsia="宋体" w:cs="Times New Roman"/>
          <w:color w:val="auto"/>
          <w:sz w:val="24"/>
          <w:szCs w:val="24"/>
          <w:highlight w:val="none"/>
          <w:lang w:val="zh-CN" w:eastAsia="zh-CN"/>
        </w:rPr>
        <w:t>，</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的履约保证金须在成交通知书发出之日起至合同签订前汇入</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账户（应当以数字人民币、支票、汇票或者金融机构、担保机构出具的保函等非现金形式提交），</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凭成交通知书与</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签订合同。超期或未有协商，则视为自动放弃成交资格。</w:t>
      </w:r>
    </w:p>
    <w:p w14:paraId="59294A6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2</w:t>
      </w:r>
      <w:r>
        <w:rPr>
          <w:rFonts w:hint="eastAsia" w:ascii="宋体" w:hAnsi="宋体" w:cs="Times New Roman"/>
          <w:color w:val="auto"/>
          <w:sz w:val="24"/>
          <w:szCs w:val="24"/>
          <w:highlight w:val="none"/>
          <w:lang w:val="en-US" w:eastAsia="zh-CN"/>
        </w:rPr>
        <w:t>.</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全部履约合同义务，经</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验收合格无质量、进度等问题的，</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在验收合格后一次性退还履约保证金。</w:t>
      </w:r>
    </w:p>
    <w:p w14:paraId="7E7827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3</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zh-CN" w:eastAsia="zh-CN"/>
        </w:rPr>
        <w:t>发生以下情况的，履约保证金不予退还或部分退还：</w:t>
      </w:r>
    </w:p>
    <w:p w14:paraId="113ED61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a.签订合同后，</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不履行合同义务的，</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有权全额扣除履约保证金，全额不予退还，同时</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亦有权终止合同，</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还须承担相应的法律赔偿责任。</w:t>
      </w:r>
    </w:p>
    <w:p w14:paraId="6C4A60E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b.</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在履约过程中发生违约行为，给</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造成损失的，</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有权在</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缴纳的履约保证金中予以扣款，以弥补</w:t>
      </w:r>
      <w:r>
        <w:rPr>
          <w:rFonts w:hint="eastAsia" w:ascii="宋体" w:hAnsi="宋体" w:cs="宋体"/>
          <w:b w:val="0"/>
          <w:bCs w:val="0"/>
          <w:kern w:val="0"/>
          <w:sz w:val="24"/>
          <w:szCs w:val="24"/>
          <w:highlight w:val="none"/>
          <w:lang w:val="en-US" w:eastAsia="zh-CN"/>
        </w:rPr>
        <w:t>甲方</w:t>
      </w:r>
      <w:r>
        <w:rPr>
          <w:rFonts w:hint="eastAsia" w:ascii="宋体" w:hAnsi="宋体" w:eastAsia="宋体" w:cs="Times New Roman"/>
          <w:color w:val="auto"/>
          <w:sz w:val="24"/>
          <w:szCs w:val="24"/>
          <w:highlight w:val="none"/>
          <w:lang w:val="zh-CN" w:eastAsia="zh-CN"/>
        </w:rPr>
        <w:t>经济损失，不足的部分</w:t>
      </w:r>
      <w:r>
        <w:rPr>
          <w:rFonts w:hint="eastAsia" w:ascii="宋体" w:hAnsi="宋体" w:cs="宋体"/>
          <w:b w:val="0"/>
          <w:bCs w:val="0"/>
          <w:kern w:val="0"/>
          <w:sz w:val="24"/>
          <w:szCs w:val="24"/>
          <w:highlight w:val="none"/>
          <w:lang w:val="en-US" w:eastAsia="zh-CN"/>
        </w:rPr>
        <w:t>乙方</w:t>
      </w:r>
      <w:r>
        <w:rPr>
          <w:rFonts w:hint="eastAsia" w:ascii="宋体" w:hAnsi="宋体" w:eastAsia="宋体" w:cs="Times New Roman"/>
          <w:color w:val="auto"/>
          <w:sz w:val="24"/>
          <w:szCs w:val="24"/>
          <w:highlight w:val="none"/>
          <w:lang w:val="zh-CN" w:eastAsia="zh-CN"/>
        </w:rPr>
        <w:t>另外补齐。</w:t>
      </w:r>
    </w:p>
    <w:p w14:paraId="52D031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第七条</w:t>
      </w:r>
      <w:r>
        <w:rPr>
          <w:rFonts w:hint="eastAsia" w:ascii="宋体" w:hAnsi="宋体" w:eastAsia="宋体" w:cs="宋体"/>
          <w:b/>
          <w:bCs/>
          <w:color w:val="auto"/>
          <w:sz w:val="24"/>
          <w:szCs w:val="24"/>
          <w:highlight w:val="none"/>
        </w:rPr>
        <w:t xml:space="preserve"> 税金</w:t>
      </w:r>
    </w:p>
    <w:p w14:paraId="545DDE07">
      <w:pPr>
        <w:keepNext w:val="0"/>
        <w:keepLines w:val="0"/>
        <w:pageBreakBefore w:val="0"/>
        <w:widowControl w:val="0"/>
        <w:kinsoku/>
        <w:wordWrap/>
        <w:overflowPunct/>
        <w:topLinePunct w:val="0"/>
        <w:autoSpaceDE/>
        <w:autoSpaceDN/>
        <w:bidi w:val="0"/>
        <w:adjustRightInd/>
        <w:snapToGrid/>
        <w:spacing w:line="480" w:lineRule="exact"/>
        <w:ind w:firstLine="540"/>
        <w:jc w:val="left"/>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6"/>
          <w:kern w:val="0"/>
          <w:sz w:val="24"/>
          <w:szCs w:val="24"/>
          <w:highlight w:val="none"/>
        </w:rPr>
        <w:t>根据国家现行税法对</w:t>
      </w:r>
      <w:r>
        <w:rPr>
          <w:rFonts w:hint="eastAsia" w:ascii="宋体" w:hAnsi="宋体" w:eastAsia="宋体" w:cs="宋体"/>
          <w:color w:val="auto"/>
          <w:spacing w:val="-6"/>
          <w:kern w:val="0"/>
          <w:sz w:val="24"/>
          <w:szCs w:val="24"/>
          <w:highlight w:val="none"/>
          <w:lang w:eastAsia="zh-CN"/>
        </w:rPr>
        <w:t>乙方</w:t>
      </w:r>
      <w:r>
        <w:rPr>
          <w:rFonts w:hint="eastAsia" w:ascii="宋体" w:hAnsi="宋体" w:eastAsia="宋体" w:cs="宋体"/>
          <w:color w:val="auto"/>
          <w:spacing w:val="-6"/>
          <w:kern w:val="0"/>
          <w:sz w:val="24"/>
          <w:szCs w:val="24"/>
          <w:highlight w:val="none"/>
        </w:rPr>
        <w:t>征收的与本合同有关的一切税费均由</w:t>
      </w:r>
      <w:r>
        <w:rPr>
          <w:rFonts w:hint="eastAsia" w:ascii="宋体" w:hAnsi="宋体" w:eastAsia="宋体" w:cs="宋体"/>
          <w:color w:val="auto"/>
          <w:spacing w:val="-6"/>
          <w:kern w:val="0"/>
          <w:sz w:val="24"/>
          <w:szCs w:val="24"/>
          <w:highlight w:val="none"/>
          <w:lang w:eastAsia="zh-CN"/>
        </w:rPr>
        <w:t>乙方</w:t>
      </w:r>
      <w:r>
        <w:rPr>
          <w:rFonts w:hint="eastAsia" w:ascii="宋体" w:hAnsi="宋体" w:eastAsia="宋体" w:cs="宋体"/>
          <w:color w:val="auto"/>
          <w:spacing w:val="-6"/>
          <w:kern w:val="0"/>
          <w:sz w:val="24"/>
          <w:szCs w:val="24"/>
          <w:highlight w:val="none"/>
        </w:rPr>
        <w:t>负担。</w:t>
      </w:r>
    </w:p>
    <w:p w14:paraId="6C889E8B">
      <w:pPr>
        <w:keepNext w:val="0"/>
        <w:keepLines w:val="0"/>
        <w:pageBreakBefore w:val="0"/>
        <w:widowControl w:val="0"/>
        <w:kinsoku/>
        <w:wordWrap/>
        <w:overflowPunct/>
        <w:topLinePunct w:val="0"/>
        <w:autoSpaceDE/>
        <w:autoSpaceDN/>
        <w:bidi w:val="0"/>
        <w:adjustRightInd/>
        <w:snapToGrid/>
        <w:spacing w:line="480" w:lineRule="exact"/>
        <w:ind w:firstLine="5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2.在中国境外发生的与本合同执行有关的一切税费均由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负担。</w:t>
      </w:r>
    </w:p>
    <w:p w14:paraId="1F340CB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条</w:t>
      </w:r>
      <w:r>
        <w:rPr>
          <w:rFonts w:hint="eastAsia" w:ascii="宋体" w:hAnsi="宋体" w:cs="宋体"/>
          <w:b/>
          <w:bCs/>
          <w:color w:val="auto"/>
          <w:sz w:val="24"/>
          <w:szCs w:val="24"/>
          <w:highlight w:val="none"/>
          <w:lang w:val="en-US" w:eastAsia="zh-CN"/>
        </w:rPr>
        <w:t xml:space="preserve"> </w:t>
      </w:r>
      <w:r>
        <w:rPr>
          <w:rFonts w:hint="eastAsia" w:ascii="宋体" w:hAnsi="宋体"/>
          <w:b/>
          <w:bCs/>
          <w:color w:val="auto"/>
          <w:sz w:val="24"/>
          <w:szCs w:val="24"/>
          <w:highlight w:val="none"/>
        </w:rPr>
        <w:t>其它约定事项</w:t>
      </w:r>
    </w:p>
    <w:p w14:paraId="40E1B5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本合同范围的服务，应由乙方直接</w:t>
      </w:r>
      <w:r>
        <w:rPr>
          <w:rFonts w:hint="eastAsia" w:ascii="宋体" w:hAnsi="宋体" w:eastAsia="宋体" w:cs="Times New Roman"/>
          <w:color w:val="auto"/>
          <w:sz w:val="24"/>
          <w:highlight w:val="none"/>
          <w:lang w:val="en-US" w:eastAsia="zh-CN"/>
        </w:rPr>
        <w:t>完成</w:t>
      </w:r>
      <w:r>
        <w:rPr>
          <w:rFonts w:hint="eastAsia" w:ascii="宋体" w:hAnsi="宋体" w:eastAsia="宋体" w:cs="Times New Roman"/>
          <w:color w:val="auto"/>
          <w:sz w:val="24"/>
          <w:highlight w:val="none"/>
        </w:rPr>
        <w:t>，不得转让他人</w:t>
      </w:r>
      <w:r>
        <w:rPr>
          <w:rFonts w:hint="eastAsia" w:ascii="宋体" w:hAnsi="宋体" w:eastAsia="宋体" w:cs="Times New Roman"/>
          <w:color w:val="auto"/>
          <w:sz w:val="24"/>
          <w:highlight w:val="none"/>
          <w:lang w:eastAsia="zh-CN"/>
        </w:rPr>
        <w:t>。</w:t>
      </w:r>
    </w:p>
    <w:p w14:paraId="0ABBD16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除非得到甲方的书面同意，乙方不得将本合同范围的服务全部或部分分包给他人；</w:t>
      </w:r>
    </w:p>
    <w:p w14:paraId="2A7EF7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如有转让和未经甲方同意的分包行为，甲方有权解除合同，没收履约保证金并追究乙方的违约责任。</w:t>
      </w:r>
    </w:p>
    <w:p w14:paraId="1F5369C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ascii="宋体" w:hAnsi="宋体" w:eastAsia="宋体" w:cs="Times New Roman"/>
          <w:color w:val="auto"/>
          <w:sz w:val="24"/>
          <w:szCs w:val="24"/>
          <w:highlight w:val="none"/>
          <w:lang w:val="en-US" w:eastAsia="zh-CN"/>
        </w:rPr>
        <w:t>在合同有效期内，若因为乙方不按照合同维保要求进行维护，应发现的安全隐患而在维护中没有发现，导致甲方发生任何安全事故，乙方对甲方由此遭受的一切损失承担全额赔偿责任。</w:t>
      </w:r>
    </w:p>
    <w:p w14:paraId="6E88DA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eastAsia="zh-CN"/>
        </w:rPr>
        <w:t>乙方</w:t>
      </w:r>
      <w:r>
        <w:rPr>
          <w:rFonts w:hint="eastAsia" w:ascii="宋体" w:hAnsi="宋体"/>
          <w:color w:val="auto"/>
          <w:sz w:val="24"/>
          <w:highlight w:val="none"/>
        </w:rPr>
        <w:t>对</w:t>
      </w:r>
      <w:r>
        <w:rPr>
          <w:rFonts w:hint="eastAsia" w:ascii="宋体" w:hAnsi="宋体"/>
          <w:color w:val="auto"/>
          <w:sz w:val="24"/>
          <w:highlight w:val="none"/>
          <w:lang w:eastAsia="zh-CN"/>
        </w:rPr>
        <w:t>甲方</w:t>
      </w:r>
      <w:r>
        <w:rPr>
          <w:rFonts w:hint="eastAsia" w:ascii="宋体" w:hAnsi="宋体"/>
          <w:color w:val="auto"/>
          <w:sz w:val="24"/>
          <w:highlight w:val="none"/>
        </w:rPr>
        <w:t>提出货物或服务有欺诈行为的，依照《中华人民共和国消费者权益保护法》的规定承担损害赔偿责任。</w:t>
      </w:r>
    </w:p>
    <w:p w14:paraId="42F54A8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 xml:space="preserve">条 </w:t>
      </w:r>
      <w:r>
        <w:rPr>
          <w:rFonts w:hint="eastAsia" w:ascii="宋体" w:hAnsi="宋体"/>
          <w:b/>
          <w:bCs/>
          <w:color w:val="auto"/>
          <w:sz w:val="24"/>
          <w:highlight w:val="none"/>
        </w:rPr>
        <w:t>解决合同争议的方式：</w:t>
      </w:r>
    </w:p>
    <w:p w14:paraId="3715838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本合同履行过程中如发生争议，</w:t>
      </w:r>
      <w:r>
        <w:rPr>
          <w:rFonts w:hint="eastAsia" w:ascii="宋体" w:hAnsi="宋体"/>
          <w:color w:val="auto"/>
          <w:sz w:val="24"/>
          <w:highlight w:val="none"/>
          <w:lang w:eastAsia="zh-CN"/>
        </w:rPr>
        <w:t>甲、乙</w:t>
      </w:r>
      <w:r>
        <w:rPr>
          <w:rFonts w:hint="eastAsia" w:ascii="宋体" w:hAnsi="宋体"/>
          <w:color w:val="auto"/>
          <w:sz w:val="24"/>
          <w:highlight w:val="none"/>
        </w:rPr>
        <w:t>双方应协商解决，如协商不成，则任何一方均可向</w:t>
      </w:r>
      <w:r>
        <w:rPr>
          <w:rFonts w:hint="eastAsia" w:ascii="宋体" w:hAnsi="宋体"/>
          <w:color w:val="auto"/>
          <w:sz w:val="24"/>
          <w:highlight w:val="none"/>
          <w:u w:val="single"/>
        </w:rPr>
        <w:t xml:space="preserve">  启东市  </w:t>
      </w:r>
      <w:r>
        <w:rPr>
          <w:rFonts w:hint="eastAsia" w:ascii="宋体" w:hAnsi="宋体"/>
          <w:color w:val="auto"/>
          <w:sz w:val="24"/>
          <w:highlight w:val="none"/>
        </w:rPr>
        <w:t>人民法院提起诉讼。</w:t>
      </w:r>
    </w:p>
    <w:p w14:paraId="7187B89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 xml:space="preserve">条 </w:t>
      </w:r>
      <w:r>
        <w:rPr>
          <w:rFonts w:hint="eastAsia" w:ascii="宋体" w:hAnsi="宋体"/>
          <w:color w:val="auto"/>
          <w:sz w:val="24"/>
          <w:highlight w:val="none"/>
        </w:rPr>
        <w:t>本合同由</w:t>
      </w:r>
      <w:r>
        <w:rPr>
          <w:rFonts w:hint="eastAsia" w:ascii="宋体" w:hAnsi="宋体"/>
          <w:color w:val="auto"/>
          <w:sz w:val="24"/>
          <w:highlight w:val="none"/>
          <w:lang w:eastAsia="zh-CN"/>
        </w:rPr>
        <w:t>甲、乙</w:t>
      </w:r>
      <w:r>
        <w:rPr>
          <w:rFonts w:hint="eastAsia" w:ascii="宋体" w:hAnsi="宋体"/>
          <w:color w:val="auto"/>
          <w:sz w:val="24"/>
          <w:highlight w:val="none"/>
        </w:rPr>
        <w:t>双方签订并加盖公章（同时双方应加盖骑缝章）</w:t>
      </w:r>
      <w:r>
        <w:rPr>
          <w:rFonts w:hint="eastAsia" w:ascii="宋体" w:hAnsi="宋体" w:eastAsia="宋体" w:cs="宋体"/>
          <w:color w:val="auto"/>
          <w:sz w:val="24"/>
          <w:highlight w:val="none"/>
        </w:rPr>
        <w:t>后生效，合同一式</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份（</w:t>
      </w:r>
      <w:r>
        <w:rPr>
          <w:rFonts w:hint="eastAsia" w:ascii="宋体" w:hAnsi="宋体" w:cs="宋体"/>
          <w:color w:val="auto"/>
          <w:sz w:val="24"/>
          <w:highlight w:val="none"/>
          <w:lang w:eastAsia="zh-CN"/>
        </w:rPr>
        <w:t>甲乙</w:t>
      </w:r>
      <w:r>
        <w:rPr>
          <w:rFonts w:hint="eastAsia" w:ascii="宋体" w:hAnsi="宋体" w:eastAsia="宋体" w:cs="宋体"/>
          <w:color w:val="auto"/>
          <w:sz w:val="24"/>
          <w:highlight w:val="none"/>
        </w:rPr>
        <w:t>双方各执三份）。</w:t>
      </w:r>
    </w:p>
    <w:p w14:paraId="01ECB047">
      <w:pPr>
        <w:spacing w:line="540" w:lineRule="exact"/>
        <w:ind w:firstLine="720" w:firstLineChars="300"/>
        <w:rPr>
          <w:rFonts w:hint="eastAsia" w:ascii="宋体" w:hAnsi="宋体" w:cs="宋体"/>
          <w:color w:val="auto"/>
          <w:sz w:val="24"/>
          <w:highlight w:val="none"/>
        </w:rPr>
      </w:pPr>
    </w:p>
    <w:p w14:paraId="4C98C0AB">
      <w:pPr>
        <w:pStyle w:val="11"/>
        <w:rPr>
          <w:rFonts w:hint="eastAsia" w:ascii="宋体" w:hAnsi="宋体" w:cs="宋体"/>
          <w:color w:val="auto"/>
          <w:sz w:val="24"/>
          <w:highlight w:val="none"/>
        </w:rPr>
      </w:pPr>
    </w:p>
    <w:p w14:paraId="442788F0">
      <w:pPr>
        <w:rPr>
          <w:rFonts w:hint="eastAsia"/>
        </w:rPr>
      </w:pPr>
    </w:p>
    <w:p w14:paraId="5AC4F6D2">
      <w:pPr>
        <w:spacing w:line="540" w:lineRule="exact"/>
        <w:ind w:firstLine="720" w:firstLineChars="300"/>
        <w:rPr>
          <w:rFonts w:ascii="宋体" w:hAnsi="宋体" w:cs="宋体"/>
          <w:color w:val="auto"/>
          <w:sz w:val="24"/>
          <w:highlight w:val="none"/>
        </w:rPr>
      </w:pPr>
      <w:r>
        <w:rPr>
          <w:rFonts w:hint="eastAsia" w:ascii="宋体" w:hAnsi="宋体" w:cs="宋体"/>
          <w:color w:val="auto"/>
          <w:sz w:val="24"/>
          <w:highlight w:val="none"/>
          <w:lang w:eastAsia="zh-CN"/>
        </w:rPr>
        <w:t>乙方</w:t>
      </w:r>
      <w:r>
        <w:rPr>
          <w:rFonts w:hint="eastAsia" w:ascii="宋体" w:hAnsi="宋体" w:cs="宋体"/>
          <w:color w:val="auto"/>
          <w:sz w:val="24"/>
          <w:highlight w:val="none"/>
        </w:rPr>
        <w:t xml:space="preserve">（盖章）：                    </w:t>
      </w:r>
      <w:r>
        <w:rPr>
          <w:rFonts w:hint="eastAsia" w:ascii="宋体" w:hAnsi="宋体" w:cs="宋体"/>
          <w:color w:val="auto"/>
          <w:sz w:val="24"/>
          <w:highlight w:val="none"/>
          <w:lang w:eastAsia="zh-CN"/>
        </w:rPr>
        <w:t>甲方</w:t>
      </w:r>
      <w:r>
        <w:rPr>
          <w:rFonts w:hint="eastAsia" w:ascii="宋体" w:hAnsi="宋体" w:cs="宋体"/>
          <w:color w:val="auto"/>
          <w:sz w:val="24"/>
          <w:highlight w:val="none"/>
        </w:rPr>
        <w:t xml:space="preserve">（盖章）：            </w:t>
      </w:r>
    </w:p>
    <w:p w14:paraId="2D464830">
      <w:pPr>
        <w:spacing w:line="540" w:lineRule="exact"/>
        <w:rPr>
          <w:rFonts w:ascii="宋体" w:hAnsi="宋体" w:cs="宋体"/>
          <w:color w:val="auto"/>
          <w:sz w:val="24"/>
          <w:highlight w:val="none"/>
        </w:rPr>
      </w:pPr>
      <w:r>
        <w:rPr>
          <w:rFonts w:hint="eastAsia" w:ascii="宋体" w:hAnsi="宋体" w:cs="宋体"/>
          <w:color w:val="auto"/>
          <w:sz w:val="24"/>
          <w:highlight w:val="none"/>
        </w:rPr>
        <w:t xml:space="preserve">      法定代表人：                      法定代表人：             </w:t>
      </w:r>
    </w:p>
    <w:p w14:paraId="5754BBE3">
      <w:pPr>
        <w:spacing w:line="540" w:lineRule="exact"/>
        <w:rPr>
          <w:rFonts w:ascii="宋体" w:hAnsi="宋体" w:cs="宋体"/>
          <w:color w:val="auto"/>
          <w:sz w:val="24"/>
          <w:highlight w:val="none"/>
        </w:rPr>
      </w:pPr>
      <w:r>
        <w:rPr>
          <w:rFonts w:hint="eastAsia" w:ascii="宋体" w:hAnsi="宋体" w:cs="宋体"/>
          <w:color w:val="auto"/>
          <w:sz w:val="24"/>
          <w:highlight w:val="none"/>
        </w:rPr>
        <w:t xml:space="preserve">      委托代理人：                      委托代理人：            </w:t>
      </w:r>
    </w:p>
    <w:p w14:paraId="4AD1CF5C">
      <w:pPr>
        <w:spacing w:line="540" w:lineRule="exact"/>
        <w:rPr>
          <w:rFonts w:ascii="宋体" w:hAnsi="宋体" w:cs="宋体"/>
          <w:color w:val="auto"/>
          <w:sz w:val="24"/>
          <w:highlight w:val="none"/>
        </w:rPr>
      </w:pPr>
      <w:r>
        <w:rPr>
          <w:rFonts w:hint="eastAsia" w:ascii="宋体" w:hAnsi="宋体" w:cs="宋体"/>
          <w:color w:val="auto"/>
          <w:sz w:val="24"/>
          <w:highlight w:val="none"/>
        </w:rPr>
        <w:t xml:space="preserve">      联系电话：                        联系电话：              </w:t>
      </w:r>
    </w:p>
    <w:p w14:paraId="30446A55">
      <w:pPr>
        <w:spacing w:line="540" w:lineRule="exact"/>
        <w:rPr>
          <w:rFonts w:ascii="宋体" w:hAnsi="宋体" w:cs="宋体"/>
          <w:color w:val="auto"/>
          <w:sz w:val="24"/>
          <w:highlight w:val="none"/>
        </w:rPr>
      </w:pPr>
      <w:r>
        <w:rPr>
          <w:rFonts w:hint="eastAsia" w:ascii="宋体" w:hAnsi="宋体" w:cs="宋体"/>
          <w:color w:val="auto"/>
          <w:sz w:val="24"/>
          <w:highlight w:val="none"/>
        </w:rPr>
        <w:t xml:space="preserve">      开户银行：                        开户银行：</w:t>
      </w:r>
    </w:p>
    <w:p w14:paraId="53F7C034">
      <w:pPr>
        <w:spacing w:line="540" w:lineRule="exact"/>
        <w:rPr>
          <w:rFonts w:hint="eastAsia" w:ascii="宋体" w:hAnsi="宋体" w:cs="宋体"/>
          <w:color w:val="auto"/>
          <w:sz w:val="24"/>
          <w:highlight w:val="none"/>
        </w:rPr>
      </w:pPr>
      <w:r>
        <w:rPr>
          <w:rFonts w:hint="eastAsia" w:ascii="宋体" w:hAnsi="宋体" w:cs="宋体"/>
          <w:color w:val="auto"/>
          <w:sz w:val="24"/>
          <w:highlight w:val="none"/>
        </w:rPr>
        <w:t xml:space="preserve">      银行账号：                        银行账号：</w:t>
      </w:r>
    </w:p>
    <w:p w14:paraId="760CA9D2"/>
    <w:p w14:paraId="17A1B1E6">
      <w:pPr>
        <w:spacing w:line="540" w:lineRule="exact"/>
        <w:rPr>
          <w:rFonts w:hint="eastAsia" w:ascii="宋体" w:hAnsi="宋体" w:eastAsia="宋体" w:cs="宋体"/>
          <w:color w:val="auto"/>
          <w:sz w:val="24"/>
          <w:highlight w:val="none"/>
          <w:lang w:eastAsia="zh-CN"/>
        </w:rPr>
      </w:pPr>
    </w:p>
    <w:p w14:paraId="68218A82">
      <w:pPr>
        <w:pStyle w:val="11"/>
        <w:rPr>
          <w:rFonts w:hint="eastAsia" w:ascii="宋体" w:hAnsi="宋体" w:eastAsia="宋体" w:cs="宋体"/>
          <w:color w:val="auto"/>
          <w:sz w:val="24"/>
          <w:highlight w:val="none"/>
          <w:lang w:eastAsia="zh-CN"/>
        </w:rPr>
      </w:pPr>
    </w:p>
    <w:p w14:paraId="5B1B7348">
      <w:pPr>
        <w:pStyle w:val="11"/>
        <w:rPr>
          <w:rFonts w:hint="eastAsia" w:ascii="宋体" w:hAnsi="宋体" w:eastAsia="宋体" w:cs="宋体"/>
          <w:color w:val="auto"/>
          <w:sz w:val="24"/>
          <w:highlight w:val="none"/>
          <w:lang w:eastAsia="zh-CN"/>
        </w:rPr>
      </w:pPr>
    </w:p>
    <w:p w14:paraId="173E994D">
      <w:pPr>
        <w:rPr>
          <w:rFonts w:hint="eastAsia" w:ascii="宋体" w:hAnsi="宋体" w:eastAsia="宋体" w:cs="宋体"/>
          <w:color w:val="auto"/>
          <w:sz w:val="24"/>
          <w:highlight w:val="none"/>
          <w:lang w:eastAsia="zh-CN"/>
        </w:rPr>
      </w:pPr>
    </w:p>
    <w:p w14:paraId="479E05EE">
      <w:pPr>
        <w:pStyle w:val="11"/>
        <w:rPr>
          <w:rFonts w:hint="eastAsia" w:ascii="宋体" w:hAnsi="宋体" w:eastAsia="宋体" w:cs="宋体"/>
          <w:color w:val="auto"/>
          <w:sz w:val="24"/>
          <w:highlight w:val="none"/>
          <w:lang w:eastAsia="zh-CN"/>
        </w:rPr>
      </w:pPr>
    </w:p>
    <w:p w14:paraId="4B12E09B">
      <w:pPr>
        <w:snapToGrid w:val="0"/>
        <w:spacing w:line="500" w:lineRule="exact"/>
        <w:ind w:firstLine="562" w:firstLineChars="200"/>
        <w:contextualSpacing/>
        <w:outlineLvl w:val="0"/>
        <w:rPr>
          <w:rFonts w:hint="eastAsia" w:ascii="宋体" w:hAnsi="宋体"/>
          <w:b/>
          <w:sz w:val="28"/>
          <w:szCs w:val="28"/>
        </w:rPr>
      </w:pPr>
    </w:p>
    <w:p w14:paraId="558B1EEE">
      <w:r>
        <w:br w:type="page"/>
      </w:r>
    </w:p>
    <w:p w14:paraId="6DC7FED7">
      <w:pPr>
        <w:autoSpaceDE w:val="0"/>
        <w:autoSpaceDN w:val="0"/>
        <w:adjustRightInd w:val="0"/>
        <w:snapToGrid w:val="0"/>
        <w:spacing w:line="360" w:lineRule="auto"/>
        <w:ind w:right="210"/>
        <w:rPr>
          <w:rFonts w:hint="eastAsia" w:ascii="宋体" w:hAnsi="宋体" w:eastAsia="宋体"/>
          <w:sz w:val="24"/>
          <w:highlight w:val="none"/>
          <w:lang w:eastAsia="zh-CN"/>
        </w:rPr>
      </w:pPr>
      <w:r>
        <w:rPr>
          <w:rFonts w:ascii="宋体" w:hAnsi="宋体" w:eastAsia="宋体" w:cs="Times New Roman"/>
          <w:color w:val="auto"/>
          <w:kern w:val="0"/>
          <w:sz w:val="24"/>
          <w:szCs w:val="24"/>
        </w:rPr>
        <w:t>附件</w:t>
      </w:r>
      <w:r>
        <w:rPr>
          <w:rFonts w:hint="eastAsia" w:ascii="宋体" w:hAnsi="宋体" w:eastAsia="宋体" w:cs="Times New Roman"/>
          <w:color w:val="auto"/>
          <w:kern w:val="0"/>
          <w:sz w:val="24"/>
          <w:szCs w:val="24"/>
          <w:lang w:eastAsia="zh-CN"/>
        </w:rPr>
        <w:t>：</w:t>
      </w:r>
    </w:p>
    <w:tbl>
      <w:tblPr>
        <w:tblStyle w:val="18"/>
        <w:tblW w:w="9545" w:type="dxa"/>
        <w:tblInd w:w="201" w:type="dxa"/>
        <w:tblLayout w:type="fixed"/>
        <w:tblCellMar>
          <w:top w:w="0" w:type="dxa"/>
          <w:left w:w="108" w:type="dxa"/>
          <w:bottom w:w="0" w:type="dxa"/>
          <w:right w:w="108" w:type="dxa"/>
        </w:tblCellMar>
      </w:tblPr>
      <w:tblGrid>
        <w:gridCol w:w="852"/>
        <w:gridCol w:w="1032"/>
        <w:gridCol w:w="2530"/>
        <w:gridCol w:w="3890"/>
        <w:gridCol w:w="617"/>
        <w:gridCol w:w="624"/>
      </w:tblGrid>
      <w:tr w14:paraId="376E104C">
        <w:tblPrEx>
          <w:tblCellMar>
            <w:top w:w="0" w:type="dxa"/>
            <w:left w:w="108" w:type="dxa"/>
            <w:bottom w:w="0" w:type="dxa"/>
            <w:right w:w="108" w:type="dxa"/>
          </w:tblCellMar>
        </w:tblPrEx>
        <w:trPr>
          <w:trHeight w:val="90" w:hRule="atLeast"/>
        </w:trPr>
        <w:tc>
          <w:tcPr>
            <w:tcW w:w="9545" w:type="dxa"/>
            <w:gridSpan w:val="6"/>
            <w:tcBorders>
              <w:top w:val="nil"/>
              <w:left w:val="nil"/>
              <w:bottom w:val="nil"/>
              <w:right w:val="nil"/>
            </w:tcBorders>
            <w:noWrap/>
            <w:vAlign w:val="center"/>
          </w:tcPr>
          <w:p w14:paraId="593D1099">
            <w:pPr>
              <w:widowControl/>
              <w:jc w:val="center"/>
              <w:textAlignment w:val="center"/>
              <w:rPr>
                <w:rFonts w:hint="eastAsia" w:ascii="宋体" w:hAnsi="宋体" w:eastAsia="宋体" w:cs="宋体"/>
                <w:b/>
                <w:bCs/>
                <w:color w:val="auto"/>
                <w:kern w:val="0"/>
                <w:sz w:val="30"/>
                <w:szCs w:val="30"/>
                <w:lang w:val="en-US" w:eastAsia="zh-CN" w:bidi="ar"/>
              </w:rPr>
            </w:pPr>
            <w:r>
              <w:rPr>
                <w:rFonts w:hint="eastAsia" w:ascii="宋体" w:hAnsi="宋体" w:eastAsia="宋体" w:cs="宋体"/>
                <w:b/>
                <w:bCs/>
                <w:color w:val="auto"/>
                <w:kern w:val="0"/>
                <w:sz w:val="30"/>
                <w:szCs w:val="30"/>
                <w:lang w:bidi="ar"/>
              </w:rPr>
              <w:t>启东吕四港集团西港池管理楼服务楼消防维保项目</w:t>
            </w:r>
          </w:p>
          <w:p w14:paraId="52760D3D">
            <w:pPr>
              <w:widowControl/>
              <w:jc w:val="center"/>
              <w:textAlignment w:val="center"/>
              <w:rPr>
                <w:rFonts w:hint="eastAsia" w:ascii="宋体" w:hAnsi="宋体" w:eastAsia="宋体" w:cs="宋体"/>
                <w:b/>
                <w:bCs/>
                <w:color w:val="auto"/>
                <w:kern w:val="0"/>
                <w:sz w:val="32"/>
                <w:szCs w:val="32"/>
                <w:lang w:eastAsia="zh-CN" w:bidi="ar"/>
              </w:rPr>
            </w:pPr>
            <w:r>
              <w:rPr>
                <w:rFonts w:hint="eastAsia" w:ascii="宋体" w:hAnsi="宋体" w:eastAsia="宋体" w:cs="宋体"/>
                <w:b/>
                <w:bCs/>
                <w:color w:val="auto"/>
                <w:kern w:val="0"/>
                <w:sz w:val="30"/>
                <w:szCs w:val="30"/>
                <w:lang w:bidi="ar"/>
              </w:rPr>
              <w:t>考核评分表</w:t>
            </w:r>
            <w:r>
              <w:rPr>
                <w:rFonts w:hint="eastAsia" w:ascii="宋体" w:hAnsi="宋体" w:eastAsia="宋体" w:cs="宋体"/>
                <w:b/>
                <w:bCs/>
                <w:color w:val="auto"/>
                <w:kern w:val="0"/>
                <w:sz w:val="30"/>
                <w:szCs w:val="30"/>
                <w:lang w:eastAsia="zh-CN" w:bidi="ar"/>
              </w:rPr>
              <w:t>（第</w:t>
            </w:r>
            <w:r>
              <w:rPr>
                <w:rFonts w:hint="eastAsia" w:ascii="宋体" w:hAnsi="宋体" w:eastAsia="宋体" w:cs="宋体"/>
                <w:b/>
                <w:bCs/>
                <w:color w:val="auto"/>
                <w:kern w:val="0"/>
                <w:sz w:val="30"/>
                <w:szCs w:val="30"/>
                <w:u w:val="single"/>
                <w:lang w:val="en-US" w:eastAsia="zh-CN" w:bidi="ar"/>
              </w:rPr>
              <w:t xml:space="preserve">   </w:t>
            </w:r>
            <w:r>
              <w:rPr>
                <w:rFonts w:hint="eastAsia" w:ascii="宋体" w:hAnsi="宋体" w:eastAsia="宋体" w:cs="宋体"/>
                <w:b/>
                <w:bCs/>
                <w:color w:val="auto"/>
                <w:kern w:val="0"/>
                <w:sz w:val="30"/>
                <w:szCs w:val="30"/>
                <w:lang w:val="en-US" w:eastAsia="zh-CN" w:bidi="ar"/>
              </w:rPr>
              <w:t>季度</w:t>
            </w:r>
            <w:r>
              <w:rPr>
                <w:rFonts w:hint="eastAsia" w:ascii="宋体" w:hAnsi="宋体" w:eastAsia="宋体" w:cs="宋体"/>
                <w:b/>
                <w:bCs/>
                <w:color w:val="auto"/>
                <w:kern w:val="0"/>
                <w:sz w:val="30"/>
                <w:szCs w:val="30"/>
                <w:lang w:eastAsia="zh-CN" w:bidi="ar"/>
              </w:rPr>
              <w:t>）</w:t>
            </w:r>
          </w:p>
        </w:tc>
      </w:tr>
      <w:tr w14:paraId="1277C5E7">
        <w:tblPrEx>
          <w:tblCellMar>
            <w:top w:w="0" w:type="dxa"/>
            <w:left w:w="108" w:type="dxa"/>
            <w:bottom w:w="0" w:type="dxa"/>
            <w:right w:w="108" w:type="dxa"/>
          </w:tblCellMar>
        </w:tblPrEx>
        <w:trPr>
          <w:trHeight w:val="542"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14:paraId="602458FB">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序号</w:t>
            </w:r>
          </w:p>
        </w:tc>
        <w:tc>
          <w:tcPr>
            <w:tcW w:w="3562" w:type="dxa"/>
            <w:gridSpan w:val="2"/>
            <w:tcBorders>
              <w:top w:val="single" w:color="000000" w:sz="4" w:space="0"/>
              <w:left w:val="single" w:color="000000" w:sz="4" w:space="0"/>
              <w:bottom w:val="single" w:color="000000" w:sz="4" w:space="0"/>
              <w:right w:val="single" w:color="000000" w:sz="4" w:space="0"/>
            </w:tcBorders>
            <w:noWrap/>
            <w:vAlign w:val="center"/>
          </w:tcPr>
          <w:p w14:paraId="57D830B5">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eastAsia="zh-CN" w:bidi="ar"/>
              </w:rPr>
              <w:t>考核</w:t>
            </w:r>
            <w:r>
              <w:rPr>
                <w:rFonts w:hint="eastAsia" w:ascii="宋体" w:hAnsi="宋体" w:eastAsia="宋体" w:cs="宋体"/>
                <w:b/>
                <w:bCs/>
                <w:color w:val="auto"/>
                <w:kern w:val="0"/>
                <w:sz w:val="22"/>
                <w:szCs w:val="22"/>
                <w:lang w:bidi="ar"/>
              </w:rPr>
              <w:t>项目</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05CCCF68">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kern w:val="0"/>
                <w:sz w:val="22"/>
                <w:szCs w:val="22"/>
                <w:lang w:eastAsia="zh-CN" w:bidi="ar"/>
              </w:rPr>
              <w:t>考核内容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9DC92B0">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分值</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05418C76">
            <w:pPr>
              <w:widowControl/>
              <w:jc w:val="center"/>
              <w:textAlignment w:val="center"/>
              <w:rPr>
                <w:rFonts w:hint="eastAsia" w:ascii="宋体" w:hAnsi="宋体" w:eastAsia="宋体" w:cs="宋体"/>
                <w:b/>
                <w:bCs/>
                <w:color w:val="auto"/>
                <w:kern w:val="0"/>
                <w:sz w:val="22"/>
                <w:szCs w:val="22"/>
                <w:lang w:eastAsia="zh-CN" w:bidi="ar"/>
              </w:rPr>
            </w:pPr>
            <w:r>
              <w:rPr>
                <w:rFonts w:hint="eastAsia" w:ascii="宋体" w:hAnsi="宋体" w:eastAsia="宋体" w:cs="宋体"/>
                <w:b/>
                <w:bCs/>
                <w:color w:val="auto"/>
                <w:kern w:val="0"/>
                <w:sz w:val="22"/>
                <w:szCs w:val="22"/>
                <w:lang w:eastAsia="zh-CN" w:bidi="ar"/>
              </w:rPr>
              <w:t>得分</w:t>
            </w:r>
          </w:p>
        </w:tc>
      </w:tr>
      <w:tr w14:paraId="6B46F23C">
        <w:tblPrEx>
          <w:tblCellMar>
            <w:top w:w="0" w:type="dxa"/>
            <w:left w:w="108" w:type="dxa"/>
            <w:bottom w:w="0" w:type="dxa"/>
            <w:right w:w="108" w:type="dxa"/>
          </w:tblCellMar>
        </w:tblPrEx>
        <w:trPr>
          <w:trHeight w:val="680" w:hRule="atLeast"/>
        </w:trPr>
        <w:tc>
          <w:tcPr>
            <w:tcW w:w="852" w:type="dxa"/>
            <w:vMerge w:val="restart"/>
            <w:tcBorders>
              <w:top w:val="single" w:color="000000" w:sz="4" w:space="0"/>
              <w:left w:val="single" w:color="000000" w:sz="4" w:space="0"/>
              <w:right w:val="single" w:color="000000" w:sz="4" w:space="0"/>
            </w:tcBorders>
            <w:noWrap/>
            <w:vAlign w:val="center"/>
          </w:tcPr>
          <w:p w14:paraId="716D6A1D">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一</w:t>
            </w:r>
          </w:p>
        </w:tc>
        <w:tc>
          <w:tcPr>
            <w:tcW w:w="1032" w:type="dxa"/>
            <w:vMerge w:val="restart"/>
            <w:tcBorders>
              <w:top w:val="single" w:color="000000" w:sz="4" w:space="0"/>
              <w:left w:val="single" w:color="000000" w:sz="4" w:space="0"/>
              <w:right w:val="single" w:color="000000" w:sz="4" w:space="0"/>
            </w:tcBorders>
            <w:noWrap/>
            <w:vAlign w:val="center"/>
          </w:tcPr>
          <w:p w14:paraId="728C4E01">
            <w:pPr>
              <w:widowControl/>
              <w:ind w:right="-174" w:rightChars="-83"/>
              <w:jc w:val="left"/>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eastAsia="zh-CN" w:bidi="ar"/>
              </w:rPr>
              <w:t>基础管理（</w:t>
            </w:r>
            <w:r>
              <w:rPr>
                <w:rFonts w:hint="eastAsia" w:ascii="宋体" w:hAnsi="宋体" w:eastAsia="宋体" w:cs="宋体"/>
                <w:color w:val="auto"/>
                <w:kern w:val="0"/>
                <w:sz w:val="22"/>
                <w:szCs w:val="22"/>
                <w:lang w:val="en-US" w:eastAsia="zh-CN" w:bidi="ar"/>
              </w:rPr>
              <w:t>15分</w:t>
            </w:r>
            <w:r>
              <w:rPr>
                <w:rFonts w:hint="eastAsia" w:ascii="宋体" w:hAnsi="宋体" w:eastAsia="宋体" w:cs="宋体"/>
                <w:color w:val="auto"/>
                <w:kern w:val="0"/>
                <w:sz w:val="22"/>
                <w:szCs w:val="22"/>
                <w:lang w:eastAsia="zh-CN" w:bidi="ar"/>
              </w:rPr>
              <w:t>）</w:t>
            </w: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152B7082">
            <w:pPr>
              <w:widowControl/>
              <w:jc w:val="center"/>
              <w:textAlignment w:val="center"/>
              <w:rPr>
                <w:rFonts w:hint="eastAsia" w:ascii="宋体" w:hAnsi="宋体" w:eastAsia="宋体" w:cs="宋体"/>
                <w:b/>
                <w:bCs/>
                <w:color w:val="auto"/>
                <w:kern w:val="0"/>
                <w:sz w:val="22"/>
                <w:szCs w:val="22"/>
                <w:lang w:eastAsia="zh-CN" w:bidi="ar"/>
              </w:rPr>
            </w:pPr>
            <w:r>
              <w:rPr>
                <w:rFonts w:hint="eastAsia" w:ascii="宋体" w:hAnsi="宋体" w:eastAsia="宋体" w:cs="宋体"/>
                <w:b w:val="0"/>
                <w:bCs w:val="0"/>
                <w:color w:val="auto"/>
                <w:kern w:val="0"/>
                <w:sz w:val="22"/>
                <w:szCs w:val="22"/>
                <w:lang w:eastAsia="zh-CN" w:bidi="ar"/>
              </w:rPr>
              <w:t>维保单位根据国家消防规范和法规及江苏省公安厅《江苏省建筑消防 设施使用维护管理规定》建立健全相关消防维保台账</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71AAA163">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工作标准建立健全，如相关图纸、 月巡检细则表、检查登记表、工程维修单等。</w:t>
            </w:r>
          </w:p>
          <w:p w14:paraId="70B61034">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消防维保台账完善符合规定1</w:t>
            </w:r>
            <w:r>
              <w:rPr>
                <w:rFonts w:hint="eastAsia" w:ascii="宋体" w:hAnsi="宋体" w:eastAsia="宋体" w:cs="宋体"/>
                <w:b w:val="0"/>
                <w:bCs w:val="0"/>
                <w:color w:val="auto"/>
                <w:kern w:val="0"/>
                <w:sz w:val="22"/>
                <w:szCs w:val="22"/>
                <w:lang w:val="en-US" w:eastAsia="zh-CN" w:bidi="ar"/>
              </w:rPr>
              <w:t>0</w:t>
            </w:r>
            <w:r>
              <w:rPr>
                <w:rFonts w:hint="eastAsia" w:ascii="宋体" w:hAnsi="宋体" w:eastAsia="宋体" w:cs="宋体"/>
                <w:b w:val="0"/>
                <w:bCs w:val="0"/>
                <w:color w:val="auto"/>
                <w:kern w:val="0"/>
                <w:sz w:val="22"/>
                <w:szCs w:val="22"/>
                <w:lang w:eastAsia="zh-CN" w:bidi="ar"/>
              </w:rPr>
              <w:t>分</w:t>
            </w:r>
            <w:r>
              <w:rPr>
                <w:rFonts w:hint="eastAsia" w:ascii="宋体" w:hAnsi="宋体" w:eastAsia="宋体" w:cs="宋体"/>
                <w:b w:val="0"/>
                <w:bCs w:val="0"/>
                <w:color w:val="auto"/>
                <w:kern w:val="0"/>
                <w:sz w:val="22"/>
                <w:szCs w:val="22"/>
                <w:lang w:bidi="ar"/>
              </w:rPr>
              <w:t>；</w:t>
            </w:r>
          </w:p>
          <w:p w14:paraId="7A3D03B7">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消防维保台账基本符合扣1分； 未有台账记录或不符合规定扣1</w:t>
            </w:r>
            <w:r>
              <w:rPr>
                <w:rFonts w:hint="eastAsia" w:ascii="宋体" w:hAnsi="宋体" w:eastAsia="宋体" w:cs="宋体"/>
                <w:b w:val="0"/>
                <w:bCs w:val="0"/>
                <w:color w:val="auto"/>
                <w:kern w:val="0"/>
                <w:sz w:val="22"/>
                <w:szCs w:val="22"/>
                <w:lang w:val="en-US" w:eastAsia="zh-CN" w:bidi="ar"/>
              </w:rPr>
              <w:t>0</w:t>
            </w:r>
            <w:r>
              <w:rPr>
                <w:rFonts w:hint="eastAsia" w:ascii="宋体" w:hAnsi="宋体" w:eastAsia="宋体" w:cs="宋体"/>
                <w:b w:val="0"/>
                <w:bCs w:val="0"/>
                <w:color w:val="auto"/>
                <w:kern w:val="0"/>
                <w:sz w:val="22"/>
                <w:szCs w:val="22"/>
                <w:lang w:bidi="ar"/>
              </w:rPr>
              <w:t>分。</w:t>
            </w:r>
          </w:p>
          <w:p w14:paraId="76D15862">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bidi="ar"/>
              </w:rPr>
              <w:t>(表单记录等相关消防台账齐全且符合要求的得1</w:t>
            </w:r>
            <w:r>
              <w:rPr>
                <w:rFonts w:hint="eastAsia" w:ascii="宋体" w:hAnsi="宋体" w:eastAsia="宋体" w:cs="宋体"/>
                <w:b w:val="0"/>
                <w:bCs w:val="0"/>
                <w:color w:val="auto"/>
                <w:kern w:val="0"/>
                <w:sz w:val="22"/>
                <w:szCs w:val="22"/>
                <w:lang w:val="en-US" w:eastAsia="zh-CN" w:bidi="ar"/>
              </w:rPr>
              <w:t>0</w:t>
            </w:r>
            <w:r>
              <w:rPr>
                <w:rFonts w:hint="eastAsia" w:ascii="宋体" w:hAnsi="宋体" w:eastAsia="宋体" w:cs="宋体"/>
                <w:b w:val="0"/>
                <w:bCs w:val="0"/>
                <w:color w:val="auto"/>
                <w:kern w:val="0"/>
                <w:sz w:val="22"/>
                <w:szCs w:val="22"/>
                <w:lang w:bidi="ar"/>
              </w:rPr>
              <w:t>分，缺失重要台账记录的有一项扣1分)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FB6FDB0">
            <w:pPr>
              <w:widowControl/>
              <w:jc w:val="center"/>
              <w:textAlignment w:val="center"/>
              <w:rPr>
                <w:rFonts w:hint="default"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5D96BC96">
            <w:pPr>
              <w:widowControl/>
              <w:jc w:val="center"/>
              <w:textAlignment w:val="center"/>
              <w:rPr>
                <w:rFonts w:hint="eastAsia" w:ascii="宋体" w:hAnsi="宋体" w:eastAsia="宋体" w:cs="宋体"/>
                <w:b/>
                <w:bCs/>
                <w:color w:val="auto"/>
                <w:kern w:val="0"/>
                <w:sz w:val="22"/>
                <w:szCs w:val="22"/>
                <w:lang w:bidi="ar"/>
              </w:rPr>
            </w:pPr>
          </w:p>
        </w:tc>
      </w:tr>
      <w:tr w14:paraId="7CFEECB4">
        <w:tblPrEx>
          <w:tblCellMar>
            <w:top w:w="0" w:type="dxa"/>
            <w:left w:w="108" w:type="dxa"/>
            <w:bottom w:w="0" w:type="dxa"/>
            <w:right w:w="108" w:type="dxa"/>
          </w:tblCellMar>
        </w:tblPrEx>
        <w:trPr>
          <w:trHeight w:val="654" w:hRule="atLeast"/>
        </w:trPr>
        <w:tc>
          <w:tcPr>
            <w:tcW w:w="852" w:type="dxa"/>
            <w:vMerge w:val="continue"/>
            <w:tcBorders>
              <w:left w:val="single" w:color="000000" w:sz="4" w:space="0"/>
              <w:right w:val="single" w:color="000000" w:sz="4" w:space="0"/>
            </w:tcBorders>
            <w:noWrap/>
            <w:vAlign w:val="center"/>
          </w:tcPr>
          <w:p w14:paraId="38A8E65F">
            <w:pPr>
              <w:widowControl/>
              <w:jc w:val="center"/>
              <w:textAlignment w:val="center"/>
              <w:rPr>
                <w:rFonts w:hint="eastAsia" w:ascii="宋体" w:hAnsi="宋体" w:eastAsia="宋体" w:cs="宋体"/>
                <w:color w:val="auto"/>
                <w:kern w:val="0"/>
                <w:sz w:val="22"/>
                <w:szCs w:val="22"/>
                <w:lang w:val="en-US" w:eastAsia="zh-CN" w:bidi="ar"/>
              </w:rPr>
            </w:pPr>
          </w:p>
        </w:tc>
        <w:tc>
          <w:tcPr>
            <w:tcW w:w="1032" w:type="dxa"/>
            <w:vMerge w:val="continue"/>
            <w:tcBorders>
              <w:left w:val="single" w:color="000000" w:sz="4" w:space="0"/>
              <w:right w:val="single" w:color="000000" w:sz="4" w:space="0"/>
            </w:tcBorders>
            <w:noWrap/>
            <w:vAlign w:val="center"/>
          </w:tcPr>
          <w:p w14:paraId="605AB31C">
            <w:pPr>
              <w:widowControl/>
              <w:jc w:val="center"/>
              <w:textAlignment w:val="center"/>
              <w:rPr>
                <w:rFonts w:hint="eastAsia" w:ascii="宋体" w:hAnsi="宋体" w:eastAsia="宋体" w:cs="宋体"/>
                <w:color w:val="auto"/>
                <w:kern w:val="0"/>
                <w:sz w:val="22"/>
                <w:szCs w:val="22"/>
                <w:lang w:eastAsia="zh-CN" w:bidi="ar"/>
              </w:rPr>
            </w:pPr>
          </w:p>
        </w:tc>
        <w:tc>
          <w:tcPr>
            <w:tcW w:w="2530" w:type="dxa"/>
            <w:tcBorders>
              <w:top w:val="single" w:color="000000" w:sz="4" w:space="0"/>
              <w:left w:val="single" w:color="000000" w:sz="4" w:space="0"/>
              <w:bottom w:val="single" w:color="auto" w:sz="4" w:space="0"/>
              <w:right w:val="single" w:color="000000" w:sz="4" w:space="0"/>
            </w:tcBorders>
            <w:noWrap/>
            <w:vAlign w:val="center"/>
          </w:tcPr>
          <w:p w14:paraId="452DF1F9">
            <w:pPr>
              <w:widowControl/>
              <w:jc w:val="left"/>
              <w:textAlignment w:val="center"/>
              <w:rPr>
                <w:rFonts w:hint="eastAsia" w:ascii="宋体" w:hAnsi="宋体" w:eastAsia="宋体" w:cs="宋体"/>
                <w:b w:val="0"/>
                <w:bCs w:val="0"/>
                <w:color w:val="auto"/>
                <w:kern w:val="0"/>
                <w:sz w:val="22"/>
                <w:szCs w:val="22"/>
                <w:lang w:eastAsia="zh-CN" w:bidi="ar"/>
              </w:rPr>
            </w:pPr>
            <w:r>
              <w:rPr>
                <w:rFonts w:hint="eastAsia" w:ascii="宋体" w:hAnsi="宋体" w:eastAsia="宋体" w:cs="宋体"/>
                <w:b w:val="0"/>
                <w:bCs w:val="0"/>
                <w:color w:val="auto"/>
                <w:kern w:val="0"/>
                <w:sz w:val="22"/>
                <w:szCs w:val="22"/>
                <w:lang w:eastAsia="zh-CN" w:bidi="ar"/>
              </w:rPr>
              <w:t>维保单位技术人员：员工</w:t>
            </w:r>
            <w:r>
              <w:rPr>
                <w:rFonts w:hint="eastAsia" w:ascii="宋体" w:hAnsi="宋体" w:eastAsia="宋体" w:cs="宋体"/>
                <w:b w:val="0"/>
                <w:bCs w:val="0"/>
                <w:color w:val="auto"/>
                <w:kern w:val="0"/>
                <w:sz w:val="22"/>
                <w:szCs w:val="22"/>
                <w:highlight w:val="none"/>
                <w:lang w:eastAsia="zh-CN" w:bidi="ar"/>
              </w:rPr>
              <w:t>岗位证书</w:t>
            </w:r>
            <w:r>
              <w:rPr>
                <w:rFonts w:hint="eastAsia" w:ascii="宋体" w:hAnsi="宋体" w:eastAsia="宋体" w:cs="宋体"/>
                <w:b w:val="0"/>
                <w:bCs w:val="0"/>
                <w:color w:val="auto"/>
                <w:kern w:val="0"/>
                <w:sz w:val="22"/>
                <w:szCs w:val="22"/>
                <w:lang w:eastAsia="zh-CN" w:bidi="ar"/>
              </w:rPr>
              <w:t>、统一着装，佩戴明显标志，工作规范、作风</w:t>
            </w:r>
          </w:p>
          <w:p w14:paraId="171B920F">
            <w:pPr>
              <w:widowControl/>
              <w:jc w:val="left"/>
              <w:textAlignment w:val="center"/>
              <w:rPr>
                <w:rFonts w:hint="eastAsia" w:ascii="宋体" w:hAnsi="宋体" w:eastAsia="宋体" w:cs="宋体"/>
                <w:b w:val="0"/>
                <w:bCs w:val="0"/>
                <w:color w:val="auto"/>
                <w:kern w:val="0"/>
                <w:sz w:val="22"/>
                <w:szCs w:val="22"/>
                <w:lang w:eastAsia="zh-CN" w:bidi="ar"/>
              </w:rPr>
            </w:pPr>
            <w:r>
              <w:rPr>
                <w:rFonts w:hint="eastAsia" w:ascii="宋体" w:hAnsi="宋体" w:eastAsia="宋体" w:cs="宋体"/>
                <w:b w:val="0"/>
                <w:bCs w:val="0"/>
                <w:color w:val="auto"/>
                <w:kern w:val="0"/>
                <w:sz w:val="22"/>
                <w:szCs w:val="22"/>
                <w:lang w:eastAsia="zh-CN" w:bidi="ar"/>
              </w:rPr>
              <w:t>严谨。</w:t>
            </w:r>
          </w:p>
        </w:tc>
        <w:tc>
          <w:tcPr>
            <w:tcW w:w="3890" w:type="dxa"/>
            <w:tcBorders>
              <w:top w:val="single" w:color="000000" w:sz="4" w:space="0"/>
              <w:left w:val="single" w:color="000000" w:sz="4" w:space="0"/>
              <w:bottom w:val="single" w:color="auto" w:sz="4" w:space="0"/>
              <w:right w:val="single" w:color="000000" w:sz="4" w:space="0"/>
            </w:tcBorders>
            <w:noWrap w:val="0"/>
            <w:vAlign w:val="center"/>
          </w:tcPr>
          <w:p w14:paraId="5F842E19">
            <w:pPr>
              <w:widowControl/>
              <w:jc w:val="left"/>
              <w:textAlignment w:val="center"/>
              <w:rPr>
                <w:rFonts w:hint="eastAsia" w:ascii="宋体" w:hAnsi="宋体" w:eastAsia="宋体" w:cs="宋体"/>
                <w:b w:val="0"/>
                <w:bCs w:val="0"/>
                <w:color w:val="auto"/>
                <w:kern w:val="0"/>
                <w:sz w:val="22"/>
                <w:szCs w:val="22"/>
                <w:lang w:eastAsia="zh-CN" w:bidi="ar"/>
              </w:rPr>
            </w:pPr>
            <w:r>
              <w:rPr>
                <w:rFonts w:hint="eastAsia" w:ascii="宋体" w:hAnsi="宋体" w:eastAsia="宋体" w:cs="宋体"/>
                <w:b w:val="0"/>
                <w:bCs w:val="0"/>
                <w:color w:val="auto"/>
                <w:kern w:val="0"/>
                <w:sz w:val="22"/>
                <w:szCs w:val="22"/>
                <w:highlight w:val="none"/>
                <w:lang w:eastAsia="zh-CN" w:bidi="ar"/>
              </w:rPr>
              <w:t>岗位证书、</w:t>
            </w:r>
            <w:r>
              <w:rPr>
                <w:rFonts w:hint="eastAsia" w:ascii="宋体" w:hAnsi="宋体" w:eastAsia="宋体" w:cs="宋体"/>
                <w:b w:val="0"/>
                <w:bCs w:val="0"/>
                <w:color w:val="auto"/>
                <w:kern w:val="0"/>
                <w:sz w:val="22"/>
                <w:szCs w:val="22"/>
                <w:lang w:eastAsia="zh-CN" w:bidi="ar"/>
              </w:rPr>
              <w:t>着装及标志符合规定5分；基本符合扣1分；</w:t>
            </w:r>
          </w:p>
          <w:p w14:paraId="0474D8CC">
            <w:pPr>
              <w:widowControl/>
              <w:jc w:val="left"/>
              <w:textAlignment w:val="center"/>
              <w:rPr>
                <w:rFonts w:hint="eastAsia" w:ascii="宋体" w:hAnsi="宋体" w:eastAsia="宋体" w:cs="宋体"/>
                <w:b w:val="0"/>
                <w:bCs w:val="0"/>
                <w:color w:val="auto"/>
                <w:kern w:val="0"/>
                <w:sz w:val="22"/>
                <w:szCs w:val="22"/>
                <w:lang w:eastAsia="zh-CN" w:bidi="ar"/>
              </w:rPr>
            </w:pPr>
            <w:r>
              <w:rPr>
                <w:rFonts w:hint="eastAsia" w:ascii="宋体" w:hAnsi="宋体" w:eastAsia="宋体" w:cs="宋体"/>
                <w:b w:val="0"/>
                <w:bCs w:val="0"/>
                <w:color w:val="auto"/>
                <w:kern w:val="0"/>
                <w:sz w:val="22"/>
                <w:szCs w:val="22"/>
                <w:lang w:eastAsia="zh-CN" w:bidi="ar"/>
              </w:rPr>
              <w:t>不符合规定扣5分。</w:t>
            </w:r>
          </w:p>
          <w:p w14:paraId="6AEDF2EC">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eastAsia="zh-CN" w:bidi="ar"/>
              </w:rPr>
              <w:t>(发现一次不符的扣1分)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782E071">
            <w:pPr>
              <w:widowControl/>
              <w:jc w:val="center"/>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3699AA4">
            <w:pPr>
              <w:widowControl/>
              <w:jc w:val="center"/>
              <w:textAlignment w:val="center"/>
              <w:rPr>
                <w:rFonts w:hint="eastAsia" w:ascii="宋体" w:hAnsi="宋体" w:eastAsia="宋体" w:cs="宋体"/>
                <w:b/>
                <w:bCs/>
                <w:color w:val="auto"/>
                <w:kern w:val="0"/>
                <w:sz w:val="22"/>
                <w:szCs w:val="22"/>
                <w:lang w:bidi="ar"/>
              </w:rPr>
            </w:pPr>
          </w:p>
        </w:tc>
      </w:tr>
      <w:tr w14:paraId="4EB3FA4E">
        <w:tblPrEx>
          <w:tblCellMar>
            <w:top w:w="0" w:type="dxa"/>
            <w:left w:w="108" w:type="dxa"/>
            <w:bottom w:w="0" w:type="dxa"/>
            <w:right w:w="108" w:type="dxa"/>
          </w:tblCellMar>
        </w:tblPrEx>
        <w:trPr>
          <w:trHeight w:val="4680" w:hRule="atLeast"/>
        </w:trPr>
        <w:tc>
          <w:tcPr>
            <w:tcW w:w="852" w:type="dxa"/>
            <w:vMerge w:val="restart"/>
            <w:tcBorders>
              <w:top w:val="single" w:color="000000" w:sz="4" w:space="0"/>
              <w:left w:val="single" w:color="000000" w:sz="4" w:space="0"/>
              <w:right w:val="single" w:color="000000" w:sz="4" w:space="0"/>
            </w:tcBorders>
            <w:noWrap/>
            <w:vAlign w:val="center"/>
          </w:tcPr>
          <w:p w14:paraId="4C0FD95E">
            <w:pPr>
              <w:widowControl/>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二</w:t>
            </w:r>
          </w:p>
        </w:tc>
        <w:tc>
          <w:tcPr>
            <w:tcW w:w="1032" w:type="dxa"/>
            <w:vMerge w:val="restart"/>
            <w:tcBorders>
              <w:top w:val="single" w:color="000000" w:sz="4" w:space="0"/>
              <w:left w:val="single" w:color="000000" w:sz="4" w:space="0"/>
              <w:right w:val="single" w:color="auto" w:sz="4" w:space="0"/>
            </w:tcBorders>
            <w:noWrap/>
            <w:vAlign w:val="center"/>
          </w:tcPr>
          <w:p w14:paraId="67298356">
            <w:pPr>
              <w:widowControl/>
              <w:ind w:right="-174" w:rightChars="-83"/>
              <w:jc w:val="left"/>
              <w:textAlignment w:val="center"/>
              <w:rPr>
                <w:rFonts w:hint="eastAsia" w:ascii="宋体" w:hAnsi="宋体" w:eastAsia="宋体" w:cs="宋体"/>
                <w:color w:val="auto"/>
                <w:sz w:val="22"/>
                <w:szCs w:val="22"/>
              </w:rPr>
            </w:pPr>
            <w:r>
              <w:rPr>
                <w:spacing w:val="1"/>
                <w:sz w:val="22"/>
                <w:szCs w:val="22"/>
              </w:rPr>
              <w:t>维保相关内容维保相关内容</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75分</w:t>
            </w:r>
            <w:r>
              <w:rPr>
                <w:rFonts w:hint="eastAsia" w:ascii="宋体" w:hAnsi="宋体" w:eastAsia="宋体" w:cs="宋体"/>
                <w:color w:val="auto"/>
                <w:kern w:val="0"/>
                <w:sz w:val="22"/>
                <w:szCs w:val="22"/>
                <w:lang w:eastAsia="zh-CN" w:bidi="ar"/>
              </w:rPr>
              <w:t>）</w:t>
            </w:r>
          </w:p>
        </w:tc>
        <w:tc>
          <w:tcPr>
            <w:tcW w:w="2530" w:type="dxa"/>
            <w:tcBorders>
              <w:top w:val="single" w:color="auto" w:sz="4" w:space="0"/>
              <w:left w:val="single" w:color="auto" w:sz="4" w:space="0"/>
              <w:bottom w:val="single" w:color="auto" w:sz="4" w:space="0"/>
              <w:right w:val="single" w:color="auto" w:sz="4" w:space="0"/>
            </w:tcBorders>
            <w:noWrap/>
            <w:vAlign w:val="center"/>
          </w:tcPr>
          <w:p w14:paraId="6AF88780">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火灾自动报警系统：火灾报警控 制柜、联动电源、多线联动盘、总</w:t>
            </w:r>
            <w:r>
              <w:rPr>
                <w:rFonts w:hint="eastAsia" w:ascii="宋体" w:hAnsi="宋体" w:eastAsia="宋体" w:cs="宋体"/>
                <w:b w:val="0"/>
                <w:bCs w:val="0"/>
                <w:color w:val="auto"/>
                <w:kern w:val="0"/>
                <w:sz w:val="22"/>
                <w:szCs w:val="22"/>
                <w:lang w:eastAsia="zh-CN" w:bidi="ar"/>
              </w:rPr>
              <w:t>线</w:t>
            </w:r>
            <w:r>
              <w:rPr>
                <w:rFonts w:hint="eastAsia" w:ascii="宋体" w:hAnsi="宋体" w:eastAsia="宋体" w:cs="宋体"/>
                <w:b w:val="0"/>
                <w:bCs w:val="0"/>
                <w:color w:val="auto"/>
                <w:kern w:val="0"/>
                <w:sz w:val="22"/>
                <w:szCs w:val="22"/>
                <w:lang w:bidi="ar"/>
              </w:rPr>
              <w:t>联动盘、消防通讯、消防</w:t>
            </w:r>
            <w:r>
              <w:rPr>
                <w:rFonts w:hint="eastAsia" w:ascii="宋体" w:hAnsi="宋体" w:eastAsia="宋体" w:cs="宋体"/>
                <w:b w:val="0"/>
                <w:bCs w:val="0"/>
                <w:color w:val="auto"/>
                <w:kern w:val="0"/>
                <w:sz w:val="22"/>
                <w:szCs w:val="22"/>
                <w:lang w:eastAsia="zh-CN" w:bidi="ar"/>
              </w:rPr>
              <w:t>广</w:t>
            </w:r>
            <w:r>
              <w:rPr>
                <w:rFonts w:hint="eastAsia" w:ascii="宋体" w:hAnsi="宋体" w:eastAsia="宋体" w:cs="宋体"/>
                <w:b w:val="0"/>
                <w:bCs w:val="0"/>
                <w:color w:val="auto"/>
                <w:kern w:val="0"/>
                <w:sz w:val="22"/>
                <w:szCs w:val="22"/>
                <w:lang w:bidi="ar"/>
              </w:rPr>
              <w:t>播</w:t>
            </w:r>
          </w:p>
          <w:p w14:paraId="3489DBAC">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2、</w:t>
            </w:r>
            <w:r>
              <w:rPr>
                <w:rFonts w:hint="eastAsia" w:ascii="宋体" w:hAnsi="宋体" w:eastAsia="宋体" w:cs="宋体"/>
                <w:b w:val="0"/>
                <w:bCs w:val="0"/>
                <w:color w:val="auto"/>
                <w:kern w:val="0"/>
                <w:sz w:val="22"/>
                <w:szCs w:val="22"/>
                <w:lang w:bidi="ar"/>
              </w:rPr>
              <w:t>感烟探测器、感温探测器</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1BD9404F">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bidi="ar"/>
              </w:rPr>
              <w:t>A.火灾报警控制器：检查内部连接线路，输出端子线路是否松动；B.联动部分：主机板子连接是否松动，主机显示及巡检状态是否正常，多线输出控制启、停状况；C.消防通讯：消控室紧急电话通话试验；D.消防广播：检</w:t>
            </w:r>
            <w:r>
              <w:rPr>
                <w:rFonts w:hint="eastAsia" w:ascii="宋体" w:hAnsi="宋体" w:eastAsia="宋体" w:cs="宋体"/>
                <w:b w:val="0"/>
                <w:bCs w:val="0"/>
                <w:color w:val="auto"/>
                <w:kern w:val="0"/>
                <w:sz w:val="22"/>
                <w:szCs w:val="22"/>
                <w:lang w:val="en-US" w:eastAsia="zh-CN" w:bidi="ar"/>
              </w:rPr>
              <w:t>查功放机录放单元线路是否松动，输出音源与显示是否同步；E.检查探测器安装位置和牢 固情况，核对地址和具体位置。</w:t>
            </w:r>
          </w:p>
          <w:p w14:paraId="424FE725">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系统正常10分；</w:t>
            </w:r>
          </w:p>
          <w:p w14:paraId="21E2C635">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系统基本正常扣1分；</w:t>
            </w:r>
          </w:p>
          <w:p w14:paraId="37A3A930">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系统瘫痪扣10分。</w:t>
            </w:r>
          </w:p>
          <w:p w14:paraId="26BE1E9B">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(按要求进行检测、排障且系统正常的得10分，未进行检测、排障的有一次扣1分)</w:t>
            </w:r>
          </w:p>
        </w:tc>
        <w:tc>
          <w:tcPr>
            <w:tcW w:w="617" w:type="dxa"/>
            <w:tcBorders>
              <w:top w:val="single" w:color="000000" w:sz="4" w:space="0"/>
              <w:left w:val="single" w:color="auto" w:sz="4" w:space="0"/>
              <w:right w:val="single" w:color="000000" w:sz="4" w:space="0"/>
            </w:tcBorders>
            <w:noWrap w:val="0"/>
            <w:vAlign w:val="center"/>
          </w:tcPr>
          <w:p w14:paraId="6C3F50F9">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05DFB6FA">
            <w:pPr>
              <w:rPr>
                <w:rFonts w:hint="eastAsia" w:ascii="宋体" w:hAnsi="宋体" w:eastAsia="宋体" w:cs="宋体"/>
                <w:color w:val="auto"/>
                <w:sz w:val="22"/>
                <w:szCs w:val="22"/>
              </w:rPr>
            </w:pPr>
          </w:p>
        </w:tc>
      </w:tr>
      <w:tr w14:paraId="238209C2">
        <w:tblPrEx>
          <w:tblCellMar>
            <w:top w:w="0" w:type="dxa"/>
            <w:left w:w="108" w:type="dxa"/>
            <w:bottom w:w="0" w:type="dxa"/>
            <w:right w:w="108" w:type="dxa"/>
          </w:tblCellMar>
        </w:tblPrEx>
        <w:trPr>
          <w:trHeight w:val="1172" w:hRule="atLeast"/>
        </w:trPr>
        <w:tc>
          <w:tcPr>
            <w:tcW w:w="852" w:type="dxa"/>
            <w:vMerge w:val="continue"/>
            <w:tcBorders>
              <w:left w:val="single" w:color="000000" w:sz="4" w:space="0"/>
              <w:right w:val="single" w:color="000000" w:sz="4" w:space="0"/>
            </w:tcBorders>
            <w:noWrap/>
            <w:vAlign w:val="center"/>
          </w:tcPr>
          <w:p w14:paraId="0BAD3A37">
            <w:pPr>
              <w:jc w:val="center"/>
              <w:rPr>
                <w:rFonts w:hint="eastAsia" w:ascii="宋体" w:hAnsi="宋体" w:eastAsia="宋体" w:cs="宋体"/>
                <w:color w:val="auto"/>
                <w:sz w:val="22"/>
                <w:szCs w:val="22"/>
              </w:rPr>
            </w:pPr>
          </w:p>
        </w:tc>
        <w:tc>
          <w:tcPr>
            <w:tcW w:w="1032" w:type="dxa"/>
            <w:vMerge w:val="continue"/>
            <w:tcBorders>
              <w:left w:val="single" w:color="000000" w:sz="4" w:space="0"/>
              <w:right w:val="single" w:color="000000" w:sz="4" w:space="0"/>
            </w:tcBorders>
            <w:noWrap/>
            <w:vAlign w:val="center"/>
          </w:tcPr>
          <w:p w14:paraId="0CAF9172">
            <w:pPr>
              <w:jc w:val="center"/>
              <w:rPr>
                <w:rFonts w:hint="eastAsia" w:ascii="宋体" w:hAnsi="宋体" w:eastAsia="宋体" w:cs="宋体"/>
                <w:color w:val="auto"/>
                <w:sz w:val="22"/>
                <w:szCs w:val="22"/>
              </w:rPr>
            </w:pPr>
          </w:p>
        </w:tc>
        <w:tc>
          <w:tcPr>
            <w:tcW w:w="2530" w:type="dxa"/>
            <w:tcBorders>
              <w:top w:val="single" w:color="auto" w:sz="4" w:space="0"/>
              <w:left w:val="single" w:color="000000" w:sz="4" w:space="0"/>
              <w:bottom w:val="single" w:color="000000" w:sz="4" w:space="0"/>
              <w:right w:val="single" w:color="000000" w:sz="4" w:space="0"/>
            </w:tcBorders>
            <w:noWrap/>
            <w:vAlign w:val="center"/>
          </w:tcPr>
          <w:p w14:paraId="3C0B8A0A">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3、手动报警按钮、消火栓按钮、警铃。</w:t>
            </w:r>
          </w:p>
        </w:tc>
        <w:tc>
          <w:tcPr>
            <w:tcW w:w="3890" w:type="dxa"/>
            <w:tcBorders>
              <w:top w:val="single" w:color="auto" w:sz="4" w:space="0"/>
              <w:left w:val="single" w:color="000000" w:sz="4" w:space="0"/>
              <w:bottom w:val="single" w:color="000000" w:sz="4" w:space="0"/>
              <w:right w:val="single" w:color="000000" w:sz="4" w:space="0"/>
            </w:tcBorders>
            <w:noWrap w:val="0"/>
            <w:vAlign w:val="center"/>
          </w:tcPr>
          <w:p w14:paraId="54877B1D">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正常5分：基本正常扣1分；系统故障瘫痪扣5分。</w:t>
            </w:r>
          </w:p>
          <w:p w14:paraId="0EC22BD0">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(按要求进行试验、检测且设备正常的得5分，未按规定时间进行试验、检测有一次扣1分)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F43F9BB">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4B0BABFF">
            <w:pPr>
              <w:rPr>
                <w:rFonts w:hint="eastAsia" w:ascii="宋体" w:hAnsi="宋体" w:eastAsia="宋体" w:cs="宋体"/>
                <w:color w:val="auto"/>
                <w:sz w:val="22"/>
                <w:szCs w:val="22"/>
              </w:rPr>
            </w:pPr>
          </w:p>
        </w:tc>
      </w:tr>
      <w:tr w14:paraId="555EBC05">
        <w:tblPrEx>
          <w:tblCellMar>
            <w:top w:w="0" w:type="dxa"/>
            <w:left w:w="108" w:type="dxa"/>
            <w:bottom w:w="0" w:type="dxa"/>
            <w:right w:w="108" w:type="dxa"/>
          </w:tblCellMar>
        </w:tblPrEx>
        <w:trPr>
          <w:trHeight w:val="1172" w:hRule="atLeast"/>
        </w:trPr>
        <w:tc>
          <w:tcPr>
            <w:tcW w:w="852" w:type="dxa"/>
            <w:vMerge w:val="continue"/>
            <w:tcBorders>
              <w:left w:val="single" w:color="000000" w:sz="4" w:space="0"/>
              <w:right w:val="single" w:color="000000" w:sz="4" w:space="0"/>
            </w:tcBorders>
            <w:noWrap/>
            <w:vAlign w:val="center"/>
          </w:tcPr>
          <w:p w14:paraId="702D3D6B">
            <w:pPr>
              <w:jc w:val="center"/>
              <w:rPr>
                <w:rFonts w:hint="eastAsia" w:ascii="宋体" w:hAnsi="宋体" w:eastAsia="宋体" w:cs="宋体"/>
                <w:color w:val="auto"/>
                <w:sz w:val="22"/>
                <w:szCs w:val="22"/>
              </w:rPr>
            </w:pPr>
          </w:p>
        </w:tc>
        <w:tc>
          <w:tcPr>
            <w:tcW w:w="1032" w:type="dxa"/>
            <w:vMerge w:val="continue"/>
            <w:tcBorders>
              <w:left w:val="single" w:color="000000" w:sz="4" w:space="0"/>
              <w:right w:val="single" w:color="000000" w:sz="4" w:space="0"/>
            </w:tcBorders>
            <w:noWrap/>
            <w:vAlign w:val="center"/>
          </w:tcPr>
          <w:p w14:paraId="5E4AFEA6">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223762B3">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4、设立24小时服务电话，接受业主 和使用部门对维保管理服务报修，并 有回访制度和记录。</w:t>
            </w:r>
          </w:p>
        </w:tc>
        <w:tc>
          <w:tcPr>
            <w:tcW w:w="3890" w:type="dxa"/>
            <w:tcBorders>
              <w:left w:val="single" w:color="000000" w:sz="4" w:space="0"/>
              <w:bottom w:val="single" w:color="000000" w:sz="4" w:space="0"/>
              <w:right w:val="single" w:color="000000" w:sz="4" w:space="0"/>
            </w:tcBorders>
            <w:noWrap w:val="0"/>
            <w:vAlign w:val="center"/>
          </w:tcPr>
          <w:p w14:paraId="42D9CB22">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维修及时率达到承诺要求10分；</w:t>
            </w:r>
          </w:p>
          <w:p w14:paraId="3E179A73">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及时率未达到承诺要求每次扣2分；</w:t>
            </w:r>
          </w:p>
          <w:p w14:paraId="6BFA1759">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没有回访记录，处理不及时扣10分。</w:t>
            </w:r>
          </w:p>
          <w:p w14:paraId="6B475A5C">
            <w:pPr>
              <w:widowControl/>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(报修响应及时、有回访制度和记 录的得10分，报修响应不及时或未进行 回访的有一次扣1分，并按合同要求处额外罚款，无回访制度的扣2分，并要求整改)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646242F">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D3C0644">
            <w:pPr>
              <w:rPr>
                <w:rFonts w:hint="eastAsia" w:ascii="宋体" w:hAnsi="宋体" w:eastAsia="宋体" w:cs="宋体"/>
                <w:color w:val="auto"/>
                <w:sz w:val="22"/>
                <w:szCs w:val="22"/>
              </w:rPr>
            </w:pPr>
          </w:p>
        </w:tc>
      </w:tr>
      <w:tr w14:paraId="7AAD336E">
        <w:tblPrEx>
          <w:tblCellMar>
            <w:top w:w="0" w:type="dxa"/>
            <w:left w:w="108" w:type="dxa"/>
            <w:bottom w:w="0" w:type="dxa"/>
            <w:right w:w="108" w:type="dxa"/>
          </w:tblCellMar>
        </w:tblPrEx>
        <w:trPr>
          <w:trHeight w:val="1172" w:hRule="atLeast"/>
        </w:trPr>
        <w:tc>
          <w:tcPr>
            <w:tcW w:w="852" w:type="dxa"/>
            <w:vMerge w:val="continue"/>
            <w:tcBorders>
              <w:left w:val="single" w:color="000000" w:sz="4" w:space="0"/>
              <w:right w:val="single" w:color="000000" w:sz="4" w:space="0"/>
            </w:tcBorders>
            <w:noWrap/>
            <w:vAlign w:val="center"/>
          </w:tcPr>
          <w:p w14:paraId="366D2830">
            <w:pPr>
              <w:jc w:val="center"/>
              <w:rPr>
                <w:rFonts w:hint="eastAsia" w:ascii="宋体" w:hAnsi="宋体" w:eastAsia="宋体" w:cs="宋体"/>
                <w:color w:val="auto"/>
                <w:sz w:val="22"/>
                <w:szCs w:val="22"/>
              </w:rPr>
            </w:pPr>
          </w:p>
        </w:tc>
        <w:tc>
          <w:tcPr>
            <w:tcW w:w="1032" w:type="dxa"/>
            <w:vMerge w:val="continue"/>
            <w:tcBorders>
              <w:left w:val="single" w:color="000000" w:sz="4" w:space="0"/>
              <w:right w:val="single" w:color="000000" w:sz="4" w:space="0"/>
            </w:tcBorders>
            <w:noWrap/>
            <w:vAlign w:val="center"/>
          </w:tcPr>
          <w:p w14:paraId="4C26DF18">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60960CA2">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5、</w:t>
            </w:r>
            <w:r>
              <w:rPr>
                <w:rFonts w:hint="eastAsia" w:ascii="宋体" w:hAnsi="宋体" w:eastAsia="宋体" w:cs="宋体"/>
                <w:b w:val="0"/>
                <w:bCs w:val="0"/>
                <w:color w:val="auto"/>
                <w:kern w:val="0"/>
                <w:sz w:val="22"/>
                <w:szCs w:val="22"/>
                <w:lang w:bidi="ar"/>
              </w:rPr>
              <w:t>输入模块、控制模块、多线模块、 短路隔离器、外控设备。</w:t>
            </w:r>
          </w:p>
        </w:tc>
        <w:tc>
          <w:tcPr>
            <w:tcW w:w="3890" w:type="dxa"/>
            <w:tcBorders>
              <w:left w:val="single" w:color="000000" w:sz="4" w:space="0"/>
              <w:bottom w:val="single" w:color="000000" w:sz="4" w:space="0"/>
              <w:right w:val="single" w:color="000000" w:sz="4" w:space="0"/>
            </w:tcBorders>
            <w:noWrap w:val="0"/>
            <w:vAlign w:val="center"/>
          </w:tcPr>
          <w:p w14:paraId="557C78F5">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检查安装位置、牢固情况；连接是否松动；检查外控设备动作的情况</w:t>
            </w:r>
            <w:r>
              <w:rPr>
                <w:rFonts w:hint="eastAsia" w:ascii="宋体" w:hAnsi="宋体" w:eastAsia="宋体" w:cs="宋体"/>
                <w:b w:val="0"/>
                <w:bCs w:val="0"/>
                <w:color w:val="auto"/>
                <w:kern w:val="0"/>
                <w:sz w:val="22"/>
                <w:szCs w:val="22"/>
                <w:lang w:eastAsia="zh-CN" w:bidi="ar"/>
              </w:rPr>
              <w:t>。</w:t>
            </w:r>
            <w:r>
              <w:rPr>
                <w:rFonts w:hint="eastAsia" w:ascii="宋体" w:hAnsi="宋体" w:eastAsia="宋体" w:cs="宋体"/>
                <w:b w:val="0"/>
                <w:bCs w:val="0"/>
                <w:color w:val="auto"/>
                <w:kern w:val="0"/>
                <w:sz w:val="22"/>
                <w:szCs w:val="22"/>
                <w:lang w:bidi="ar"/>
              </w:rPr>
              <w:t>系统正常10分；</w:t>
            </w:r>
          </w:p>
          <w:p w14:paraId="34F2464D">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系统基本正常扣1分；</w:t>
            </w:r>
          </w:p>
          <w:p w14:paraId="6585C4FC">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系统瘫痪扣10分。</w:t>
            </w:r>
          </w:p>
          <w:p w14:paraId="6C58E8E0">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(按要求进行检测、排障且系统正常的得10分，未进行检测、排障的有一次扣1分)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6423E86">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03ED6A0">
            <w:pPr>
              <w:rPr>
                <w:rFonts w:hint="eastAsia" w:ascii="宋体" w:hAnsi="宋体" w:eastAsia="宋体" w:cs="宋体"/>
                <w:color w:val="auto"/>
                <w:sz w:val="22"/>
                <w:szCs w:val="22"/>
              </w:rPr>
            </w:pPr>
          </w:p>
        </w:tc>
      </w:tr>
      <w:tr w14:paraId="1515C3CA">
        <w:tblPrEx>
          <w:tblCellMar>
            <w:top w:w="0" w:type="dxa"/>
            <w:left w:w="108" w:type="dxa"/>
            <w:bottom w:w="0" w:type="dxa"/>
            <w:right w:w="108" w:type="dxa"/>
          </w:tblCellMar>
        </w:tblPrEx>
        <w:trPr>
          <w:trHeight w:val="1172" w:hRule="atLeast"/>
        </w:trPr>
        <w:tc>
          <w:tcPr>
            <w:tcW w:w="852" w:type="dxa"/>
            <w:vMerge w:val="continue"/>
            <w:tcBorders>
              <w:left w:val="single" w:color="000000" w:sz="4" w:space="0"/>
              <w:right w:val="single" w:color="000000" w:sz="4" w:space="0"/>
            </w:tcBorders>
            <w:noWrap/>
            <w:vAlign w:val="center"/>
          </w:tcPr>
          <w:p w14:paraId="5FCF9328">
            <w:pPr>
              <w:jc w:val="center"/>
              <w:rPr>
                <w:rFonts w:hint="eastAsia" w:ascii="宋体" w:hAnsi="宋体" w:eastAsia="宋体" w:cs="宋体"/>
                <w:color w:val="auto"/>
                <w:sz w:val="22"/>
                <w:szCs w:val="22"/>
              </w:rPr>
            </w:pPr>
          </w:p>
        </w:tc>
        <w:tc>
          <w:tcPr>
            <w:tcW w:w="1032" w:type="dxa"/>
            <w:vMerge w:val="continue"/>
            <w:tcBorders>
              <w:left w:val="single" w:color="000000" w:sz="4" w:space="0"/>
              <w:right w:val="single" w:color="000000" w:sz="4" w:space="0"/>
            </w:tcBorders>
            <w:noWrap/>
            <w:vAlign w:val="center"/>
          </w:tcPr>
          <w:p w14:paraId="15271840">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31BE4DFC">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6、</w:t>
            </w:r>
            <w:r>
              <w:rPr>
                <w:rFonts w:hint="eastAsia" w:ascii="宋体" w:hAnsi="宋体" w:eastAsia="宋体" w:cs="宋体"/>
                <w:b w:val="0"/>
                <w:bCs w:val="0"/>
                <w:color w:val="auto"/>
                <w:kern w:val="0"/>
                <w:sz w:val="22"/>
                <w:szCs w:val="22"/>
                <w:lang w:bidi="ar"/>
              </w:rPr>
              <w:t>防火分隔系统</w:t>
            </w:r>
          </w:p>
          <w:p w14:paraId="3A5FCF70">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7、</w:t>
            </w:r>
            <w:r>
              <w:rPr>
                <w:rFonts w:hint="eastAsia" w:ascii="宋体" w:hAnsi="宋体" w:eastAsia="宋体" w:cs="宋体"/>
                <w:b w:val="0"/>
                <w:bCs w:val="0"/>
                <w:color w:val="auto"/>
                <w:kern w:val="0"/>
                <w:sz w:val="22"/>
                <w:szCs w:val="22"/>
                <w:lang w:bidi="ar"/>
              </w:rPr>
              <w:t>火灾应急照明和疏散指示系统</w:t>
            </w:r>
          </w:p>
        </w:tc>
        <w:tc>
          <w:tcPr>
            <w:tcW w:w="3890" w:type="dxa"/>
            <w:tcBorders>
              <w:left w:val="single" w:color="000000" w:sz="4" w:space="0"/>
              <w:bottom w:val="single" w:color="000000" w:sz="4" w:space="0"/>
              <w:right w:val="single" w:color="000000" w:sz="4" w:space="0"/>
            </w:tcBorders>
            <w:noWrap w:val="0"/>
            <w:vAlign w:val="center"/>
          </w:tcPr>
          <w:p w14:paraId="74A33146">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A.检查防火卷帘、防火门外观；手 动和联动测试防火卷帘、防火门启 闭性能；检查防火卷帘、防火门前 通道畅通；检查灭火器有效性；B.应急照明灯自检测试与维护、疏散 指示标志自检测试与维护。</w:t>
            </w:r>
          </w:p>
          <w:p w14:paraId="2486D920">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系统正常10分；</w:t>
            </w:r>
          </w:p>
          <w:p w14:paraId="727B6913">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基本正常扣1分；不能操作扣10分。</w:t>
            </w:r>
          </w:p>
          <w:p w14:paraId="7DC893B5">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(按要求进行检测、排障且系统正常的得10分，未进行检测、排障的有一次扣1分)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5312B4A">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1961535">
            <w:pPr>
              <w:rPr>
                <w:rFonts w:hint="eastAsia" w:ascii="宋体" w:hAnsi="宋体" w:eastAsia="宋体" w:cs="宋体"/>
                <w:color w:val="auto"/>
                <w:sz w:val="22"/>
                <w:szCs w:val="22"/>
              </w:rPr>
            </w:pPr>
          </w:p>
        </w:tc>
      </w:tr>
      <w:tr w14:paraId="0991AA7A">
        <w:tblPrEx>
          <w:tblCellMar>
            <w:top w:w="0" w:type="dxa"/>
            <w:left w:w="108" w:type="dxa"/>
            <w:bottom w:w="0" w:type="dxa"/>
            <w:right w:w="108" w:type="dxa"/>
          </w:tblCellMar>
        </w:tblPrEx>
        <w:trPr>
          <w:trHeight w:val="1172" w:hRule="atLeast"/>
        </w:trPr>
        <w:tc>
          <w:tcPr>
            <w:tcW w:w="852" w:type="dxa"/>
            <w:vMerge w:val="continue"/>
            <w:tcBorders>
              <w:left w:val="single" w:color="000000" w:sz="4" w:space="0"/>
              <w:right w:val="single" w:color="000000" w:sz="4" w:space="0"/>
            </w:tcBorders>
            <w:noWrap/>
            <w:vAlign w:val="center"/>
          </w:tcPr>
          <w:p w14:paraId="09ACCC48">
            <w:pPr>
              <w:jc w:val="center"/>
              <w:rPr>
                <w:rFonts w:hint="eastAsia" w:ascii="宋体" w:hAnsi="宋体" w:eastAsia="宋体" w:cs="宋体"/>
                <w:color w:val="auto"/>
                <w:sz w:val="22"/>
                <w:szCs w:val="22"/>
              </w:rPr>
            </w:pPr>
          </w:p>
        </w:tc>
        <w:tc>
          <w:tcPr>
            <w:tcW w:w="1032" w:type="dxa"/>
            <w:vMerge w:val="continue"/>
            <w:tcBorders>
              <w:left w:val="single" w:color="000000" w:sz="4" w:space="0"/>
              <w:right w:val="single" w:color="000000" w:sz="4" w:space="0"/>
            </w:tcBorders>
            <w:noWrap/>
            <w:vAlign w:val="center"/>
          </w:tcPr>
          <w:p w14:paraId="496D44F0">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15F93C1C">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8</w:t>
            </w:r>
            <w:r>
              <w:rPr>
                <w:rFonts w:hint="eastAsia" w:ascii="宋体" w:hAnsi="宋体" w:eastAsia="宋体" w:cs="宋体"/>
                <w:b w:val="0"/>
                <w:bCs w:val="0"/>
                <w:color w:val="auto"/>
                <w:kern w:val="0"/>
                <w:sz w:val="22"/>
                <w:szCs w:val="22"/>
                <w:lang w:bidi="ar"/>
              </w:rPr>
              <w:t>消火栓系统</w:t>
            </w:r>
          </w:p>
        </w:tc>
        <w:tc>
          <w:tcPr>
            <w:tcW w:w="3890" w:type="dxa"/>
            <w:tcBorders>
              <w:left w:val="single" w:color="000000" w:sz="4" w:space="0"/>
              <w:bottom w:val="single" w:color="000000" w:sz="4" w:space="0"/>
              <w:right w:val="single" w:color="000000" w:sz="4" w:space="0"/>
            </w:tcBorders>
            <w:noWrap w:val="0"/>
            <w:vAlign w:val="center"/>
          </w:tcPr>
          <w:p w14:paraId="1F0B9F5E">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消火栓栓口压力测试、阀门灵活  性、消防泵手动和远程自动、测试 按钮与泵的联动情况、消防稳压泵 自动运行是否正常、测试消防泵控 制箱电器设备的工作情况等。</w:t>
            </w:r>
          </w:p>
          <w:p w14:paraId="49BE2674">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系统正常10分；基本正常扣1分；</w:t>
            </w:r>
          </w:p>
          <w:p w14:paraId="0C74CD4B">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系统瘫痪扣10分。</w:t>
            </w:r>
          </w:p>
          <w:p w14:paraId="19FB8A13">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(按合同要求进行测试、排障且系统正常的得10分，未按合同要求执行的有一项扣1分)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0672D15">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3B232DAF">
            <w:pPr>
              <w:rPr>
                <w:rFonts w:hint="eastAsia" w:ascii="宋体" w:hAnsi="宋体" w:eastAsia="宋体" w:cs="宋体"/>
                <w:color w:val="auto"/>
                <w:sz w:val="22"/>
                <w:szCs w:val="22"/>
              </w:rPr>
            </w:pPr>
          </w:p>
        </w:tc>
      </w:tr>
      <w:tr w14:paraId="4C8C01CA">
        <w:tblPrEx>
          <w:tblCellMar>
            <w:top w:w="0" w:type="dxa"/>
            <w:left w:w="108" w:type="dxa"/>
            <w:bottom w:w="0" w:type="dxa"/>
            <w:right w:w="108" w:type="dxa"/>
          </w:tblCellMar>
        </w:tblPrEx>
        <w:trPr>
          <w:trHeight w:val="260" w:hRule="atLeast"/>
        </w:trPr>
        <w:tc>
          <w:tcPr>
            <w:tcW w:w="852" w:type="dxa"/>
            <w:vMerge w:val="continue"/>
            <w:tcBorders>
              <w:left w:val="single" w:color="000000" w:sz="4" w:space="0"/>
              <w:right w:val="single" w:color="000000" w:sz="4" w:space="0"/>
            </w:tcBorders>
            <w:noWrap/>
            <w:vAlign w:val="center"/>
          </w:tcPr>
          <w:p w14:paraId="54137332">
            <w:pPr>
              <w:jc w:val="center"/>
              <w:rPr>
                <w:rFonts w:hint="eastAsia" w:ascii="宋体" w:hAnsi="宋体" w:eastAsia="宋体" w:cs="宋体"/>
                <w:color w:val="auto"/>
                <w:sz w:val="22"/>
                <w:szCs w:val="22"/>
              </w:rPr>
            </w:pPr>
          </w:p>
        </w:tc>
        <w:tc>
          <w:tcPr>
            <w:tcW w:w="1032" w:type="dxa"/>
            <w:vMerge w:val="continue"/>
            <w:tcBorders>
              <w:left w:val="single" w:color="000000" w:sz="4" w:space="0"/>
              <w:right w:val="single" w:color="000000" w:sz="4" w:space="0"/>
            </w:tcBorders>
            <w:noWrap/>
            <w:vAlign w:val="center"/>
          </w:tcPr>
          <w:p w14:paraId="63ECC8DE">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17A37EA6">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9、</w:t>
            </w:r>
            <w:r>
              <w:rPr>
                <w:rFonts w:hint="eastAsia" w:ascii="宋体" w:hAnsi="宋体" w:eastAsia="宋体" w:cs="宋体"/>
                <w:b w:val="0"/>
                <w:bCs w:val="0"/>
                <w:color w:val="auto"/>
                <w:kern w:val="0"/>
                <w:sz w:val="22"/>
                <w:szCs w:val="22"/>
                <w:lang w:bidi="ar"/>
              </w:rPr>
              <w:t>自动喷淋系统</w:t>
            </w:r>
          </w:p>
        </w:tc>
        <w:tc>
          <w:tcPr>
            <w:tcW w:w="3890" w:type="dxa"/>
            <w:tcBorders>
              <w:left w:val="single" w:color="000000" w:sz="4" w:space="0"/>
              <w:bottom w:val="single" w:color="000000" w:sz="4" w:space="0"/>
              <w:right w:val="single" w:color="000000" w:sz="4" w:space="0"/>
            </w:tcBorders>
            <w:noWrap w:val="0"/>
            <w:vAlign w:val="center"/>
          </w:tcPr>
          <w:p w14:paraId="7AA80E23">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检查信号阀、水流指示器、自动排 气阀、管路是否正常；喷淋泵手动 和远程启动是否正常、自动状态末 端返水泵启动是否正常；测试湿式 报警阀工作情况。</w:t>
            </w:r>
          </w:p>
          <w:p w14:paraId="56496428">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系统正常10分； 基本正常扣1分；  系统瘫痪扣10分。</w:t>
            </w:r>
          </w:p>
          <w:p w14:paraId="14530852">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(按合同要求进行测试、排障且系统正常的得10分，未按合同要求执行的有一项扣1分)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5A6A67D">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8F463F0">
            <w:pPr>
              <w:rPr>
                <w:rFonts w:hint="eastAsia" w:ascii="宋体" w:hAnsi="宋体" w:eastAsia="宋体" w:cs="宋体"/>
                <w:color w:val="auto"/>
                <w:sz w:val="22"/>
                <w:szCs w:val="22"/>
              </w:rPr>
            </w:pPr>
          </w:p>
        </w:tc>
      </w:tr>
      <w:tr w14:paraId="7130E618">
        <w:tblPrEx>
          <w:tblCellMar>
            <w:top w:w="0" w:type="dxa"/>
            <w:left w:w="108" w:type="dxa"/>
            <w:bottom w:w="0" w:type="dxa"/>
            <w:right w:w="108" w:type="dxa"/>
          </w:tblCellMar>
        </w:tblPrEx>
        <w:trPr>
          <w:trHeight w:val="1172" w:hRule="atLeast"/>
        </w:trPr>
        <w:tc>
          <w:tcPr>
            <w:tcW w:w="852" w:type="dxa"/>
            <w:vMerge w:val="continue"/>
            <w:tcBorders>
              <w:left w:val="single" w:color="000000" w:sz="4" w:space="0"/>
              <w:bottom w:val="single" w:color="000000" w:sz="4" w:space="0"/>
              <w:right w:val="single" w:color="000000" w:sz="4" w:space="0"/>
            </w:tcBorders>
            <w:noWrap/>
            <w:vAlign w:val="center"/>
          </w:tcPr>
          <w:p w14:paraId="256073C5">
            <w:pPr>
              <w:jc w:val="center"/>
              <w:rPr>
                <w:rFonts w:hint="eastAsia" w:ascii="宋体" w:hAnsi="宋体" w:eastAsia="宋体" w:cs="宋体"/>
                <w:color w:val="auto"/>
                <w:sz w:val="22"/>
                <w:szCs w:val="22"/>
              </w:rPr>
            </w:pPr>
          </w:p>
        </w:tc>
        <w:tc>
          <w:tcPr>
            <w:tcW w:w="1032" w:type="dxa"/>
            <w:vMerge w:val="continue"/>
            <w:tcBorders>
              <w:left w:val="single" w:color="000000" w:sz="4" w:space="0"/>
              <w:bottom w:val="single" w:color="000000" w:sz="4" w:space="0"/>
              <w:right w:val="single" w:color="000000" w:sz="4" w:space="0"/>
            </w:tcBorders>
            <w:noWrap/>
            <w:vAlign w:val="center"/>
          </w:tcPr>
          <w:p w14:paraId="10088E8A">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51BDD75B">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10、</w:t>
            </w:r>
            <w:r>
              <w:rPr>
                <w:rFonts w:hint="eastAsia" w:ascii="宋体" w:hAnsi="宋体" w:eastAsia="宋体" w:cs="宋体"/>
                <w:b w:val="0"/>
                <w:bCs w:val="0"/>
                <w:color w:val="auto"/>
                <w:kern w:val="0"/>
                <w:sz w:val="22"/>
                <w:szCs w:val="22"/>
                <w:lang w:bidi="ar"/>
              </w:rPr>
              <w:t>防排烟系统</w:t>
            </w:r>
          </w:p>
          <w:p w14:paraId="6E9FDF83">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11、</w:t>
            </w:r>
            <w:r>
              <w:rPr>
                <w:rFonts w:hint="eastAsia" w:ascii="宋体" w:hAnsi="宋体" w:eastAsia="宋体" w:cs="宋体"/>
                <w:b w:val="0"/>
                <w:bCs w:val="0"/>
                <w:color w:val="auto"/>
                <w:kern w:val="0"/>
                <w:sz w:val="22"/>
                <w:szCs w:val="22"/>
                <w:lang w:bidi="ar"/>
              </w:rPr>
              <w:t>气体灭火系统</w:t>
            </w:r>
          </w:p>
        </w:tc>
        <w:tc>
          <w:tcPr>
            <w:tcW w:w="3890" w:type="dxa"/>
            <w:tcBorders>
              <w:left w:val="single" w:color="000000" w:sz="4" w:space="0"/>
              <w:bottom w:val="single" w:color="000000" w:sz="4" w:space="0"/>
              <w:right w:val="single" w:color="000000" w:sz="4" w:space="0"/>
            </w:tcBorders>
            <w:noWrap w:val="0"/>
            <w:vAlign w:val="center"/>
          </w:tcPr>
          <w:p w14:paraId="7F5C2DE1">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A.检查送风机、排烟机、电源控制柜、送风阀、排烟阀是否正常；B.检查气体控制屏、气瓶压力、试验手动和自动放气装置是否正常。</w:t>
            </w:r>
          </w:p>
          <w:p w14:paraId="2E5320BB">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系统正常10分； 基本正常扣1分；</w:t>
            </w:r>
          </w:p>
          <w:p w14:paraId="4E79A908">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系统瘫痪扣10分。</w:t>
            </w:r>
          </w:p>
          <w:p w14:paraId="0A129ED9">
            <w:pPr>
              <w:widowControl/>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(按合同要求进行测试、排障且系统正常的得10分，未按合同要求执行的有一项扣1分)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82780BC">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483FA571">
            <w:pPr>
              <w:rPr>
                <w:rFonts w:hint="eastAsia" w:ascii="宋体" w:hAnsi="宋体" w:eastAsia="宋体" w:cs="宋体"/>
                <w:color w:val="auto"/>
                <w:sz w:val="22"/>
                <w:szCs w:val="22"/>
              </w:rPr>
            </w:pPr>
          </w:p>
        </w:tc>
      </w:tr>
      <w:tr w14:paraId="62511EAA">
        <w:tblPrEx>
          <w:tblCellMar>
            <w:top w:w="0" w:type="dxa"/>
            <w:left w:w="108" w:type="dxa"/>
            <w:bottom w:w="0" w:type="dxa"/>
            <w:right w:w="108" w:type="dxa"/>
          </w:tblCellMar>
        </w:tblPrEx>
        <w:trPr>
          <w:trHeight w:val="495" w:hRule="atLeast"/>
        </w:trPr>
        <w:tc>
          <w:tcPr>
            <w:tcW w:w="852" w:type="dxa"/>
            <w:vMerge w:val="restart"/>
            <w:tcBorders>
              <w:top w:val="single" w:color="000000" w:sz="4" w:space="0"/>
              <w:left w:val="single" w:color="000000" w:sz="4" w:space="0"/>
              <w:bottom w:val="single" w:color="000000" w:sz="4" w:space="0"/>
              <w:right w:val="single" w:color="000000" w:sz="4" w:space="0"/>
            </w:tcBorders>
            <w:noWrap/>
            <w:vAlign w:val="center"/>
          </w:tcPr>
          <w:p w14:paraId="7D1F41E8">
            <w:pPr>
              <w:widowControl/>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eastAsia="zh-CN" w:bidi="ar"/>
              </w:rPr>
              <w:t>三</w:t>
            </w:r>
          </w:p>
        </w:tc>
        <w:tc>
          <w:tcPr>
            <w:tcW w:w="1032" w:type="dxa"/>
            <w:vMerge w:val="restart"/>
            <w:tcBorders>
              <w:top w:val="single" w:color="000000" w:sz="4" w:space="0"/>
              <w:left w:val="single" w:color="000000" w:sz="4" w:space="0"/>
              <w:bottom w:val="single" w:color="000000" w:sz="4" w:space="0"/>
              <w:right w:val="single" w:color="000000" w:sz="4" w:space="0"/>
            </w:tcBorders>
            <w:noWrap/>
            <w:vAlign w:val="center"/>
          </w:tcPr>
          <w:p w14:paraId="570B3665">
            <w:pPr>
              <w:widowControl/>
              <w:ind w:right="-174" w:rightChars="-83"/>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维护配合</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10分</w:t>
            </w:r>
            <w:r>
              <w:rPr>
                <w:rFonts w:hint="eastAsia" w:ascii="宋体" w:hAnsi="宋体" w:eastAsia="宋体" w:cs="宋体"/>
                <w:color w:val="auto"/>
                <w:kern w:val="0"/>
                <w:sz w:val="22"/>
                <w:szCs w:val="22"/>
                <w:lang w:eastAsia="zh-CN" w:bidi="ar"/>
              </w:rPr>
              <w:t>）</w:t>
            </w: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27DB523D">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遵守甲方制度</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37F887D1">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不能遵守甲方相关管理规定，每次扣</w:t>
            </w: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lang w:bidi="ar"/>
              </w:rPr>
              <w:t>分，总分</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E635BD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D249F67">
            <w:pPr>
              <w:rPr>
                <w:rFonts w:hint="eastAsia" w:ascii="宋体" w:hAnsi="宋体" w:eastAsia="宋体" w:cs="宋体"/>
                <w:color w:val="auto"/>
                <w:sz w:val="22"/>
                <w:szCs w:val="22"/>
              </w:rPr>
            </w:pPr>
          </w:p>
        </w:tc>
      </w:tr>
      <w:tr w14:paraId="1B54935E">
        <w:tblPrEx>
          <w:tblCellMar>
            <w:top w:w="0" w:type="dxa"/>
            <w:left w:w="108" w:type="dxa"/>
            <w:bottom w:w="0" w:type="dxa"/>
            <w:right w:w="108" w:type="dxa"/>
          </w:tblCellMar>
        </w:tblPrEx>
        <w:trPr>
          <w:trHeight w:val="559" w:hRule="atLeast"/>
        </w:trPr>
        <w:tc>
          <w:tcPr>
            <w:tcW w:w="852" w:type="dxa"/>
            <w:vMerge w:val="continue"/>
            <w:tcBorders>
              <w:top w:val="single" w:color="000000" w:sz="4" w:space="0"/>
              <w:left w:val="single" w:color="000000" w:sz="4" w:space="0"/>
              <w:bottom w:val="single" w:color="000000" w:sz="4" w:space="0"/>
              <w:right w:val="single" w:color="000000" w:sz="4" w:space="0"/>
            </w:tcBorders>
            <w:noWrap/>
            <w:vAlign w:val="center"/>
          </w:tcPr>
          <w:p w14:paraId="1428AC72">
            <w:pPr>
              <w:jc w:val="center"/>
              <w:rPr>
                <w:rFonts w:hint="eastAsia" w:ascii="宋体" w:hAnsi="宋体" w:eastAsia="宋体" w:cs="宋体"/>
                <w:color w:val="auto"/>
                <w:sz w:val="22"/>
                <w:szCs w:val="22"/>
              </w:rPr>
            </w:pPr>
          </w:p>
        </w:tc>
        <w:tc>
          <w:tcPr>
            <w:tcW w:w="1032" w:type="dxa"/>
            <w:vMerge w:val="continue"/>
            <w:tcBorders>
              <w:top w:val="single" w:color="000000" w:sz="4" w:space="0"/>
              <w:left w:val="single" w:color="000000" w:sz="4" w:space="0"/>
              <w:bottom w:val="single" w:color="000000" w:sz="4" w:space="0"/>
              <w:right w:val="single" w:color="000000" w:sz="4" w:space="0"/>
            </w:tcBorders>
            <w:noWrap/>
            <w:vAlign w:val="center"/>
          </w:tcPr>
          <w:p w14:paraId="4ABF0358">
            <w:pPr>
              <w:jc w:val="center"/>
              <w:rPr>
                <w:rFonts w:hint="eastAsia" w:ascii="宋体" w:hAnsi="宋体" w:eastAsia="宋体" w:cs="宋体"/>
                <w:color w:val="auto"/>
                <w:sz w:val="22"/>
                <w:szCs w:val="22"/>
              </w:rPr>
            </w:pPr>
          </w:p>
        </w:tc>
        <w:tc>
          <w:tcPr>
            <w:tcW w:w="2530" w:type="dxa"/>
            <w:tcBorders>
              <w:top w:val="single" w:color="000000" w:sz="4" w:space="0"/>
              <w:left w:val="single" w:color="000000" w:sz="4" w:space="0"/>
              <w:bottom w:val="single" w:color="000000" w:sz="4" w:space="0"/>
              <w:right w:val="single" w:color="000000" w:sz="4" w:space="0"/>
            </w:tcBorders>
            <w:noWrap/>
            <w:vAlign w:val="center"/>
          </w:tcPr>
          <w:p w14:paraId="742EF8C0">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与甲方配合度</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2C0AE6C5">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不能积极配合1次扣</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分，配合但配合不</w:t>
            </w:r>
            <w:r>
              <w:rPr>
                <w:rFonts w:hint="eastAsia" w:ascii="宋体" w:hAnsi="宋体" w:eastAsia="宋体" w:cs="宋体"/>
                <w:color w:val="auto"/>
                <w:kern w:val="0"/>
                <w:sz w:val="22"/>
                <w:szCs w:val="22"/>
                <w:lang w:val="en-US" w:eastAsia="zh-CN" w:bidi="ar"/>
              </w:rPr>
              <w:t>力</w:t>
            </w:r>
            <w:r>
              <w:rPr>
                <w:rFonts w:hint="eastAsia" w:ascii="宋体" w:hAnsi="宋体" w:eastAsia="宋体" w:cs="宋体"/>
                <w:color w:val="auto"/>
                <w:kern w:val="0"/>
                <w:sz w:val="22"/>
                <w:szCs w:val="22"/>
                <w:lang w:bidi="ar"/>
              </w:rPr>
              <w:t>扣</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分，总分</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62E0C91">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4B3A1256">
            <w:pPr>
              <w:rPr>
                <w:rFonts w:hint="eastAsia" w:ascii="宋体" w:hAnsi="宋体" w:eastAsia="宋体" w:cs="宋体"/>
                <w:color w:val="auto"/>
                <w:sz w:val="22"/>
                <w:szCs w:val="22"/>
              </w:rPr>
            </w:pPr>
          </w:p>
        </w:tc>
      </w:tr>
      <w:tr w14:paraId="44497F65">
        <w:tblPrEx>
          <w:tblCellMar>
            <w:top w:w="0" w:type="dxa"/>
            <w:left w:w="108" w:type="dxa"/>
            <w:bottom w:w="0" w:type="dxa"/>
            <w:right w:w="108" w:type="dxa"/>
          </w:tblCellMar>
        </w:tblPrEx>
        <w:trPr>
          <w:trHeight w:val="508" w:hRule="atLeast"/>
        </w:trPr>
        <w:tc>
          <w:tcPr>
            <w:tcW w:w="8921" w:type="dxa"/>
            <w:gridSpan w:val="5"/>
            <w:tcBorders>
              <w:top w:val="nil"/>
              <w:left w:val="single" w:color="000000" w:sz="4" w:space="0"/>
              <w:bottom w:val="single" w:color="auto" w:sz="4" w:space="0"/>
              <w:right w:val="single" w:color="000000" w:sz="4" w:space="0"/>
            </w:tcBorders>
            <w:noWrap/>
            <w:vAlign w:val="center"/>
          </w:tcPr>
          <w:p w14:paraId="1BA37080">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最终得分</w:t>
            </w:r>
          </w:p>
        </w:tc>
        <w:tc>
          <w:tcPr>
            <w:tcW w:w="624" w:type="dxa"/>
            <w:tcBorders>
              <w:top w:val="nil"/>
              <w:left w:val="single" w:color="000000" w:sz="4" w:space="0"/>
              <w:bottom w:val="single" w:color="auto" w:sz="4" w:space="0"/>
              <w:right w:val="single" w:color="000000" w:sz="4" w:space="0"/>
            </w:tcBorders>
            <w:noWrap w:val="0"/>
            <w:vAlign w:val="center"/>
          </w:tcPr>
          <w:p w14:paraId="1F9F43D1">
            <w:pPr>
              <w:jc w:val="center"/>
              <w:rPr>
                <w:rFonts w:hint="eastAsia" w:ascii="宋体" w:hAnsi="宋体" w:eastAsia="宋体" w:cs="宋体"/>
                <w:color w:val="auto"/>
                <w:sz w:val="22"/>
                <w:szCs w:val="22"/>
              </w:rPr>
            </w:pPr>
          </w:p>
        </w:tc>
      </w:tr>
      <w:tr w14:paraId="5718ABEF">
        <w:tblPrEx>
          <w:tblCellMar>
            <w:top w:w="0" w:type="dxa"/>
            <w:left w:w="108" w:type="dxa"/>
            <w:bottom w:w="0" w:type="dxa"/>
            <w:right w:w="108" w:type="dxa"/>
          </w:tblCellMar>
        </w:tblPrEx>
        <w:trPr>
          <w:trHeight w:val="1713" w:hRule="atLeast"/>
        </w:trPr>
        <w:tc>
          <w:tcPr>
            <w:tcW w:w="9545" w:type="dxa"/>
            <w:gridSpan w:val="6"/>
            <w:tcBorders>
              <w:top w:val="single" w:color="auto" w:sz="4" w:space="0"/>
              <w:left w:val="single" w:color="auto" w:sz="4" w:space="0"/>
              <w:bottom w:val="single" w:color="auto" w:sz="4" w:space="0"/>
              <w:right w:val="single" w:color="auto" w:sz="4" w:space="0"/>
            </w:tcBorders>
            <w:noWrap w:val="0"/>
            <w:vAlign w:val="center"/>
          </w:tcPr>
          <w:p w14:paraId="010E1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rPr>
            </w:pPr>
            <w:r>
              <w:rPr>
                <w:rFonts w:hint="eastAsia" w:ascii="宋体" w:hAnsi="宋体" w:eastAsia="宋体" w:cs="宋体"/>
                <w:i w:val="0"/>
                <w:iCs w:val="0"/>
                <w:color w:val="auto"/>
                <w:kern w:val="0"/>
                <w:sz w:val="21"/>
                <w:szCs w:val="21"/>
                <w:lang w:val="en-US" w:eastAsia="zh-CN" w:bidi="ar"/>
              </w:rPr>
              <w:t>备注：</w:t>
            </w:r>
          </w:p>
          <w:p w14:paraId="69A1126E">
            <w:pPr>
              <w:pStyle w:val="8"/>
              <w:ind w:firstLine="420" w:firstLineChars="200"/>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 xml:space="preserve"> 甲方按季度组织对乙方的服务工作进行百分制考核,季度考核分数低于95分，每差一分扣减维保费用的1%,季度考核低于80分者，由甲方出具整改通知书并进行整改监督，拒不整改者，甲方有权根据考核结果扣减相应服务费后提前解除合同。</w:t>
            </w:r>
          </w:p>
          <w:p w14:paraId="2D743288">
            <w:pPr>
              <w:pStyle w:val="8"/>
              <w:ind w:firstLine="420" w:firstLineChars="200"/>
              <w:rPr>
                <w:rFonts w:hint="eastAsia" w:ascii="宋体" w:hAnsi="宋体" w:eastAsia="宋体" w:cs="宋体"/>
                <w:color w:val="auto"/>
              </w:rPr>
            </w:pPr>
            <w:r>
              <w:rPr>
                <w:rFonts w:hint="eastAsia" w:ascii="宋体" w:hAnsi="宋体" w:eastAsia="宋体" w:cs="宋体"/>
                <w:i w:val="0"/>
                <w:iCs w:val="0"/>
                <w:color w:val="auto"/>
                <w:kern w:val="0"/>
                <w:sz w:val="21"/>
                <w:szCs w:val="21"/>
                <w:lang w:val="en-US" w:eastAsia="zh-CN" w:bidi="ar"/>
              </w:rPr>
              <w:t>在合同履行过程中，因乙方原因造成重大安全事故或重大不良影响及舆情的，甲方有权解除合同。</w:t>
            </w:r>
          </w:p>
        </w:tc>
      </w:tr>
      <w:tr w14:paraId="0217C0DF">
        <w:tblPrEx>
          <w:tblCellMar>
            <w:top w:w="0" w:type="dxa"/>
            <w:left w:w="108" w:type="dxa"/>
            <w:bottom w:w="0" w:type="dxa"/>
            <w:right w:w="108" w:type="dxa"/>
          </w:tblCellMar>
        </w:tblPrEx>
        <w:trPr>
          <w:trHeight w:val="685" w:hRule="atLeast"/>
        </w:trPr>
        <w:tc>
          <w:tcPr>
            <w:tcW w:w="9545" w:type="dxa"/>
            <w:gridSpan w:val="6"/>
            <w:tcBorders>
              <w:top w:val="single" w:color="auto" w:sz="4" w:space="0"/>
              <w:left w:val="single" w:color="auto" w:sz="4" w:space="0"/>
              <w:bottom w:val="single" w:color="auto" w:sz="4" w:space="0"/>
              <w:right w:val="single" w:color="auto" w:sz="4" w:space="0"/>
            </w:tcBorders>
            <w:noWrap w:val="0"/>
            <w:vAlign w:val="center"/>
          </w:tcPr>
          <w:p w14:paraId="090230B9">
            <w:pPr>
              <w:widowControl/>
              <w:jc w:val="left"/>
              <w:textAlignment w:val="center"/>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乙方签字：                                        甲方签字：</w:t>
            </w:r>
          </w:p>
          <w:p w14:paraId="5B78606B">
            <w:pPr>
              <w:pStyle w:val="8"/>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br w:type="textWrapping"/>
            </w:r>
            <w:r>
              <w:rPr>
                <w:rFonts w:hint="eastAsia" w:ascii="宋体" w:hAnsi="宋体" w:eastAsia="宋体" w:cs="宋体"/>
                <w:i w:val="0"/>
                <w:iCs w:val="0"/>
                <w:color w:val="auto"/>
                <w:kern w:val="0"/>
                <w:sz w:val="21"/>
                <w:szCs w:val="21"/>
                <w:lang w:val="en-US" w:eastAsia="zh-CN" w:bidi="ar"/>
              </w:rPr>
              <w:t xml:space="preserve"> </w:t>
            </w:r>
            <w:r>
              <w:rPr>
                <w:rFonts w:hint="eastAsia" w:ascii="宋体" w:hAnsi="宋体" w:cs="宋体"/>
                <w:color w:val="auto"/>
                <w:kern w:val="0"/>
                <w:sz w:val="22"/>
                <w:szCs w:val="22"/>
                <w:lang w:bidi="ar"/>
              </w:rPr>
              <w:t xml:space="preserve">                         </w:t>
            </w:r>
            <w:r>
              <w:rPr>
                <w:rFonts w:hint="eastAsia" w:ascii="宋体" w:hAnsi="宋体" w:eastAsia="宋体" w:cs="宋体"/>
                <w:i w:val="0"/>
                <w:iCs w:val="0"/>
                <w:color w:val="auto"/>
                <w:kern w:val="0"/>
                <w:sz w:val="21"/>
                <w:szCs w:val="21"/>
                <w:lang w:val="en-US" w:eastAsia="zh-CN" w:bidi="ar"/>
              </w:rPr>
              <w:t xml:space="preserve">                       日 期：</w:t>
            </w:r>
          </w:p>
        </w:tc>
      </w:tr>
    </w:tbl>
    <w:p w14:paraId="1292A05B">
      <w:pPr>
        <w:pStyle w:val="8"/>
      </w:pPr>
    </w:p>
    <w:p w14:paraId="4E3B123E">
      <w:pPr>
        <w:pStyle w:val="2"/>
        <w:widowControl/>
        <w:adjustRightInd w:val="0"/>
        <w:snapToGrid w:val="0"/>
        <w:spacing w:before="0" w:after="0" w:line="500" w:lineRule="exact"/>
        <w:ind w:firstLine="720"/>
        <w:jc w:val="center"/>
        <w:rPr>
          <w:rFonts w:ascii="宋体" w:hAnsi="宋体" w:cs="宋体"/>
          <w:b w:val="0"/>
          <w:color w:val="auto"/>
          <w:sz w:val="36"/>
          <w:szCs w:val="36"/>
          <w:highlight w:val="none"/>
        </w:rPr>
      </w:pPr>
    </w:p>
    <w:p w14:paraId="1658F2D5">
      <w:pPr>
        <w:rPr>
          <w:color w:val="auto"/>
          <w:highlight w:val="none"/>
        </w:rPr>
      </w:pPr>
    </w:p>
    <w:p w14:paraId="330C27FF">
      <w:pPr>
        <w:rPr>
          <w:rFonts w:ascii="宋体" w:hAnsi="宋体" w:cs="宋体"/>
          <w:color w:val="auto"/>
          <w:sz w:val="36"/>
          <w:szCs w:val="36"/>
          <w:highlight w:val="none"/>
        </w:rPr>
      </w:pPr>
    </w:p>
    <w:p w14:paraId="60A05962">
      <w:pP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3BE3D089">
      <w:pPr>
        <w:pStyle w:val="2"/>
        <w:widowControl/>
        <w:adjustRightInd w:val="0"/>
        <w:snapToGrid w:val="0"/>
        <w:spacing w:before="0" w:after="0" w:line="500" w:lineRule="exact"/>
        <w:ind w:firstLine="720"/>
        <w:jc w:val="center"/>
        <w:rPr>
          <w:rFonts w:ascii="宋体" w:hAnsi="宋体" w:cs="宋体"/>
          <w:b w:val="0"/>
          <w:color w:val="auto"/>
          <w:highlight w:val="none"/>
        </w:rPr>
      </w:pPr>
      <w:r>
        <w:rPr>
          <w:rFonts w:hint="eastAsia" w:ascii="宋体" w:hAnsi="宋体" w:cs="宋体"/>
          <w:b w:val="0"/>
          <w:color w:val="auto"/>
          <w:sz w:val="36"/>
          <w:szCs w:val="36"/>
          <w:highlight w:val="none"/>
        </w:rPr>
        <w:t>第四部分  响应文件</w:t>
      </w:r>
      <w:bookmarkEnd w:id="56"/>
      <w:r>
        <w:rPr>
          <w:rFonts w:hint="eastAsia" w:ascii="宋体" w:hAnsi="宋体" w:cs="宋体"/>
          <w:b w:val="0"/>
          <w:color w:val="auto"/>
          <w:sz w:val="36"/>
          <w:szCs w:val="36"/>
          <w:highlight w:val="none"/>
        </w:rPr>
        <w:t>组成</w:t>
      </w:r>
      <w:bookmarkEnd w:id="58"/>
    </w:p>
    <w:p w14:paraId="5170546E">
      <w:pPr>
        <w:adjustRightInd w:val="0"/>
        <w:snapToGrid w:val="0"/>
        <w:spacing w:line="48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响应文件必须按照以下格式及要求进行制作、签署、密封和提交。（以下内容必须全部提供，</w:t>
      </w:r>
      <w:r>
        <w:rPr>
          <w:rFonts w:hint="eastAsia" w:ascii="宋体" w:hAnsi="宋体" w:cs="宋体"/>
          <w:b/>
          <w:bCs/>
          <w:color w:val="auto"/>
          <w:sz w:val="28"/>
          <w:szCs w:val="28"/>
          <w:highlight w:val="none"/>
          <w:lang w:val="zh-CN"/>
        </w:rPr>
        <w:t>并全部加盖</w:t>
      </w:r>
      <w:r>
        <w:rPr>
          <w:rFonts w:hint="eastAsia" w:ascii="宋体" w:hAnsi="宋体" w:cs="宋体"/>
          <w:b/>
          <w:bCs/>
          <w:color w:val="auto"/>
          <w:sz w:val="28"/>
          <w:szCs w:val="28"/>
          <w:highlight w:val="none"/>
        </w:rPr>
        <w:t>报价单位公章</w:t>
      </w:r>
      <w:r>
        <w:rPr>
          <w:rFonts w:hint="eastAsia" w:ascii="宋体" w:hAnsi="宋体" w:cs="宋体"/>
          <w:b/>
          <w:bCs/>
          <w:color w:val="auto"/>
          <w:sz w:val="28"/>
          <w:szCs w:val="28"/>
          <w:highlight w:val="none"/>
          <w:lang w:val="zh-CN"/>
        </w:rPr>
        <w:t>。</w:t>
      </w:r>
      <w:r>
        <w:rPr>
          <w:rFonts w:hint="eastAsia" w:ascii="宋体" w:hAnsi="宋体" w:cs="宋体"/>
          <w:b/>
          <w:bCs/>
          <w:color w:val="auto"/>
          <w:sz w:val="28"/>
          <w:szCs w:val="28"/>
          <w:highlight w:val="none"/>
        </w:rPr>
        <w:t>响应文件格式中要求签字的不可打印填写，否则视为无效响应。）</w:t>
      </w:r>
    </w:p>
    <w:p w14:paraId="2A373F3C">
      <w:pPr>
        <w:adjustRightInd w:val="0"/>
        <w:snapToGrid w:val="0"/>
        <w:spacing w:line="48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1.响应人符合《中华人民共和国政府采购法》第二十二条规定条件的声明函（格式见附件1）（如分公司参加响应的，另需提供总公司的授权证明）；</w:t>
      </w:r>
    </w:p>
    <w:p w14:paraId="2481AC54">
      <w:pPr>
        <w:adjustRightInd w:val="0"/>
        <w:snapToGrid w:val="0"/>
        <w:spacing w:line="48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2.法定代表人身份证明书（格式见附件2）、法人或者其他组织的营业执照等证明文件，自然人参加的提供身份证明；</w:t>
      </w:r>
    </w:p>
    <w:p w14:paraId="1DBCC997">
      <w:pPr>
        <w:adjustRightInd w:val="0"/>
        <w:snapToGrid w:val="0"/>
        <w:spacing w:line="48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3.法定代表人授权委托书原件（格式见附件3，法定代表人参加的，无需提供授权委托书），谈判代表本人身份证复印件；</w:t>
      </w:r>
    </w:p>
    <w:p w14:paraId="33F84D9D">
      <w:pPr>
        <w:adjustRightInd w:val="0"/>
        <w:snapToGrid w:val="0"/>
        <w:spacing w:line="480" w:lineRule="exact"/>
        <w:ind w:firstLine="560" w:firstLineChars="2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4</w:t>
      </w:r>
      <w:r>
        <w:rPr>
          <w:rFonts w:hint="eastAsia" w:ascii="宋体" w:hAnsi="宋体" w:cs="宋体"/>
          <w:color w:val="auto"/>
          <w:kern w:val="0"/>
          <w:sz w:val="28"/>
          <w:szCs w:val="28"/>
          <w:highlight w:val="none"/>
          <w:lang w:val="zh-CN"/>
        </w:rPr>
        <w:t>.询价响应函（格式见附件</w:t>
      </w:r>
      <w:r>
        <w:rPr>
          <w:rFonts w:hint="eastAsia" w:ascii="宋体" w:hAnsi="宋体" w:cs="宋体"/>
          <w:color w:val="auto"/>
          <w:kern w:val="0"/>
          <w:sz w:val="28"/>
          <w:szCs w:val="28"/>
          <w:highlight w:val="none"/>
        </w:rPr>
        <w:t>4</w:t>
      </w:r>
      <w:r>
        <w:rPr>
          <w:rFonts w:hint="eastAsia" w:ascii="宋体" w:hAnsi="宋体" w:cs="宋体"/>
          <w:color w:val="auto"/>
          <w:kern w:val="0"/>
          <w:sz w:val="28"/>
          <w:szCs w:val="28"/>
          <w:highlight w:val="none"/>
          <w:lang w:val="zh-CN"/>
        </w:rPr>
        <w:t>）；</w:t>
      </w:r>
    </w:p>
    <w:p w14:paraId="19CED459">
      <w:pPr>
        <w:adjustRightInd w:val="0"/>
        <w:snapToGrid w:val="0"/>
        <w:spacing w:line="480" w:lineRule="exact"/>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5.</w:t>
      </w:r>
      <w:r>
        <w:rPr>
          <w:rFonts w:hint="eastAsia" w:ascii="宋体" w:hAnsi="宋体" w:cs="宋体"/>
          <w:color w:val="auto"/>
          <w:sz w:val="28"/>
          <w:szCs w:val="28"/>
          <w:highlight w:val="none"/>
          <w:lang w:val="en-US" w:eastAsia="zh-CN"/>
        </w:rPr>
        <w:t>供应商具有有效的营业执照；</w:t>
      </w:r>
    </w:p>
    <w:p w14:paraId="0117E56D">
      <w:pPr>
        <w:adjustRightInd w:val="0"/>
        <w:snapToGrid w:val="0"/>
        <w:spacing w:line="480" w:lineRule="exact"/>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6.供应商须为社会消防技术服务信息系统中消防设施维护保养检测类企业，以“社会消防技术服务信息系统”https://shhxf.119.gov.cn)网站查询结果为准</w:t>
      </w:r>
      <w:r>
        <w:rPr>
          <w:rFonts w:hint="eastAsia" w:ascii="宋体" w:hAnsi="宋体" w:cs="宋体"/>
          <w:b/>
          <w:bCs/>
          <w:color w:val="auto"/>
          <w:sz w:val="28"/>
          <w:szCs w:val="28"/>
          <w:highlight w:val="none"/>
          <w:lang w:val="en-US" w:eastAsia="zh-CN"/>
        </w:rPr>
        <w:t>（提供“社会消防技术服务信息系统”网站查询结果截图）</w:t>
      </w:r>
      <w:r>
        <w:rPr>
          <w:rFonts w:hint="eastAsia" w:ascii="宋体" w:hAnsi="宋体" w:cs="宋体"/>
          <w:color w:val="auto"/>
          <w:sz w:val="28"/>
          <w:szCs w:val="28"/>
          <w:highlight w:val="none"/>
          <w:lang w:val="en-US" w:eastAsia="zh-CN"/>
        </w:rPr>
        <w:t>；</w:t>
      </w:r>
    </w:p>
    <w:p w14:paraId="53F1D5EC">
      <w:pPr>
        <w:adjustRightInd w:val="0"/>
        <w:snapToGrid w:val="0"/>
        <w:spacing w:line="480" w:lineRule="exact"/>
        <w:ind w:firstLine="560" w:firstLineChars="200"/>
        <w:jc w:val="left"/>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lang w:val="en-US" w:eastAsia="zh-CN"/>
        </w:rPr>
        <w:t>7.①拟派</w:t>
      </w:r>
      <w:r>
        <w:rPr>
          <w:rFonts w:hint="eastAsia" w:ascii="宋体" w:hAnsi="宋体" w:cs="宋体"/>
          <w:b/>
          <w:bCs/>
          <w:color w:val="auto"/>
          <w:sz w:val="28"/>
          <w:szCs w:val="28"/>
          <w:highlight w:val="none"/>
          <w:lang w:val="en-US" w:eastAsia="zh-CN"/>
        </w:rPr>
        <w:t>项目负责人</w:t>
      </w:r>
      <w:r>
        <w:rPr>
          <w:rFonts w:hint="eastAsia" w:ascii="宋体" w:hAnsi="宋体" w:cs="宋体"/>
          <w:color w:val="auto"/>
          <w:sz w:val="28"/>
          <w:szCs w:val="28"/>
          <w:highlight w:val="none"/>
          <w:lang w:val="en-US" w:eastAsia="zh-CN"/>
        </w:rPr>
        <w:t>具有一级注册消防工程师执业资格和二级建造师证书；②拟派</w:t>
      </w:r>
      <w:r>
        <w:rPr>
          <w:rFonts w:hint="eastAsia" w:ascii="宋体" w:hAnsi="宋体" w:cs="宋体"/>
          <w:b/>
          <w:bCs/>
          <w:color w:val="auto"/>
          <w:sz w:val="28"/>
          <w:szCs w:val="28"/>
          <w:highlight w:val="none"/>
          <w:lang w:val="en-US" w:eastAsia="zh-CN"/>
        </w:rPr>
        <w:t>技术负责人</w:t>
      </w:r>
      <w:r>
        <w:rPr>
          <w:rFonts w:hint="eastAsia" w:ascii="宋体" w:hAnsi="宋体" w:cs="宋体"/>
          <w:color w:val="auto"/>
          <w:sz w:val="28"/>
          <w:szCs w:val="28"/>
          <w:highlight w:val="none"/>
          <w:lang w:val="en-US" w:eastAsia="zh-CN"/>
        </w:rPr>
        <w:t>具有一级注册消防工程师执业资格证书；③</w:t>
      </w:r>
      <w:r>
        <w:rPr>
          <w:rFonts w:hint="eastAsia" w:ascii="宋体" w:hAnsi="宋体" w:cs="宋体"/>
          <w:b/>
          <w:bCs/>
          <w:color w:val="auto"/>
          <w:sz w:val="28"/>
          <w:szCs w:val="28"/>
          <w:highlight w:val="none"/>
          <w:lang w:val="en-US" w:eastAsia="zh-CN"/>
        </w:rPr>
        <w:t>拟派维保人员（不少于4人）</w:t>
      </w:r>
      <w:r>
        <w:rPr>
          <w:rFonts w:hint="eastAsia" w:ascii="宋体" w:hAnsi="宋体" w:cs="宋体"/>
          <w:color w:val="auto"/>
          <w:sz w:val="28"/>
          <w:szCs w:val="28"/>
          <w:highlight w:val="none"/>
          <w:lang w:val="en-US" w:eastAsia="zh-CN"/>
        </w:rPr>
        <w:t>具有建构筑消防职业资格中级及以上证书或消防设施操作员（消防设施检测维修保养）国家职业资格中级及以上证书；</w:t>
      </w:r>
      <w:r>
        <w:rPr>
          <w:rFonts w:hint="eastAsia" w:ascii="宋体" w:hAnsi="宋体" w:cs="宋体"/>
          <w:b/>
          <w:bCs/>
          <w:color w:val="auto"/>
          <w:sz w:val="28"/>
          <w:szCs w:val="28"/>
          <w:highlight w:val="none"/>
          <w:lang w:val="en-US" w:eastAsia="zh-CN"/>
        </w:rPr>
        <w:t>及供应商所在地社保机构出具的由供应商为上述所有人员缴纳的本招标公告发布之日前三个月内任意一个月的养老保险缴费证明。（供应商如为成立不足一个月的新公司，可以不提交养老保险缴费证明）</w:t>
      </w:r>
    </w:p>
    <w:p w14:paraId="22AFD6E3">
      <w:pPr>
        <w:adjustRightInd w:val="0"/>
        <w:snapToGrid w:val="0"/>
        <w:spacing w:line="480" w:lineRule="exact"/>
        <w:ind w:firstLine="560" w:firstLineChars="200"/>
        <w:jc w:val="left"/>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lang w:val="en-US" w:eastAsia="zh-CN"/>
        </w:rPr>
        <w:t>8.供应商自2023年1月1日（以合同签订时间为准）以来，承担过消防维保项目；</w:t>
      </w:r>
      <w:r>
        <w:rPr>
          <w:rFonts w:hint="eastAsia" w:ascii="宋体" w:hAnsi="宋体" w:cs="宋体"/>
          <w:b/>
          <w:bCs/>
          <w:color w:val="auto"/>
          <w:sz w:val="28"/>
          <w:szCs w:val="28"/>
          <w:highlight w:val="none"/>
          <w:lang w:val="en-US" w:eastAsia="zh-CN"/>
        </w:rPr>
        <w:t>（提供合同复印件并加盖公章）</w:t>
      </w:r>
    </w:p>
    <w:p w14:paraId="3206CBC7">
      <w:pPr>
        <w:adjustRightInd w:val="0"/>
        <w:snapToGrid w:val="0"/>
        <w:spacing w:line="480" w:lineRule="exact"/>
        <w:ind w:firstLine="560" w:firstLineChars="200"/>
        <w:jc w:val="left"/>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lang w:val="en-US" w:eastAsia="zh-CN"/>
        </w:rPr>
        <w:t>9.未被“信用中国”网站（www.creditchina.gov.cn）列入失信被执行人、重大税收违法案件当事人名单、政府采购严重失信行为记录名单。</w:t>
      </w:r>
      <w:r>
        <w:rPr>
          <w:rFonts w:hint="eastAsia" w:ascii="宋体" w:hAnsi="宋体" w:cs="宋体"/>
          <w:b/>
          <w:bCs/>
          <w:color w:val="auto"/>
          <w:sz w:val="28"/>
          <w:szCs w:val="28"/>
          <w:highlight w:val="none"/>
          <w:lang w:val="en-US" w:eastAsia="zh-CN"/>
        </w:rPr>
        <w:t>（提供网页截图）</w:t>
      </w:r>
    </w:p>
    <w:p w14:paraId="6335CBD3">
      <w:pPr>
        <w:adjustRightInd w:val="0"/>
        <w:snapToGrid w:val="0"/>
        <w:spacing w:line="48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.投标报价表（格式见附件</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w:t>
      </w:r>
    </w:p>
    <w:p w14:paraId="59ED3E3A">
      <w:pPr>
        <w:adjustRightInd w:val="0"/>
        <w:snapToGrid w:val="0"/>
        <w:spacing w:line="48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.中小微企业声明函、福利企业等的说明材料（格式见附件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w:t>
      </w:r>
    </w:p>
    <w:p w14:paraId="2DCABF7D">
      <w:pPr>
        <w:adjustRightInd w:val="0"/>
        <w:snapToGrid w:val="0"/>
        <w:spacing w:line="480" w:lineRule="exact"/>
        <w:ind w:firstLine="562" w:firstLineChars="200"/>
        <w:jc w:val="left"/>
        <w:rPr>
          <w:rFonts w:ascii="宋体" w:hAnsi="宋体" w:cs="宋体"/>
          <w:color w:val="auto"/>
          <w:highlight w:val="none"/>
          <w:lang w:val="zh-CN"/>
        </w:rPr>
      </w:pPr>
      <w:r>
        <w:rPr>
          <w:rFonts w:hint="eastAsia" w:ascii="宋体" w:hAnsi="宋体" w:cs="宋体"/>
          <w:b/>
          <w:bCs/>
          <w:color w:val="auto"/>
          <w:sz w:val="28"/>
          <w:szCs w:val="28"/>
          <w:highlight w:val="none"/>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0C8EE771">
      <w:pPr>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p>
    <w:p w14:paraId="0D0F12DB">
      <w:pPr>
        <w:snapToGrid w:val="0"/>
        <w:spacing w:line="400" w:lineRule="exact"/>
        <w:contextualSpacing/>
        <w:rPr>
          <w:rFonts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6A22547E">
      <w:pPr>
        <w:jc w:val="center"/>
        <w:rPr>
          <w:rFonts w:ascii="宋体" w:hAnsi="宋体"/>
          <w:b/>
          <w:color w:val="auto"/>
          <w:sz w:val="30"/>
          <w:szCs w:val="30"/>
          <w:highlight w:val="none"/>
        </w:rPr>
      </w:pPr>
      <w:r>
        <w:rPr>
          <w:rFonts w:hint="eastAsia" w:ascii="宋体" w:hAnsi="宋体"/>
          <w:b/>
          <w:color w:val="auto"/>
          <w:sz w:val="30"/>
          <w:szCs w:val="30"/>
          <w:highlight w:val="none"/>
        </w:rPr>
        <w:t>响应人符合《中华人民共和国政府采购法》第二十二条规定条件的声明函</w:t>
      </w:r>
    </w:p>
    <w:p w14:paraId="42105D95">
      <w:pPr>
        <w:spacing w:line="460" w:lineRule="exact"/>
        <w:rPr>
          <w:rFonts w:ascii="宋体" w:hAnsi="宋体"/>
          <w:b/>
          <w:bCs/>
          <w:color w:val="auto"/>
          <w:sz w:val="44"/>
          <w:szCs w:val="44"/>
          <w:highlight w:val="none"/>
        </w:rPr>
      </w:pPr>
    </w:p>
    <w:p w14:paraId="08E307FB">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u w:val="single"/>
        </w:rPr>
        <w:t>__________________</w:t>
      </w:r>
      <w:r>
        <w:rPr>
          <w:rFonts w:hint="eastAsia" w:ascii="宋体" w:hAnsi="宋体"/>
          <w:bCs/>
          <w:color w:val="auto"/>
          <w:sz w:val="24"/>
          <w:szCs w:val="21"/>
          <w:highlight w:val="none"/>
        </w:rPr>
        <w:t>（项目名称）响应活动。针对《中华人民共和国政府采购法》第二十二条规定做出如下声明：</w:t>
      </w:r>
    </w:p>
    <w:p w14:paraId="08B5DC6A">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43D572C6">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6EA0EC78">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2E9CAFEE">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4C160C83">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4EAC945">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3E382113">
      <w:pPr>
        <w:spacing w:line="500" w:lineRule="exact"/>
        <w:ind w:firstLine="482"/>
        <w:rPr>
          <w:rFonts w:ascii="宋体" w:hAnsi="宋体"/>
          <w:color w:val="auto"/>
          <w:sz w:val="24"/>
          <w:highlight w:val="none"/>
        </w:rPr>
      </w:pPr>
    </w:p>
    <w:p w14:paraId="0A59BAE9">
      <w:pPr>
        <w:spacing w:line="500" w:lineRule="exact"/>
        <w:rPr>
          <w:rFonts w:ascii="宋体" w:hAnsi="宋体"/>
          <w:color w:val="auto"/>
          <w:sz w:val="24"/>
          <w:highlight w:val="none"/>
        </w:rPr>
      </w:pPr>
    </w:p>
    <w:p w14:paraId="2F642A6D">
      <w:pPr>
        <w:spacing w:line="500" w:lineRule="exact"/>
        <w:rPr>
          <w:rFonts w:ascii="宋体" w:hAnsi="宋体"/>
          <w:bCs/>
          <w:color w:val="auto"/>
          <w:sz w:val="24"/>
          <w:szCs w:val="21"/>
          <w:highlight w:val="none"/>
        </w:rPr>
      </w:pPr>
    </w:p>
    <w:p w14:paraId="30BC70C3">
      <w:pPr>
        <w:spacing w:line="500" w:lineRule="exact"/>
        <w:rPr>
          <w:rFonts w:ascii="宋体" w:hAnsi="宋体"/>
          <w:bCs/>
          <w:color w:val="auto"/>
          <w:sz w:val="24"/>
          <w:szCs w:val="21"/>
          <w:highlight w:val="none"/>
        </w:rPr>
      </w:pPr>
    </w:p>
    <w:p w14:paraId="483EC886">
      <w:pPr>
        <w:spacing w:line="500" w:lineRule="exact"/>
        <w:rPr>
          <w:rFonts w:ascii="宋体" w:hAnsi="宋体"/>
          <w:bCs/>
          <w:color w:val="auto"/>
          <w:sz w:val="24"/>
          <w:szCs w:val="21"/>
          <w:highlight w:val="none"/>
        </w:rPr>
      </w:pPr>
    </w:p>
    <w:p w14:paraId="2B9F94CC">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241C20F7">
      <w:pPr>
        <w:spacing w:line="460" w:lineRule="exact"/>
        <w:jc w:val="right"/>
        <w:rPr>
          <w:rFonts w:ascii="宋体" w:hAnsi="宋体"/>
          <w:bCs/>
          <w:color w:val="auto"/>
          <w:sz w:val="24"/>
          <w:szCs w:val="21"/>
          <w:highlight w:val="none"/>
        </w:rPr>
      </w:pPr>
    </w:p>
    <w:p w14:paraId="662968D0">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single"/>
        </w:rPr>
        <w:t>______</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24EDCACE">
      <w:pPr>
        <w:spacing w:line="360" w:lineRule="auto"/>
        <w:ind w:firstLine="480"/>
        <w:rPr>
          <w:rFonts w:ascii="宋体" w:hAnsi="宋体" w:cs="宋体"/>
          <w:bCs/>
          <w:color w:val="auto"/>
          <w:sz w:val="24"/>
          <w:szCs w:val="21"/>
          <w:highlight w:val="none"/>
        </w:rPr>
      </w:pPr>
      <w:r>
        <w:rPr>
          <w:rFonts w:hint="eastAsia" w:ascii="宋体" w:hAnsi="宋体" w:cs="宋体"/>
          <w:bCs/>
          <w:color w:val="auto"/>
          <w:sz w:val="24"/>
          <w:szCs w:val="21"/>
          <w:highlight w:val="none"/>
        </w:rPr>
        <w:br w:type="page"/>
      </w:r>
    </w:p>
    <w:p w14:paraId="188EB7FA">
      <w:pPr>
        <w:jc w:val="left"/>
        <w:rPr>
          <w:rFonts w:ascii="宋体" w:hAnsi="宋体" w:cs="宋体"/>
          <w:bCs/>
          <w:color w:val="auto"/>
          <w:sz w:val="32"/>
          <w:szCs w:val="32"/>
          <w:highlight w:val="none"/>
        </w:rPr>
      </w:pPr>
      <w:r>
        <w:rPr>
          <w:rFonts w:hint="eastAsia" w:ascii="宋体" w:hAnsi="宋体" w:cs="宋体"/>
          <w:bCs/>
          <w:color w:val="auto"/>
          <w:sz w:val="32"/>
          <w:szCs w:val="32"/>
          <w:highlight w:val="none"/>
        </w:rPr>
        <w:t>附件2</w:t>
      </w:r>
    </w:p>
    <w:p w14:paraId="38F087AF">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7E920815">
      <w:pPr>
        <w:spacing w:line="480" w:lineRule="exact"/>
        <w:rPr>
          <w:rFonts w:ascii="宋体" w:hAnsi="宋体"/>
          <w:color w:val="auto"/>
          <w:sz w:val="24"/>
          <w:highlight w:val="none"/>
        </w:rPr>
      </w:pPr>
    </w:p>
    <w:p w14:paraId="434D00B8">
      <w:pPr>
        <w:spacing w:line="480" w:lineRule="exact"/>
        <w:ind w:firstLine="480"/>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ascii="宋体" w:hAnsi="宋体"/>
          <w:color w:val="auto"/>
          <w:sz w:val="24"/>
          <w:highlight w:val="none"/>
          <w:u w:val="single"/>
        </w:rPr>
        <w:t xml:space="preserve">                                 </w:t>
      </w:r>
      <w:r>
        <w:rPr>
          <w:rFonts w:hint="eastAsia" w:ascii="宋体" w:hAnsi="宋体"/>
          <w:color w:val="auto"/>
          <w:sz w:val="24"/>
          <w:highlight w:val="none"/>
        </w:rPr>
        <w:t>，</w:t>
      </w:r>
    </w:p>
    <w:p w14:paraId="7C216CAE">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2953473F">
      <w:pPr>
        <w:spacing w:line="480" w:lineRule="exact"/>
        <w:ind w:firstLine="480"/>
        <w:rPr>
          <w:rFonts w:ascii="宋体" w:hAnsi="宋体"/>
          <w:color w:val="auto"/>
          <w:sz w:val="24"/>
          <w:highlight w:val="none"/>
        </w:rPr>
      </w:pPr>
    </w:p>
    <w:p w14:paraId="7AE1156C">
      <w:pPr>
        <w:spacing w:after="120"/>
        <w:rPr>
          <w:rFonts w:ascii="Times New Roman" w:hAnsi="Times New Roman"/>
          <w:color w:val="auto"/>
          <w:szCs w:val="20"/>
          <w:highlight w:val="none"/>
        </w:rPr>
      </w:pPr>
    </w:p>
    <w:p w14:paraId="0DCD5633">
      <w:pPr>
        <w:adjustRightInd w:val="0"/>
        <w:spacing w:line="480" w:lineRule="auto"/>
        <w:ind w:left="3255" w:leftChars="1550" w:firstLine="210" w:firstLineChars="100"/>
        <w:rPr>
          <w:rFonts w:ascii="Times New Roman" w:hAnsi="Times New Roman"/>
          <w:color w:val="auto"/>
          <w:highlight w:val="none"/>
        </w:rPr>
      </w:pPr>
    </w:p>
    <w:p w14:paraId="27FFD2C3">
      <w:pPr>
        <w:adjustRightInd w:val="0"/>
        <w:spacing w:line="480" w:lineRule="auto"/>
        <w:ind w:left="3255" w:leftChars="1550" w:firstLine="240" w:firstLineChars="100"/>
        <w:rPr>
          <w:rFonts w:ascii="宋体" w:hAnsi="宋体"/>
          <w:color w:val="auto"/>
          <w:sz w:val="24"/>
          <w:highlight w:val="none"/>
        </w:rPr>
      </w:pPr>
      <w:r>
        <w:rPr>
          <w:rFonts w:hint="eastAsia" w:ascii="宋体" w:hAnsi="宋体"/>
          <w:color w:val="auto"/>
          <w:sz w:val="24"/>
          <w:highlight w:val="none"/>
        </w:rPr>
        <w:t>单位名称(盖公章)：</w:t>
      </w:r>
      <w:r>
        <w:rPr>
          <w:rFonts w:ascii="宋体" w:hAnsi="宋体"/>
          <w:color w:val="auto"/>
          <w:sz w:val="24"/>
          <w:highlight w:val="none"/>
          <w:u w:val="single"/>
        </w:rPr>
        <w:t xml:space="preserve">                 </w:t>
      </w:r>
    </w:p>
    <w:p w14:paraId="1C454681">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28AE772A">
      <w:pPr>
        <w:rPr>
          <w:rFonts w:ascii="Times New Roman" w:hAnsi="Times New Roman"/>
          <w:color w:val="auto"/>
          <w:highlight w:val="none"/>
        </w:rPr>
      </w:pPr>
    </w:p>
    <w:p w14:paraId="481E57DB">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eastAsia="zh-CN"/>
        </w:rPr>
        <w:t>正反面</w:t>
      </w:r>
      <w:r>
        <w:rPr>
          <w:rFonts w:hint="eastAsia" w:ascii="宋体" w:hAnsi="宋体"/>
          <w:b/>
          <w:color w:val="auto"/>
          <w:sz w:val="24"/>
          <w:highlight w:val="none"/>
        </w:rPr>
        <w:t>复印件盖单位公章</w:t>
      </w:r>
    </w:p>
    <w:p w14:paraId="1DA4FA41">
      <w:pPr>
        <w:adjustRightInd w:val="0"/>
        <w:snapToGrid w:val="0"/>
        <w:spacing w:line="312" w:lineRule="auto"/>
        <w:ind w:firstLine="562" w:firstLineChars="200"/>
        <w:jc w:val="left"/>
        <w:rPr>
          <w:rFonts w:ascii="宋体" w:hAnsi="宋体" w:cs="宋体"/>
          <w:b/>
          <w:color w:val="auto"/>
          <w:sz w:val="28"/>
          <w:szCs w:val="28"/>
          <w:highlight w:val="none"/>
        </w:rPr>
      </w:pPr>
    </w:p>
    <w:p w14:paraId="420E4C77">
      <w:pPr>
        <w:adjustRightInd w:val="0"/>
        <w:snapToGrid w:val="0"/>
        <w:spacing w:line="312" w:lineRule="auto"/>
        <w:jc w:val="left"/>
        <w:rPr>
          <w:rFonts w:ascii="宋体" w:hAnsi="宋体" w:cs="宋体"/>
          <w:color w:val="auto"/>
          <w:sz w:val="32"/>
          <w:szCs w:val="32"/>
          <w:highlight w:val="none"/>
        </w:rPr>
      </w:pPr>
      <w:r>
        <w:rPr>
          <w:rFonts w:hint="eastAsia" w:ascii="宋体" w:hAnsi="宋体" w:cs="宋体"/>
          <w:b/>
          <w:bCs/>
          <w:color w:val="auto"/>
          <w:sz w:val="28"/>
          <w:szCs w:val="28"/>
          <w:highlight w:val="none"/>
        </w:rPr>
        <w:br w:type="page"/>
      </w:r>
      <w:r>
        <w:rPr>
          <w:rFonts w:hint="eastAsia" w:ascii="宋体" w:hAnsi="宋体" w:cs="宋体"/>
          <w:color w:val="auto"/>
          <w:sz w:val="32"/>
          <w:szCs w:val="32"/>
          <w:highlight w:val="none"/>
        </w:rPr>
        <w:t>附件3</w:t>
      </w:r>
    </w:p>
    <w:p w14:paraId="268EADAC">
      <w:pPr>
        <w:ind w:firstLine="643"/>
        <w:jc w:val="center"/>
        <w:rPr>
          <w:rFonts w:ascii="宋体" w:hAnsi="宋体" w:cs="宋体"/>
          <w:b/>
          <w:bCs/>
          <w:color w:val="auto"/>
          <w:sz w:val="32"/>
          <w:szCs w:val="40"/>
          <w:highlight w:val="none"/>
        </w:rPr>
      </w:pPr>
      <w:r>
        <w:rPr>
          <w:rFonts w:hint="eastAsia" w:ascii="宋体" w:hAnsi="宋体" w:cs="宋体"/>
          <w:b/>
          <w:bCs/>
          <w:color w:val="auto"/>
          <w:sz w:val="32"/>
          <w:szCs w:val="40"/>
          <w:highlight w:val="none"/>
        </w:rPr>
        <w:t>法定代表人授权委托书</w:t>
      </w:r>
    </w:p>
    <w:p w14:paraId="647A6035">
      <w:pPr>
        <w:adjustRightInd w:val="0"/>
        <w:snapToGrid w:val="0"/>
        <w:spacing w:line="312" w:lineRule="auto"/>
        <w:ind w:firstLine="480" w:firstLineChars="200"/>
        <w:jc w:val="left"/>
        <w:rPr>
          <w:rFonts w:ascii="宋体" w:hAnsi="宋体" w:cs="宋体"/>
          <w:color w:val="auto"/>
          <w:sz w:val="24"/>
          <w:highlight w:val="none"/>
        </w:rPr>
      </w:pPr>
    </w:p>
    <w:p w14:paraId="7391DF28">
      <w:pPr>
        <w:adjustRightInd w:val="0"/>
        <w:snapToGrid w:val="0"/>
        <w:spacing w:line="312" w:lineRule="auto"/>
        <w:jc w:val="left"/>
        <w:rPr>
          <w:rFonts w:ascii="宋体" w:hAnsi="宋体" w:cs="宋体"/>
          <w:color w:val="auto"/>
          <w:sz w:val="28"/>
          <w:szCs w:val="28"/>
          <w:highlight w:val="none"/>
        </w:rPr>
      </w:pPr>
      <w:r>
        <w:rPr>
          <w:rFonts w:hint="eastAsia" w:ascii="宋体" w:hAnsi="宋体" w:cs="宋体"/>
          <w:color w:val="auto"/>
          <w:sz w:val="28"/>
          <w:szCs w:val="28"/>
          <w:highlight w:val="none"/>
          <w:u w:val="single"/>
        </w:rPr>
        <w:t>启东港腾资产经营管理有限公司</w:t>
      </w:r>
      <w:r>
        <w:rPr>
          <w:rFonts w:hint="eastAsia" w:ascii="宋体" w:hAnsi="宋体" w:cs="宋体"/>
          <w:color w:val="auto"/>
          <w:sz w:val="28"/>
          <w:szCs w:val="28"/>
          <w:highlight w:val="none"/>
        </w:rPr>
        <w:t>：</w:t>
      </w:r>
    </w:p>
    <w:p w14:paraId="0A6950B7">
      <w:pPr>
        <w:adjustRightInd w:val="0"/>
        <w:snapToGrid w:val="0"/>
        <w:spacing w:line="312"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本授权书声明：</w:t>
      </w:r>
    </w:p>
    <w:p w14:paraId="18B470FE">
      <w:pPr>
        <w:adjustRightInd w:val="0"/>
        <w:snapToGrid w:val="0"/>
        <w:spacing w:line="312" w:lineRule="auto"/>
        <w:ind w:firstLine="560" w:firstLineChars="200"/>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我</w:t>
      </w:r>
      <w:r>
        <w:rPr>
          <w:rFonts w:hint="eastAsia" w:ascii="宋体" w:hAnsi="宋体" w:cs="宋体"/>
          <w:color w:val="auto"/>
          <w:sz w:val="28"/>
          <w:szCs w:val="28"/>
          <w:highlight w:val="none"/>
          <w:u w:val="single"/>
        </w:rPr>
        <w:t>（姓名）</w:t>
      </w: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（响应供应商全称）</w:t>
      </w:r>
      <w:r>
        <w:rPr>
          <w:rFonts w:hint="eastAsia" w:ascii="宋体" w:hAnsi="宋体" w:cs="宋体"/>
          <w:color w:val="auto"/>
          <w:sz w:val="28"/>
          <w:szCs w:val="28"/>
          <w:highlight w:val="none"/>
        </w:rPr>
        <w:t>的法定代表人，现授权</w:t>
      </w:r>
      <w:r>
        <w:rPr>
          <w:rFonts w:hint="eastAsia" w:ascii="宋体" w:hAnsi="宋体" w:cs="宋体"/>
          <w:color w:val="auto"/>
          <w:sz w:val="28"/>
          <w:szCs w:val="28"/>
          <w:highlight w:val="none"/>
          <w:u w:val="single"/>
        </w:rPr>
        <w:t xml:space="preserve">（姓名） </w:t>
      </w:r>
      <w:r>
        <w:rPr>
          <w:rFonts w:hint="eastAsia" w:ascii="宋体" w:hAnsi="宋体" w:cs="宋体"/>
          <w:color w:val="auto"/>
          <w:sz w:val="28"/>
          <w:szCs w:val="28"/>
          <w:highlight w:val="none"/>
        </w:rPr>
        <w:t>为我公司的授权委托人（即代理人），以我公司的名义参加采购</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项目的响应报价，全权代表我公司处理本次询价采购的一切事宜。</w:t>
      </w:r>
    </w:p>
    <w:p w14:paraId="7F6414C8">
      <w:pPr>
        <w:adjustRightInd w:val="0"/>
        <w:snapToGrid w:val="0"/>
        <w:spacing w:line="312"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授权委托人（即代理人）在采购过程中所签署的一切文件、报价、承诺和处理与之有关的一切事项，我均予以承认。</w:t>
      </w:r>
    </w:p>
    <w:p w14:paraId="15902B44">
      <w:pPr>
        <w:adjustRightInd w:val="0"/>
        <w:snapToGrid w:val="0"/>
        <w:spacing w:line="312"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授权委托人无转委权。</w:t>
      </w:r>
    </w:p>
    <w:p w14:paraId="2EFFAFEA">
      <w:pPr>
        <w:spacing w:line="312" w:lineRule="auto"/>
        <w:ind w:firstLine="560"/>
        <w:rPr>
          <w:rFonts w:ascii="宋体" w:hAnsi="宋体" w:cs="宋体"/>
          <w:color w:val="auto"/>
          <w:sz w:val="28"/>
          <w:szCs w:val="28"/>
          <w:highlight w:val="none"/>
        </w:rPr>
      </w:pPr>
    </w:p>
    <w:p w14:paraId="1098B5EC">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授权委托人</w:t>
      </w:r>
      <w:r>
        <w:rPr>
          <w:rFonts w:hint="eastAsia" w:ascii="宋体" w:hAnsi="宋体" w:cs="宋体"/>
          <w:color w:val="auto"/>
          <w:sz w:val="28"/>
          <w:szCs w:val="28"/>
          <w:highlight w:val="none"/>
          <w:lang w:bidi="ar"/>
        </w:rPr>
        <w:t>（</w:t>
      </w:r>
      <w:r>
        <w:rPr>
          <w:rFonts w:hint="eastAsia" w:ascii="宋体" w:hAnsi="宋体" w:cs="宋体"/>
          <w:b/>
          <w:bCs/>
          <w:color w:val="auto"/>
          <w:sz w:val="28"/>
          <w:szCs w:val="28"/>
          <w:highlight w:val="none"/>
          <w:lang w:bidi="ar"/>
        </w:rPr>
        <w:t>签字或盖章</w:t>
      </w:r>
      <w:r>
        <w:rPr>
          <w:rFonts w:hint="eastAsia" w:ascii="宋体" w:hAnsi="宋体" w:cs="宋体"/>
          <w:color w:val="auto"/>
          <w:sz w:val="28"/>
          <w:szCs w:val="28"/>
          <w:highlight w:val="none"/>
          <w:lang w:bidi="ar"/>
        </w:rPr>
        <w:t>）：</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性别：</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年龄：</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职务：</w:t>
      </w:r>
      <w:r>
        <w:rPr>
          <w:rFonts w:hint="eastAsia" w:ascii="宋体" w:hAnsi="宋体" w:cs="宋体"/>
          <w:color w:val="auto"/>
          <w:sz w:val="28"/>
          <w:szCs w:val="28"/>
          <w:highlight w:val="none"/>
          <w:u w:val="single"/>
          <w:lang w:bidi="ar"/>
        </w:rPr>
        <w:t xml:space="preserve">       </w:t>
      </w:r>
    </w:p>
    <w:p w14:paraId="409CB499">
      <w:pPr>
        <w:spacing w:line="440" w:lineRule="exact"/>
        <w:ind w:firstLine="560"/>
        <w:rPr>
          <w:rFonts w:ascii="宋体" w:hAnsi="宋体" w:cs="宋体"/>
          <w:color w:val="auto"/>
          <w:sz w:val="28"/>
          <w:szCs w:val="28"/>
          <w:highlight w:val="none"/>
        </w:rPr>
      </w:pPr>
    </w:p>
    <w:p w14:paraId="6820C3A0">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bidi="ar"/>
        </w:rPr>
        <w:t>身份证号码：</w:t>
      </w:r>
      <w:r>
        <w:rPr>
          <w:rFonts w:hint="eastAsia" w:ascii="宋体" w:hAnsi="宋体" w:cs="宋体"/>
          <w:color w:val="auto"/>
          <w:sz w:val="28"/>
          <w:szCs w:val="28"/>
          <w:highlight w:val="none"/>
          <w:u w:val="single"/>
          <w:lang w:bidi="ar"/>
        </w:rPr>
        <w:t xml:space="preserve">                                       </w:t>
      </w:r>
    </w:p>
    <w:p w14:paraId="6462A814">
      <w:pPr>
        <w:spacing w:line="440" w:lineRule="exact"/>
        <w:ind w:firstLine="560"/>
        <w:rPr>
          <w:rFonts w:ascii="宋体" w:hAnsi="宋体" w:cs="宋体"/>
          <w:color w:val="auto"/>
          <w:sz w:val="28"/>
          <w:szCs w:val="28"/>
          <w:highlight w:val="none"/>
        </w:rPr>
      </w:pPr>
    </w:p>
    <w:p w14:paraId="3546F7DC">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bidi="ar"/>
        </w:rPr>
        <w:t>通讯地址：</w:t>
      </w:r>
      <w:r>
        <w:rPr>
          <w:rFonts w:hint="eastAsia" w:ascii="宋体" w:hAnsi="宋体" w:cs="宋体"/>
          <w:color w:val="auto"/>
          <w:sz w:val="28"/>
          <w:szCs w:val="28"/>
          <w:highlight w:val="none"/>
          <w:u w:val="single"/>
          <w:lang w:bidi="ar"/>
        </w:rPr>
        <w:t xml:space="preserve">                                         </w:t>
      </w:r>
    </w:p>
    <w:p w14:paraId="074A60DF">
      <w:pPr>
        <w:spacing w:line="440" w:lineRule="exact"/>
        <w:ind w:firstLine="560"/>
        <w:rPr>
          <w:rFonts w:ascii="宋体" w:hAnsi="宋体" w:cs="宋体"/>
          <w:color w:val="auto"/>
          <w:sz w:val="28"/>
          <w:szCs w:val="28"/>
          <w:highlight w:val="none"/>
        </w:rPr>
      </w:pPr>
    </w:p>
    <w:p w14:paraId="4781D057">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bidi="ar"/>
        </w:rPr>
        <w:t>联系电话：</w:t>
      </w:r>
      <w:r>
        <w:rPr>
          <w:rFonts w:hint="eastAsia" w:ascii="宋体" w:hAnsi="宋体" w:cs="宋体"/>
          <w:color w:val="auto"/>
          <w:sz w:val="28"/>
          <w:szCs w:val="28"/>
          <w:highlight w:val="none"/>
          <w:u w:val="single"/>
          <w:lang w:bidi="ar"/>
        </w:rPr>
        <w:t xml:space="preserve">                                         </w:t>
      </w:r>
    </w:p>
    <w:p w14:paraId="493AAC01">
      <w:pPr>
        <w:spacing w:line="440" w:lineRule="exact"/>
        <w:ind w:firstLine="560"/>
        <w:rPr>
          <w:rFonts w:ascii="宋体" w:hAnsi="宋体" w:cs="宋体"/>
          <w:color w:val="auto"/>
          <w:sz w:val="28"/>
          <w:szCs w:val="28"/>
          <w:highlight w:val="none"/>
        </w:rPr>
      </w:pPr>
    </w:p>
    <w:p w14:paraId="0B33DE5B">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bidi="ar"/>
        </w:rPr>
        <w:t>法定代表人（签字或盖章）：</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 xml:space="preserve"> </w:t>
      </w:r>
    </w:p>
    <w:p w14:paraId="639E0D30">
      <w:pPr>
        <w:spacing w:line="440" w:lineRule="exact"/>
        <w:ind w:firstLine="560"/>
        <w:rPr>
          <w:rFonts w:ascii="宋体" w:hAnsi="宋体" w:cs="宋体"/>
          <w:color w:val="auto"/>
          <w:sz w:val="28"/>
          <w:szCs w:val="28"/>
          <w:highlight w:val="none"/>
        </w:rPr>
      </w:pPr>
    </w:p>
    <w:p w14:paraId="22FAC8E6">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lang w:bidi="ar"/>
        </w:rPr>
        <w:t>供应商（盖公章）：</w:t>
      </w:r>
      <w:r>
        <w:rPr>
          <w:rFonts w:hint="eastAsia" w:ascii="宋体" w:hAnsi="宋体" w:cs="宋体"/>
          <w:color w:val="auto"/>
          <w:sz w:val="28"/>
          <w:szCs w:val="28"/>
          <w:highlight w:val="none"/>
          <w:u w:val="single"/>
          <w:lang w:bidi="ar"/>
        </w:rPr>
        <w:t xml:space="preserve">                          </w:t>
      </w:r>
    </w:p>
    <w:p w14:paraId="4FE3BDDE">
      <w:pPr>
        <w:spacing w:line="440" w:lineRule="exact"/>
        <w:ind w:firstLine="480"/>
        <w:rPr>
          <w:rFonts w:ascii="宋体" w:hAnsi="宋体" w:cs="宋体"/>
          <w:color w:val="auto"/>
          <w:sz w:val="24"/>
          <w:highlight w:val="none"/>
        </w:rPr>
      </w:pPr>
    </w:p>
    <w:p w14:paraId="45117A0F">
      <w:pPr>
        <w:ind w:firstLine="480"/>
        <w:jc w:val="right"/>
        <w:rPr>
          <w:rFonts w:ascii="宋体" w:hAnsi="宋体" w:cs="宋体"/>
          <w:color w:val="auto"/>
          <w:sz w:val="24"/>
          <w:highlight w:val="none"/>
          <w:lang w:bidi="ar"/>
        </w:rPr>
      </w:pPr>
      <w:r>
        <w:rPr>
          <w:rFonts w:hint="eastAsia" w:ascii="宋体" w:hAnsi="宋体" w:cs="宋体"/>
          <w:color w:val="auto"/>
          <w:sz w:val="24"/>
          <w:highlight w:val="none"/>
          <w:lang w:bidi="ar"/>
        </w:rPr>
        <w:t xml:space="preserve">                              日期： </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21881D47">
      <w:pPr>
        <w:pStyle w:val="8"/>
        <w:rPr>
          <w:rFonts w:ascii="宋体" w:hAnsi="宋体" w:cs="宋体"/>
          <w:color w:val="auto"/>
          <w:highlight w:val="none"/>
        </w:rPr>
      </w:pPr>
    </w:p>
    <w:p w14:paraId="51117622">
      <w:pPr>
        <w:snapToGrid w:val="0"/>
        <w:spacing w:line="400" w:lineRule="exact"/>
        <w:ind w:firstLine="540" w:firstLineChars="192"/>
        <w:contextualSpacing/>
        <w:rPr>
          <w:rFonts w:ascii="宋体" w:hAnsi="宋体" w:cs="宋体"/>
          <w:b/>
          <w:color w:val="auto"/>
          <w:kern w:val="0"/>
          <w:sz w:val="28"/>
          <w:szCs w:val="28"/>
          <w:highlight w:val="none"/>
        </w:rPr>
      </w:pPr>
    </w:p>
    <w:p w14:paraId="723DA547">
      <w:pPr>
        <w:adjustRightInd w:val="0"/>
        <w:snapToGrid w:val="0"/>
        <w:spacing w:line="312" w:lineRule="auto"/>
        <w:jc w:val="left"/>
        <w:rPr>
          <w:rFonts w:ascii="宋体" w:hAnsi="宋体" w:cs="宋体"/>
          <w:b/>
          <w:color w:val="auto"/>
          <w:sz w:val="24"/>
          <w:highlight w:val="none"/>
        </w:rPr>
      </w:pPr>
      <w:r>
        <w:rPr>
          <w:rFonts w:hint="eastAsia" w:ascii="宋体" w:hAnsi="宋体" w:cs="宋体"/>
          <w:b/>
          <w:color w:val="auto"/>
          <w:kern w:val="0"/>
          <w:sz w:val="28"/>
          <w:szCs w:val="28"/>
          <w:highlight w:val="none"/>
        </w:rPr>
        <w:t>附：代理人(被授权人)身份证复印件盖公章</w:t>
      </w:r>
      <w:r>
        <w:rPr>
          <w:rFonts w:hint="eastAsia" w:ascii="宋体" w:hAnsi="宋体" w:cs="宋体"/>
          <w:bCs/>
          <w:color w:val="auto"/>
          <w:sz w:val="28"/>
          <w:szCs w:val="28"/>
          <w:highlight w:val="none"/>
        </w:rPr>
        <w:br w:type="page"/>
      </w:r>
    </w:p>
    <w:p w14:paraId="1945204E">
      <w:pPr>
        <w:spacing w:line="312" w:lineRule="auto"/>
        <w:rPr>
          <w:rFonts w:ascii="宋体" w:hAnsi="宋体" w:cs="宋体"/>
          <w:color w:val="auto"/>
          <w:sz w:val="32"/>
          <w:szCs w:val="32"/>
          <w:highlight w:val="none"/>
        </w:rPr>
      </w:pPr>
      <w:r>
        <w:rPr>
          <w:rFonts w:hint="eastAsia" w:ascii="宋体" w:hAnsi="宋体" w:cs="宋体"/>
          <w:color w:val="auto"/>
          <w:sz w:val="32"/>
          <w:szCs w:val="32"/>
          <w:highlight w:val="none"/>
        </w:rPr>
        <w:t>附件4</w:t>
      </w:r>
    </w:p>
    <w:p w14:paraId="7B11FD56">
      <w:pPr>
        <w:jc w:val="center"/>
        <w:rPr>
          <w:rFonts w:ascii="宋体" w:hAnsi="宋体"/>
          <w:b/>
          <w:color w:val="auto"/>
          <w:sz w:val="32"/>
          <w:szCs w:val="32"/>
          <w:highlight w:val="none"/>
        </w:rPr>
      </w:pPr>
      <w:r>
        <w:rPr>
          <w:rFonts w:hint="eastAsia" w:ascii="宋体" w:hAnsi="宋体"/>
          <w:b/>
          <w:color w:val="auto"/>
          <w:sz w:val="32"/>
          <w:szCs w:val="32"/>
          <w:highlight w:val="none"/>
        </w:rPr>
        <w:t>询价响应函</w:t>
      </w:r>
    </w:p>
    <w:p w14:paraId="7C30CEF2">
      <w:pPr>
        <w:adjustRightInd w:val="0"/>
        <w:spacing w:line="420" w:lineRule="exact"/>
        <w:jc w:val="left"/>
        <w:textAlignment w:val="baseline"/>
        <w:rPr>
          <w:rFonts w:ascii="宋体" w:hAnsi="宋体"/>
          <w:color w:val="auto"/>
          <w:sz w:val="24"/>
          <w:szCs w:val="21"/>
          <w:highlight w:val="none"/>
        </w:rPr>
      </w:pPr>
      <w:r>
        <w:rPr>
          <w:rFonts w:hint="eastAsia" w:ascii="宋体" w:hAnsi="宋体"/>
          <w:color w:val="auto"/>
          <w:sz w:val="24"/>
          <w:szCs w:val="21"/>
          <w:highlight w:val="none"/>
        </w:rPr>
        <w:t>致：______</w:t>
      </w:r>
      <w:r>
        <w:rPr>
          <w:rFonts w:hint="eastAsia" w:ascii="宋体" w:hAnsi="宋体"/>
          <w:color w:val="auto"/>
          <w:sz w:val="24"/>
          <w:szCs w:val="21"/>
          <w:highlight w:val="none"/>
          <w:u w:val="single"/>
        </w:rPr>
        <w:t>__</w:t>
      </w:r>
      <w:r>
        <w:rPr>
          <w:rFonts w:hint="eastAsia" w:ascii="宋体" w:hAnsi="宋体"/>
          <w:bCs/>
          <w:color w:val="auto"/>
          <w:sz w:val="24"/>
          <w:szCs w:val="21"/>
          <w:highlight w:val="none"/>
          <w:u w:val="single"/>
        </w:rPr>
        <w:t>______</w:t>
      </w:r>
      <w:r>
        <w:rPr>
          <w:rFonts w:hint="eastAsia" w:ascii="宋体" w:hAnsi="宋体"/>
          <w:color w:val="auto"/>
          <w:sz w:val="24"/>
          <w:szCs w:val="21"/>
          <w:highlight w:val="none"/>
          <w:u w:val="single"/>
        </w:rPr>
        <w:t>_</w:t>
      </w:r>
      <w:r>
        <w:rPr>
          <w:rFonts w:hint="eastAsia" w:ascii="宋体" w:hAnsi="宋体"/>
          <w:color w:val="auto"/>
          <w:sz w:val="24"/>
          <w:szCs w:val="21"/>
          <w:highlight w:val="none"/>
        </w:rPr>
        <w:t>_（采购人名称）</w:t>
      </w:r>
    </w:p>
    <w:p w14:paraId="0D9CCC3D">
      <w:pPr>
        <w:adjustRightInd w:val="0"/>
        <w:spacing w:line="420" w:lineRule="exact"/>
        <w:ind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根据贵方</w:t>
      </w:r>
      <w:r>
        <w:rPr>
          <w:rFonts w:ascii="宋体" w:hAnsi="宋体"/>
          <w:color w:val="auto"/>
          <w:sz w:val="24"/>
          <w:szCs w:val="21"/>
          <w:highlight w:val="none"/>
        </w:rPr>
        <w:t>项目</w:t>
      </w:r>
      <w:r>
        <w:rPr>
          <w:rFonts w:hint="eastAsia" w:ascii="宋体" w:hAnsi="宋体"/>
          <w:color w:val="auto"/>
          <w:sz w:val="24"/>
          <w:szCs w:val="21"/>
          <w:highlight w:val="none"/>
          <w:lang w:eastAsia="zh-CN"/>
        </w:rPr>
        <w:t>名称</w:t>
      </w:r>
      <w:r>
        <w:rPr>
          <w:rFonts w:hint="eastAsia" w:ascii="宋体" w:hAnsi="宋体"/>
          <w:color w:val="auto"/>
          <w:sz w:val="24"/>
          <w:szCs w:val="21"/>
          <w:highlight w:val="none"/>
        </w:rPr>
        <w:t>为____________________的询价文件，我方正式提交询价响应函，并宣布同意如下内容：</w:t>
      </w:r>
    </w:p>
    <w:p w14:paraId="13D74E89">
      <w:pPr>
        <w:adjustRightInd w:val="0"/>
        <w:spacing w:line="420" w:lineRule="exact"/>
        <w:ind w:firstLine="480"/>
        <w:jc w:val="left"/>
        <w:textAlignment w:val="baseline"/>
        <w:rPr>
          <w:rFonts w:ascii="宋体" w:hAnsi="宋体"/>
          <w:color w:val="auto"/>
          <w:sz w:val="24"/>
          <w:szCs w:val="21"/>
          <w:highlight w:val="none"/>
        </w:rPr>
      </w:pPr>
      <w:r>
        <w:rPr>
          <w:rFonts w:hint="eastAsia" w:ascii="宋体" w:hAnsi="宋体"/>
          <w:color w:val="auto"/>
          <w:sz w:val="24"/>
          <w:szCs w:val="21"/>
          <w:highlight w:val="none"/>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ascii="宋体" w:hAnsi="宋体"/>
          <w:color w:val="auto"/>
          <w:sz w:val="24"/>
          <w:szCs w:val="21"/>
          <w:highlight w:val="none"/>
        </w:rPr>
      </w:pPr>
      <w:r>
        <w:rPr>
          <w:rFonts w:ascii="宋体" w:hAnsi="宋体"/>
          <w:color w:val="auto"/>
          <w:sz w:val="24"/>
          <w:szCs w:val="21"/>
          <w:highlight w:val="none"/>
        </w:rPr>
        <w:t>3</w:t>
      </w:r>
      <w:r>
        <w:rPr>
          <w:rFonts w:hint="eastAsia" w:ascii="宋体" w:hAnsi="宋体"/>
          <w:color w:val="auto"/>
          <w:sz w:val="24"/>
          <w:szCs w:val="21"/>
          <w:highlight w:val="none"/>
        </w:rPr>
        <w:t>.我们同意从规定的开标日期起遵循本响应文件，并在规定的询价有效期期满之前均具有约束力。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ascii="宋体" w:hAnsi="宋体"/>
          <w:color w:val="auto"/>
          <w:sz w:val="24"/>
          <w:szCs w:val="21"/>
          <w:highlight w:val="none"/>
        </w:rPr>
      </w:pPr>
      <w:r>
        <w:rPr>
          <w:rFonts w:ascii="宋体" w:hAnsi="宋体"/>
          <w:color w:val="auto"/>
          <w:sz w:val="24"/>
          <w:szCs w:val="21"/>
          <w:highlight w:val="none"/>
        </w:rPr>
        <w:t>4</w:t>
      </w:r>
      <w:r>
        <w:rPr>
          <w:rFonts w:hint="eastAsia" w:ascii="宋体" w:hAnsi="宋体"/>
          <w:color w:val="auto"/>
          <w:sz w:val="24"/>
          <w:szCs w:val="21"/>
          <w:highlight w:val="none"/>
        </w:rPr>
        <w:t>.同意向贵方提供贵方可能另外要求的与询价有关的任何证据或资料，并保证我方已提供和将要提供的文件是真实的、准确的。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ascii="宋体" w:hAnsi="宋体"/>
          <w:color w:val="auto"/>
          <w:sz w:val="24"/>
          <w:szCs w:val="21"/>
          <w:highlight w:val="none"/>
        </w:rPr>
      </w:pPr>
      <w:r>
        <w:rPr>
          <w:rFonts w:ascii="宋体" w:hAnsi="宋体"/>
          <w:color w:val="auto"/>
          <w:sz w:val="24"/>
          <w:szCs w:val="21"/>
          <w:highlight w:val="none"/>
        </w:rPr>
        <w:t>5</w:t>
      </w:r>
      <w:r>
        <w:rPr>
          <w:rFonts w:hint="eastAsia" w:ascii="宋体" w:hAnsi="宋体"/>
          <w:color w:val="auto"/>
          <w:sz w:val="24"/>
          <w:szCs w:val="21"/>
          <w:highlight w:val="none"/>
        </w:rPr>
        <w:t>.一旦我方成交,我方将根据询价文件的规定，严格履行合同的责任和义务,并保证在询价文件规定的时间完成项目，交付买方验收、使用。</w:t>
      </w:r>
    </w:p>
    <w:p w14:paraId="337F6215">
      <w:pPr>
        <w:adjustRightInd w:val="0"/>
        <w:spacing w:line="420" w:lineRule="exact"/>
        <w:ind w:left="425"/>
        <w:jc w:val="left"/>
        <w:textAlignment w:val="baseline"/>
        <w:rPr>
          <w:rFonts w:ascii="宋体" w:hAnsi="宋体"/>
          <w:color w:val="auto"/>
          <w:sz w:val="24"/>
          <w:szCs w:val="21"/>
          <w:highlight w:val="none"/>
        </w:rPr>
      </w:pPr>
      <w:r>
        <w:rPr>
          <w:rFonts w:ascii="宋体" w:hAnsi="宋体"/>
          <w:color w:val="auto"/>
          <w:sz w:val="24"/>
          <w:szCs w:val="21"/>
          <w:highlight w:val="none"/>
        </w:rPr>
        <w:t>6</w:t>
      </w:r>
      <w:r>
        <w:rPr>
          <w:rFonts w:hint="eastAsia" w:ascii="宋体" w:hAnsi="宋体"/>
          <w:color w:val="auto"/>
          <w:sz w:val="24"/>
          <w:szCs w:val="21"/>
          <w:highlight w:val="none"/>
        </w:rPr>
        <w:t>.我方与本询价有关的正式通讯地址为：</w:t>
      </w:r>
    </w:p>
    <w:p w14:paraId="38E2981F">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地          址：</w:t>
      </w:r>
    </w:p>
    <w:p w14:paraId="67F2A497">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邮          编：</w:t>
      </w:r>
    </w:p>
    <w:p w14:paraId="62A1320F">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电          话：</w:t>
      </w:r>
    </w:p>
    <w:p w14:paraId="73E76D0A">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 xml:space="preserve">电 </w:t>
      </w:r>
      <w:r>
        <w:rPr>
          <w:rFonts w:ascii="宋体" w:hAnsi="宋体"/>
          <w:color w:val="auto"/>
          <w:sz w:val="24"/>
          <w:szCs w:val="21"/>
          <w:highlight w:val="none"/>
        </w:rPr>
        <w:t xml:space="preserve"> </w:t>
      </w:r>
      <w:r>
        <w:rPr>
          <w:rFonts w:hint="eastAsia" w:ascii="宋体" w:hAnsi="宋体"/>
          <w:color w:val="auto"/>
          <w:sz w:val="24"/>
          <w:szCs w:val="21"/>
          <w:highlight w:val="none"/>
        </w:rPr>
        <w:t xml:space="preserve">子 </w:t>
      </w:r>
      <w:r>
        <w:rPr>
          <w:rFonts w:ascii="宋体" w:hAnsi="宋体"/>
          <w:color w:val="auto"/>
          <w:sz w:val="24"/>
          <w:szCs w:val="21"/>
          <w:highlight w:val="none"/>
        </w:rPr>
        <w:t xml:space="preserve"> </w:t>
      </w:r>
      <w:r>
        <w:rPr>
          <w:rFonts w:hint="eastAsia" w:ascii="宋体" w:hAnsi="宋体"/>
          <w:color w:val="auto"/>
          <w:sz w:val="24"/>
          <w:szCs w:val="21"/>
          <w:highlight w:val="none"/>
        </w:rPr>
        <w:t xml:space="preserve">邮 </w:t>
      </w:r>
      <w:r>
        <w:rPr>
          <w:rFonts w:ascii="宋体" w:hAnsi="宋体"/>
          <w:color w:val="auto"/>
          <w:sz w:val="24"/>
          <w:szCs w:val="21"/>
          <w:highlight w:val="none"/>
        </w:rPr>
        <w:t xml:space="preserve"> </w:t>
      </w:r>
      <w:r>
        <w:rPr>
          <w:rFonts w:hint="eastAsia" w:ascii="宋体" w:hAnsi="宋体"/>
          <w:color w:val="auto"/>
          <w:sz w:val="24"/>
          <w:szCs w:val="21"/>
          <w:highlight w:val="none"/>
        </w:rPr>
        <w:t>箱：</w:t>
      </w:r>
    </w:p>
    <w:p w14:paraId="17AEFF6A">
      <w:pPr>
        <w:pStyle w:val="8"/>
        <w:rPr>
          <w:color w:val="auto"/>
          <w:highlight w:val="none"/>
        </w:rPr>
      </w:pPr>
    </w:p>
    <w:p w14:paraId="40335802">
      <w:pPr>
        <w:rPr>
          <w:color w:val="auto"/>
          <w:highlight w:val="none"/>
        </w:rPr>
      </w:pPr>
    </w:p>
    <w:p w14:paraId="431CF6A6">
      <w:pPr>
        <w:spacing w:line="560" w:lineRule="exact"/>
        <w:ind w:right="180" w:firstLine="960" w:firstLineChars="400"/>
        <w:rPr>
          <w:rFonts w:ascii="宋体" w:hAnsi="宋体"/>
          <w:color w:val="auto"/>
          <w:sz w:val="24"/>
          <w:highlight w:val="none"/>
        </w:rPr>
      </w:pPr>
      <w:r>
        <w:rPr>
          <w:rFonts w:hint="eastAsia" w:ascii="宋体" w:hAnsi="宋体"/>
          <w:color w:val="auto"/>
          <w:sz w:val="24"/>
          <w:highlight w:val="none"/>
        </w:rPr>
        <w:t>供应商名称（盖公章）：</w:t>
      </w:r>
    </w:p>
    <w:p w14:paraId="5CF799C6">
      <w:pPr>
        <w:adjustRightInd w:val="0"/>
        <w:spacing w:line="420" w:lineRule="exact"/>
        <w:ind w:left="420" w:leftChars="200" w:firstLine="480" w:firstLineChars="200"/>
        <w:jc w:val="left"/>
        <w:textAlignment w:val="baseline"/>
        <w:rPr>
          <w:rFonts w:ascii="宋体" w:hAnsi="宋体"/>
          <w:color w:val="auto"/>
          <w:sz w:val="24"/>
          <w:szCs w:val="21"/>
          <w:highlight w:val="none"/>
        </w:rPr>
      </w:pPr>
    </w:p>
    <w:p w14:paraId="0A880230">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日          期：________年____月____日</w:t>
      </w:r>
    </w:p>
    <w:p w14:paraId="5AF64F23">
      <w:pPr>
        <w:rPr>
          <w:rFonts w:ascii="宋体" w:hAnsi="宋体"/>
          <w:b/>
          <w:color w:val="auto"/>
          <w:sz w:val="32"/>
          <w:szCs w:val="32"/>
          <w:highlight w:val="none"/>
        </w:rPr>
      </w:pPr>
    </w:p>
    <w:p w14:paraId="4163AB7A">
      <w:pPr>
        <w:ind w:firstLine="640"/>
        <w:rPr>
          <w:rFonts w:ascii="宋体" w:hAnsi="宋体" w:cs="宋体"/>
          <w:color w:val="auto"/>
          <w:sz w:val="32"/>
          <w:szCs w:val="32"/>
          <w:highlight w:val="none"/>
        </w:rPr>
      </w:pPr>
    </w:p>
    <w:p w14:paraId="49F9076E">
      <w:pPr>
        <w:ind w:firstLine="640"/>
        <w:rPr>
          <w:rFonts w:ascii="宋体" w:hAnsi="宋体" w:cs="宋体"/>
          <w:color w:val="auto"/>
          <w:sz w:val="32"/>
          <w:szCs w:val="32"/>
          <w:highlight w:val="none"/>
        </w:rPr>
      </w:pPr>
    </w:p>
    <w:p w14:paraId="53763B31">
      <w:pPr>
        <w:ind w:firstLine="640"/>
        <w:rPr>
          <w:rFonts w:ascii="宋体" w:hAnsi="宋体" w:cs="宋体"/>
          <w:color w:val="auto"/>
          <w:sz w:val="32"/>
          <w:szCs w:val="32"/>
          <w:highlight w:val="none"/>
        </w:rPr>
      </w:pPr>
    </w:p>
    <w:p w14:paraId="6A808076">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249FC4DF">
      <w:pPr>
        <w:rPr>
          <w:rFonts w:ascii="宋体" w:hAnsi="宋体" w:cs="宋体"/>
          <w:color w:val="auto"/>
          <w:sz w:val="32"/>
          <w:szCs w:val="32"/>
          <w:highlight w:val="none"/>
        </w:rPr>
      </w:pPr>
      <w:r>
        <w:rPr>
          <w:rFonts w:hint="eastAsia" w:ascii="宋体" w:hAnsi="宋体" w:cs="宋体"/>
          <w:color w:val="auto"/>
          <w:sz w:val="32"/>
          <w:szCs w:val="32"/>
          <w:highlight w:val="none"/>
        </w:rPr>
        <w:t>附件5</w:t>
      </w:r>
    </w:p>
    <w:p w14:paraId="07D17B51">
      <w:pPr>
        <w:ind w:firstLine="643"/>
        <w:jc w:val="center"/>
        <w:rPr>
          <w:rFonts w:ascii="宋体" w:hAnsi="宋体" w:cs="宋体"/>
          <w:b/>
          <w:bCs/>
          <w:color w:val="auto"/>
          <w:sz w:val="32"/>
          <w:szCs w:val="40"/>
          <w:highlight w:val="none"/>
        </w:rPr>
      </w:pPr>
      <w:r>
        <w:rPr>
          <w:rFonts w:hint="eastAsia" w:ascii="宋体" w:hAnsi="宋体" w:cs="宋体"/>
          <w:b/>
          <w:bCs/>
          <w:color w:val="auto"/>
          <w:sz w:val="32"/>
          <w:szCs w:val="40"/>
          <w:highlight w:val="none"/>
        </w:rPr>
        <w:t xml:space="preserve"> 投标报价表 </w:t>
      </w:r>
    </w:p>
    <w:tbl>
      <w:tblPr>
        <w:tblStyle w:val="19"/>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405"/>
        <w:gridCol w:w="2201"/>
      </w:tblGrid>
      <w:tr w14:paraId="05E5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953" w:type="dxa"/>
            <w:vAlign w:val="center"/>
          </w:tcPr>
          <w:p w14:paraId="586204A0">
            <w:pPr>
              <w:spacing w:line="560" w:lineRule="exact"/>
              <w:jc w:val="center"/>
              <w:rPr>
                <w:rFonts w:hint="eastAsia" w:cs="仿宋" w:asciiTheme="majorEastAsia" w:hAnsiTheme="majorEastAsia" w:eastAsiaTheme="majorEastAsia"/>
                <w:color w:val="000000"/>
                <w:sz w:val="28"/>
                <w:szCs w:val="28"/>
                <w:lang w:val="en-US" w:eastAsia="zh-CN"/>
              </w:rPr>
            </w:pPr>
            <w:r>
              <w:rPr>
                <w:rFonts w:hint="eastAsia" w:cs="仿宋" w:asciiTheme="majorEastAsia" w:hAnsiTheme="majorEastAsia" w:eastAsiaTheme="majorEastAsia"/>
                <w:color w:val="000000"/>
                <w:sz w:val="28"/>
                <w:szCs w:val="28"/>
              </w:rPr>
              <w:t>项目</w:t>
            </w:r>
            <w:r>
              <w:rPr>
                <w:rFonts w:hint="eastAsia" w:cs="仿宋" w:asciiTheme="majorEastAsia" w:hAnsiTheme="majorEastAsia" w:eastAsiaTheme="majorEastAsia"/>
                <w:color w:val="000000"/>
                <w:sz w:val="28"/>
                <w:szCs w:val="28"/>
                <w:lang w:val="en-US" w:eastAsia="zh-CN"/>
              </w:rPr>
              <w:t>名称</w:t>
            </w:r>
          </w:p>
        </w:tc>
        <w:tc>
          <w:tcPr>
            <w:tcW w:w="2405" w:type="dxa"/>
            <w:vAlign w:val="center"/>
          </w:tcPr>
          <w:p w14:paraId="5B2FE053">
            <w:pPr>
              <w:jc w:val="center"/>
              <w:rPr>
                <w:rFonts w:hint="eastAsia" w:cs="仿宋" w:asciiTheme="majorEastAsia" w:hAnsiTheme="majorEastAsia" w:eastAsiaTheme="majorEastAsia"/>
                <w:color w:val="000000"/>
                <w:sz w:val="28"/>
                <w:szCs w:val="28"/>
                <w:lang w:eastAsia="zh-CN"/>
              </w:rPr>
            </w:pPr>
            <w:r>
              <w:rPr>
                <w:rFonts w:hint="eastAsia" w:cs="仿宋" w:asciiTheme="majorEastAsia" w:hAnsiTheme="majorEastAsia" w:eastAsiaTheme="majorEastAsia"/>
                <w:color w:val="000000"/>
                <w:sz w:val="28"/>
                <w:szCs w:val="28"/>
                <w:lang w:eastAsia="zh-CN"/>
              </w:rPr>
              <w:t>服务期</w:t>
            </w:r>
          </w:p>
        </w:tc>
        <w:tc>
          <w:tcPr>
            <w:tcW w:w="2201" w:type="dxa"/>
            <w:vAlign w:val="center"/>
          </w:tcPr>
          <w:p w14:paraId="5EF2703B">
            <w:pPr>
              <w:jc w:val="center"/>
              <w:rPr>
                <w:rFonts w:hint="eastAsia" w:cs="仿宋" w:asciiTheme="majorEastAsia" w:hAnsiTheme="majorEastAsia" w:eastAsiaTheme="majorEastAsia"/>
                <w:color w:val="000000"/>
                <w:sz w:val="28"/>
                <w:szCs w:val="28"/>
                <w:lang w:eastAsia="zh-CN"/>
              </w:rPr>
            </w:pPr>
            <w:r>
              <w:rPr>
                <w:rFonts w:hint="eastAsia" w:cs="仿宋" w:asciiTheme="majorEastAsia" w:hAnsiTheme="majorEastAsia" w:eastAsiaTheme="majorEastAsia"/>
                <w:color w:val="000000"/>
                <w:sz w:val="28"/>
                <w:szCs w:val="28"/>
                <w:lang w:val="en-US" w:eastAsia="zh-CN"/>
              </w:rPr>
              <w:t>投标报价</w:t>
            </w:r>
          </w:p>
          <w:p w14:paraId="501EE7CE">
            <w:pPr>
              <w:jc w:val="center"/>
              <w:rPr>
                <w:rFonts w:hint="eastAsia" w:cs="仿宋" w:asciiTheme="majorEastAsia" w:hAnsiTheme="majorEastAsia" w:eastAsiaTheme="majorEastAsia"/>
                <w:color w:val="000000"/>
                <w:sz w:val="28"/>
                <w:szCs w:val="28"/>
              </w:rPr>
            </w:pPr>
            <w:r>
              <w:rPr>
                <w:rFonts w:hint="eastAsia" w:cs="仿宋" w:asciiTheme="majorEastAsia" w:hAnsiTheme="majorEastAsia" w:eastAsiaTheme="majorEastAsia"/>
                <w:color w:val="000000"/>
                <w:sz w:val="28"/>
                <w:szCs w:val="28"/>
              </w:rPr>
              <w:t>（元）</w:t>
            </w:r>
          </w:p>
        </w:tc>
      </w:tr>
      <w:tr w14:paraId="297E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3953" w:type="dxa"/>
            <w:vAlign w:val="center"/>
          </w:tcPr>
          <w:p w14:paraId="3CAD8E03">
            <w:pPr>
              <w:spacing w:line="360" w:lineRule="auto"/>
              <w:jc w:val="center"/>
              <w:rPr>
                <w:rFonts w:hint="eastAsia" w:cs="仿宋" w:asciiTheme="majorEastAsia" w:hAnsiTheme="majorEastAsia" w:eastAsiaTheme="majorEastAsia"/>
                <w:color w:val="000000"/>
                <w:sz w:val="28"/>
                <w:szCs w:val="28"/>
                <w:lang w:val="en-US" w:eastAsia="zh-CN"/>
              </w:rPr>
            </w:pPr>
            <w:r>
              <w:rPr>
                <w:rFonts w:hint="eastAsia" w:cs="仿宋" w:asciiTheme="majorEastAsia" w:hAnsiTheme="majorEastAsia" w:eastAsiaTheme="majorEastAsia"/>
                <w:color w:val="000000"/>
                <w:sz w:val="28"/>
                <w:szCs w:val="28"/>
              </w:rPr>
              <w:t>启东吕四港集团西港池管理楼服务楼消防维保项目</w:t>
            </w:r>
            <w:r>
              <w:rPr>
                <w:rFonts w:hint="eastAsia" w:cs="仿宋" w:asciiTheme="majorEastAsia" w:hAnsiTheme="majorEastAsia" w:eastAsiaTheme="majorEastAsia"/>
                <w:color w:val="000000"/>
                <w:sz w:val="28"/>
                <w:szCs w:val="28"/>
                <w:lang w:eastAsia="zh-CN"/>
              </w:rPr>
              <w:t>（三次）</w:t>
            </w:r>
          </w:p>
        </w:tc>
        <w:tc>
          <w:tcPr>
            <w:tcW w:w="2405" w:type="dxa"/>
            <w:vAlign w:val="center"/>
          </w:tcPr>
          <w:p w14:paraId="5308CBAA">
            <w:pPr>
              <w:jc w:val="center"/>
              <w:rPr>
                <w:rFonts w:hint="default" w:cs="仿宋" w:asciiTheme="majorEastAsia" w:hAnsiTheme="majorEastAsia" w:eastAsiaTheme="majorEastAsia"/>
                <w:color w:val="000000"/>
                <w:sz w:val="28"/>
                <w:szCs w:val="28"/>
                <w:lang w:val="en-US" w:eastAsia="zh-CN"/>
              </w:rPr>
            </w:pPr>
            <w:r>
              <w:rPr>
                <w:rFonts w:hint="eastAsia" w:cs="仿宋" w:asciiTheme="majorEastAsia" w:hAnsiTheme="majorEastAsia" w:eastAsiaTheme="majorEastAsia"/>
                <w:color w:val="000000"/>
                <w:sz w:val="28"/>
                <w:szCs w:val="28"/>
                <w:lang w:val="en-US" w:eastAsia="zh-CN"/>
              </w:rPr>
              <w:t>2年</w:t>
            </w:r>
          </w:p>
        </w:tc>
        <w:tc>
          <w:tcPr>
            <w:tcW w:w="2201" w:type="dxa"/>
            <w:vAlign w:val="center"/>
          </w:tcPr>
          <w:p w14:paraId="133992E4">
            <w:pPr>
              <w:jc w:val="center"/>
              <w:rPr>
                <w:rFonts w:hint="eastAsia" w:cs="仿宋" w:asciiTheme="majorEastAsia" w:hAnsiTheme="majorEastAsia" w:eastAsiaTheme="majorEastAsia"/>
                <w:color w:val="000000"/>
                <w:sz w:val="28"/>
                <w:szCs w:val="28"/>
              </w:rPr>
            </w:pPr>
          </w:p>
        </w:tc>
      </w:tr>
      <w:tr w14:paraId="75ED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953" w:type="dxa"/>
            <w:vAlign w:val="center"/>
          </w:tcPr>
          <w:p w14:paraId="170DBCF6">
            <w:pPr>
              <w:spacing w:line="560" w:lineRule="exact"/>
              <w:jc w:val="center"/>
              <w:rPr>
                <w:rFonts w:hint="eastAsia" w:eastAsia="宋体" w:cs="仿宋" w:asciiTheme="majorEastAsia" w:hAnsiTheme="majorEastAsia"/>
                <w:color w:val="000000"/>
                <w:sz w:val="28"/>
                <w:szCs w:val="28"/>
                <w:lang w:val="en-US" w:eastAsia="zh-CN"/>
              </w:rPr>
            </w:pPr>
            <w:r>
              <w:rPr>
                <w:rFonts w:hint="eastAsia" w:ascii="宋体" w:hAnsi="宋体" w:cs="宋体"/>
                <w:b/>
                <w:sz w:val="28"/>
                <w:szCs w:val="28"/>
                <w:lang w:val="en-US" w:eastAsia="zh-CN"/>
              </w:rPr>
              <w:t>合计</w:t>
            </w:r>
          </w:p>
        </w:tc>
        <w:tc>
          <w:tcPr>
            <w:tcW w:w="4606" w:type="dxa"/>
            <w:gridSpan w:val="2"/>
            <w:vAlign w:val="center"/>
          </w:tcPr>
          <w:p w14:paraId="64A291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p>
          <w:p w14:paraId="1CD12D41">
            <w:pPr>
              <w:jc w:val="both"/>
              <w:rPr>
                <w:rFonts w:hint="eastAsia" w:ascii="宋体" w:hAnsi="宋体" w:cs="宋体"/>
                <w:sz w:val="28"/>
                <w:szCs w:val="28"/>
              </w:rPr>
            </w:pPr>
            <w:r>
              <w:rPr>
                <w:rFonts w:hint="eastAsia" w:ascii="宋体" w:hAnsi="宋体" w:cs="宋体"/>
                <w:sz w:val="28"/>
                <w:szCs w:val="28"/>
              </w:rPr>
              <w:t>小写：</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w:t>
            </w:r>
          </w:p>
        </w:tc>
      </w:tr>
    </w:tbl>
    <w:p w14:paraId="7CE3E74D">
      <w:pPr>
        <w:snapToGrid w:val="0"/>
        <w:spacing w:line="360" w:lineRule="auto"/>
        <w:ind w:firstLine="560" w:firstLineChars="200"/>
        <w:rPr>
          <w:rFonts w:hint="eastAsia" w:ascii="宋体" w:hAnsi="宋体" w:eastAsia="宋体" w:cs="宋体"/>
          <w:b w:val="0"/>
          <w:bCs/>
          <w:i/>
          <w:iCs/>
          <w:kern w:val="0"/>
          <w:sz w:val="28"/>
          <w:szCs w:val="28"/>
          <w:highlight w:val="yellow"/>
          <w:u w:val="single"/>
          <w:lang w:val="zh-CN"/>
        </w:rPr>
      </w:pPr>
      <w:r>
        <w:rPr>
          <w:rFonts w:hint="eastAsia" w:ascii="宋体" w:hAnsi="宋体" w:eastAsia="宋体" w:cs="宋体"/>
          <w:b w:val="0"/>
          <w:bCs/>
          <w:i/>
          <w:iCs/>
          <w:kern w:val="0"/>
          <w:sz w:val="28"/>
          <w:szCs w:val="28"/>
          <w:u w:val="single"/>
          <w:lang w:val="zh-CN"/>
        </w:rPr>
        <w:t>注：本表报价须为打印，手写无效。</w:t>
      </w:r>
    </w:p>
    <w:p w14:paraId="4818DE59">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（此报价为本项目的最终报价，最终报价包含本项目所有费用）</w:t>
      </w:r>
    </w:p>
    <w:p w14:paraId="187508E6">
      <w:pPr>
        <w:snapToGrid w:val="0"/>
        <w:spacing w:line="300" w:lineRule="auto"/>
        <w:ind w:firstLine="482" w:firstLineChars="200"/>
        <w:outlineLvl w:val="0"/>
        <w:rPr>
          <w:rFonts w:hint="eastAsia" w:ascii="宋体" w:hAnsi="宋体" w:cs="宋体"/>
          <w:b/>
          <w:color w:val="auto"/>
          <w:kern w:val="0"/>
          <w:sz w:val="24"/>
          <w:highlight w:val="none"/>
          <w:lang w:eastAsia="zh-CN"/>
        </w:rPr>
      </w:pPr>
    </w:p>
    <w:p w14:paraId="6A1F61D6">
      <w:pPr>
        <w:adjustRightInd w:val="0"/>
        <w:snapToGrid w:val="0"/>
        <w:spacing w:line="312" w:lineRule="auto"/>
        <w:ind w:firstLine="3360" w:firstLineChars="1400"/>
        <w:jc w:val="left"/>
        <w:rPr>
          <w:rFonts w:ascii="宋体" w:hAnsi="宋体" w:cs="宋体"/>
          <w:color w:val="auto"/>
          <w:sz w:val="24"/>
          <w:highlight w:val="none"/>
        </w:rPr>
      </w:pPr>
    </w:p>
    <w:p w14:paraId="07EFEB20">
      <w:pPr>
        <w:adjustRightInd w:val="0"/>
        <w:snapToGrid w:val="0"/>
        <w:spacing w:line="312" w:lineRule="auto"/>
        <w:ind w:firstLine="3360" w:firstLineChars="1400"/>
        <w:jc w:val="left"/>
        <w:rPr>
          <w:rFonts w:ascii="宋体" w:hAnsi="宋体" w:cs="宋体"/>
          <w:b/>
          <w:bCs/>
          <w:color w:val="auto"/>
          <w:sz w:val="24"/>
          <w:highlight w:val="none"/>
          <w:u w:val="single"/>
        </w:rPr>
      </w:pPr>
      <w:r>
        <w:rPr>
          <w:rFonts w:hint="eastAsia" w:ascii="宋体" w:hAnsi="宋体" w:cs="宋体"/>
          <w:color w:val="auto"/>
          <w:sz w:val="24"/>
          <w:highlight w:val="none"/>
        </w:rPr>
        <w:t>响应供应商全称（盖公章）：</w:t>
      </w:r>
    </w:p>
    <w:p w14:paraId="51AB4D93">
      <w:pPr>
        <w:adjustRightInd w:val="0"/>
        <w:snapToGrid w:val="0"/>
        <w:spacing w:line="312" w:lineRule="auto"/>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 xml:space="preserve">法定代表人（签字或盖章）： </w:t>
      </w:r>
    </w:p>
    <w:p w14:paraId="301DD1D3">
      <w:pPr>
        <w:adjustRightInd w:val="0"/>
        <w:snapToGrid w:val="0"/>
        <w:spacing w:line="312" w:lineRule="auto"/>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日期：       年    月    日</w:t>
      </w:r>
    </w:p>
    <w:p w14:paraId="2AF76842">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b/>
          <w:bCs/>
          <w:color w:val="auto"/>
          <w:sz w:val="24"/>
          <w:highlight w:val="none"/>
        </w:rPr>
        <w:br w:type="page"/>
      </w: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6</w:t>
      </w:r>
    </w:p>
    <w:p w14:paraId="5CD8277C">
      <w:pPr>
        <w:snapToGrid w:val="0"/>
        <w:spacing w:line="300" w:lineRule="auto"/>
        <w:jc w:val="center"/>
        <w:outlineLvl w:val="0"/>
        <w:rPr>
          <w:rFonts w:hint="eastAsia" w:ascii="宋体" w:hAnsi="宋体" w:cs="宋体"/>
          <w:b/>
          <w:bCs/>
          <w:sz w:val="28"/>
          <w:szCs w:val="28"/>
          <w:highlight w:val="none"/>
          <w:lang w:bidi="zh-CN"/>
        </w:rPr>
      </w:pPr>
      <w:r>
        <w:rPr>
          <w:rFonts w:hint="eastAsia" w:ascii="宋体" w:hAnsi="宋体" w:cs="宋体"/>
          <w:b/>
          <w:bCs/>
          <w:sz w:val="28"/>
          <w:szCs w:val="28"/>
          <w:highlight w:val="none"/>
          <w:lang w:bidi="zh-CN"/>
        </w:rPr>
        <w:t>中小企业声明函（工程、服务）</w:t>
      </w:r>
    </w:p>
    <w:p w14:paraId="002E94C7">
      <w:pPr>
        <w:snapToGrid w:val="0"/>
        <w:spacing w:line="360" w:lineRule="auto"/>
        <w:ind w:firstLine="560" w:firstLineChars="20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本公司（联合体）郑重声明，根据《政府采购促进中小企业发展管理办法》（财库﹝2020﹞46 号）的规定，本公司（联合体）参加</w:t>
      </w:r>
      <w:r>
        <w:rPr>
          <w:rFonts w:hint="eastAsia" w:ascii="宋体" w:hAnsi="宋体" w:cs="宋体"/>
          <w:sz w:val="28"/>
          <w:szCs w:val="28"/>
          <w:highlight w:val="none"/>
          <w:u w:val="single"/>
          <w:lang w:bidi="zh-CN"/>
        </w:rPr>
        <w:t>（单位名称）</w:t>
      </w:r>
      <w:r>
        <w:rPr>
          <w:rFonts w:hint="eastAsia" w:ascii="宋体" w:hAnsi="宋体" w:cs="宋体"/>
          <w:sz w:val="28"/>
          <w:szCs w:val="28"/>
          <w:highlight w:val="none"/>
          <w:lang w:bidi="zh-CN"/>
        </w:rPr>
        <w:t>的</w:t>
      </w:r>
      <w:r>
        <w:rPr>
          <w:rFonts w:hint="eastAsia" w:ascii="宋体" w:hAnsi="宋体" w:cs="宋体"/>
          <w:sz w:val="28"/>
          <w:szCs w:val="28"/>
          <w:highlight w:val="none"/>
          <w:u w:val="single"/>
          <w:lang w:bidi="zh-CN"/>
        </w:rPr>
        <w:t>（项目名称）</w:t>
      </w:r>
      <w:r>
        <w:rPr>
          <w:rFonts w:hint="eastAsia" w:ascii="宋体" w:hAnsi="宋体" w:cs="宋体"/>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2915D359">
      <w:pPr>
        <w:snapToGrid w:val="0"/>
        <w:spacing w:line="360" w:lineRule="auto"/>
        <w:jc w:val="left"/>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1.</w:t>
      </w:r>
      <w:r>
        <w:rPr>
          <w:rFonts w:hint="eastAsia" w:ascii="宋体" w:hAnsi="宋体" w:cs="宋体"/>
          <w:sz w:val="28"/>
          <w:szCs w:val="28"/>
          <w:highlight w:val="none"/>
          <w:u w:val="single"/>
          <w:lang w:bidi="zh-CN"/>
        </w:rPr>
        <w:t>（标的名称）</w:t>
      </w:r>
      <w:r>
        <w:rPr>
          <w:rFonts w:hint="eastAsia" w:ascii="宋体" w:hAnsi="宋体" w:cs="宋体"/>
          <w:sz w:val="28"/>
          <w:szCs w:val="28"/>
          <w:highlight w:val="none"/>
          <w:lang w:bidi="zh-CN"/>
        </w:rPr>
        <w:t>，属于（</w:t>
      </w:r>
      <w:r>
        <w:rPr>
          <w:rFonts w:hint="eastAsia" w:ascii="宋体" w:hAnsi="宋体" w:cs="宋体"/>
          <w:sz w:val="28"/>
          <w:szCs w:val="28"/>
          <w:highlight w:val="none"/>
          <w:u w:val="single"/>
          <w:lang w:bidi="zh-CN"/>
        </w:rPr>
        <w:t>采购文件中明确的所属行业）</w:t>
      </w:r>
      <w:r>
        <w:rPr>
          <w:rFonts w:hint="eastAsia" w:ascii="宋体" w:hAnsi="宋体" w:cs="宋体"/>
          <w:sz w:val="28"/>
          <w:szCs w:val="28"/>
          <w:highlight w:val="none"/>
          <w:lang w:bidi="zh-CN"/>
        </w:rPr>
        <w:t>；承建（承接）企业为</w:t>
      </w:r>
      <w:r>
        <w:rPr>
          <w:rFonts w:hint="eastAsia" w:ascii="宋体" w:hAnsi="宋体" w:cs="宋体"/>
          <w:sz w:val="28"/>
          <w:szCs w:val="28"/>
          <w:highlight w:val="none"/>
          <w:u w:val="single"/>
          <w:lang w:bidi="zh-CN"/>
        </w:rPr>
        <w:t>（企业名称）</w:t>
      </w:r>
      <w:r>
        <w:rPr>
          <w:rFonts w:hint="eastAsia" w:ascii="宋体" w:hAnsi="宋体" w:cs="宋体"/>
          <w:sz w:val="28"/>
          <w:szCs w:val="28"/>
          <w:highlight w:val="none"/>
          <w:lang w:bidi="zh-CN"/>
        </w:rPr>
        <w:t>，从业人员</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val="en-US"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人，营业收入为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万元，资产总额为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万元，属于</w:t>
      </w:r>
      <w:r>
        <w:rPr>
          <w:rFonts w:hint="eastAsia" w:ascii="宋体" w:hAnsi="宋体" w:cs="宋体"/>
          <w:sz w:val="28"/>
          <w:szCs w:val="28"/>
          <w:highlight w:val="none"/>
          <w:u w:val="single"/>
          <w:lang w:bidi="zh-CN"/>
        </w:rPr>
        <w:t>（中型企业、小型企业、微型企业）</w:t>
      </w:r>
      <w:r>
        <w:rPr>
          <w:rFonts w:hint="eastAsia" w:ascii="宋体" w:hAnsi="宋体" w:cs="宋体"/>
          <w:sz w:val="28"/>
          <w:szCs w:val="28"/>
          <w:highlight w:val="none"/>
          <w:lang w:bidi="zh-CN"/>
        </w:rPr>
        <w:t>；</w:t>
      </w:r>
    </w:p>
    <w:p w14:paraId="0104EF8A">
      <w:pPr>
        <w:snapToGrid w:val="0"/>
        <w:spacing w:line="360" w:lineRule="auto"/>
        <w:jc w:val="left"/>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2.</w:t>
      </w:r>
      <w:r>
        <w:rPr>
          <w:rFonts w:hint="eastAsia" w:ascii="宋体" w:hAnsi="宋体" w:cs="宋体"/>
          <w:sz w:val="28"/>
          <w:szCs w:val="28"/>
          <w:highlight w:val="none"/>
          <w:u w:val="single"/>
          <w:lang w:bidi="zh-CN"/>
        </w:rPr>
        <w:t>（标的名称）</w:t>
      </w:r>
      <w:r>
        <w:rPr>
          <w:rFonts w:hint="eastAsia" w:ascii="宋体" w:hAnsi="宋体" w:cs="宋体"/>
          <w:sz w:val="28"/>
          <w:szCs w:val="28"/>
          <w:highlight w:val="none"/>
          <w:lang w:bidi="zh-CN"/>
        </w:rPr>
        <w:t>，属于（</w:t>
      </w:r>
      <w:r>
        <w:rPr>
          <w:rFonts w:hint="eastAsia" w:ascii="宋体" w:hAnsi="宋体" w:cs="宋体"/>
          <w:sz w:val="28"/>
          <w:szCs w:val="28"/>
          <w:highlight w:val="none"/>
          <w:u w:val="single"/>
          <w:lang w:bidi="zh-CN"/>
        </w:rPr>
        <w:t>采购文件中明确的所属行业）</w:t>
      </w:r>
      <w:r>
        <w:rPr>
          <w:rFonts w:hint="eastAsia" w:ascii="宋体" w:hAnsi="宋体" w:cs="宋体"/>
          <w:sz w:val="28"/>
          <w:szCs w:val="28"/>
          <w:highlight w:val="none"/>
          <w:lang w:bidi="zh-CN"/>
        </w:rPr>
        <w:t>；承建（承接）企业为</w:t>
      </w:r>
      <w:r>
        <w:rPr>
          <w:rFonts w:hint="eastAsia" w:ascii="宋体" w:hAnsi="宋体" w:cs="宋体"/>
          <w:sz w:val="28"/>
          <w:szCs w:val="28"/>
          <w:highlight w:val="none"/>
          <w:u w:val="single"/>
          <w:lang w:bidi="zh-CN"/>
        </w:rPr>
        <w:t>（企业名称）</w:t>
      </w:r>
      <w:r>
        <w:rPr>
          <w:rFonts w:hint="eastAsia" w:ascii="宋体" w:hAnsi="宋体" w:cs="宋体"/>
          <w:sz w:val="28"/>
          <w:szCs w:val="28"/>
          <w:highlight w:val="none"/>
          <w:lang w:bidi="zh-CN"/>
        </w:rPr>
        <w:t>，从业人员</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val="en-US"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人，营业收入为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万元，资产总额为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万元，属于</w:t>
      </w:r>
      <w:r>
        <w:rPr>
          <w:rFonts w:hint="eastAsia" w:ascii="宋体" w:hAnsi="宋体" w:cs="宋体"/>
          <w:sz w:val="28"/>
          <w:szCs w:val="28"/>
          <w:highlight w:val="none"/>
          <w:u w:val="single"/>
          <w:lang w:bidi="zh-CN"/>
        </w:rPr>
        <w:t>（中型企业、小型企业、微型企业）</w:t>
      </w:r>
      <w:r>
        <w:rPr>
          <w:rFonts w:hint="eastAsia" w:ascii="宋体" w:hAnsi="宋体" w:cs="宋体"/>
          <w:sz w:val="28"/>
          <w:szCs w:val="28"/>
          <w:highlight w:val="none"/>
          <w:lang w:bidi="zh-CN"/>
        </w:rPr>
        <w:t>；</w:t>
      </w:r>
    </w:p>
    <w:p w14:paraId="237387EB">
      <w:pPr>
        <w:snapToGrid w:val="0"/>
        <w:spacing w:line="360" w:lineRule="auto"/>
        <w:jc w:val="left"/>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w:t>
      </w:r>
    </w:p>
    <w:p w14:paraId="20669140">
      <w:pPr>
        <w:snapToGrid w:val="0"/>
        <w:spacing w:line="360" w:lineRule="auto"/>
        <w:ind w:firstLine="560" w:firstLineChars="20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以上企业，不属于大企业的分支机构，不存在控股股东为大企业的情形，也不存在与大企业的负责人为同一人的情形。</w:t>
      </w:r>
    </w:p>
    <w:p w14:paraId="6AE18357">
      <w:pPr>
        <w:snapToGrid w:val="0"/>
        <w:spacing w:line="360" w:lineRule="auto"/>
        <w:ind w:firstLine="560" w:firstLineChars="20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本企业对上述声明内容的真实性负责。如有虚假，将依法承担相应责任。</w:t>
      </w:r>
    </w:p>
    <w:p w14:paraId="6562EBE8">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注：1.如项目属性为“服务”或“工程”，请按本表填写。</w:t>
      </w:r>
    </w:p>
    <w:p w14:paraId="30D6D242">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103C0D7E">
      <w:pPr>
        <w:snapToGrid w:val="0"/>
        <w:spacing w:line="300" w:lineRule="auto"/>
        <w:ind w:firstLine="420" w:firstLineChars="200"/>
        <w:outlineLvl w:val="0"/>
        <w:rPr>
          <w:rFonts w:hint="eastAsia" w:ascii="宋体" w:hAnsi="宋体" w:cs="宋体"/>
          <w:sz w:val="28"/>
          <w:szCs w:val="28"/>
          <w:highlight w:val="none"/>
          <w:lang w:bidi="zh-CN"/>
        </w:rPr>
      </w:pPr>
      <w:r>
        <w:rPr>
          <w:rFonts w:hint="eastAsia" w:ascii="宋体" w:hAnsi="宋体" w:cs="宋体"/>
          <w:szCs w:val="21"/>
          <w:highlight w:val="none"/>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4F683291">
      <w:pPr>
        <w:snapToGrid w:val="0"/>
        <w:spacing w:line="300" w:lineRule="auto"/>
        <w:ind w:firstLine="4900" w:firstLineChars="175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企业名称（盖章）：</w:t>
      </w:r>
    </w:p>
    <w:p w14:paraId="06B16650">
      <w:pPr>
        <w:snapToGrid w:val="0"/>
        <w:spacing w:line="300" w:lineRule="auto"/>
        <w:ind w:firstLine="4900" w:firstLineChars="175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日期：</w:t>
      </w:r>
    </w:p>
    <w:p w14:paraId="591F2101">
      <w:pPr>
        <w:snapToGrid w:val="0"/>
        <w:spacing w:line="300" w:lineRule="auto"/>
        <w:outlineLvl w:val="0"/>
        <w:rPr>
          <w:rFonts w:hint="eastAsia" w:ascii="宋体" w:hAnsi="宋体" w:cs="宋体"/>
          <w:sz w:val="32"/>
          <w:szCs w:val="32"/>
          <w:highlight w:val="none"/>
        </w:rPr>
        <w:sectPr>
          <w:headerReference r:id="rId3" w:type="default"/>
          <w:footerReference r:id="rId4" w:type="default"/>
          <w:pgSz w:w="11907" w:h="16839"/>
          <w:pgMar w:top="1440" w:right="1803" w:bottom="1440" w:left="1803" w:header="720" w:footer="737" w:gutter="0"/>
          <w:cols w:space="720" w:num="1"/>
          <w:docGrid w:linePitch="286" w:charSpace="0"/>
        </w:sectPr>
      </w:pPr>
    </w:p>
    <w:p w14:paraId="1218EF6A">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7</w:t>
      </w:r>
    </w:p>
    <w:p w14:paraId="0E625A83">
      <w:pPr>
        <w:spacing w:line="460" w:lineRule="exact"/>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0618E318">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 w:val="28"/>
          <w:szCs w:val="28"/>
          <w:highlight w:val="none"/>
        </w:rPr>
        <w:t>______单位的</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4FE5EF41">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本单位对上述声明的真实性负责。如有虚假，将依法承担相应责任。</w:t>
      </w:r>
    </w:p>
    <w:p w14:paraId="0BC1FBD6">
      <w:pPr>
        <w:spacing w:line="588" w:lineRule="exact"/>
        <w:ind w:firstLine="560" w:firstLineChars="200"/>
        <w:rPr>
          <w:rFonts w:ascii="宋体" w:hAnsi="宋体" w:cs="宋体"/>
          <w:color w:val="auto"/>
          <w:sz w:val="28"/>
          <w:szCs w:val="28"/>
          <w:highlight w:val="none"/>
        </w:rPr>
      </w:pPr>
    </w:p>
    <w:p w14:paraId="64BB3CBC">
      <w:pPr>
        <w:spacing w:line="588" w:lineRule="exact"/>
        <w:ind w:firstLine="584" w:firstLineChars="200"/>
        <w:rPr>
          <w:rFonts w:ascii="宋体" w:hAnsi="宋体" w:cs="宋体"/>
          <w:color w:val="auto"/>
          <w:spacing w:val="6"/>
          <w:sz w:val="28"/>
          <w:szCs w:val="28"/>
          <w:highlight w:val="none"/>
        </w:rPr>
      </w:pPr>
    </w:p>
    <w:p w14:paraId="1DE42C15">
      <w:pPr>
        <w:spacing w:line="588" w:lineRule="exact"/>
        <w:ind w:firstLine="584" w:firstLineChars="200"/>
        <w:rPr>
          <w:rFonts w:ascii="宋体" w:hAnsi="宋体" w:cs="宋体"/>
          <w:color w:val="auto"/>
          <w:spacing w:val="6"/>
          <w:sz w:val="28"/>
          <w:szCs w:val="28"/>
          <w:highlight w:val="none"/>
        </w:rPr>
      </w:pPr>
    </w:p>
    <w:p w14:paraId="33DB88AD">
      <w:pPr>
        <w:snapToGrid w:val="0"/>
        <w:spacing w:line="300" w:lineRule="auto"/>
        <w:ind w:firstLine="56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120663D1">
      <w:pPr>
        <w:spacing w:line="588" w:lineRule="exact"/>
        <w:ind w:firstLine="560" w:firstLineChars="200"/>
        <w:rPr>
          <w:rFonts w:ascii="宋体" w:hAnsi="宋体" w:cs="宋体"/>
          <w:color w:val="auto"/>
          <w:spacing w:val="6"/>
          <w:sz w:val="28"/>
          <w:szCs w:val="28"/>
          <w:highlight w:val="none"/>
        </w:rPr>
      </w:pPr>
      <w:r>
        <w:rPr>
          <w:rFonts w:hint="eastAsia" w:ascii="宋体" w:hAnsi="宋体" w:cs="宋体"/>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34969700">
      <w:pPr>
        <w:spacing w:line="588" w:lineRule="exact"/>
        <w:ind w:firstLine="584" w:firstLineChars="200"/>
        <w:rPr>
          <w:rFonts w:ascii="宋体" w:hAnsi="宋体" w:cs="宋体"/>
          <w:color w:val="auto"/>
          <w:spacing w:val="6"/>
          <w:sz w:val="28"/>
          <w:szCs w:val="28"/>
          <w:highlight w:val="none"/>
        </w:rPr>
      </w:pPr>
    </w:p>
    <w:p w14:paraId="4F40E35B">
      <w:pPr>
        <w:tabs>
          <w:tab w:val="left" w:pos="4860"/>
        </w:tabs>
        <w:spacing w:line="588" w:lineRule="exact"/>
        <w:ind w:right="1560" w:firstLine="584" w:firstLineChars="200"/>
        <w:jc w:val="center"/>
        <w:rPr>
          <w:rFonts w:ascii="宋体" w:hAnsi="宋体" w:cs="宋体"/>
          <w:color w:val="auto"/>
          <w:sz w:val="28"/>
          <w:szCs w:val="28"/>
          <w:highlight w:val="none"/>
        </w:rPr>
      </w:pPr>
      <w:r>
        <w:rPr>
          <w:rFonts w:hint="eastAsia" w:ascii="宋体" w:hAnsi="宋体" w:cs="宋体"/>
          <w:color w:val="auto"/>
          <w:spacing w:val="6"/>
          <w:sz w:val="28"/>
          <w:szCs w:val="28"/>
          <w:highlight w:val="none"/>
        </w:rPr>
        <w:t xml:space="preserve">             </w:t>
      </w:r>
      <w:r>
        <w:rPr>
          <w:rFonts w:hint="eastAsia" w:ascii="宋体" w:hAnsi="宋体" w:cs="宋体"/>
          <w:color w:val="auto"/>
          <w:sz w:val="28"/>
          <w:szCs w:val="28"/>
          <w:highlight w:val="none"/>
        </w:rPr>
        <w:t xml:space="preserve">           供应商全称（盖章）：</w:t>
      </w:r>
    </w:p>
    <w:p w14:paraId="587C44D3">
      <w:pPr>
        <w:tabs>
          <w:tab w:val="left" w:pos="4860"/>
        </w:tabs>
        <w:spacing w:line="588" w:lineRule="exact"/>
        <w:ind w:right="1560"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日  期：</w:t>
      </w:r>
    </w:p>
    <w:p w14:paraId="5DF133BD">
      <w:pPr>
        <w:snapToGrid w:val="0"/>
        <w:spacing w:line="300" w:lineRule="auto"/>
        <w:ind w:firstLine="560"/>
        <w:outlineLvl w:val="0"/>
        <w:rPr>
          <w:rFonts w:ascii="宋体" w:hAnsi="宋体" w:cs="宋体"/>
          <w:color w:val="auto"/>
          <w:sz w:val="28"/>
          <w:szCs w:val="28"/>
          <w:highlight w:val="none"/>
        </w:rPr>
      </w:pPr>
    </w:p>
    <w:p w14:paraId="01420CEE">
      <w:pPr>
        <w:pStyle w:val="8"/>
        <w:rPr>
          <w:rFonts w:ascii="宋体" w:hAnsi="宋体" w:cs="宋体"/>
          <w:color w:val="auto"/>
          <w:highlight w:val="none"/>
        </w:rPr>
      </w:pPr>
    </w:p>
    <w:p w14:paraId="57D27718">
      <w:pPr>
        <w:snapToGrid w:val="0"/>
        <w:spacing w:line="300" w:lineRule="auto"/>
        <w:ind w:firstLine="640"/>
        <w:outlineLvl w:val="0"/>
        <w:rPr>
          <w:rFonts w:ascii="宋体" w:hAnsi="宋体" w:cs="宋体"/>
          <w:color w:val="auto"/>
          <w:sz w:val="32"/>
          <w:szCs w:val="32"/>
          <w:highlight w:val="none"/>
        </w:rPr>
      </w:pPr>
    </w:p>
    <w:p w14:paraId="7911CA41">
      <w:pPr>
        <w:snapToGrid w:val="0"/>
        <w:spacing w:line="300" w:lineRule="auto"/>
        <w:ind w:firstLine="640"/>
        <w:outlineLvl w:val="0"/>
        <w:rPr>
          <w:rFonts w:ascii="宋体" w:hAnsi="宋体" w:cs="宋体"/>
          <w:color w:val="auto"/>
          <w:sz w:val="32"/>
          <w:szCs w:val="32"/>
          <w:highlight w:val="none"/>
        </w:rPr>
      </w:pPr>
    </w:p>
    <w:p w14:paraId="0C580FBE">
      <w:pPr>
        <w:snapToGrid w:val="0"/>
        <w:spacing w:line="300" w:lineRule="auto"/>
        <w:ind w:firstLine="640"/>
        <w:outlineLvl w:val="0"/>
        <w:rPr>
          <w:rFonts w:ascii="宋体" w:hAnsi="宋体" w:cs="宋体"/>
          <w:color w:val="auto"/>
          <w:sz w:val="32"/>
          <w:szCs w:val="32"/>
          <w:highlight w:val="none"/>
        </w:rPr>
      </w:pPr>
    </w:p>
    <w:p w14:paraId="0B546212">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07E4B1C8">
      <w:pPr>
        <w:snapToGrid w:val="0"/>
        <w:spacing w:line="420" w:lineRule="exact"/>
        <w:ind w:firstLine="643"/>
        <w:jc w:val="center"/>
        <w:outlineLvl w:val="3"/>
        <w:rPr>
          <w:rFonts w:ascii="宋体" w:hAnsi="宋体" w:cs="宋体"/>
          <w:b/>
          <w:bCs/>
          <w:color w:val="auto"/>
          <w:sz w:val="32"/>
          <w:szCs w:val="32"/>
          <w:highlight w:val="none"/>
        </w:rPr>
      </w:pPr>
      <w:r>
        <w:rPr>
          <w:rFonts w:hint="eastAsia" w:ascii="宋体" w:hAnsi="宋体" w:cs="宋体"/>
          <w:b/>
          <w:bCs/>
          <w:color w:val="auto"/>
          <w:sz w:val="32"/>
          <w:szCs w:val="32"/>
          <w:highlight w:val="none"/>
        </w:rPr>
        <w:t>监狱和戒毒企业证明材料</w:t>
      </w:r>
    </w:p>
    <w:p w14:paraId="746D035C">
      <w:pPr>
        <w:snapToGrid w:val="0"/>
        <w:spacing w:line="420" w:lineRule="exact"/>
        <w:ind w:firstLine="495" w:firstLineChars="177"/>
        <w:rPr>
          <w:rFonts w:ascii="宋体" w:hAnsi="宋体" w:cs="宋体"/>
          <w:color w:val="auto"/>
          <w:sz w:val="28"/>
          <w:szCs w:val="28"/>
          <w:highlight w:val="none"/>
        </w:rPr>
      </w:pPr>
    </w:p>
    <w:p w14:paraId="61BC08E1">
      <w:pPr>
        <w:snapToGrid w:val="0"/>
        <w:spacing w:line="420" w:lineRule="exact"/>
        <w:ind w:firstLine="495"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61C7051F">
      <w:pPr>
        <w:snapToGrid w:val="0"/>
        <w:spacing w:line="420" w:lineRule="exact"/>
        <w:ind w:firstLine="495" w:firstLineChars="177"/>
        <w:rPr>
          <w:rFonts w:ascii="宋体" w:hAnsi="宋体" w:cs="宋体"/>
          <w:color w:val="auto"/>
          <w:sz w:val="28"/>
          <w:szCs w:val="28"/>
          <w:highlight w:val="none"/>
        </w:rPr>
      </w:pPr>
    </w:p>
    <w:p w14:paraId="37D8CFEA">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36595F4">
      <w:pPr>
        <w:pStyle w:val="8"/>
        <w:rPr>
          <w:rFonts w:ascii="宋体" w:hAnsi="宋体" w:cs="宋体"/>
          <w:color w:val="auto"/>
          <w:highlight w:val="none"/>
        </w:rPr>
      </w:pPr>
    </w:p>
    <w:p w14:paraId="3EF3FC0D">
      <w:pPr>
        <w:rPr>
          <w:rFonts w:ascii="宋体" w:hAnsi="宋体" w:cs="宋体"/>
          <w:color w:val="auto"/>
          <w:highlight w:val="none"/>
        </w:rPr>
      </w:pPr>
    </w:p>
    <w:p w14:paraId="5FA58B3A">
      <w:pPr>
        <w:pStyle w:val="8"/>
        <w:rPr>
          <w:rFonts w:ascii="宋体" w:hAnsi="宋体" w:cs="宋体"/>
          <w:color w:val="auto"/>
          <w:highlight w:val="none"/>
        </w:rPr>
      </w:pPr>
    </w:p>
    <w:p w14:paraId="7556382A">
      <w:pPr>
        <w:snapToGrid w:val="0"/>
        <w:spacing w:line="300" w:lineRule="auto"/>
        <w:ind w:firstLine="560"/>
        <w:outlineLvl w:val="0"/>
        <w:rPr>
          <w:rFonts w:ascii="宋体" w:hAnsi="宋体" w:cs="宋体"/>
          <w:color w:val="auto"/>
          <w:sz w:val="28"/>
          <w:szCs w:val="28"/>
          <w:highlight w:val="none"/>
        </w:rPr>
      </w:pPr>
    </w:p>
    <w:p w14:paraId="6D1B1CA8">
      <w:pPr>
        <w:snapToGrid w:val="0"/>
        <w:spacing w:line="300" w:lineRule="auto"/>
        <w:ind w:firstLine="56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7E2E304D">
      <w:pPr>
        <w:snapToGrid w:val="0"/>
        <w:spacing w:line="300" w:lineRule="auto"/>
        <w:ind w:firstLine="560" w:firstLineChars="200"/>
        <w:outlineLvl w:val="0"/>
        <w:rPr>
          <w:rFonts w:ascii="宋体" w:hAnsi="宋体" w:cs="宋体"/>
          <w:color w:val="auto"/>
          <w:sz w:val="28"/>
          <w:szCs w:val="28"/>
          <w:highlight w:val="none"/>
        </w:rPr>
      </w:pPr>
      <w:r>
        <w:rPr>
          <w:rFonts w:hint="eastAsia" w:ascii="宋体" w:hAnsi="宋体" w:cs="宋体"/>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78572A79">
      <w:pPr>
        <w:snapToGrid w:val="0"/>
        <w:spacing w:line="300" w:lineRule="auto"/>
        <w:ind w:firstLine="560"/>
        <w:outlineLvl w:val="0"/>
        <w:rPr>
          <w:rFonts w:ascii="宋体" w:hAnsi="宋体" w:cs="宋体"/>
          <w:color w:val="auto"/>
          <w:sz w:val="28"/>
          <w:szCs w:val="28"/>
          <w:highlight w:val="none"/>
        </w:rPr>
      </w:pPr>
    </w:p>
    <w:p w14:paraId="4F2334E6">
      <w:pPr>
        <w:snapToGrid w:val="0"/>
        <w:spacing w:line="300" w:lineRule="auto"/>
        <w:ind w:firstLine="560"/>
        <w:outlineLvl w:val="0"/>
        <w:rPr>
          <w:rFonts w:ascii="宋体" w:hAnsi="宋体" w:cs="宋体"/>
          <w:color w:val="auto"/>
          <w:sz w:val="28"/>
          <w:szCs w:val="28"/>
          <w:highlight w:val="none"/>
        </w:rPr>
      </w:pPr>
    </w:p>
    <w:p w14:paraId="48906AD2">
      <w:pPr>
        <w:snapToGrid w:val="0"/>
        <w:spacing w:line="300" w:lineRule="auto"/>
        <w:ind w:firstLine="560"/>
        <w:outlineLvl w:val="0"/>
        <w:rPr>
          <w:rFonts w:ascii="宋体" w:hAnsi="宋体" w:cs="宋体"/>
          <w:color w:val="auto"/>
          <w:sz w:val="28"/>
          <w:szCs w:val="28"/>
          <w:highlight w:val="none"/>
        </w:rPr>
      </w:pPr>
    </w:p>
    <w:p w14:paraId="3F3C145E">
      <w:pPr>
        <w:snapToGrid w:val="0"/>
        <w:spacing w:line="300" w:lineRule="auto"/>
        <w:ind w:firstLine="560"/>
        <w:outlineLvl w:val="0"/>
        <w:rPr>
          <w:rFonts w:ascii="宋体" w:hAnsi="宋体" w:cs="宋体"/>
          <w:color w:val="auto"/>
          <w:sz w:val="28"/>
          <w:szCs w:val="28"/>
          <w:highlight w:val="none"/>
        </w:rPr>
      </w:pPr>
    </w:p>
    <w:p w14:paraId="3DB24224">
      <w:pPr>
        <w:snapToGrid w:val="0"/>
        <w:spacing w:line="300" w:lineRule="auto"/>
        <w:ind w:firstLine="560"/>
        <w:outlineLvl w:val="0"/>
        <w:rPr>
          <w:rFonts w:ascii="宋体" w:hAnsi="宋体" w:cs="宋体"/>
          <w:color w:val="auto"/>
          <w:sz w:val="28"/>
          <w:szCs w:val="28"/>
          <w:highlight w:val="none"/>
        </w:rPr>
      </w:pPr>
    </w:p>
    <w:p w14:paraId="224969D9">
      <w:pPr>
        <w:snapToGrid w:val="0"/>
        <w:spacing w:line="300" w:lineRule="auto"/>
        <w:ind w:firstLine="560"/>
        <w:outlineLvl w:val="0"/>
        <w:rPr>
          <w:rFonts w:ascii="宋体" w:hAnsi="宋体" w:cs="宋体"/>
          <w:color w:val="auto"/>
          <w:sz w:val="28"/>
          <w:szCs w:val="28"/>
          <w:highlight w:val="none"/>
        </w:rPr>
      </w:pPr>
    </w:p>
    <w:p w14:paraId="2A3E4CD6">
      <w:pPr>
        <w:snapToGrid w:val="0"/>
        <w:spacing w:line="300" w:lineRule="auto"/>
        <w:ind w:firstLine="560"/>
        <w:outlineLvl w:val="0"/>
        <w:rPr>
          <w:rFonts w:ascii="宋体" w:hAnsi="宋体" w:cs="宋体"/>
          <w:color w:val="auto"/>
          <w:sz w:val="28"/>
          <w:szCs w:val="28"/>
          <w:highlight w:val="none"/>
        </w:rPr>
      </w:pPr>
    </w:p>
    <w:p w14:paraId="06FC2BCC">
      <w:pPr>
        <w:snapToGrid w:val="0"/>
        <w:spacing w:line="300" w:lineRule="auto"/>
        <w:ind w:firstLine="560"/>
        <w:outlineLvl w:val="0"/>
        <w:rPr>
          <w:rFonts w:ascii="宋体" w:hAnsi="宋体" w:cs="宋体"/>
          <w:color w:val="auto"/>
          <w:sz w:val="28"/>
          <w:szCs w:val="28"/>
          <w:highlight w:val="none"/>
        </w:rPr>
      </w:pPr>
    </w:p>
    <w:p w14:paraId="43C236A4">
      <w:pPr>
        <w:snapToGrid w:val="0"/>
        <w:spacing w:line="300" w:lineRule="auto"/>
        <w:ind w:firstLine="560"/>
        <w:outlineLvl w:val="0"/>
        <w:rPr>
          <w:rFonts w:ascii="宋体" w:hAnsi="宋体" w:cs="宋体"/>
          <w:color w:val="auto"/>
          <w:sz w:val="28"/>
          <w:szCs w:val="28"/>
          <w:highlight w:val="none"/>
        </w:rPr>
      </w:pPr>
    </w:p>
    <w:p w14:paraId="62133BD6">
      <w:pPr>
        <w:snapToGrid w:val="0"/>
        <w:spacing w:line="300" w:lineRule="auto"/>
        <w:ind w:firstLine="560"/>
        <w:outlineLvl w:val="0"/>
        <w:rPr>
          <w:rFonts w:ascii="宋体" w:hAnsi="宋体" w:cs="宋体"/>
          <w:color w:val="auto"/>
          <w:sz w:val="28"/>
          <w:szCs w:val="28"/>
          <w:highlight w:val="none"/>
        </w:rPr>
      </w:pPr>
    </w:p>
    <w:p w14:paraId="4ECE58F9">
      <w:pPr>
        <w:snapToGrid w:val="0"/>
        <w:spacing w:line="300" w:lineRule="auto"/>
        <w:ind w:firstLine="560"/>
        <w:outlineLvl w:val="0"/>
        <w:rPr>
          <w:rFonts w:ascii="宋体" w:hAnsi="宋体" w:cs="宋体"/>
          <w:color w:val="auto"/>
          <w:sz w:val="28"/>
          <w:szCs w:val="28"/>
          <w:highlight w:val="none"/>
        </w:rPr>
      </w:pPr>
    </w:p>
    <w:p w14:paraId="06E01F63">
      <w:pPr>
        <w:snapToGrid w:val="0"/>
        <w:spacing w:line="300" w:lineRule="auto"/>
        <w:ind w:firstLine="560"/>
        <w:outlineLvl w:val="0"/>
        <w:rPr>
          <w:rFonts w:ascii="宋体" w:hAnsi="宋体" w:cs="宋体"/>
          <w:color w:val="auto"/>
          <w:sz w:val="28"/>
          <w:szCs w:val="28"/>
          <w:highlight w:val="none"/>
        </w:rPr>
      </w:pPr>
    </w:p>
    <w:p w14:paraId="52399CCF">
      <w:pPr>
        <w:snapToGrid w:val="0"/>
        <w:spacing w:line="300" w:lineRule="auto"/>
        <w:ind w:firstLine="560"/>
        <w:outlineLvl w:val="0"/>
        <w:rPr>
          <w:rFonts w:ascii="宋体" w:hAnsi="宋体" w:cs="宋体"/>
          <w:color w:val="auto"/>
          <w:sz w:val="28"/>
          <w:szCs w:val="28"/>
          <w:highlight w:val="none"/>
        </w:rPr>
      </w:pPr>
    </w:p>
    <w:p w14:paraId="3DAEC306">
      <w:pPr>
        <w:snapToGrid w:val="0"/>
        <w:spacing w:line="300" w:lineRule="auto"/>
        <w:ind w:firstLine="560"/>
        <w:outlineLvl w:val="0"/>
        <w:rPr>
          <w:rFonts w:ascii="宋体" w:hAnsi="宋体" w:cs="宋体"/>
          <w:color w:val="auto"/>
          <w:sz w:val="28"/>
          <w:szCs w:val="28"/>
          <w:highlight w:val="none"/>
        </w:rPr>
      </w:pPr>
    </w:p>
    <w:p w14:paraId="075091E7">
      <w:pPr>
        <w:rPr>
          <w:rFonts w:hint="eastAsia" w:ascii="宋体" w:hAnsi="宋体" w:eastAsia="宋体" w:cs="宋体"/>
          <w:color w:val="auto"/>
          <w:sz w:val="32"/>
          <w:szCs w:val="32"/>
          <w:highlight w:val="none"/>
          <w:lang w:eastAsia="zh-CN"/>
        </w:rPr>
      </w:pPr>
      <w:r>
        <w:rPr>
          <w:rFonts w:hint="eastAsia" w:ascii="宋体" w:hAnsi="宋体" w:cs="宋体"/>
          <w:bCs/>
          <w:color w:val="auto"/>
          <w:sz w:val="32"/>
          <w:szCs w:val="32"/>
          <w:highlight w:val="none"/>
          <w:lang w:bidi="ar"/>
        </w:rPr>
        <w:t>附件</w:t>
      </w:r>
      <w:r>
        <w:rPr>
          <w:rFonts w:hint="eastAsia" w:ascii="宋体" w:hAnsi="宋体" w:cs="宋体"/>
          <w:bCs/>
          <w:color w:val="auto"/>
          <w:sz w:val="32"/>
          <w:szCs w:val="32"/>
          <w:highlight w:val="none"/>
          <w:lang w:val="en-US" w:eastAsia="zh-CN" w:bidi="ar"/>
        </w:rPr>
        <w:t>9</w:t>
      </w:r>
    </w:p>
    <w:p w14:paraId="0A6AB8AE">
      <w:pPr>
        <w:ind w:firstLine="720"/>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4830B521">
      <w:pPr>
        <w:adjustRightInd w:val="0"/>
        <w:snapToGrid w:val="0"/>
        <w:spacing w:before="312" w:beforeLines="100" w:line="312" w:lineRule="auto"/>
        <w:ind w:firstLine="560"/>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2E1571EA">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0873D7C9">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61B38095">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40B044EF">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39C1818E">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6EB444C1">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4743DC2A">
      <w:pPr>
        <w:adjustRightInd w:val="0"/>
        <w:snapToGrid w:val="0"/>
        <w:spacing w:line="312" w:lineRule="auto"/>
        <w:ind w:firstLine="560"/>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15B4D335">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3737D5CE">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68B71E14">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20BB6242">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5CEDEBA3">
      <w:pPr>
        <w:adjustRightInd w:val="0"/>
        <w:snapToGrid w:val="0"/>
        <w:spacing w:line="312" w:lineRule="auto"/>
        <w:ind w:firstLine="560"/>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0D61D0B4">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705072C9">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5FAD2CC2">
      <w:pPr>
        <w:adjustRightInd w:val="0"/>
        <w:snapToGrid w:val="0"/>
        <w:spacing w:line="312" w:lineRule="auto"/>
        <w:ind w:firstLine="560"/>
        <w:rPr>
          <w:rFonts w:ascii="宋体" w:hAnsi="宋体" w:cs="宋体"/>
          <w:color w:val="auto"/>
          <w:sz w:val="28"/>
          <w:szCs w:val="28"/>
          <w:highlight w:val="none"/>
        </w:rPr>
      </w:pPr>
    </w:p>
    <w:p w14:paraId="4884CBED">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CDA0F15">
      <w:pPr>
        <w:adjustRightInd w:val="0"/>
        <w:snapToGrid w:val="0"/>
        <w:spacing w:line="312" w:lineRule="auto"/>
        <w:ind w:firstLine="560"/>
        <w:rPr>
          <w:rFonts w:ascii="宋体" w:hAnsi="宋体" w:cs="宋体"/>
          <w:color w:val="auto"/>
          <w:sz w:val="28"/>
          <w:szCs w:val="28"/>
          <w:highlight w:val="none"/>
          <w:u w:val="dotted"/>
        </w:rPr>
      </w:pPr>
    </w:p>
    <w:p w14:paraId="1C063E00">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032ABE4E">
      <w:pPr>
        <w:adjustRightInd w:val="0"/>
        <w:snapToGrid w:val="0"/>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w:t>
      </w:r>
    </w:p>
    <w:p w14:paraId="50F5F7E1">
      <w:pPr>
        <w:adjustRightInd w:val="0"/>
        <w:snapToGrid w:val="0"/>
        <w:spacing w:line="312" w:lineRule="auto"/>
        <w:ind w:firstLine="560"/>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1C202544">
      <w:pPr>
        <w:adjustRightInd w:val="0"/>
        <w:snapToGrid w:val="0"/>
        <w:spacing w:line="312" w:lineRule="auto"/>
        <w:ind w:firstLine="560"/>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03BEF93D">
      <w:pPr>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4270A6A2">
      <w:pPr>
        <w:spacing w:line="312"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58BCC36B">
      <w:pPr>
        <w:adjustRightInd w:val="0"/>
        <w:snapToGrid w:val="0"/>
        <w:spacing w:line="288" w:lineRule="auto"/>
        <w:ind w:firstLine="560"/>
        <w:rPr>
          <w:rFonts w:ascii="宋体" w:hAnsi="宋体" w:cs="宋体"/>
          <w:color w:val="auto"/>
          <w:sz w:val="28"/>
          <w:szCs w:val="28"/>
          <w:highlight w:val="none"/>
        </w:rPr>
      </w:pPr>
    </w:p>
    <w:p w14:paraId="0F5610DD">
      <w:pPr>
        <w:ind w:firstLine="562"/>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1E2D5032">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64F7516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7F2F205B">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1D50F09B">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1E93B50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23C4EE05">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048FBA1A">
      <w:pPr>
        <w:snapToGrid w:val="0"/>
        <w:spacing w:line="300" w:lineRule="auto"/>
        <w:ind w:firstLine="560"/>
        <w:outlineLvl w:val="0"/>
        <w:rPr>
          <w:rFonts w:ascii="宋体" w:hAnsi="宋体" w:cs="宋体"/>
          <w:color w:val="auto"/>
          <w:sz w:val="28"/>
          <w:szCs w:val="28"/>
          <w:highlight w:val="none"/>
        </w:rPr>
      </w:pPr>
    </w:p>
    <w:p w14:paraId="3FE7EB78">
      <w:pPr>
        <w:rPr>
          <w:rFonts w:ascii="宋体" w:hAnsi="宋体" w:cs="宋体"/>
          <w:color w:val="auto"/>
          <w:sz w:val="28"/>
          <w:szCs w:val="28"/>
          <w:highlight w:val="none"/>
        </w:rPr>
      </w:pPr>
    </w:p>
    <w:sectPr>
      <w:footerReference r:id="rId5" w:type="default"/>
      <w:footerReference r:id="rId6" w:type="even"/>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7FFAEFF" w:usb1="F9DFFFFF" w:usb2="0000007F" w:usb3="00000000" w:csb0="203F01FF" w:csb1="D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3BFD">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E59D4A">
                          <w:pPr>
                            <w:pStyle w:val="13"/>
                          </w:pPr>
                          <w:r>
                            <w:fldChar w:fldCharType="begin"/>
                          </w:r>
                          <w:r>
                            <w:instrText xml:space="preserve"> PAGE  \* MERGEFORMAT </w:instrText>
                          </w:r>
                          <w:r>
                            <w:fldChar w:fldCharType="separate"/>
                          </w:r>
                          <w:r>
                            <w:t>49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63E59D4A">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86EC">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EE2299">
                          <w:pPr>
                            <w:pStyle w:val="13"/>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Cjb8wBAACcAwAADgAAAGRycy9lMm9Eb2MueG1srVNLbtswEN0XyB0I&#10;7mPKWhSu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koKNvzAEAAJwDAAAOAAAAAAAAAAEAIAAAAB4BAABkcnMvZTJv&#10;RG9jLnhtbFBLBQYAAAAABgAGAFkBAABcBQAAAAA=&#10;">
              <v:fill on="f" focussize="0,0"/>
              <v:stroke on="f"/>
              <v:imagedata o:title=""/>
              <o:lock v:ext="edit" aspectratio="f"/>
              <v:textbox inset="0mm,0mm,0mm,0mm" style="mso-fit-shape-to-text:t;">
                <w:txbxContent>
                  <w:p w14:paraId="55EE2299">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C109">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812E2">
                          <w:pPr>
                            <w:pStyle w:val="13"/>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752812E2">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D40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YjdhMDFjMDMyNTFkMzk4MTYzZjUzMzg1N2ZjMDgifQ=="/>
  </w:docVars>
  <w:rsids>
    <w:rsidRoot w:val="72DA44FF"/>
    <w:rsid w:val="000031BB"/>
    <w:rsid w:val="000120F6"/>
    <w:rsid w:val="00013AEC"/>
    <w:rsid w:val="00030D94"/>
    <w:rsid w:val="0005603F"/>
    <w:rsid w:val="00093FAB"/>
    <w:rsid w:val="000971F5"/>
    <w:rsid w:val="000A7995"/>
    <w:rsid w:val="000B0D5B"/>
    <w:rsid w:val="000B37FA"/>
    <w:rsid w:val="000C1502"/>
    <w:rsid w:val="000C59DE"/>
    <w:rsid w:val="000D23CC"/>
    <w:rsid w:val="000F24EA"/>
    <w:rsid w:val="000F29EF"/>
    <w:rsid w:val="000F5F73"/>
    <w:rsid w:val="00102AD3"/>
    <w:rsid w:val="00103075"/>
    <w:rsid w:val="00103299"/>
    <w:rsid w:val="00104A30"/>
    <w:rsid w:val="00104F7B"/>
    <w:rsid w:val="00106C4E"/>
    <w:rsid w:val="001125F2"/>
    <w:rsid w:val="00116193"/>
    <w:rsid w:val="00123BCF"/>
    <w:rsid w:val="00127163"/>
    <w:rsid w:val="0014136A"/>
    <w:rsid w:val="00151A61"/>
    <w:rsid w:val="00177C0D"/>
    <w:rsid w:val="001D4F48"/>
    <w:rsid w:val="001E0D3F"/>
    <w:rsid w:val="001F141B"/>
    <w:rsid w:val="001F3BB0"/>
    <w:rsid w:val="00203E2B"/>
    <w:rsid w:val="002048A5"/>
    <w:rsid w:val="00205D51"/>
    <w:rsid w:val="00210BA2"/>
    <w:rsid w:val="00217FBF"/>
    <w:rsid w:val="00236474"/>
    <w:rsid w:val="002378FE"/>
    <w:rsid w:val="00241ACF"/>
    <w:rsid w:val="00244DEB"/>
    <w:rsid w:val="002500D3"/>
    <w:rsid w:val="0025265F"/>
    <w:rsid w:val="0026380F"/>
    <w:rsid w:val="00286C87"/>
    <w:rsid w:val="002B613D"/>
    <w:rsid w:val="002C0F03"/>
    <w:rsid w:val="002D5236"/>
    <w:rsid w:val="003037A3"/>
    <w:rsid w:val="00306D23"/>
    <w:rsid w:val="00310D5F"/>
    <w:rsid w:val="003121C2"/>
    <w:rsid w:val="00315121"/>
    <w:rsid w:val="003364F4"/>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46C8F"/>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A4621"/>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52022"/>
    <w:rsid w:val="0076663F"/>
    <w:rsid w:val="00777883"/>
    <w:rsid w:val="00793C13"/>
    <w:rsid w:val="007C4F8B"/>
    <w:rsid w:val="007E4447"/>
    <w:rsid w:val="00803D68"/>
    <w:rsid w:val="008076E2"/>
    <w:rsid w:val="00810BD0"/>
    <w:rsid w:val="00814356"/>
    <w:rsid w:val="00852DE3"/>
    <w:rsid w:val="0087080C"/>
    <w:rsid w:val="00893CDE"/>
    <w:rsid w:val="008B5DEC"/>
    <w:rsid w:val="008D5924"/>
    <w:rsid w:val="008D7681"/>
    <w:rsid w:val="008F4E65"/>
    <w:rsid w:val="0091137A"/>
    <w:rsid w:val="00923838"/>
    <w:rsid w:val="00926647"/>
    <w:rsid w:val="009312BD"/>
    <w:rsid w:val="00956979"/>
    <w:rsid w:val="00975836"/>
    <w:rsid w:val="00977E38"/>
    <w:rsid w:val="00990763"/>
    <w:rsid w:val="009937E8"/>
    <w:rsid w:val="009B7774"/>
    <w:rsid w:val="009B79B1"/>
    <w:rsid w:val="009C0E7F"/>
    <w:rsid w:val="009D047A"/>
    <w:rsid w:val="009E04A4"/>
    <w:rsid w:val="009F049D"/>
    <w:rsid w:val="009F5E2A"/>
    <w:rsid w:val="00A0044C"/>
    <w:rsid w:val="00A019A2"/>
    <w:rsid w:val="00A02BBB"/>
    <w:rsid w:val="00A23CEC"/>
    <w:rsid w:val="00A23D2F"/>
    <w:rsid w:val="00A4744A"/>
    <w:rsid w:val="00A5040D"/>
    <w:rsid w:val="00A6197F"/>
    <w:rsid w:val="00A66D3B"/>
    <w:rsid w:val="00A737C2"/>
    <w:rsid w:val="00A751DC"/>
    <w:rsid w:val="00A76C2A"/>
    <w:rsid w:val="00A77BDF"/>
    <w:rsid w:val="00A818AF"/>
    <w:rsid w:val="00AD3E11"/>
    <w:rsid w:val="00B16617"/>
    <w:rsid w:val="00B61542"/>
    <w:rsid w:val="00B654EA"/>
    <w:rsid w:val="00B82506"/>
    <w:rsid w:val="00B90D96"/>
    <w:rsid w:val="00B9181B"/>
    <w:rsid w:val="00BA611D"/>
    <w:rsid w:val="00BE5D54"/>
    <w:rsid w:val="00BE6F5B"/>
    <w:rsid w:val="00C00A45"/>
    <w:rsid w:val="00C01D06"/>
    <w:rsid w:val="00C01E89"/>
    <w:rsid w:val="00C23DFA"/>
    <w:rsid w:val="00C26813"/>
    <w:rsid w:val="00C46100"/>
    <w:rsid w:val="00C57D84"/>
    <w:rsid w:val="00C73020"/>
    <w:rsid w:val="00C85DF0"/>
    <w:rsid w:val="00CB17F4"/>
    <w:rsid w:val="00CC1522"/>
    <w:rsid w:val="00CE346F"/>
    <w:rsid w:val="00D112D6"/>
    <w:rsid w:val="00D114FD"/>
    <w:rsid w:val="00D1223C"/>
    <w:rsid w:val="00D30BC0"/>
    <w:rsid w:val="00D314CD"/>
    <w:rsid w:val="00D3580A"/>
    <w:rsid w:val="00D42457"/>
    <w:rsid w:val="00D459D8"/>
    <w:rsid w:val="00D817F3"/>
    <w:rsid w:val="00D8449B"/>
    <w:rsid w:val="00D94BE9"/>
    <w:rsid w:val="00DB0445"/>
    <w:rsid w:val="00DB37BD"/>
    <w:rsid w:val="00DB4CE7"/>
    <w:rsid w:val="00DD0017"/>
    <w:rsid w:val="00DD0B98"/>
    <w:rsid w:val="00DD6AE4"/>
    <w:rsid w:val="00DF66C7"/>
    <w:rsid w:val="00DF7C9E"/>
    <w:rsid w:val="00E0598E"/>
    <w:rsid w:val="00E12985"/>
    <w:rsid w:val="00E27C07"/>
    <w:rsid w:val="00E34CF9"/>
    <w:rsid w:val="00E42D65"/>
    <w:rsid w:val="00E56192"/>
    <w:rsid w:val="00E57C52"/>
    <w:rsid w:val="00E612F6"/>
    <w:rsid w:val="00E66E9B"/>
    <w:rsid w:val="00E831FF"/>
    <w:rsid w:val="00EA05C0"/>
    <w:rsid w:val="00EA3731"/>
    <w:rsid w:val="00EA4BC5"/>
    <w:rsid w:val="00EA5A08"/>
    <w:rsid w:val="00EB4B03"/>
    <w:rsid w:val="00EF5DB7"/>
    <w:rsid w:val="00F06DC9"/>
    <w:rsid w:val="00F21BDD"/>
    <w:rsid w:val="00F34615"/>
    <w:rsid w:val="00F54BE6"/>
    <w:rsid w:val="00F7090D"/>
    <w:rsid w:val="00FA25A9"/>
    <w:rsid w:val="00FC35B2"/>
    <w:rsid w:val="00FD4CBF"/>
    <w:rsid w:val="00FF09E6"/>
    <w:rsid w:val="00FF2CF6"/>
    <w:rsid w:val="00FF4D3F"/>
    <w:rsid w:val="00FF6AE3"/>
    <w:rsid w:val="011B466A"/>
    <w:rsid w:val="01DF2B34"/>
    <w:rsid w:val="01EC1D73"/>
    <w:rsid w:val="01F17356"/>
    <w:rsid w:val="0221497E"/>
    <w:rsid w:val="022D3743"/>
    <w:rsid w:val="02411B93"/>
    <w:rsid w:val="02F562EE"/>
    <w:rsid w:val="031A2146"/>
    <w:rsid w:val="03A3046B"/>
    <w:rsid w:val="04231D23"/>
    <w:rsid w:val="04A8035C"/>
    <w:rsid w:val="05353DA0"/>
    <w:rsid w:val="05685F23"/>
    <w:rsid w:val="057B186A"/>
    <w:rsid w:val="05A922AE"/>
    <w:rsid w:val="060D18FC"/>
    <w:rsid w:val="062D3622"/>
    <w:rsid w:val="06BE2384"/>
    <w:rsid w:val="06F207A1"/>
    <w:rsid w:val="074561E9"/>
    <w:rsid w:val="075020E6"/>
    <w:rsid w:val="075A2B50"/>
    <w:rsid w:val="075E313A"/>
    <w:rsid w:val="078A58ED"/>
    <w:rsid w:val="085A3487"/>
    <w:rsid w:val="08895535"/>
    <w:rsid w:val="08E92ED7"/>
    <w:rsid w:val="09B62700"/>
    <w:rsid w:val="09D43B87"/>
    <w:rsid w:val="0A1A47E2"/>
    <w:rsid w:val="0A821835"/>
    <w:rsid w:val="0A862501"/>
    <w:rsid w:val="0A91018F"/>
    <w:rsid w:val="0B56577A"/>
    <w:rsid w:val="0B685928"/>
    <w:rsid w:val="0B700E0C"/>
    <w:rsid w:val="0BE42DF8"/>
    <w:rsid w:val="0BEC4ECB"/>
    <w:rsid w:val="0BF21AAA"/>
    <w:rsid w:val="0C1F1327"/>
    <w:rsid w:val="0CC32F3E"/>
    <w:rsid w:val="0D415133"/>
    <w:rsid w:val="0DB066B9"/>
    <w:rsid w:val="0E046C26"/>
    <w:rsid w:val="0E3B3D37"/>
    <w:rsid w:val="0E867A2B"/>
    <w:rsid w:val="0EA47933"/>
    <w:rsid w:val="0EB02ACF"/>
    <w:rsid w:val="0EF10D38"/>
    <w:rsid w:val="0EF357FE"/>
    <w:rsid w:val="0EF45FEF"/>
    <w:rsid w:val="0F34349F"/>
    <w:rsid w:val="0FA1275E"/>
    <w:rsid w:val="0FD85A54"/>
    <w:rsid w:val="0FFC0273"/>
    <w:rsid w:val="0FFF4FE4"/>
    <w:rsid w:val="100F6863"/>
    <w:rsid w:val="101F6CD7"/>
    <w:rsid w:val="107B45E5"/>
    <w:rsid w:val="107C30FC"/>
    <w:rsid w:val="10D26947"/>
    <w:rsid w:val="10DE1449"/>
    <w:rsid w:val="10EF12A7"/>
    <w:rsid w:val="111725AC"/>
    <w:rsid w:val="1147593B"/>
    <w:rsid w:val="119B46FD"/>
    <w:rsid w:val="12211934"/>
    <w:rsid w:val="12374CB3"/>
    <w:rsid w:val="127C39BF"/>
    <w:rsid w:val="12A762DD"/>
    <w:rsid w:val="13255FEB"/>
    <w:rsid w:val="14593E59"/>
    <w:rsid w:val="146C45F3"/>
    <w:rsid w:val="148C1676"/>
    <w:rsid w:val="149C51BE"/>
    <w:rsid w:val="14AF2A28"/>
    <w:rsid w:val="14B7032D"/>
    <w:rsid w:val="14CC61CF"/>
    <w:rsid w:val="15A8272D"/>
    <w:rsid w:val="16276709"/>
    <w:rsid w:val="164825DB"/>
    <w:rsid w:val="176C2274"/>
    <w:rsid w:val="17B500E2"/>
    <w:rsid w:val="17EC6540"/>
    <w:rsid w:val="17FF44C5"/>
    <w:rsid w:val="18357AA5"/>
    <w:rsid w:val="19113420"/>
    <w:rsid w:val="19A47EFE"/>
    <w:rsid w:val="19C005CA"/>
    <w:rsid w:val="1A3B49D3"/>
    <w:rsid w:val="1A8E7D82"/>
    <w:rsid w:val="1AE5608C"/>
    <w:rsid w:val="1AEE3C5D"/>
    <w:rsid w:val="1AF44089"/>
    <w:rsid w:val="1AFC3B48"/>
    <w:rsid w:val="1B525A3A"/>
    <w:rsid w:val="1B6F209E"/>
    <w:rsid w:val="1B8212C4"/>
    <w:rsid w:val="1BD15BBA"/>
    <w:rsid w:val="1BF60EA2"/>
    <w:rsid w:val="1C913B5A"/>
    <w:rsid w:val="1D507571"/>
    <w:rsid w:val="1D6512B9"/>
    <w:rsid w:val="1DFE3E65"/>
    <w:rsid w:val="1E326C77"/>
    <w:rsid w:val="1EA82360"/>
    <w:rsid w:val="1EF81C6E"/>
    <w:rsid w:val="1F2D7208"/>
    <w:rsid w:val="1F2E39E9"/>
    <w:rsid w:val="1F4D3A29"/>
    <w:rsid w:val="1FA65675"/>
    <w:rsid w:val="2004056C"/>
    <w:rsid w:val="20B816B5"/>
    <w:rsid w:val="210D5718"/>
    <w:rsid w:val="21411C9A"/>
    <w:rsid w:val="2155573C"/>
    <w:rsid w:val="21DC4F15"/>
    <w:rsid w:val="224D2894"/>
    <w:rsid w:val="22A81D4C"/>
    <w:rsid w:val="22EC1AEA"/>
    <w:rsid w:val="23280AD9"/>
    <w:rsid w:val="2349169C"/>
    <w:rsid w:val="23A97579"/>
    <w:rsid w:val="24833D88"/>
    <w:rsid w:val="24F52D0A"/>
    <w:rsid w:val="256F266F"/>
    <w:rsid w:val="259C5AEB"/>
    <w:rsid w:val="25A247EC"/>
    <w:rsid w:val="26061132"/>
    <w:rsid w:val="268B161A"/>
    <w:rsid w:val="26D3371D"/>
    <w:rsid w:val="27914CC8"/>
    <w:rsid w:val="2852419D"/>
    <w:rsid w:val="286001FB"/>
    <w:rsid w:val="28FD7399"/>
    <w:rsid w:val="29950680"/>
    <w:rsid w:val="2AE92B8B"/>
    <w:rsid w:val="2AFD0A94"/>
    <w:rsid w:val="2B185933"/>
    <w:rsid w:val="2BB974A6"/>
    <w:rsid w:val="2C311191"/>
    <w:rsid w:val="2C416D72"/>
    <w:rsid w:val="2CB82CFE"/>
    <w:rsid w:val="2D126B9F"/>
    <w:rsid w:val="2D494239"/>
    <w:rsid w:val="2D6501FC"/>
    <w:rsid w:val="2D65356B"/>
    <w:rsid w:val="2E6C46A3"/>
    <w:rsid w:val="2E861327"/>
    <w:rsid w:val="2EA72180"/>
    <w:rsid w:val="2F5C288F"/>
    <w:rsid w:val="2FAE313F"/>
    <w:rsid w:val="2FB56CF8"/>
    <w:rsid w:val="31020376"/>
    <w:rsid w:val="3182062E"/>
    <w:rsid w:val="319B4CA7"/>
    <w:rsid w:val="31C4449A"/>
    <w:rsid w:val="32100587"/>
    <w:rsid w:val="32145A07"/>
    <w:rsid w:val="32416CA4"/>
    <w:rsid w:val="32456E89"/>
    <w:rsid w:val="32B141B6"/>
    <w:rsid w:val="33CE3219"/>
    <w:rsid w:val="34200B6E"/>
    <w:rsid w:val="34293708"/>
    <w:rsid w:val="348451A1"/>
    <w:rsid w:val="349C3C37"/>
    <w:rsid w:val="356203CC"/>
    <w:rsid w:val="358261C0"/>
    <w:rsid w:val="35C52022"/>
    <w:rsid w:val="35EF72F8"/>
    <w:rsid w:val="361E2B75"/>
    <w:rsid w:val="368450FB"/>
    <w:rsid w:val="37896C52"/>
    <w:rsid w:val="38072EB2"/>
    <w:rsid w:val="381274A5"/>
    <w:rsid w:val="38685317"/>
    <w:rsid w:val="38CA5FD2"/>
    <w:rsid w:val="3A0B6EC6"/>
    <w:rsid w:val="3A100A68"/>
    <w:rsid w:val="3AA23689"/>
    <w:rsid w:val="3AAC27E9"/>
    <w:rsid w:val="3C0B4511"/>
    <w:rsid w:val="3C477110"/>
    <w:rsid w:val="3C7945AF"/>
    <w:rsid w:val="3CC03974"/>
    <w:rsid w:val="3CD3774B"/>
    <w:rsid w:val="3CFB49AC"/>
    <w:rsid w:val="3D566086"/>
    <w:rsid w:val="3DB41ED8"/>
    <w:rsid w:val="3DBB5DC7"/>
    <w:rsid w:val="3E611D45"/>
    <w:rsid w:val="3E6B5B61"/>
    <w:rsid w:val="3E6F0DAE"/>
    <w:rsid w:val="3F2C3542"/>
    <w:rsid w:val="3F5F4168"/>
    <w:rsid w:val="3FAB3A69"/>
    <w:rsid w:val="3FB35A12"/>
    <w:rsid w:val="3FB377C0"/>
    <w:rsid w:val="40880C4C"/>
    <w:rsid w:val="40A40D4F"/>
    <w:rsid w:val="40BA656D"/>
    <w:rsid w:val="40D7606B"/>
    <w:rsid w:val="40D914A8"/>
    <w:rsid w:val="40F36293"/>
    <w:rsid w:val="419B2E13"/>
    <w:rsid w:val="41A970CC"/>
    <w:rsid w:val="41CE7627"/>
    <w:rsid w:val="42201879"/>
    <w:rsid w:val="4269685C"/>
    <w:rsid w:val="432F369A"/>
    <w:rsid w:val="440B0B14"/>
    <w:rsid w:val="4423026D"/>
    <w:rsid w:val="45284A5E"/>
    <w:rsid w:val="456B6431"/>
    <w:rsid w:val="45773C13"/>
    <w:rsid w:val="46744196"/>
    <w:rsid w:val="47874EA9"/>
    <w:rsid w:val="47B44676"/>
    <w:rsid w:val="47B740B3"/>
    <w:rsid w:val="4803701A"/>
    <w:rsid w:val="4835350C"/>
    <w:rsid w:val="48B41A8F"/>
    <w:rsid w:val="48FD7CFE"/>
    <w:rsid w:val="49530312"/>
    <w:rsid w:val="495425B5"/>
    <w:rsid w:val="49C8668D"/>
    <w:rsid w:val="49ED64C9"/>
    <w:rsid w:val="4A3B1560"/>
    <w:rsid w:val="4AF36E2F"/>
    <w:rsid w:val="4B48499E"/>
    <w:rsid w:val="4B876D4C"/>
    <w:rsid w:val="4BC0573E"/>
    <w:rsid w:val="4BDB5372"/>
    <w:rsid w:val="4C7A32E7"/>
    <w:rsid w:val="4C7B3362"/>
    <w:rsid w:val="4C9B5863"/>
    <w:rsid w:val="4D447CA9"/>
    <w:rsid w:val="4D6A3FBD"/>
    <w:rsid w:val="4DDE1EAC"/>
    <w:rsid w:val="4E023E15"/>
    <w:rsid w:val="4F100820"/>
    <w:rsid w:val="507A635B"/>
    <w:rsid w:val="50B6598C"/>
    <w:rsid w:val="50BA1C3A"/>
    <w:rsid w:val="50D70E34"/>
    <w:rsid w:val="514207FD"/>
    <w:rsid w:val="51A73905"/>
    <w:rsid w:val="529626C4"/>
    <w:rsid w:val="52B96A43"/>
    <w:rsid w:val="52BF4949"/>
    <w:rsid w:val="52C74869"/>
    <w:rsid w:val="53844D7B"/>
    <w:rsid w:val="53BC7CB1"/>
    <w:rsid w:val="53DB2795"/>
    <w:rsid w:val="54896BD1"/>
    <w:rsid w:val="54DB230D"/>
    <w:rsid w:val="54E52DB6"/>
    <w:rsid w:val="55944C0E"/>
    <w:rsid w:val="55B1571F"/>
    <w:rsid w:val="55F55A8B"/>
    <w:rsid w:val="576D3087"/>
    <w:rsid w:val="57BC3BD4"/>
    <w:rsid w:val="591B5917"/>
    <w:rsid w:val="593A06B5"/>
    <w:rsid w:val="59D008BD"/>
    <w:rsid w:val="59D971F4"/>
    <w:rsid w:val="5A3823C6"/>
    <w:rsid w:val="5A762450"/>
    <w:rsid w:val="5AC35A6B"/>
    <w:rsid w:val="5AD76600"/>
    <w:rsid w:val="5BD111F4"/>
    <w:rsid w:val="5C8349AE"/>
    <w:rsid w:val="5CC86EA4"/>
    <w:rsid w:val="5CE5193F"/>
    <w:rsid w:val="5D1524EA"/>
    <w:rsid w:val="5D7418F1"/>
    <w:rsid w:val="5E3D507A"/>
    <w:rsid w:val="5E3E6996"/>
    <w:rsid w:val="5E7B2B02"/>
    <w:rsid w:val="5F243677"/>
    <w:rsid w:val="5F4A16A1"/>
    <w:rsid w:val="5F5F68F5"/>
    <w:rsid w:val="5F9C69B7"/>
    <w:rsid w:val="5FB72EF2"/>
    <w:rsid w:val="6130766C"/>
    <w:rsid w:val="613D220F"/>
    <w:rsid w:val="614061E4"/>
    <w:rsid w:val="6186668A"/>
    <w:rsid w:val="61DC7186"/>
    <w:rsid w:val="61EA4FA0"/>
    <w:rsid w:val="621F0086"/>
    <w:rsid w:val="62346989"/>
    <w:rsid w:val="623844F4"/>
    <w:rsid w:val="624D3D9E"/>
    <w:rsid w:val="62766E03"/>
    <w:rsid w:val="62A019CE"/>
    <w:rsid w:val="63531F8D"/>
    <w:rsid w:val="638C227F"/>
    <w:rsid w:val="639B7CD8"/>
    <w:rsid w:val="63CC40C7"/>
    <w:rsid w:val="63F01943"/>
    <w:rsid w:val="64256973"/>
    <w:rsid w:val="647E0EAE"/>
    <w:rsid w:val="64901CDF"/>
    <w:rsid w:val="64E102CB"/>
    <w:rsid w:val="64E12312"/>
    <w:rsid w:val="65051FBC"/>
    <w:rsid w:val="65A34405"/>
    <w:rsid w:val="65AD7581"/>
    <w:rsid w:val="65CC2942"/>
    <w:rsid w:val="65DB74FA"/>
    <w:rsid w:val="66D434CE"/>
    <w:rsid w:val="670A38BA"/>
    <w:rsid w:val="67A72EE1"/>
    <w:rsid w:val="67FD341E"/>
    <w:rsid w:val="688558EE"/>
    <w:rsid w:val="68CC22D3"/>
    <w:rsid w:val="69B35505"/>
    <w:rsid w:val="69B705EC"/>
    <w:rsid w:val="6A510DDC"/>
    <w:rsid w:val="6AF059AE"/>
    <w:rsid w:val="6B2C067F"/>
    <w:rsid w:val="6B442F1F"/>
    <w:rsid w:val="6DDD793E"/>
    <w:rsid w:val="6E39717B"/>
    <w:rsid w:val="6E9F3C9F"/>
    <w:rsid w:val="6FCA2ACC"/>
    <w:rsid w:val="700F08C0"/>
    <w:rsid w:val="704F0ED7"/>
    <w:rsid w:val="705B0536"/>
    <w:rsid w:val="705B714E"/>
    <w:rsid w:val="706F2E94"/>
    <w:rsid w:val="713E0F09"/>
    <w:rsid w:val="715776FB"/>
    <w:rsid w:val="71933005"/>
    <w:rsid w:val="71D34078"/>
    <w:rsid w:val="72A507DA"/>
    <w:rsid w:val="72C05AE3"/>
    <w:rsid w:val="72DA44FF"/>
    <w:rsid w:val="72E17BC5"/>
    <w:rsid w:val="72EB15F3"/>
    <w:rsid w:val="7399224D"/>
    <w:rsid w:val="73CB6DD9"/>
    <w:rsid w:val="73DC213A"/>
    <w:rsid w:val="73E01848"/>
    <w:rsid w:val="742762A4"/>
    <w:rsid w:val="74BA691F"/>
    <w:rsid w:val="74E22F5B"/>
    <w:rsid w:val="74E60521"/>
    <w:rsid w:val="755E5E90"/>
    <w:rsid w:val="75821800"/>
    <w:rsid w:val="7601232C"/>
    <w:rsid w:val="764C17F9"/>
    <w:rsid w:val="76D33CC8"/>
    <w:rsid w:val="77037899"/>
    <w:rsid w:val="775D4BAA"/>
    <w:rsid w:val="77775173"/>
    <w:rsid w:val="77AB445A"/>
    <w:rsid w:val="77ED2A8E"/>
    <w:rsid w:val="77F13D26"/>
    <w:rsid w:val="78083F5D"/>
    <w:rsid w:val="784F3B85"/>
    <w:rsid w:val="78661385"/>
    <w:rsid w:val="7901354B"/>
    <w:rsid w:val="79083D17"/>
    <w:rsid w:val="79743692"/>
    <w:rsid w:val="798F4C15"/>
    <w:rsid w:val="799D6770"/>
    <w:rsid w:val="7A2F16EC"/>
    <w:rsid w:val="7AB40DAA"/>
    <w:rsid w:val="7BB52A0C"/>
    <w:rsid w:val="7BF54ADB"/>
    <w:rsid w:val="7C6A28E4"/>
    <w:rsid w:val="7E751B09"/>
    <w:rsid w:val="7E903B50"/>
    <w:rsid w:val="7EE97F06"/>
    <w:rsid w:val="7F0013D2"/>
    <w:rsid w:val="7F2E4FB1"/>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autoRedefine/>
    <w:qFormat/>
    <w:uiPriority w:val="0"/>
    <w:pPr>
      <w:keepNext/>
      <w:jc w:val="center"/>
      <w:outlineLvl w:val="3"/>
    </w:pPr>
    <w:rPr>
      <w:rFonts w:eastAsia="新宋体"/>
      <w:kern w:val="0"/>
      <w:sz w:val="3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firstLineChars="200"/>
      <w:textAlignment w:val="baseline"/>
    </w:pPr>
    <w:rPr>
      <w:kern w:val="0"/>
    </w:rPr>
  </w:style>
  <w:style w:type="paragraph" w:styleId="6">
    <w:name w:val="Document Map"/>
    <w:basedOn w:val="1"/>
    <w:link w:val="46"/>
    <w:autoRedefine/>
    <w:semiHidden/>
    <w:unhideWhenUsed/>
    <w:qFormat/>
    <w:uiPriority w:val="0"/>
    <w:rPr>
      <w:rFonts w:ascii="Microsoft YaHei UI" w:eastAsia="Microsoft YaHei UI"/>
      <w:sz w:val="18"/>
      <w:szCs w:val="18"/>
    </w:rPr>
  </w:style>
  <w:style w:type="paragraph" w:styleId="7">
    <w:name w:val="annotation text"/>
    <w:basedOn w:val="1"/>
    <w:semiHidden/>
    <w:unhideWhenUsed/>
    <w:qFormat/>
    <w:uiPriority w:val="0"/>
    <w:pPr>
      <w:jc w:val="left"/>
    </w:pPr>
  </w:style>
  <w:style w:type="paragraph" w:styleId="8">
    <w:name w:val="Body Text"/>
    <w:basedOn w:val="1"/>
    <w:next w:val="1"/>
    <w:autoRedefine/>
    <w:qFormat/>
    <w:uiPriority w:val="0"/>
    <w:pPr>
      <w:spacing w:after="120"/>
    </w:pPr>
    <w:rPr>
      <w:rFonts w:ascii="Times New Roman" w:hAnsi="Times New Roman"/>
      <w:szCs w:val="20"/>
    </w:rPr>
  </w:style>
  <w:style w:type="paragraph" w:styleId="9">
    <w:name w:val="Body Text Indent"/>
    <w:basedOn w:val="1"/>
    <w:next w:val="10"/>
    <w:autoRedefine/>
    <w:qFormat/>
    <w:uiPriority w:val="0"/>
    <w:pPr>
      <w:ind w:left="420" w:leftChars="200"/>
    </w:pPr>
  </w:style>
  <w:style w:type="paragraph" w:styleId="10">
    <w:name w:val="envelope return"/>
    <w:basedOn w:val="1"/>
    <w:qFormat/>
    <w:uiPriority w:val="0"/>
    <w:pPr>
      <w:snapToGrid w:val="0"/>
    </w:pPr>
    <w:rPr>
      <w:rFonts w:ascii="Arial" w:hAnsi="Arial"/>
    </w:rPr>
  </w:style>
  <w:style w:type="paragraph" w:styleId="11">
    <w:name w:val="index 4"/>
    <w:basedOn w:val="1"/>
    <w:next w:val="1"/>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3"/>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8"/>
    <w:next w:val="17"/>
    <w:qFormat/>
    <w:uiPriority w:val="0"/>
    <w:pPr>
      <w:ind w:firstLine="420" w:firstLineChars="100"/>
    </w:pPr>
    <w:rPr>
      <w:rFonts w:ascii="Calibri" w:hAnsi="Calibri"/>
    </w:r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Emphasis"/>
    <w:qFormat/>
    <w:uiPriority w:val="0"/>
    <w:rPr>
      <w:i/>
    </w:rPr>
  </w:style>
  <w:style w:type="character" w:styleId="23">
    <w:name w:val="HTML Definition"/>
    <w:basedOn w:val="20"/>
    <w:autoRedefine/>
    <w:qFormat/>
    <w:uiPriority w:val="0"/>
  </w:style>
  <w:style w:type="character" w:styleId="24">
    <w:name w:val="HTML Typewriter"/>
    <w:basedOn w:val="20"/>
    <w:autoRedefine/>
    <w:qFormat/>
    <w:uiPriority w:val="0"/>
    <w:rPr>
      <w:rFonts w:hint="default" w:ascii="monospace" w:hAnsi="monospace" w:eastAsia="monospace" w:cs="monospace"/>
      <w:sz w:val="20"/>
    </w:rPr>
  </w:style>
  <w:style w:type="character" w:styleId="25">
    <w:name w:val="HTML Acronym"/>
    <w:basedOn w:val="20"/>
    <w:autoRedefine/>
    <w:qFormat/>
    <w:uiPriority w:val="0"/>
  </w:style>
  <w:style w:type="character" w:styleId="26">
    <w:name w:val="HTML Variable"/>
    <w:basedOn w:val="20"/>
    <w:autoRedefine/>
    <w:qFormat/>
    <w:uiPriority w:val="0"/>
  </w:style>
  <w:style w:type="character" w:styleId="27">
    <w:name w:val="Hyperlink"/>
    <w:basedOn w:val="20"/>
    <w:autoRedefine/>
    <w:qFormat/>
    <w:uiPriority w:val="0"/>
    <w:rPr>
      <w:color w:val="0000FF"/>
      <w:u w:val="none"/>
    </w:rPr>
  </w:style>
  <w:style w:type="character" w:styleId="28">
    <w:name w:val="HTML Code"/>
    <w:basedOn w:val="20"/>
    <w:autoRedefine/>
    <w:qFormat/>
    <w:uiPriority w:val="0"/>
    <w:rPr>
      <w:rFonts w:ascii="monospace" w:hAnsi="monospace" w:eastAsia="monospace" w:cs="monospace"/>
      <w:sz w:val="20"/>
    </w:rPr>
  </w:style>
  <w:style w:type="character" w:styleId="29">
    <w:name w:val="HTML Cite"/>
    <w:basedOn w:val="20"/>
    <w:autoRedefine/>
    <w:qFormat/>
    <w:uiPriority w:val="0"/>
  </w:style>
  <w:style w:type="character" w:styleId="30">
    <w:name w:val="HTML Keyboard"/>
    <w:basedOn w:val="20"/>
    <w:autoRedefine/>
    <w:qFormat/>
    <w:uiPriority w:val="0"/>
    <w:rPr>
      <w:rFonts w:hint="default" w:ascii="monospace" w:hAnsi="monospace" w:eastAsia="monospace" w:cs="monospace"/>
      <w:sz w:val="20"/>
    </w:rPr>
  </w:style>
  <w:style w:type="character" w:styleId="31">
    <w:name w:val="HTML Sample"/>
    <w:basedOn w:val="20"/>
    <w:autoRedefine/>
    <w:qFormat/>
    <w:uiPriority w:val="0"/>
    <w:rPr>
      <w:rFonts w:hint="default" w:ascii="monospace" w:hAnsi="monospace" w:eastAsia="monospace" w:cs="monospace"/>
    </w:rPr>
  </w:style>
  <w:style w:type="paragraph" w:customStyle="1" w:styleId="32">
    <w:name w:val="正文首行缩进1"/>
    <w:basedOn w:val="33"/>
    <w:autoRedefine/>
    <w:qFormat/>
    <w:uiPriority w:val="0"/>
    <w:pPr>
      <w:spacing w:line="360" w:lineRule="auto"/>
      <w:ind w:firstLine="200"/>
    </w:pPr>
    <w:rPr>
      <w:rFonts w:ascii="仿宋_GB2312" w:hAnsi="Times New Roman" w:eastAsia="仿宋_GB2312"/>
      <w:sz w:val="30"/>
      <w:szCs w:val="30"/>
    </w:rPr>
  </w:style>
  <w:style w:type="paragraph" w:customStyle="1" w:styleId="33">
    <w:name w:val="正文文本1"/>
    <w:basedOn w:val="1"/>
    <w:next w:val="1"/>
    <w:qFormat/>
    <w:uiPriority w:val="0"/>
    <w:rPr>
      <w:rFonts w:ascii="楷体_GB2312" w:hAnsi="Arial" w:eastAsia="楷体_GB2312"/>
      <w:sz w:val="28"/>
      <w:szCs w:val="28"/>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6">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7">
    <w:name w:val="first-child"/>
    <w:basedOn w:val="20"/>
    <w:autoRedefine/>
    <w:qFormat/>
    <w:uiPriority w:val="0"/>
  </w:style>
  <w:style w:type="character" w:customStyle="1" w:styleId="38">
    <w:name w:val="hover2"/>
    <w:basedOn w:val="20"/>
    <w:autoRedefine/>
    <w:qFormat/>
    <w:uiPriority w:val="0"/>
    <w:rPr>
      <w:color w:val="5FB878"/>
    </w:rPr>
  </w:style>
  <w:style w:type="character" w:customStyle="1" w:styleId="39">
    <w:name w:val="hover3"/>
    <w:basedOn w:val="20"/>
    <w:autoRedefine/>
    <w:qFormat/>
    <w:uiPriority w:val="0"/>
    <w:rPr>
      <w:color w:val="5FB878"/>
    </w:rPr>
  </w:style>
  <w:style w:type="character" w:customStyle="1" w:styleId="40">
    <w:name w:val="hover4"/>
    <w:basedOn w:val="20"/>
    <w:autoRedefine/>
    <w:qFormat/>
    <w:uiPriority w:val="0"/>
    <w:rPr>
      <w:color w:val="FFFFFF"/>
    </w:rPr>
  </w:style>
  <w:style w:type="character" w:customStyle="1" w:styleId="41">
    <w:name w:val="layui-this"/>
    <w:basedOn w:val="20"/>
    <w:autoRedefine/>
    <w:qFormat/>
    <w:uiPriority w:val="0"/>
    <w:rPr>
      <w:bdr w:val="single" w:color="EEEEEE" w:sz="6" w:space="0"/>
      <w:shd w:val="clear" w:color="auto" w:fill="FFFFFF"/>
    </w:rPr>
  </w:style>
  <w:style w:type="paragraph" w:customStyle="1" w:styleId="4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3">
    <w:name w:val="页脚 Char"/>
    <w:basedOn w:val="20"/>
    <w:link w:val="13"/>
    <w:autoRedefine/>
    <w:qFormat/>
    <w:uiPriority w:val="99"/>
    <w:rPr>
      <w:rFonts w:ascii="Calibri" w:hAnsi="Calibri"/>
      <w:kern w:val="2"/>
      <w:sz w:val="18"/>
      <w:szCs w:val="24"/>
    </w:rPr>
  </w:style>
  <w:style w:type="paragraph" w:styleId="44">
    <w:name w:val="List Paragraph"/>
    <w:basedOn w:val="1"/>
    <w:autoRedefine/>
    <w:qFormat/>
    <w:uiPriority w:val="99"/>
    <w:pPr>
      <w:ind w:firstLine="420" w:firstLineChars="200"/>
    </w:pPr>
  </w:style>
  <w:style w:type="character" w:customStyle="1" w:styleId="45">
    <w:name w:val="标题 1 Char"/>
    <w:link w:val="2"/>
    <w:autoRedefine/>
    <w:qFormat/>
    <w:uiPriority w:val="0"/>
    <w:rPr>
      <w:b/>
      <w:kern w:val="44"/>
      <w:sz w:val="44"/>
    </w:rPr>
  </w:style>
  <w:style w:type="character" w:customStyle="1" w:styleId="46">
    <w:name w:val="文档结构图 Char"/>
    <w:basedOn w:val="20"/>
    <w:link w:val="6"/>
    <w:autoRedefine/>
    <w:semiHidden/>
    <w:qFormat/>
    <w:uiPriority w:val="0"/>
    <w:rPr>
      <w:rFonts w:ascii="Microsoft YaHei UI" w:hAnsi="Calibri" w:eastAsia="Microsoft YaHei UI"/>
      <w:kern w:val="2"/>
      <w:sz w:val="18"/>
      <w:szCs w:val="18"/>
    </w:rPr>
  </w:style>
  <w:style w:type="character" w:customStyle="1" w:styleId="47">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8">
    <w:name w:val="font41"/>
    <w:basedOn w:val="20"/>
    <w:autoRedefine/>
    <w:qFormat/>
    <w:uiPriority w:val="0"/>
    <w:rPr>
      <w:rFonts w:ascii="Arial" w:hAnsi="Arial" w:cs="Arial"/>
      <w:color w:val="000000"/>
      <w:sz w:val="20"/>
      <w:szCs w:val="20"/>
      <w:u w:val="none"/>
    </w:rPr>
  </w:style>
  <w:style w:type="character" w:customStyle="1" w:styleId="49">
    <w:name w:val="NormalCharacter"/>
    <w:autoRedefine/>
    <w:qFormat/>
    <w:uiPriority w:val="99"/>
  </w:style>
  <w:style w:type="character" w:customStyle="1" w:styleId="50">
    <w:name w:val="font51"/>
    <w:autoRedefine/>
    <w:qFormat/>
    <w:uiPriority w:val="0"/>
    <w:rPr>
      <w:rFonts w:hint="default" w:ascii="Times New Roman" w:hAnsi="Times New Roman" w:cs="Times New Roman"/>
      <w:b/>
      <w:bCs/>
      <w:color w:val="000000"/>
      <w:sz w:val="21"/>
      <w:szCs w:val="21"/>
      <w:u w:val="none"/>
    </w:rPr>
  </w:style>
  <w:style w:type="character" w:customStyle="1" w:styleId="51">
    <w:name w:val="font11"/>
    <w:basedOn w:val="20"/>
    <w:qFormat/>
    <w:uiPriority w:val="0"/>
    <w:rPr>
      <w:rFonts w:hint="eastAsia" w:ascii="宋体" w:hAnsi="宋体" w:eastAsia="宋体" w:cs="宋体"/>
      <w:b/>
      <w:bCs/>
      <w:color w:val="000000"/>
      <w:sz w:val="21"/>
      <w:szCs w:val="21"/>
      <w:u w:val="none"/>
    </w:rPr>
  </w:style>
  <w:style w:type="character" w:customStyle="1" w:styleId="52">
    <w:name w:val="font31"/>
    <w:basedOn w:val="20"/>
    <w:qFormat/>
    <w:uiPriority w:val="0"/>
    <w:rPr>
      <w:rFonts w:hint="eastAsia" w:ascii="宋体" w:hAnsi="宋体" w:eastAsia="宋体" w:cs="宋体"/>
      <w:color w:val="000000"/>
      <w:sz w:val="20"/>
      <w:szCs w:val="20"/>
      <w:u w:val="none"/>
    </w:rPr>
  </w:style>
  <w:style w:type="character" w:customStyle="1" w:styleId="53">
    <w:name w:val="font61"/>
    <w:basedOn w:val="20"/>
    <w:qFormat/>
    <w:uiPriority w:val="0"/>
    <w:rPr>
      <w:rFonts w:hint="default" w:ascii="Times New Roman" w:hAnsi="Times New Roman" w:cs="Times New Roman"/>
      <w:color w:val="000000"/>
      <w:sz w:val="20"/>
      <w:szCs w:val="20"/>
      <w:u w:val="none"/>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23910</Words>
  <Characters>24845</Characters>
  <Lines>138</Lines>
  <Paragraphs>39</Paragraphs>
  <TotalTime>19</TotalTime>
  <ScaleCrop>false</ScaleCrop>
  <LinksUpToDate>false</LinksUpToDate>
  <CharactersWithSpaces>26062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五米</cp:lastModifiedBy>
  <cp:lastPrinted>2025-03-19T03:04:00Z</cp:lastPrinted>
  <dcterms:modified xsi:type="dcterms:W3CDTF">2026-05-06T01:27:01Z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E8E8D03CB28D452EA6D9E4E32BEED339_13</vt:lpwstr>
  </property>
  <property fmtid="{D5CDD505-2E9C-101B-9397-08002B2CF9AE}" pid="4" name="KSOTemplateDocerSaveRecord">
    <vt:lpwstr>eyJoZGlkIjoiZTRiYjdhMDFjMDMyNTFkMzk4MTYzZjUzMzg1N2ZjMDgiLCJ1c2VySWQiOiIyNzY5Nzc3NjkifQ==</vt:lpwstr>
  </property>
</Properties>
</file>