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193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44"/>
          <w:szCs w:val="44"/>
          <w:highlight w:val="none"/>
          <w:lang w:val="en-US" w:eastAsia="zh-CN"/>
        </w:rPr>
      </w:pPr>
    </w:p>
    <w:p w14:paraId="2C3BAE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pacing w:val="-2"/>
          <w:w w:val="100"/>
          <w:kern w:val="2"/>
          <w:position w:val="0"/>
          <w:sz w:val="52"/>
          <w:szCs w:val="52"/>
          <w:highlight w:val="none"/>
          <w:u w:val="none"/>
          <w:shd w:val="clear" w:color="auto" w:fill="auto"/>
          <w:lang w:val="en-US" w:eastAsia="zh-CN" w:bidi="ar-SA"/>
        </w:rPr>
      </w:pPr>
      <w:r>
        <w:rPr>
          <w:rFonts w:hint="eastAsia" w:ascii="仿宋" w:hAnsi="仿宋" w:eastAsia="仿宋" w:cs="FangSong_GB2312"/>
          <w:color w:val="000000" w:themeColor="text1"/>
          <w:sz w:val="52"/>
          <w:szCs w:val="52"/>
          <w:lang w:val="en-US" w:eastAsia="zh-CN"/>
          <w14:textFill>
            <w14:solidFill>
              <w14:schemeClr w14:val="tx1"/>
            </w14:solidFill>
          </w14:textFill>
        </w:rPr>
        <w:t>2025年吕四港镇仙渔小镇视频监控系统安装项目</w:t>
      </w:r>
    </w:p>
    <w:p w14:paraId="0EFA15D9">
      <w:pPr>
        <w:jc w:val="both"/>
        <w:rPr>
          <w:rFonts w:hint="eastAsia" w:ascii="宋体" w:hAnsi="宋体" w:eastAsia="宋体" w:cs="宋体"/>
          <w:b/>
          <w:color w:val="auto"/>
          <w:sz w:val="100"/>
          <w:szCs w:val="100"/>
          <w:highlight w:val="none"/>
        </w:rPr>
      </w:pPr>
    </w:p>
    <w:p w14:paraId="5FAA49FB">
      <w:pPr>
        <w:jc w:val="center"/>
        <w:rPr>
          <w:rFonts w:hint="eastAsia" w:ascii="宋体" w:hAnsi="宋体" w:eastAsia="宋体" w:cs="宋体"/>
          <w:b/>
          <w:color w:val="auto"/>
          <w:sz w:val="100"/>
          <w:szCs w:val="100"/>
          <w:highlight w:val="none"/>
        </w:rPr>
      </w:pPr>
    </w:p>
    <w:p w14:paraId="258EA389">
      <w:pPr>
        <w:jc w:val="center"/>
        <w:rPr>
          <w:rFonts w:hint="eastAsia" w:ascii="仿宋" w:hAnsi="仿宋" w:eastAsia="仿宋" w:cs="仿宋"/>
          <w:b/>
          <w:color w:val="auto"/>
          <w:sz w:val="100"/>
          <w:szCs w:val="100"/>
          <w:highlight w:val="none"/>
        </w:rPr>
      </w:pPr>
      <w:r>
        <w:rPr>
          <w:rFonts w:hint="eastAsia" w:ascii="仿宋" w:hAnsi="仿宋" w:eastAsia="仿宋" w:cs="仿宋"/>
          <w:b/>
          <w:color w:val="auto"/>
          <w:sz w:val="100"/>
          <w:szCs w:val="100"/>
          <w:highlight w:val="none"/>
        </w:rPr>
        <w:t>采购</w:t>
      </w:r>
      <w:r>
        <w:rPr>
          <w:rFonts w:hint="eastAsia" w:ascii="仿宋" w:hAnsi="仿宋" w:eastAsia="仿宋" w:cs="仿宋"/>
          <w:b/>
          <w:color w:val="auto"/>
          <w:sz w:val="100"/>
          <w:szCs w:val="100"/>
          <w:highlight w:val="none"/>
          <w:lang w:eastAsia="zh-CN"/>
        </w:rPr>
        <w:t>询价</w:t>
      </w:r>
      <w:r>
        <w:rPr>
          <w:rFonts w:hint="eastAsia" w:ascii="仿宋" w:hAnsi="仿宋" w:eastAsia="仿宋" w:cs="仿宋"/>
          <w:b/>
          <w:color w:val="auto"/>
          <w:sz w:val="100"/>
          <w:szCs w:val="100"/>
          <w:highlight w:val="none"/>
        </w:rPr>
        <w:t>文件</w:t>
      </w:r>
    </w:p>
    <w:p w14:paraId="1A99DC82">
      <w:pPr>
        <w:keepNext/>
        <w:spacing w:line="500" w:lineRule="exact"/>
        <w:jc w:val="center"/>
        <w:outlineLvl w:val="5"/>
        <w:rPr>
          <w:rFonts w:hint="eastAsia" w:ascii="宋体" w:hAnsi="宋体" w:eastAsia="宋体" w:cs="宋体"/>
          <w:b/>
          <w:color w:val="auto"/>
          <w:kern w:val="0"/>
          <w:sz w:val="44"/>
          <w:szCs w:val="20"/>
          <w:highlight w:val="none"/>
        </w:rPr>
      </w:pPr>
    </w:p>
    <w:p w14:paraId="33FB246D">
      <w:pPr>
        <w:keepNext/>
        <w:spacing w:line="500" w:lineRule="exact"/>
        <w:jc w:val="center"/>
        <w:outlineLvl w:val="5"/>
        <w:rPr>
          <w:rFonts w:hint="eastAsia" w:ascii="宋体" w:hAnsi="宋体" w:eastAsia="宋体" w:cs="宋体"/>
          <w:b/>
          <w:color w:val="auto"/>
          <w:kern w:val="0"/>
          <w:sz w:val="44"/>
          <w:szCs w:val="20"/>
          <w:highlight w:val="none"/>
        </w:rPr>
      </w:pPr>
    </w:p>
    <w:p w14:paraId="2DC33496">
      <w:pPr>
        <w:keepNext/>
        <w:spacing w:line="500" w:lineRule="exact"/>
        <w:jc w:val="center"/>
        <w:outlineLvl w:val="5"/>
        <w:rPr>
          <w:rFonts w:hint="eastAsia" w:ascii="宋体" w:hAnsi="宋体" w:eastAsia="宋体" w:cs="宋体"/>
          <w:b/>
          <w:color w:val="auto"/>
          <w:kern w:val="0"/>
          <w:sz w:val="36"/>
          <w:szCs w:val="36"/>
          <w:highlight w:val="none"/>
        </w:rPr>
      </w:pPr>
    </w:p>
    <w:p w14:paraId="16A4B7CF">
      <w:pPr>
        <w:spacing w:line="500" w:lineRule="exact"/>
        <w:rPr>
          <w:rFonts w:hint="eastAsia" w:ascii="宋体" w:hAnsi="宋体" w:eastAsia="宋体" w:cs="宋体"/>
          <w:color w:val="auto"/>
          <w:highlight w:val="none"/>
        </w:rPr>
      </w:pPr>
    </w:p>
    <w:p w14:paraId="339EFF9A">
      <w:pPr>
        <w:spacing w:line="500" w:lineRule="exact"/>
        <w:jc w:val="both"/>
        <w:rPr>
          <w:rFonts w:hint="eastAsia" w:ascii="宋体" w:hAnsi="宋体" w:eastAsia="宋体" w:cs="宋体"/>
          <w:color w:val="auto"/>
          <w:sz w:val="32"/>
          <w:highlight w:val="none"/>
        </w:rPr>
      </w:pPr>
    </w:p>
    <w:p w14:paraId="0F2E9046">
      <w:pPr>
        <w:spacing w:line="500" w:lineRule="exact"/>
        <w:jc w:val="both"/>
        <w:rPr>
          <w:rFonts w:hint="eastAsia" w:ascii="宋体" w:hAnsi="宋体" w:eastAsia="宋体" w:cs="宋体"/>
          <w:color w:val="auto"/>
          <w:sz w:val="32"/>
          <w:highlight w:val="none"/>
        </w:rPr>
      </w:pPr>
    </w:p>
    <w:p w14:paraId="5862D00C">
      <w:pPr>
        <w:spacing w:line="500" w:lineRule="exact"/>
        <w:jc w:val="center"/>
        <w:rPr>
          <w:rFonts w:hint="eastAsia" w:ascii="宋体" w:hAnsi="宋体" w:eastAsia="宋体" w:cs="宋体"/>
          <w:color w:val="auto"/>
          <w:sz w:val="32"/>
          <w:highlight w:val="none"/>
        </w:rPr>
      </w:pPr>
    </w:p>
    <w:p w14:paraId="2902467C">
      <w:pPr>
        <w:spacing w:line="312" w:lineRule="auto"/>
        <w:jc w:val="center"/>
        <w:rPr>
          <w:rFonts w:hint="eastAsia" w:ascii="仿宋" w:hAnsi="仿宋" w:eastAsia="仿宋" w:cs="仿宋"/>
          <w:b/>
          <w:sz w:val="36"/>
          <w:szCs w:val="36"/>
          <w:highlight w:val="none"/>
          <w:lang w:val="en-US" w:eastAsia="zh-CN"/>
        </w:rPr>
      </w:pPr>
      <w:r>
        <w:rPr>
          <w:rFonts w:hint="eastAsia" w:ascii="仿宋" w:hAnsi="仿宋" w:eastAsia="仿宋" w:cs="仿宋"/>
          <w:b/>
          <w:snapToGrid w:val="0"/>
          <w:color w:val="auto"/>
          <w:sz w:val="32"/>
          <w:szCs w:val="32"/>
          <w:highlight w:val="none"/>
          <w:lang w:val="en-US" w:eastAsia="zh-CN"/>
        </w:rPr>
        <w:t>启东港腾资产经营管理有限公司</w:t>
      </w:r>
    </w:p>
    <w:p w14:paraId="1C245F59">
      <w:pPr>
        <w:adjustRightInd w:val="0"/>
        <w:spacing w:before="120" w:after="120" w:line="500" w:lineRule="exact"/>
        <w:ind w:left="-2" w:right="120"/>
        <w:jc w:val="center"/>
        <w:textAlignment w:val="baseline"/>
        <w:rPr>
          <w:rFonts w:hint="eastAsia" w:ascii="仿宋" w:hAnsi="仿宋" w:eastAsia="仿宋" w:cs="仿宋"/>
          <w:b/>
          <w:bCs/>
          <w:color w:val="auto"/>
          <w:kern w:val="0"/>
          <w:sz w:val="32"/>
          <w:highlight w:val="none"/>
        </w:rPr>
      </w:pPr>
      <w:r>
        <w:rPr>
          <w:rFonts w:hint="eastAsia" w:ascii="仿宋" w:hAnsi="仿宋" w:eastAsia="仿宋" w:cs="仿宋"/>
          <w:b/>
          <w:bCs/>
          <w:color w:val="auto"/>
          <w:kern w:val="0"/>
          <w:sz w:val="32"/>
          <w:highlight w:val="none"/>
          <w:u w:val="single"/>
          <w:lang w:val="en-US" w:eastAsia="zh-CN"/>
        </w:rPr>
        <w:t xml:space="preserve">  2025  </w:t>
      </w:r>
      <w:r>
        <w:rPr>
          <w:rFonts w:hint="eastAsia" w:ascii="仿宋" w:hAnsi="仿宋" w:eastAsia="仿宋" w:cs="仿宋"/>
          <w:b/>
          <w:bCs/>
          <w:color w:val="auto"/>
          <w:kern w:val="0"/>
          <w:sz w:val="32"/>
          <w:highlight w:val="none"/>
        </w:rPr>
        <w:t>年</w:t>
      </w:r>
      <w:r>
        <w:rPr>
          <w:rFonts w:hint="eastAsia" w:ascii="仿宋" w:hAnsi="仿宋" w:eastAsia="仿宋" w:cs="仿宋"/>
          <w:b/>
          <w:bCs/>
          <w:color w:val="auto"/>
          <w:kern w:val="0"/>
          <w:sz w:val="32"/>
          <w:highlight w:val="none"/>
          <w:u w:val="single"/>
          <w:lang w:val="en-US" w:eastAsia="zh-CN"/>
        </w:rPr>
        <w:t xml:space="preserve">  10  </w:t>
      </w:r>
      <w:r>
        <w:rPr>
          <w:rFonts w:hint="eastAsia" w:ascii="仿宋" w:hAnsi="仿宋" w:eastAsia="仿宋" w:cs="仿宋"/>
          <w:b/>
          <w:bCs/>
          <w:color w:val="auto"/>
          <w:kern w:val="0"/>
          <w:sz w:val="32"/>
          <w:highlight w:val="none"/>
        </w:rPr>
        <w:t>月</w:t>
      </w:r>
      <w:r>
        <w:rPr>
          <w:rFonts w:hint="eastAsia" w:ascii="仿宋" w:hAnsi="仿宋" w:eastAsia="仿宋" w:cs="仿宋"/>
          <w:b/>
          <w:bCs/>
          <w:color w:val="auto"/>
          <w:kern w:val="0"/>
          <w:sz w:val="32"/>
          <w:highlight w:val="none"/>
          <w:u w:val="single"/>
          <w:lang w:val="en-US" w:eastAsia="zh-CN"/>
        </w:rPr>
        <w:t xml:space="preserve">  27  </w:t>
      </w:r>
      <w:r>
        <w:rPr>
          <w:rFonts w:hint="eastAsia" w:ascii="仿宋" w:hAnsi="仿宋" w:eastAsia="仿宋" w:cs="仿宋"/>
          <w:b/>
          <w:bCs/>
          <w:color w:val="auto"/>
          <w:kern w:val="0"/>
          <w:sz w:val="32"/>
          <w:highlight w:val="none"/>
        </w:rPr>
        <w:t>日</w:t>
      </w:r>
    </w:p>
    <w:p w14:paraId="3A395BB9">
      <w:pPr>
        <w:adjustRightInd w:val="0"/>
        <w:spacing w:before="120" w:after="120" w:line="500" w:lineRule="exact"/>
        <w:ind w:left="-2" w:right="120"/>
        <w:jc w:val="center"/>
        <w:textAlignment w:val="baseline"/>
        <w:rPr>
          <w:rFonts w:hint="eastAsia" w:ascii="仿宋" w:hAnsi="仿宋" w:eastAsia="仿宋" w:cs="仿宋"/>
          <w:b/>
          <w:bCs/>
          <w:color w:val="auto"/>
          <w:kern w:val="0"/>
          <w:sz w:val="32"/>
          <w:highlight w:val="none"/>
        </w:rPr>
      </w:pPr>
    </w:p>
    <w:p w14:paraId="4CCD5237">
      <w:pPr>
        <w:adjustRightInd w:val="0"/>
        <w:snapToGrid w:val="0"/>
        <w:spacing w:line="500" w:lineRule="exact"/>
        <w:ind w:left="-158" w:leftChars="-75"/>
        <w:rPr>
          <w:rFonts w:hint="eastAsia" w:ascii="仿宋" w:hAnsi="仿宋" w:eastAsia="仿宋" w:cs="仿宋"/>
          <w:b/>
          <w:snapToGrid w:val="0"/>
          <w:color w:val="auto"/>
          <w:sz w:val="26"/>
          <w:szCs w:val="28"/>
          <w:highlight w:val="none"/>
          <w:u w:val="single"/>
        </w:rPr>
      </w:pPr>
      <w:r>
        <w:rPr>
          <w:rFonts w:hint="eastAsia" w:ascii="仿宋" w:hAnsi="仿宋" w:eastAsia="仿宋" w:cs="仿宋"/>
          <w:b/>
          <w:snapToGrid w:val="0"/>
          <w:color w:val="auto"/>
          <w:sz w:val="26"/>
          <w:szCs w:val="28"/>
          <w:highlight w:val="none"/>
          <w:u w:val="single"/>
        </w:rPr>
        <w:t xml:space="preserve">                                                    </w:t>
      </w:r>
      <w:r>
        <w:rPr>
          <w:rFonts w:hint="eastAsia" w:ascii="仿宋" w:hAnsi="仿宋" w:eastAsia="仿宋" w:cs="仿宋"/>
          <w:b/>
          <w:snapToGrid w:val="0"/>
          <w:color w:val="auto"/>
          <w:sz w:val="26"/>
          <w:szCs w:val="28"/>
          <w:highlight w:val="none"/>
          <w:u w:val="single"/>
          <w:lang w:val="en-US" w:eastAsia="zh-CN"/>
        </w:rPr>
        <w:t xml:space="preserve">    </w:t>
      </w:r>
      <w:r>
        <w:rPr>
          <w:rFonts w:hint="eastAsia" w:ascii="仿宋" w:hAnsi="仿宋" w:eastAsia="仿宋" w:cs="仿宋"/>
          <w:b/>
          <w:snapToGrid w:val="0"/>
          <w:color w:val="auto"/>
          <w:sz w:val="26"/>
          <w:szCs w:val="28"/>
          <w:highlight w:val="none"/>
          <w:u w:val="single"/>
        </w:rPr>
        <w:t xml:space="preserve">                </w:t>
      </w:r>
    </w:p>
    <w:p w14:paraId="79D5F571">
      <w:pPr>
        <w:adjustRightInd w:val="0"/>
        <w:snapToGrid w:val="0"/>
        <w:ind w:left="-158" w:leftChars="-75"/>
        <w:jc w:val="left"/>
        <w:rPr>
          <w:rFonts w:hint="default" w:ascii="仿宋" w:hAnsi="仿宋" w:eastAsia="仿宋" w:cs="仿宋"/>
          <w:b/>
          <w:snapToGrid w:val="0"/>
          <w:color w:val="auto"/>
          <w:sz w:val="32"/>
          <w:szCs w:val="32"/>
          <w:highlight w:val="none"/>
          <w:lang w:val="en-US" w:eastAsia="zh-CN"/>
        </w:rPr>
      </w:pPr>
      <w:r>
        <w:rPr>
          <w:rFonts w:hint="eastAsia" w:ascii="仿宋" w:hAnsi="仿宋" w:eastAsia="仿宋" w:cs="仿宋"/>
          <w:b/>
          <w:snapToGrid w:val="0"/>
          <w:color w:val="auto"/>
          <w:sz w:val="32"/>
          <w:szCs w:val="32"/>
          <w:highlight w:val="none"/>
        </w:rPr>
        <w:t>地址:</w:t>
      </w:r>
      <w:r>
        <w:rPr>
          <w:rFonts w:hint="eastAsia" w:ascii="仿宋" w:hAnsi="仿宋" w:eastAsia="仿宋" w:cs="仿宋"/>
          <w:b/>
          <w:snapToGrid w:val="0"/>
          <w:color w:val="auto"/>
          <w:sz w:val="32"/>
          <w:szCs w:val="32"/>
          <w:highlight w:val="none"/>
          <w:lang w:val="en-US" w:eastAsia="zh-CN"/>
        </w:rPr>
        <w:t>启东市泽港路与渔政路交叉口正南方向130米</w:t>
      </w:r>
    </w:p>
    <w:p w14:paraId="7363E730">
      <w:pPr>
        <w:adjustRightInd w:val="0"/>
        <w:snapToGrid w:val="0"/>
        <w:ind w:left="-158" w:leftChars="-75"/>
        <w:rPr>
          <w:rFonts w:hint="eastAsia" w:ascii="宋体" w:hAnsi="宋体" w:eastAsia="宋体" w:cs="宋体"/>
          <w:bCs/>
          <w:color w:val="auto"/>
          <w:spacing w:val="7"/>
          <w:kern w:val="0"/>
          <w:sz w:val="44"/>
          <w:szCs w:val="44"/>
          <w:highlight w:val="none"/>
        </w:rPr>
      </w:pPr>
      <w:r>
        <w:rPr>
          <w:rFonts w:hint="eastAsia" w:ascii="仿宋" w:hAnsi="仿宋" w:eastAsia="仿宋" w:cs="仿宋"/>
          <w:b/>
          <w:snapToGrid w:val="0"/>
          <w:color w:val="auto"/>
          <w:sz w:val="32"/>
          <w:szCs w:val="32"/>
          <w:highlight w:val="none"/>
        </w:rPr>
        <w:t xml:space="preserve">邮政编码：226200        </w:t>
      </w:r>
    </w:p>
    <w:p w14:paraId="7CCB8014">
      <w:pPr>
        <w:autoSpaceDE w:val="0"/>
        <w:autoSpaceDN w:val="0"/>
        <w:adjustRightInd w:val="0"/>
        <w:snapToGrid w:val="0"/>
        <w:spacing w:line="360" w:lineRule="auto"/>
        <w:ind w:firstLine="4086" w:firstLineChars="900"/>
        <w:jc w:val="both"/>
        <w:outlineLvl w:val="0"/>
        <w:rPr>
          <w:rFonts w:hint="eastAsia" w:ascii="仿宋" w:hAnsi="仿宋" w:eastAsia="仿宋" w:cs="仿宋"/>
          <w:bCs/>
          <w:color w:val="auto"/>
          <w:spacing w:val="7"/>
          <w:kern w:val="0"/>
          <w:sz w:val="44"/>
          <w:szCs w:val="44"/>
          <w:highlight w:val="none"/>
        </w:rPr>
      </w:pPr>
      <w:r>
        <w:rPr>
          <w:rFonts w:hint="eastAsia" w:ascii="仿宋" w:hAnsi="仿宋" w:eastAsia="仿宋" w:cs="仿宋"/>
          <w:bCs/>
          <w:color w:val="auto"/>
          <w:spacing w:val="7"/>
          <w:kern w:val="0"/>
          <w:sz w:val="44"/>
          <w:szCs w:val="44"/>
          <w:highlight w:val="none"/>
        </w:rPr>
        <w:t>目录</w:t>
      </w:r>
    </w:p>
    <w:p w14:paraId="7211480A">
      <w:pPr>
        <w:autoSpaceDE w:val="0"/>
        <w:autoSpaceDN w:val="0"/>
        <w:adjustRightInd w:val="0"/>
        <w:snapToGrid w:val="0"/>
        <w:spacing w:line="360" w:lineRule="auto"/>
        <w:ind w:firstLine="640" w:firstLineChars="200"/>
        <w:jc w:val="both"/>
        <w:outlineLvl w:val="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第一部分  询价采购公告</w:t>
      </w:r>
    </w:p>
    <w:p w14:paraId="19FF0DBF">
      <w:pPr>
        <w:adjustRightInd w:val="0"/>
        <w:snapToGrid w:val="0"/>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第二部分  响应须知</w:t>
      </w:r>
    </w:p>
    <w:p w14:paraId="54234564">
      <w:pPr>
        <w:adjustRightInd w:val="0"/>
        <w:snapToGrid w:val="0"/>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第三部分  项目需求</w:t>
      </w:r>
    </w:p>
    <w:p w14:paraId="6697354A">
      <w:pPr>
        <w:adjustRightInd w:val="0"/>
        <w:snapToGrid w:val="0"/>
        <w:spacing w:line="360" w:lineRule="auto"/>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第四部分  响应文件组成</w:t>
      </w:r>
    </w:p>
    <w:p w14:paraId="61CFC317">
      <w:pPr>
        <w:adjustRightInd w:val="0"/>
        <w:snapToGrid w:val="0"/>
        <w:spacing w:line="500" w:lineRule="exact"/>
        <w:jc w:val="center"/>
        <w:rPr>
          <w:rFonts w:hint="eastAsia" w:ascii="仿宋" w:hAnsi="仿宋" w:eastAsia="仿宋" w:cs="仿宋"/>
          <w:color w:val="auto"/>
          <w:sz w:val="36"/>
          <w:szCs w:val="36"/>
          <w:highlight w:val="none"/>
        </w:rPr>
      </w:pPr>
      <w:r>
        <w:rPr>
          <w:rFonts w:hint="eastAsia" w:ascii="宋体" w:hAnsi="宋体" w:eastAsia="宋体" w:cs="宋体"/>
          <w:color w:val="auto"/>
          <w:spacing w:val="7"/>
          <w:kern w:val="0"/>
          <w:sz w:val="28"/>
          <w:szCs w:val="28"/>
          <w:highlight w:val="none"/>
        </w:rPr>
        <w:br w:type="page"/>
      </w:r>
      <w:bookmarkStart w:id="0" w:name="_Toc82505651"/>
      <w:bookmarkStart w:id="1" w:name="_Toc3520"/>
      <w:bookmarkStart w:id="2" w:name="OLE_LINK1"/>
      <w:r>
        <w:rPr>
          <w:rFonts w:hint="eastAsia" w:ascii="仿宋" w:hAnsi="仿宋" w:eastAsia="仿宋" w:cs="仿宋"/>
          <w:color w:val="auto"/>
          <w:sz w:val="36"/>
          <w:szCs w:val="36"/>
          <w:highlight w:val="none"/>
        </w:rPr>
        <w:t>第一部分  询价采购公告</w:t>
      </w:r>
      <w:bookmarkEnd w:id="0"/>
      <w:bookmarkEnd w:id="1"/>
    </w:p>
    <w:p w14:paraId="7C3C73DF">
      <w:pPr>
        <w:spacing w:line="312" w:lineRule="auto"/>
        <w:jc w:val="center"/>
        <w:rPr>
          <w:rFonts w:hint="eastAsia" w:ascii="仿宋" w:hAnsi="仿宋" w:eastAsia="仿宋" w:cs="仿宋"/>
          <w:color w:val="auto"/>
          <w:sz w:val="28"/>
          <w:szCs w:val="28"/>
          <w:highlight w:val="none"/>
        </w:rPr>
      </w:pPr>
      <w:bookmarkStart w:id="3" w:name="OLE_LINK5"/>
      <w:bookmarkStart w:id="4" w:name="OLE_LINK6"/>
      <w:bookmarkStart w:id="5" w:name="OLE_LINK3"/>
      <w:bookmarkStart w:id="6" w:name="OLE_LINK2"/>
      <w:r>
        <w:rPr>
          <w:rFonts w:hint="eastAsia" w:ascii="仿宋" w:hAnsi="仿宋" w:eastAsia="仿宋" w:cs="仿宋"/>
          <w:b w:val="0"/>
          <w:bCs/>
          <w:snapToGrid w:val="0"/>
          <w:color w:val="auto"/>
          <w:sz w:val="28"/>
          <w:szCs w:val="28"/>
          <w:highlight w:val="none"/>
          <w:lang w:val="en-US" w:eastAsia="zh-CN"/>
        </w:rPr>
        <w:t>启东港腾资产经营管理有限公司</w:t>
      </w:r>
      <w:r>
        <w:rPr>
          <w:rFonts w:hint="eastAsia" w:ascii="仿宋" w:hAnsi="仿宋" w:eastAsia="仿宋" w:cs="仿宋"/>
          <w:color w:val="auto"/>
          <w:sz w:val="28"/>
          <w:szCs w:val="28"/>
          <w:highlight w:val="none"/>
          <w:lang w:val="en-US" w:eastAsia="zh-CN"/>
        </w:rPr>
        <w:t>就[</w:t>
      </w:r>
      <w:r>
        <w:rPr>
          <w:rFonts w:hint="eastAsia" w:ascii="仿宋" w:hAnsi="仿宋" w:eastAsia="仿宋" w:cs="仿宋"/>
          <w:b w:val="0"/>
          <w:bCs/>
          <w:snapToGrid w:val="0"/>
          <w:color w:val="auto"/>
          <w:sz w:val="28"/>
          <w:szCs w:val="28"/>
          <w:highlight w:val="none"/>
          <w:lang w:val="en-US" w:eastAsia="zh-CN"/>
        </w:rPr>
        <w:t>2025年吕四港镇仙渔小镇视频监控系统安装项目</w:t>
      </w:r>
      <w:r>
        <w:rPr>
          <w:rFonts w:hint="eastAsia" w:asciiTheme="majorEastAsia" w:hAnsiTheme="majorEastAsia" w:eastAsiaTheme="majorEastAsia" w:cstheme="majorEastAsia"/>
          <w:b w:val="0"/>
          <w:bCs/>
          <w:color w:val="auto"/>
          <w:sz w:val="28"/>
          <w:szCs w:val="28"/>
          <w:highlight w:val="none"/>
          <w:lang w:val="en-US" w:eastAsia="zh-CN"/>
        </w:rPr>
        <w:t>]进行公开</w:t>
      </w:r>
      <w:r>
        <w:rPr>
          <w:rFonts w:hint="eastAsia" w:ascii="仿宋" w:hAnsi="仿宋" w:eastAsia="仿宋" w:cs="仿宋"/>
          <w:color w:val="auto"/>
          <w:sz w:val="28"/>
          <w:szCs w:val="28"/>
          <w:highlight w:val="none"/>
          <w:lang w:val="en-US" w:eastAsia="zh-CN"/>
        </w:rPr>
        <w:t>询</w:t>
      </w:r>
      <w:r>
        <w:rPr>
          <w:rFonts w:hint="eastAsia" w:ascii="仿宋" w:hAnsi="仿宋" w:eastAsia="仿宋" w:cs="仿宋"/>
          <w:color w:val="auto"/>
          <w:sz w:val="28"/>
          <w:szCs w:val="28"/>
          <w:highlight w:val="none"/>
        </w:rPr>
        <w:t>价采购，欢迎符合条件的供应商响应。</w:t>
      </w:r>
    </w:p>
    <w:p w14:paraId="17A2DE0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EA0696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b w:val="0"/>
          <w:bCs/>
          <w:snapToGrid w:val="0"/>
          <w:color w:val="auto"/>
          <w:sz w:val="28"/>
          <w:szCs w:val="28"/>
          <w:highlight w:val="none"/>
          <w:lang w:val="en-US" w:eastAsia="zh-CN"/>
        </w:rPr>
        <w:t>2025年吕四港镇仙渔小镇视频监控系统安装项目</w:t>
      </w:r>
      <w:r>
        <w:rPr>
          <w:rFonts w:hint="eastAsia" w:ascii="仿宋" w:hAnsi="仿宋" w:eastAsia="仿宋" w:cs="仿宋"/>
          <w:color w:val="auto"/>
          <w:sz w:val="28"/>
          <w:szCs w:val="28"/>
          <w:highlight w:val="none"/>
        </w:rPr>
        <w:t>]的潜在响应供应商应在</w:t>
      </w:r>
      <w:r>
        <w:rPr>
          <w:rFonts w:hint="eastAsia" w:ascii="仿宋" w:hAnsi="仿宋" w:eastAsia="仿宋" w:cs="仿宋"/>
          <w:color w:val="auto"/>
          <w:sz w:val="28"/>
          <w:szCs w:val="28"/>
          <w:highlight w:val="none"/>
          <w:lang w:val="en-US" w:eastAsia="zh-CN"/>
        </w:rPr>
        <w:t>启东人民政府网站</w:t>
      </w:r>
      <w:r>
        <w:rPr>
          <w:rFonts w:hint="eastAsia" w:ascii="仿宋" w:hAnsi="仿宋" w:eastAsia="仿宋" w:cs="仿宋"/>
          <w:color w:val="auto"/>
          <w:sz w:val="28"/>
          <w:szCs w:val="28"/>
          <w:highlight w:val="none"/>
        </w:rPr>
        <w:t>获取采购文件，并于</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分（北京时间）前递交响应文件。</w:t>
      </w:r>
    </w:p>
    <w:p w14:paraId="4A7C269D">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bookmarkStart w:id="7" w:name="_Toc82505652"/>
      <w:r>
        <w:rPr>
          <w:rFonts w:hint="eastAsia" w:ascii="仿宋" w:hAnsi="仿宋" w:eastAsia="仿宋" w:cs="仿宋"/>
          <w:b/>
          <w:bCs/>
          <w:color w:val="auto"/>
          <w:sz w:val="28"/>
          <w:szCs w:val="28"/>
          <w:highlight w:val="none"/>
        </w:rPr>
        <w:t>一、项目基本情况</w:t>
      </w:r>
      <w:bookmarkEnd w:id="7"/>
    </w:p>
    <w:p w14:paraId="0D0D1C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2025年吕四港镇</w:t>
      </w:r>
      <w:r>
        <w:rPr>
          <w:rFonts w:hint="eastAsia" w:ascii="仿宋" w:hAnsi="仿宋" w:eastAsia="仿宋" w:cs="仿宋"/>
          <w:b w:val="0"/>
          <w:bCs/>
          <w:color w:val="auto"/>
          <w:spacing w:val="-2"/>
          <w:w w:val="100"/>
          <w:kern w:val="2"/>
          <w:position w:val="0"/>
          <w:sz w:val="28"/>
          <w:szCs w:val="28"/>
          <w:highlight w:val="none"/>
          <w:u w:val="none"/>
          <w:shd w:val="clear" w:color="auto" w:fill="auto"/>
          <w:lang w:val="en-US" w:eastAsia="zh-CN" w:bidi="ar-SA"/>
        </w:rPr>
        <w:t>仙渔小镇视频监控系统安装项目</w:t>
      </w:r>
    </w:p>
    <w:p w14:paraId="06A33F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项目类型：</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货物</w:t>
      </w:r>
    </w:p>
    <w:p w14:paraId="110959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221750</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供应商所报投标报价超过最高限价的报价文件视为无效。</w:t>
      </w:r>
    </w:p>
    <w:p w14:paraId="31BE360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采购需求：详见采购文件，请仔细研究。</w:t>
      </w:r>
    </w:p>
    <w:p w14:paraId="4A3B7515">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bookmarkStart w:id="8" w:name="_Toc82505653"/>
      <w:r>
        <w:rPr>
          <w:rFonts w:hint="eastAsia" w:ascii="仿宋" w:hAnsi="仿宋" w:eastAsia="仿宋" w:cs="仿宋"/>
          <w:b/>
          <w:bCs/>
          <w:color w:val="auto"/>
          <w:sz w:val="28"/>
          <w:szCs w:val="28"/>
          <w:highlight w:val="none"/>
        </w:rPr>
        <w:t>二、响应供应商的资格要求：</w:t>
      </w:r>
      <w:bookmarkEnd w:id="8"/>
    </w:p>
    <w:p w14:paraId="2A367C2F">
      <w:pPr>
        <w:pStyle w:val="15"/>
        <w:keepNext w:val="0"/>
        <w:keepLines w:val="0"/>
        <w:pageBreakBefore w:val="0"/>
        <w:kinsoku/>
        <w:wordWrap/>
        <w:overflowPunct/>
        <w:topLinePunct w:val="0"/>
        <w:autoSpaceDE/>
        <w:autoSpaceDN/>
        <w:bidi w:val="0"/>
        <w:spacing w:before="0" w:beforeAutospacing="0" w:after="0" w:afterAutospacing="0" w:line="50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bookmarkStart w:id="9" w:name="_Toc82505654"/>
      <w:r>
        <w:rPr>
          <w:rFonts w:hint="eastAsia" w:ascii="仿宋" w:hAnsi="仿宋" w:eastAsia="仿宋" w:cs="仿宋"/>
          <w:color w:val="auto"/>
          <w:kern w:val="2"/>
          <w:sz w:val="28"/>
          <w:szCs w:val="28"/>
          <w:highlight w:val="none"/>
          <w:lang w:val="en-US" w:eastAsia="zh-CN" w:bidi="ar-SA"/>
        </w:rPr>
        <w:t>1.满足《中华人民共和国政府采购法》第二十二条规定。</w:t>
      </w:r>
    </w:p>
    <w:p w14:paraId="3880297E">
      <w:pPr>
        <w:pStyle w:val="15"/>
        <w:keepNext w:val="0"/>
        <w:keepLines w:val="0"/>
        <w:pageBreakBefore w:val="0"/>
        <w:kinsoku/>
        <w:wordWrap/>
        <w:overflowPunct/>
        <w:topLinePunct w:val="0"/>
        <w:autoSpaceDE/>
        <w:autoSpaceDN/>
        <w:bidi w:val="0"/>
        <w:spacing w:before="0" w:beforeAutospacing="0" w:after="0" w:afterAutospacing="0" w:line="50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2.落实政府采购政策需满足的资格要求:无。</w:t>
      </w:r>
    </w:p>
    <w:p w14:paraId="01485F8E">
      <w:pPr>
        <w:pStyle w:val="15"/>
        <w:keepNext w:val="0"/>
        <w:keepLines w:val="0"/>
        <w:pageBreakBefore w:val="0"/>
        <w:kinsoku/>
        <w:wordWrap/>
        <w:overflowPunct/>
        <w:topLinePunct w:val="0"/>
        <w:autoSpaceDE/>
        <w:autoSpaceDN/>
        <w:bidi w:val="0"/>
        <w:spacing w:before="0" w:beforeAutospacing="0" w:after="0" w:afterAutospacing="0" w:line="50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3.具有行政管理部门颁发的有效营业执照。</w:t>
      </w:r>
    </w:p>
    <w:p w14:paraId="373FCAAA">
      <w:pPr>
        <w:pStyle w:val="15"/>
        <w:keepNext w:val="0"/>
        <w:keepLines w:val="0"/>
        <w:pageBreakBefore w:val="0"/>
        <w:kinsoku/>
        <w:wordWrap/>
        <w:overflowPunct/>
        <w:topLinePunct w:val="0"/>
        <w:autoSpaceDE/>
        <w:autoSpaceDN/>
        <w:bidi w:val="0"/>
        <w:spacing w:before="0" w:beforeAutospacing="0" w:after="0" w:afterAutospacing="0" w:line="50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4.未被“信用中国"网站列入失信被执行人、重大税收违法案件当事人名单、政府采购严重失信行为记录名单。</w:t>
      </w:r>
    </w:p>
    <w:p w14:paraId="06F75E7A">
      <w:pPr>
        <w:pStyle w:val="15"/>
        <w:keepNext w:val="0"/>
        <w:keepLines w:val="0"/>
        <w:pageBreakBefore w:val="0"/>
        <w:kinsoku/>
        <w:wordWrap/>
        <w:overflowPunct/>
        <w:topLinePunct w:val="0"/>
        <w:autoSpaceDE/>
        <w:autoSpaceDN/>
        <w:bidi w:val="0"/>
        <w:spacing w:before="0" w:beforeAutospacing="0" w:after="0" w:afterAutospacing="0" w:line="50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5.本次招标不接受联合体投标。</w:t>
      </w:r>
    </w:p>
    <w:p w14:paraId="0457CD0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三、获取采购文件</w:t>
      </w:r>
      <w:bookmarkEnd w:id="9"/>
    </w:p>
    <w:p w14:paraId="4EDB3FC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自本公告发布之日起</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日</w:t>
      </w:r>
    </w:p>
    <w:p w14:paraId="041AE73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获取的地点、方式：供应商登录</w:t>
      </w:r>
      <w:r>
        <w:rPr>
          <w:rFonts w:hint="eastAsia" w:ascii="仿宋" w:hAnsi="仿宋" w:eastAsia="仿宋" w:cs="仿宋"/>
          <w:color w:val="auto"/>
          <w:sz w:val="28"/>
          <w:szCs w:val="28"/>
          <w:highlight w:val="none"/>
          <w:lang w:val="en-US" w:eastAsia="zh-CN"/>
        </w:rPr>
        <w:t>启东市人民政府网站</w:t>
      </w:r>
      <w:r>
        <w:rPr>
          <w:rFonts w:hint="eastAsia" w:ascii="仿宋" w:hAnsi="仿宋" w:eastAsia="仿宋" w:cs="仿宋"/>
          <w:color w:val="auto"/>
          <w:sz w:val="28"/>
          <w:szCs w:val="28"/>
          <w:highlight w:val="none"/>
        </w:rPr>
        <w:t>进行下载操作。</w:t>
      </w:r>
    </w:p>
    <w:p w14:paraId="6775E39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bookmarkStart w:id="10" w:name="_Toc82505655"/>
      <w:r>
        <w:rPr>
          <w:rFonts w:hint="eastAsia" w:ascii="仿宋" w:hAnsi="仿宋" w:eastAsia="仿宋" w:cs="仿宋"/>
          <w:b/>
          <w:bCs/>
          <w:color w:val="auto"/>
          <w:sz w:val="28"/>
          <w:szCs w:val="28"/>
          <w:highlight w:val="none"/>
        </w:rPr>
        <w:t>四、响应文件提交</w:t>
      </w:r>
      <w:bookmarkEnd w:id="10"/>
    </w:p>
    <w:p w14:paraId="7008CCA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b/>
          <w:sz w:val="28"/>
          <w:szCs w:val="28"/>
          <w:highlight w:val="none"/>
          <w:u w:val="single"/>
        </w:rPr>
      </w:pPr>
      <w:bookmarkStart w:id="11" w:name="_Toc82505657"/>
      <w:r>
        <w:rPr>
          <w:rFonts w:hint="eastAsia" w:ascii="仿宋" w:hAnsi="仿宋" w:eastAsia="仿宋" w:cs="仿宋"/>
          <w:sz w:val="28"/>
          <w:szCs w:val="28"/>
          <w:highlight w:val="none"/>
        </w:rPr>
        <w:t>报价文件请于</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5</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lang w:val="en-US" w:eastAsia="zh-CN"/>
        </w:rPr>
        <w:t>10</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lang w:val="en-US" w:eastAsia="zh-CN"/>
        </w:rPr>
        <w:t>31</w:t>
      </w:r>
      <w:r>
        <w:rPr>
          <w:rFonts w:hint="eastAsia" w:ascii="仿宋" w:hAnsi="仿宋" w:eastAsia="仿宋" w:cs="仿宋"/>
          <w:b/>
          <w:bCs/>
          <w:sz w:val="28"/>
          <w:szCs w:val="28"/>
          <w:highlight w:val="none"/>
        </w:rPr>
        <w:t>日</w:t>
      </w:r>
      <w:r>
        <w:rPr>
          <w:rFonts w:hint="eastAsia" w:ascii="仿宋" w:hAnsi="仿宋" w:eastAsia="仿宋" w:cs="仿宋"/>
          <w:b/>
          <w:bCs/>
          <w:sz w:val="28"/>
          <w:szCs w:val="28"/>
          <w:highlight w:val="none"/>
          <w:u w:val="single"/>
          <w:lang w:val="en-US" w:eastAsia="zh-CN"/>
        </w:rPr>
        <w:t>10</w:t>
      </w:r>
      <w:r>
        <w:rPr>
          <w:rFonts w:hint="eastAsia" w:ascii="仿宋" w:hAnsi="仿宋" w:eastAsia="仿宋" w:cs="仿宋"/>
          <w:b/>
          <w:bCs/>
          <w:sz w:val="28"/>
          <w:szCs w:val="28"/>
          <w:highlight w:val="none"/>
          <w:u w:val="none"/>
        </w:rPr>
        <w:t>:</w:t>
      </w:r>
      <w:r>
        <w:rPr>
          <w:rFonts w:hint="eastAsia" w:ascii="仿宋" w:hAnsi="仿宋" w:eastAsia="仿宋" w:cs="仿宋"/>
          <w:b/>
          <w:bCs/>
          <w:sz w:val="28"/>
          <w:szCs w:val="28"/>
          <w:highlight w:val="none"/>
          <w:u w:val="none"/>
          <w:lang w:val="en-US" w:eastAsia="zh-CN"/>
        </w:rPr>
        <w:t>0</w:t>
      </w:r>
      <w:r>
        <w:rPr>
          <w:rFonts w:hint="eastAsia" w:ascii="仿宋" w:hAnsi="仿宋" w:eastAsia="仿宋" w:cs="仿宋"/>
          <w:b/>
          <w:bCs/>
          <w:sz w:val="28"/>
          <w:szCs w:val="28"/>
          <w:highlight w:val="none"/>
          <w:u w:val="single"/>
          <w:lang w:val="en-US" w:eastAsia="zh-CN"/>
        </w:rPr>
        <w:t>0前</w:t>
      </w:r>
      <w:r>
        <w:rPr>
          <w:rFonts w:hint="eastAsia" w:ascii="仿宋" w:hAnsi="仿宋" w:eastAsia="仿宋" w:cs="仿宋"/>
          <w:b/>
          <w:bCs/>
          <w:sz w:val="28"/>
          <w:szCs w:val="28"/>
          <w:highlight w:val="none"/>
        </w:rPr>
        <w:t>送至</w:t>
      </w:r>
      <w:r>
        <w:rPr>
          <w:rFonts w:hint="eastAsia" w:ascii="仿宋" w:hAnsi="仿宋" w:eastAsia="仿宋" w:cs="仿宋"/>
          <w:b w:val="0"/>
          <w:bCs/>
          <w:snapToGrid w:val="0"/>
          <w:color w:val="auto"/>
          <w:sz w:val="28"/>
          <w:szCs w:val="28"/>
          <w:highlight w:val="none"/>
          <w:lang w:val="en-US" w:eastAsia="zh-CN"/>
        </w:rPr>
        <w:t>启东港腾资产经营管理有限公司</w:t>
      </w:r>
      <w:r>
        <w:rPr>
          <w:rFonts w:hint="eastAsia" w:ascii="仿宋" w:hAnsi="仿宋" w:eastAsia="仿宋" w:cs="仿宋"/>
          <w:b/>
          <w:bCs/>
          <w:sz w:val="28"/>
          <w:szCs w:val="28"/>
          <w:highlight w:val="none"/>
        </w:rPr>
        <w:t>(启东市</w:t>
      </w:r>
      <w:r>
        <w:rPr>
          <w:rFonts w:hint="eastAsia" w:ascii="仿宋" w:hAnsi="仿宋" w:eastAsia="仿宋" w:cs="仿宋"/>
          <w:b/>
          <w:bCs/>
          <w:sz w:val="28"/>
          <w:szCs w:val="28"/>
          <w:highlight w:val="none"/>
          <w:lang w:val="en-US" w:eastAsia="zh-CN"/>
        </w:rPr>
        <w:t>吕四渔港大楼四楼会议室）</w:t>
      </w:r>
      <w:r>
        <w:rPr>
          <w:rFonts w:hint="eastAsia" w:ascii="仿宋" w:hAnsi="仿宋" w:eastAsia="仿宋" w:cs="仿宋"/>
          <w:b/>
          <w:bCs/>
          <w:sz w:val="28"/>
          <w:szCs w:val="28"/>
          <w:highlight w:val="none"/>
        </w:rPr>
        <w:t>（只接受直接送达），逾</w:t>
      </w:r>
      <w:r>
        <w:rPr>
          <w:rFonts w:hint="eastAsia" w:ascii="仿宋" w:hAnsi="仿宋" w:eastAsia="仿宋" w:cs="仿宋"/>
          <w:b/>
          <w:sz w:val="28"/>
          <w:szCs w:val="28"/>
          <w:highlight w:val="none"/>
        </w:rPr>
        <w:t>时则不予受理。</w:t>
      </w:r>
    </w:p>
    <w:p w14:paraId="2A69AA6D">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开标时间：2025年</w:t>
      </w:r>
      <w:r>
        <w:rPr>
          <w:rFonts w:hint="eastAsia" w:ascii="仿宋" w:hAnsi="仿宋" w:eastAsia="仿宋" w:cs="仿宋"/>
          <w:b/>
          <w:sz w:val="28"/>
          <w:szCs w:val="28"/>
          <w:highlight w:val="none"/>
          <w:lang w:val="en-US" w:eastAsia="zh-CN"/>
        </w:rPr>
        <w:t>10</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lang w:val="en-US" w:eastAsia="zh-CN"/>
        </w:rPr>
        <w:t>31</w:t>
      </w:r>
      <w:r>
        <w:rPr>
          <w:rFonts w:hint="eastAsia" w:ascii="仿宋" w:hAnsi="仿宋" w:eastAsia="仿宋" w:cs="仿宋"/>
          <w:b/>
          <w:sz w:val="28"/>
          <w:szCs w:val="28"/>
          <w:highlight w:val="none"/>
        </w:rPr>
        <w:t>日</w:t>
      </w:r>
      <w:r>
        <w:rPr>
          <w:rFonts w:hint="eastAsia" w:ascii="仿宋" w:hAnsi="仿宋" w:eastAsia="仿宋" w:cs="仿宋"/>
          <w:b/>
          <w:sz w:val="28"/>
          <w:szCs w:val="28"/>
          <w:highlight w:val="none"/>
          <w:lang w:val="en-US" w:eastAsia="zh-CN"/>
        </w:rPr>
        <w:t>10</w:t>
      </w:r>
      <w:r>
        <w:rPr>
          <w:rFonts w:hint="eastAsia" w:ascii="仿宋" w:hAnsi="仿宋" w:eastAsia="仿宋" w:cs="仿宋"/>
          <w:b/>
          <w:sz w:val="28"/>
          <w:szCs w:val="28"/>
          <w:highlight w:val="none"/>
        </w:rPr>
        <w:t>点</w:t>
      </w:r>
      <w:r>
        <w:rPr>
          <w:rFonts w:hint="eastAsia" w:ascii="仿宋" w:hAnsi="仿宋" w:eastAsia="仿宋" w:cs="仿宋"/>
          <w:b/>
          <w:sz w:val="28"/>
          <w:szCs w:val="28"/>
          <w:highlight w:val="none"/>
          <w:lang w:val="en-US" w:eastAsia="zh-CN"/>
        </w:rPr>
        <w:t>00</w:t>
      </w:r>
      <w:r>
        <w:rPr>
          <w:rFonts w:hint="eastAsia" w:ascii="仿宋" w:hAnsi="仿宋" w:eastAsia="仿宋" w:cs="仿宋"/>
          <w:b/>
          <w:sz w:val="28"/>
          <w:szCs w:val="28"/>
          <w:highlight w:val="none"/>
        </w:rPr>
        <w:t>分（北京时间）</w:t>
      </w:r>
    </w:p>
    <w:p w14:paraId="4058AE8C">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开标地点：</w:t>
      </w:r>
      <w:r>
        <w:rPr>
          <w:rFonts w:hint="eastAsia" w:ascii="仿宋" w:hAnsi="仿宋" w:eastAsia="仿宋" w:cs="仿宋"/>
          <w:b/>
          <w:bCs/>
          <w:sz w:val="28"/>
          <w:szCs w:val="28"/>
          <w:highlight w:val="none"/>
        </w:rPr>
        <w:t>启东市</w:t>
      </w:r>
      <w:r>
        <w:rPr>
          <w:rFonts w:hint="eastAsia" w:ascii="仿宋" w:hAnsi="仿宋" w:eastAsia="仿宋" w:cs="仿宋"/>
          <w:b/>
          <w:bCs/>
          <w:sz w:val="28"/>
          <w:szCs w:val="28"/>
          <w:highlight w:val="none"/>
          <w:lang w:val="en-US" w:eastAsia="zh-CN"/>
        </w:rPr>
        <w:t>吕四渔港大楼四楼会议室（</w:t>
      </w:r>
      <w:r>
        <w:rPr>
          <w:rFonts w:hint="eastAsia" w:ascii="仿宋" w:hAnsi="仿宋" w:eastAsia="仿宋" w:cs="仿宋"/>
          <w:b/>
          <w:snapToGrid w:val="0"/>
          <w:color w:val="auto"/>
          <w:sz w:val="32"/>
          <w:szCs w:val="32"/>
          <w:highlight w:val="none"/>
          <w:lang w:val="en-US" w:eastAsia="zh-CN"/>
        </w:rPr>
        <w:t>启东市泽港路与渔政路交叉口正南方向130米）</w:t>
      </w:r>
    </w:p>
    <w:p w14:paraId="65B99CF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、公告期限</w:t>
      </w:r>
      <w:bookmarkEnd w:id="11"/>
    </w:p>
    <w:p w14:paraId="3239F17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自本公告发布之日起3个工作日。</w:t>
      </w:r>
    </w:p>
    <w:p w14:paraId="54BF36DC">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bookmarkStart w:id="12" w:name="_Toc82505658"/>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、其他补充事宜</w:t>
      </w:r>
      <w:bookmarkEnd w:id="12"/>
    </w:p>
    <w:p w14:paraId="2422D15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1.响应保证金：</w:t>
      </w:r>
      <w:r>
        <w:rPr>
          <w:rFonts w:hint="eastAsia" w:ascii="仿宋" w:hAnsi="仿宋" w:eastAsia="仿宋" w:cs="仿宋"/>
          <w:color w:val="auto"/>
          <w:sz w:val="28"/>
          <w:szCs w:val="28"/>
          <w:highlight w:val="none"/>
          <w:lang w:val="en-US" w:eastAsia="zh-CN"/>
        </w:rPr>
        <w:t>根据省财政厅要求，免收投标保证金</w:t>
      </w:r>
      <w:r>
        <w:rPr>
          <w:rFonts w:hint="eastAsia" w:ascii="仿宋" w:hAnsi="仿宋" w:eastAsia="仿宋" w:cs="仿宋"/>
          <w:color w:val="auto"/>
          <w:sz w:val="28"/>
          <w:szCs w:val="28"/>
          <w:highlight w:val="none"/>
        </w:rPr>
        <w:t>。</w:t>
      </w:r>
    </w:p>
    <w:p w14:paraId="07DD7D0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2.项目开标活动模式：见面开标模式。</w:t>
      </w:r>
    </w:p>
    <w:p w14:paraId="3F49456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3.项目样品：</w:t>
      </w:r>
      <w:r>
        <w:rPr>
          <w:rFonts w:hint="eastAsia" w:ascii="仿宋" w:hAnsi="仿宋" w:eastAsia="仿宋" w:cs="仿宋"/>
          <w:b w:val="0"/>
          <w:bCs w:val="0"/>
          <w:color w:val="auto"/>
          <w:sz w:val="28"/>
          <w:szCs w:val="28"/>
          <w:highlight w:val="none"/>
          <w:lang w:eastAsia="zh-CN"/>
        </w:rPr>
        <w:t>无</w:t>
      </w:r>
      <w:r>
        <w:rPr>
          <w:rFonts w:hint="eastAsia" w:ascii="仿宋" w:hAnsi="仿宋" w:eastAsia="仿宋" w:cs="仿宋"/>
          <w:b w:val="0"/>
          <w:bCs w:val="0"/>
          <w:color w:val="auto"/>
          <w:sz w:val="28"/>
          <w:szCs w:val="28"/>
          <w:highlight w:val="none"/>
          <w:lang w:val="en-US" w:eastAsia="zh-CN"/>
        </w:rPr>
        <w:t>。</w:t>
      </w:r>
    </w:p>
    <w:p w14:paraId="0D054C9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4.对项目需求部分（供应商资格要求、项目需求）的询问、质疑请向采购人提出，由采购人负责答复；</w:t>
      </w:r>
    </w:p>
    <w:p w14:paraId="66B1FBE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bookmarkStart w:id="13" w:name="_Toc82505660"/>
      <w:r>
        <w:rPr>
          <w:rFonts w:hint="eastAsia" w:ascii="仿宋" w:hAnsi="仿宋" w:eastAsia="仿宋" w:cs="仿宋"/>
          <w:b/>
          <w:bCs/>
          <w:color w:val="auto"/>
          <w:sz w:val="28"/>
          <w:szCs w:val="28"/>
          <w:highlight w:val="none"/>
          <w:lang w:eastAsia="zh-CN"/>
        </w:rPr>
        <w:t>七</w:t>
      </w:r>
      <w:r>
        <w:rPr>
          <w:rFonts w:hint="eastAsia" w:ascii="仿宋" w:hAnsi="仿宋" w:eastAsia="仿宋" w:cs="仿宋"/>
          <w:b/>
          <w:bCs/>
          <w:color w:val="auto"/>
          <w:sz w:val="28"/>
          <w:szCs w:val="28"/>
          <w:highlight w:val="none"/>
        </w:rPr>
        <w:t>、凡对本次采购提出询问，请按以下方式联系</w:t>
      </w:r>
      <w:bookmarkEnd w:id="13"/>
    </w:p>
    <w:p w14:paraId="0837BD5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1.采购人信息名称:</w:t>
      </w:r>
    </w:p>
    <w:p w14:paraId="776D48E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napToGrid w:val="0"/>
          <w:color w:val="auto"/>
          <w:sz w:val="28"/>
          <w:szCs w:val="28"/>
          <w:highlight w:val="none"/>
          <w:lang w:val="en-US" w:eastAsia="zh-CN"/>
        </w:rPr>
        <w:t>启东港腾资产经营管理有限公司</w:t>
      </w:r>
    </w:p>
    <w:p w14:paraId="4512173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b w:val="0"/>
          <w:bCs/>
          <w:snapToGrid w:val="0"/>
          <w:color w:val="auto"/>
          <w:sz w:val="28"/>
          <w:szCs w:val="28"/>
          <w:highlight w:val="none"/>
          <w:lang w:val="en-US" w:eastAsia="zh-CN"/>
        </w:rPr>
        <w:t xml:space="preserve">启东市泽港路与渔政路交叉口正南方向130米 </w:t>
      </w:r>
    </w:p>
    <w:p w14:paraId="5EC061D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祖天德</w:t>
      </w:r>
    </w:p>
    <w:p w14:paraId="137BCC8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 xml:space="preserve"> 18036445527</w:t>
      </w:r>
    </w:p>
    <w:p w14:paraId="1BCA85BC">
      <w:pPr>
        <w:spacing w:line="312" w:lineRule="auto"/>
        <w:jc w:val="center"/>
        <w:rPr>
          <w:rFonts w:hint="eastAsia" w:ascii="仿宋" w:hAnsi="仿宋" w:eastAsia="仿宋" w:cs="仿宋"/>
          <w:b/>
          <w:snapToGrid w:val="0"/>
          <w:color w:val="auto"/>
          <w:sz w:val="32"/>
          <w:szCs w:val="32"/>
          <w:highlight w:val="none"/>
          <w:lang w:val="en-US" w:eastAsia="zh-CN"/>
        </w:rPr>
      </w:pPr>
      <w:r>
        <w:rPr>
          <w:rFonts w:hint="eastAsia" w:ascii="仿宋" w:hAnsi="仿宋" w:eastAsia="仿宋" w:cs="仿宋"/>
          <w:b/>
          <w:snapToGrid w:val="0"/>
          <w:color w:val="auto"/>
          <w:sz w:val="32"/>
          <w:szCs w:val="32"/>
          <w:highlight w:val="none"/>
          <w:lang w:val="en-US" w:eastAsia="zh-CN"/>
        </w:rPr>
        <w:t xml:space="preserve">                       </w:t>
      </w:r>
    </w:p>
    <w:p w14:paraId="1EDC9608">
      <w:pPr>
        <w:spacing w:line="312" w:lineRule="auto"/>
        <w:jc w:val="center"/>
        <w:rPr>
          <w:rFonts w:hint="eastAsia" w:ascii="仿宋" w:hAnsi="仿宋" w:eastAsia="仿宋" w:cs="仿宋"/>
          <w:b/>
          <w:sz w:val="36"/>
          <w:szCs w:val="36"/>
          <w:highlight w:val="none"/>
          <w:lang w:val="en-US" w:eastAsia="zh-CN"/>
        </w:rPr>
      </w:pPr>
      <w:r>
        <w:rPr>
          <w:rFonts w:hint="eastAsia" w:ascii="仿宋" w:hAnsi="仿宋" w:eastAsia="仿宋" w:cs="仿宋"/>
          <w:b/>
          <w:snapToGrid w:val="0"/>
          <w:color w:val="auto"/>
          <w:sz w:val="32"/>
          <w:szCs w:val="32"/>
          <w:highlight w:val="none"/>
          <w:lang w:val="en-US" w:eastAsia="zh-CN"/>
        </w:rPr>
        <w:t xml:space="preserve">                       启东港腾资产经营管理有限公司</w:t>
      </w:r>
    </w:p>
    <w:p w14:paraId="0B0698DF">
      <w:pPr>
        <w:keepNext w:val="0"/>
        <w:keepLines w:val="0"/>
        <w:pageBreakBefore w:val="0"/>
        <w:kinsoku/>
        <w:wordWrap/>
        <w:overflowPunct/>
        <w:topLinePunct w:val="0"/>
        <w:autoSpaceDE/>
        <w:autoSpaceDN/>
        <w:bidi w:val="0"/>
        <w:spacing w:line="460" w:lineRule="exact"/>
        <w:ind w:firstLine="562" w:firstLineChars="20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 xml:space="preserve">                        2025</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10月27</w:t>
      </w:r>
      <w:r>
        <w:rPr>
          <w:rFonts w:hint="eastAsia" w:ascii="仿宋" w:hAnsi="仿宋" w:eastAsia="仿宋" w:cs="仿宋"/>
          <w:b/>
          <w:bCs/>
          <w:color w:val="auto"/>
          <w:sz w:val="28"/>
          <w:szCs w:val="28"/>
          <w:highlight w:val="none"/>
        </w:rPr>
        <w:t>日</w:t>
      </w:r>
    </w:p>
    <w:p w14:paraId="72CFAF4F">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仿宋" w:hAnsi="仿宋" w:eastAsia="仿宋" w:cs="仿宋"/>
          <w:b/>
          <w:bCs/>
          <w:color w:val="auto"/>
          <w:sz w:val="28"/>
          <w:szCs w:val="28"/>
          <w:highlight w:val="none"/>
        </w:rPr>
      </w:pPr>
    </w:p>
    <w:bookmarkEnd w:id="2"/>
    <w:bookmarkEnd w:id="3"/>
    <w:bookmarkEnd w:id="4"/>
    <w:bookmarkEnd w:id="5"/>
    <w:bookmarkEnd w:id="6"/>
    <w:p w14:paraId="1FA9A3E4">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仿宋" w:hAnsi="仿宋" w:eastAsia="仿宋" w:cs="仿宋"/>
          <w:bCs/>
          <w:color w:val="auto"/>
          <w:sz w:val="36"/>
          <w:szCs w:val="36"/>
          <w:highlight w:val="none"/>
        </w:rPr>
      </w:pPr>
      <w:bookmarkStart w:id="14" w:name="_Toc22736"/>
      <w:bookmarkStart w:id="15" w:name="_Toc82505661"/>
      <w:r>
        <w:rPr>
          <w:rFonts w:hint="eastAsia" w:ascii="仿宋" w:hAnsi="仿宋" w:eastAsia="仿宋" w:cs="仿宋"/>
          <w:bCs/>
          <w:color w:val="auto"/>
          <w:sz w:val="36"/>
          <w:szCs w:val="36"/>
          <w:highlight w:val="none"/>
        </w:rPr>
        <w:br w:type="page"/>
      </w:r>
    </w:p>
    <w:bookmarkEnd w:id="14"/>
    <w:bookmarkEnd w:id="15"/>
    <w:p w14:paraId="68F48696">
      <w:pPr>
        <w:pStyle w:val="2"/>
        <w:widowControl/>
        <w:adjustRightInd w:val="0"/>
        <w:snapToGrid w:val="0"/>
        <w:spacing w:before="0" w:after="0" w:line="500" w:lineRule="exact"/>
        <w:jc w:val="center"/>
        <w:rPr>
          <w:rFonts w:hint="eastAsia" w:ascii="仿宋" w:hAnsi="仿宋" w:eastAsia="仿宋" w:cs="仿宋"/>
          <w:b w:val="0"/>
          <w:color w:val="auto"/>
          <w:sz w:val="36"/>
          <w:szCs w:val="36"/>
          <w:highlight w:val="none"/>
        </w:rPr>
      </w:pPr>
      <w:bookmarkStart w:id="16" w:name="_Toc11926"/>
      <w:bookmarkStart w:id="17" w:name="_Toc82505664"/>
      <w:r>
        <w:rPr>
          <w:rFonts w:hint="eastAsia" w:ascii="仿宋" w:hAnsi="仿宋" w:eastAsia="仿宋" w:cs="仿宋"/>
          <w:b w:val="0"/>
          <w:color w:val="auto"/>
          <w:sz w:val="36"/>
          <w:szCs w:val="36"/>
          <w:highlight w:val="none"/>
        </w:rPr>
        <w:t>第二部分  响应须知</w:t>
      </w:r>
      <w:bookmarkEnd w:id="16"/>
      <w:bookmarkEnd w:id="17"/>
    </w:p>
    <w:p w14:paraId="24B8622D">
      <w:pPr>
        <w:keepNext w:val="0"/>
        <w:keepLines w:val="0"/>
        <w:pageBreakBefore w:val="0"/>
        <w:widowControl/>
        <w:kinsoku/>
        <w:wordWrap/>
        <w:overflowPunct/>
        <w:topLinePunct w:val="0"/>
        <w:autoSpaceDE/>
        <w:autoSpaceDN/>
        <w:bidi w:val="0"/>
        <w:adjustRightInd w:val="0"/>
        <w:snapToGrid w:val="0"/>
        <w:spacing w:line="500" w:lineRule="exact"/>
        <w:ind w:left="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一、总则</w:t>
      </w:r>
    </w:p>
    <w:p w14:paraId="5140FB7C">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bookmarkStart w:id="18" w:name="_Toc458694821"/>
      <w:bookmarkStart w:id="19" w:name="_Toc20823276"/>
      <w:bookmarkStart w:id="20" w:name="_Toc513029204"/>
      <w:bookmarkStart w:id="21" w:name="_Toc16938520"/>
      <w:r>
        <w:rPr>
          <w:rFonts w:hint="eastAsia" w:ascii="仿宋" w:hAnsi="仿宋" w:eastAsia="仿宋" w:cs="仿宋"/>
          <w:color w:val="auto"/>
          <w:sz w:val="28"/>
          <w:szCs w:val="28"/>
          <w:highlight w:val="none"/>
        </w:rPr>
        <w:t>1</w:t>
      </w:r>
      <w:bookmarkEnd w:id="18"/>
      <w:r>
        <w:rPr>
          <w:rFonts w:hint="eastAsia" w:ascii="仿宋" w:hAnsi="仿宋" w:eastAsia="仿宋" w:cs="仿宋"/>
          <w:color w:val="auto"/>
          <w:sz w:val="28"/>
          <w:szCs w:val="28"/>
          <w:highlight w:val="none"/>
        </w:rPr>
        <w:t>.采购方式</w:t>
      </w:r>
      <w:bookmarkEnd w:id="19"/>
      <w:bookmarkEnd w:id="20"/>
      <w:bookmarkEnd w:id="21"/>
    </w:p>
    <w:p w14:paraId="3C24B92F">
      <w:pPr>
        <w:keepNext w:val="0"/>
        <w:keepLines w:val="0"/>
        <w:pageBreakBefore w:val="0"/>
        <w:widowControl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本次采购采取询价方式，本询价文件仅适用于询价公告中所述项目。</w:t>
      </w:r>
    </w:p>
    <w:p w14:paraId="78135A44">
      <w:pPr>
        <w:keepNext w:val="0"/>
        <w:keepLines w:val="0"/>
        <w:pageBreakBefore w:val="0"/>
        <w:widowControl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bookmarkStart w:id="22" w:name="_Toc20823277"/>
      <w:bookmarkStart w:id="23" w:name="_Toc16938521"/>
      <w:bookmarkStart w:id="24" w:name="_Toc513029205"/>
      <w:r>
        <w:rPr>
          <w:rFonts w:hint="eastAsia" w:ascii="仿宋" w:hAnsi="仿宋" w:eastAsia="仿宋" w:cs="仿宋"/>
          <w:color w:val="auto"/>
          <w:sz w:val="28"/>
          <w:szCs w:val="28"/>
          <w:highlight w:val="none"/>
        </w:rPr>
        <w:t>2.合格的</w:t>
      </w:r>
      <w:bookmarkEnd w:id="22"/>
      <w:bookmarkEnd w:id="23"/>
      <w:bookmarkEnd w:id="24"/>
      <w:r>
        <w:rPr>
          <w:rFonts w:hint="eastAsia" w:ascii="仿宋" w:hAnsi="仿宋" w:eastAsia="仿宋" w:cs="仿宋"/>
          <w:color w:val="auto"/>
          <w:sz w:val="28"/>
          <w:szCs w:val="28"/>
          <w:highlight w:val="none"/>
        </w:rPr>
        <w:t>响应供应商</w:t>
      </w:r>
    </w:p>
    <w:p w14:paraId="30BDA05B">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2.1满足询价公告中供应商的资格要求的规定。</w:t>
      </w:r>
    </w:p>
    <w:p w14:paraId="475342D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满足本文件实质性条款的规定。</w:t>
      </w:r>
    </w:p>
    <w:p w14:paraId="74D4B68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bookmarkStart w:id="25" w:name="_Toc20823278"/>
      <w:bookmarkStart w:id="26" w:name="_Toc16938522"/>
      <w:bookmarkStart w:id="27" w:name="_Toc513029206"/>
      <w:r>
        <w:rPr>
          <w:rFonts w:hint="eastAsia" w:ascii="仿宋" w:hAnsi="仿宋" w:eastAsia="仿宋" w:cs="仿宋"/>
          <w:color w:val="auto"/>
          <w:sz w:val="28"/>
          <w:szCs w:val="28"/>
          <w:highlight w:val="none"/>
        </w:rPr>
        <w:t>3.适用法律</w:t>
      </w:r>
      <w:bookmarkEnd w:id="25"/>
      <w:bookmarkEnd w:id="26"/>
      <w:bookmarkEnd w:id="27"/>
    </w:p>
    <w:p w14:paraId="34610C04">
      <w:pPr>
        <w:keepNext w:val="0"/>
        <w:keepLines w:val="0"/>
        <w:pageBreakBefore w:val="0"/>
        <w:widowControl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本次询价采购及由此产生的合同受中华人民共和国有关的法律法规制约和保护。</w:t>
      </w:r>
    </w:p>
    <w:p w14:paraId="1386307E">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bookmarkStart w:id="28" w:name="_Toc16938523"/>
      <w:bookmarkStart w:id="29" w:name="_Toc513029207"/>
      <w:bookmarkStart w:id="30" w:name="_Toc462564067"/>
      <w:bookmarkStart w:id="31" w:name="_Toc20823279"/>
      <w:r>
        <w:rPr>
          <w:rFonts w:hint="eastAsia" w:ascii="仿宋" w:hAnsi="仿宋" w:eastAsia="仿宋" w:cs="仿宋"/>
          <w:color w:val="auto"/>
          <w:sz w:val="28"/>
          <w:szCs w:val="28"/>
          <w:highlight w:val="none"/>
        </w:rPr>
        <w:t>4.响应费用</w:t>
      </w:r>
      <w:bookmarkEnd w:id="28"/>
      <w:bookmarkEnd w:id="29"/>
      <w:bookmarkEnd w:id="30"/>
      <w:bookmarkEnd w:id="31"/>
    </w:p>
    <w:p w14:paraId="4E58453F">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响应供应商应自行承担所有与参加响应有关的费用，无论响应过程中的做法和结果如何，</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在任何情况下均无义务和责任承担这些费用。</w:t>
      </w:r>
    </w:p>
    <w:p w14:paraId="77B5D13D">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5.采购文件的约束力</w:t>
      </w:r>
    </w:p>
    <w:p w14:paraId="1A065087">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响应供应商一旦参加本项目采购活动，即被认为接受了本询价采购文件的规定和约束。</w:t>
      </w:r>
    </w:p>
    <w:p w14:paraId="312B3F1B">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采购文件的解释</w:t>
      </w:r>
    </w:p>
    <w:p w14:paraId="5890CD56">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本采购文件仅适用于本次询价采购</w:t>
      </w:r>
      <w:r>
        <w:rPr>
          <w:rFonts w:hint="eastAsia" w:ascii="仿宋" w:hAnsi="仿宋" w:eastAsia="仿宋" w:cs="仿宋"/>
          <w:color w:val="auto"/>
          <w:sz w:val="28"/>
          <w:szCs w:val="28"/>
          <w:highlight w:val="none"/>
          <w:lang w:eastAsia="zh-CN"/>
        </w:rPr>
        <w:t>。项目需求部分（供应商资格要求、项目需求）由采购人解释。</w:t>
      </w:r>
    </w:p>
    <w:p w14:paraId="3DC538D2">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7.报价要求</w:t>
      </w:r>
    </w:p>
    <w:p w14:paraId="00DB8646">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7.1询价为一次性报价，响应供应商应一次性报出不得更改的价格。 供应商的报价应包括但不限于为完成项目范围内全部货物采购、制作、运输、施工安装、软硬件系统调试接入等总费用，以及为完成上述内容所必须的临时项目、人工、材料、机械、施工、材料检测、配合作业、使用培训、质保、售后服务、保险、规费、利润、税金、政策性文件规定及合同包含的所有风险、责任等一切费用。 </w:t>
      </w:r>
    </w:p>
    <w:p w14:paraId="4586AA96">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本项目采用单价报价，合同单价在项目实施期间，不因市场价格波动和其他各种风险因素影响而变动，最终按实际安装数量结算。 </w:t>
      </w:r>
    </w:p>
    <w:p w14:paraId="337753B8">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7.2本项目接入网络所需的宽带由业主提供，其他所有费用一次性包定，不再追加。在施工安装、调试接入、验收过程中，如发现有漏项、缺件，供应商应无条件、无偿补齐，所发生的一切费用，视为已包含在供应商报价之中，且不得影响交付时间。 </w:t>
      </w:r>
    </w:p>
    <w:p w14:paraId="7CA95D09">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7.3本项目采用单价合同，具体以需方实际产生的量为准，结算时按每项设备的合同综合单价及每个的实际用量和使用设备种类结算。 </w:t>
      </w:r>
    </w:p>
    <w:p w14:paraId="71A63902">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7.4采购人不接受任何可选择的报价，成交供应商不得在供货期间提出任何增加费用的要求。请各供应商在报价时充分考虑各种因素。 </w:t>
      </w:r>
    </w:p>
    <w:p w14:paraId="256C6B0A">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10F4CD25">
      <w:pPr>
        <w:keepNext w:val="0"/>
        <w:keepLines w:val="0"/>
        <w:pageBreakBefore w:val="0"/>
        <w:widowControl/>
        <w:kinsoku/>
        <w:wordWrap/>
        <w:overflowPunct/>
        <w:topLinePunct w:val="0"/>
        <w:autoSpaceDE/>
        <w:autoSpaceDN/>
        <w:bidi w:val="0"/>
        <w:adjustRightInd w:val="0"/>
        <w:snapToGrid w:val="0"/>
        <w:spacing w:line="500" w:lineRule="exact"/>
        <w:ind w:left="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二、采购文件</w:t>
      </w:r>
    </w:p>
    <w:p w14:paraId="13D50463">
      <w:pPr>
        <w:keepNext w:val="0"/>
        <w:keepLines w:val="0"/>
        <w:pageBreakBefore w:val="0"/>
        <w:widowControl/>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1.采购文件的构成</w:t>
      </w:r>
    </w:p>
    <w:p w14:paraId="1CA4642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采购文件由以下部分组成：</w:t>
      </w:r>
    </w:p>
    <w:p w14:paraId="4563B61A">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（1）询价采购公告</w:t>
      </w:r>
    </w:p>
    <w:p w14:paraId="776606D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（2）响应须知</w:t>
      </w:r>
    </w:p>
    <w:p w14:paraId="09AEAB0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（3）项目需求</w:t>
      </w:r>
    </w:p>
    <w:p w14:paraId="7979D1F8">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（4）响应文件组成</w:t>
      </w:r>
    </w:p>
    <w:p w14:paraId="7462E27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（5）附件</w:t>
      </w:r>
    </w:p>
    <w:p w14:paraId="09AD0FB0">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请响应供应商仔细检查采购文件是否齐全，如有缺漏请立即</w:t>
      </w:r>
      <w:r>
        <w:rPr>
          <w:rFonts w:hint="eastAsia" w:ascii="仿宋" w:hAnsi="仿宋" w:eastAsia="仿宋" w:cs="仿宋"/>
          <w:color w:val="auto"/>
          <w:sz w:val="28"/>
          <w:szCs w:val="28"/>
          <w:highlight w:val="none"/>
          <w:lang w:val="en-US" w:eastAsia="zh-CN"/>
        </w:rPr>
        <w:t>与采购人</w:t>
      </w:r>
      <w:r>
        <w:rPr>
          <w:rFonts w:hint="eastAsia" w:ascii="仿宋" w:hAnsi="仿宋" w:eastAsia="仿宋" w:cs="仿宋"/>
          <w:color w:val="auto"/>
          <w:sz w:val="28"/>
          <w:szCs w:val="28"/>
          <w:highlight w:val="none"/>
        </w:rPr>
        <w:t>联系解决。</w:t>
      </w:r>
    </w:p>
    <w:p w14:paraId="517767FB">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1.2</w:t>
      </w:r>
      <w:r>
        <w:rPr>
          <w:rFonts w:hint="eastAsia" w:ascii="仿宋" w:hAnsi="仿宋" w:eastAsia="仿宋" w:cs="仿宋"/>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325CDF43">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2.询价采购文件的澄清</w:t>
      </w:r>
    </w:p>
    <w:p w14:paraId="603E3450">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任何要求对采购文件进行澄清的响应供应商，应在响应截止期</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日前按询价采购公告中的通讯地址，以书面形式通知采购人。采购人有权对发出的采购文件进行必要的澄清或修改。</w:t>
      </w:r>
    </w:p>
    <w:p w14:paraId="176B6488">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bookmarkStart w:id="32" w:name="_Toc16938528"/>
      <w:bookmarkStart w:id="33" w:name="_Toc20823284"/>
      <w:bookmarkStart w:id="34" w:name="_Toc462564071"/>
      <w:bookmarkStart w:id="35" w:name="_Toc513029212"/>
      <w:r>
        <w:rPr>
          <w:rFonts w:hint="eastAsia" w:ascii="仿宋" w:hAnsi="仿宋" w:eastAsia="仿宋" w:cs="仿宋"/>
          <w:color w:val="auto"/>
          <w:sz w:val="28"/>
          <w:szCs w:val="28"/>
          <w:highlight w:val="none"/>
        </w:rPr>
        <w:t>3.询价采购文件的修改</w:t>
      </w:r>
      <w:bookmarkEnd w:id="32"/>
      <w:bookmarkEnd w:id="33"/>
      <w:bookmarkEnd w:id="34"/>
      <w:bookmarkEnd w:id="35"/>
    </w:p>
    <w:p w14:paraId="667A602E">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3.1</w:t>
      </w:r>
      <w:r>
        <w:rPr>
          <w:rFonts w:hint="eastAsia" w:ascii="仿宋" w:hAnsi="仿宋" w:eastAsia="仿宋" w:cs="仿宋"/>
          <w:color w:val="auto"/>
          <w:sz w:val="28"/>
          <w:szCs w:val="28"/>
          <w:highlight w:val="none"/>
        </w:rPr>
        <w:t>在响应截止时间前，</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可以对采购文件进行修改。</w:t>
      </w:r>
    </w:p>
    <w:p w14:paraId="494C584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 xml:space="preserve">3.2 </w:t>
      </w:r>
      <w:r>
        <w:rPr>
          <w:rFonts w:hint="eastAsia" w:ascii="仿宋" w:hAnsi="仿宋" w:eastAsia="仿宋" w:cs="仿宋"/>
          <w:bCs/>
          <w:color w:val="auto"/>
          <w:sz w:val="28"/>
          <w:szCs w:val="28"/>
          <w:highlight w:val="none"/>
          <w:lang w:val="en-US" w:eastAsia="zh-CN"/>
        </w:rPr>
        <w:t>采购人</w:t>
      </w:r>
      <w:r>
        <w:rPr>
          <w:rFonts w:hint="eastAsia" w:ascii="仿宋" w:hAnsi="仿宋" w:eastAsia="仿宋" w:cs="仿宋"/>
          <w:color w:val="auto"/>
          <w:sz w:val="28"/>
          <w:szCs w:val="28"/>
          <w:highlight w:val="none"/>
        </w:rPr>
        <w:t>有权按照法定的要求推迟响应截止日期和开标日期。</w:t>
      </w:r>
    </w:p>
    <w:p w14:paraId="58531B17">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 xml:space="preserve">3.3 </w:t>
      </w:r>
      <w:r>
        <w:rPr>
          <w:rFonts w:hint="eastAsia" w:ascii="仿宋" w:hAnsi="仿宋" w:eastAsia="仿宋" w:cs="仿宋"/>
          <w:color w:val="auto"/>
          <w:sz w:val="28"/>
          <w:szCs w:val="28"/>
          <w:highlight w:val="none"/>
        </w:rPr>
        <w:t>采购文件的修改将在</w:t>
      </w:r>
      <w:r>
        <w:rPr>
          <w:rFonts w:hint="eastAsia" w:ascii="仿宋" w:hAnsi="仿宋" w:eastAsia="仿宋" w:cs="仿宋"/>
          <w:color w:val="auto"/>
          <w:sz w:val="28"/>
          <w:szCs w:val="28"/>
          <w:highlight w:val="none"/>
          <w:lang w:val="en-US" w:eastAsia="zh-CN"/>
        </w:rPr>
        <w:t>江苏吕四港集团微信公众号</w:t>
      </w:r>
      <w:r>
        <w:rPr>
          <w:rFonts w:hint="eastAsia" w:ascii="仿宋" w:hAnsi="仿宋" w:eastAsia="仿宋" w:cs="仿宋"/>
          <w:color w:val="auto"/>
          <w:sz w:val="28"/>
          <w:szCs w:val="28"/>
          <w:highlight w:val="none"/>
        </w:rPr>
        <w:t>公布，补充文件将作为采购文件的组成部分，并对响应供应商具有约束力，请供应商及时关注</w:t>
      </w:r>
      <w:r>
        <w:rPr>
          <w:rFonts w:hint="eastAsia" w:ascii="仿宋" w:hAnsi="仿宋" w:eastAsia="仿宋" w:cs="仿宋"/>
          <w:color w:val="auto"/>
          <w:sz w:val="28"/>
          <w:szCs w:val="28"/>
          <w:highlight w:val="none"/>
          <w:lang w:val="en-US" w:eastAsia="zh-CN"/>
        </w:rPr>
        <w:t>公众号</w:t>
      </w:r>
      <w:r>
        <w:rPr>
          <w:rFonts w:hint="eastAsia" w:ascii="仿宋" w:hAnsi="仿宋" w:eastAsia="仿宋" w:cs="仿宋"/>
          <w:color w:val="auto"/>
          <w:sz w:val="28"/>
          <w:szCs w:val="28"/>
          <w:highlight w:val="none"/>
        </w:rPr>
        <w:t>公告信息。</w:t>
      </w:r>
    </w:p>
    <w:p w14:paraId="33AD7B61">
      <w:pPr>
        <w:keepNext w:val="0"/>
        <w:keepLines w:val="0"/>
        <w:pageBreakBefore w:val="0"/>
        <w:widowControl/>
        <w:kinsoku/>
        <w:wordWrap/>
        <w:overflowPunct/>
        <w:topLinePunct w:val="0"/>
        <w:autoSpaceDE/>
        <w:autoSpaceDN/>
        <w:bidi w:val="0"/>
        <w:adjustRightInd w:val="0"/>
        <w:snapToGrid w:val="0"/>
        <w:spacing w:line="500" w:lineRule="exact"/>
        <w:ind w:left="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三、响应文件的编制</w:t>
      </w:r>
    </w:p>
    <w:p w14:paraId="02CA16E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bookmarkStart w:id="36" w:name="_Toc513029214"/>
      <w:bookmarkStart w:id="37" w:name="_Toc462564073"/>
      <w:bookmarkStart w:id="38" w:name="_Toc16938530"/>
      <w:bookmarkStart w:id="39" w:name="_Toc20823286"/>
      <w:r>
        <w:rPr>
          <w:rFonts w:hint="eastAsia" w:ascii="仿宋" w:hAnsi="仿宋" w:eastAsia="仿宋" w:cs="仿宋"/>
          <w:bCs/>
          <w:color w:val="auto"/>
          <w:sz w:val="28"/>
          <w:szCs w:val="28"/>
          <w:highlight w:val="none"/>
        </w:rPr>
        <w:t>1.响应文件的语言及度量衡单位</w:t>
      </w:r>
      <w:bookmarkEnd w:id="36"/>
      <w:bookmarkEnd w:id="37"/>
      <w:bookmarkEnd w:id="38"/>
      <w:bookmarkEnd w:id="39"/>
    </w:p>
    <w:p w14:paraId="0377EBF1">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1.1 响应供应商提交的响应文件以及响应供应商与</w:t>
      </w:r>
      <w:r>
        <w:rPr>
          <w:rFonts w:hint="eastAsia" w:ascii="仿宋" w:hAnsi="仿宋" w:eastAsia="仿宋" w:cs="仿宋"/>
          <w:bCs/>
          <w:color w:val="auto"/>
          <w:sz w:val="28"/>
          <w:szCs w:val="28"/>
          <w:highlight w:val="none"/>
          <w:lang w:val="en-US" w:eastAsia="zh-CN"/>
        </w:rPr>
        <w:t>采购人</w:t>
      </w:r>
      <w:r>
        <w:rPr>
          <w:rFonts w:hint="eastAsia" w:ascii="仿宋" w:hAnsi="仿宋" w:eastAsia="仿宋" w:cs="仿宋"/>
          <w:bCs/>
          <w:color w:val="auto"/>
          <w:sz w:val="28"/>
          <w:szCs w:val="28"/>
          <w:highlight w:val="none"/>
        </w:rPr>
        <w:t>就有关响应的所有来往通知、函件和文件均应使用简体中文。</w:t>
      </w:r>
    </w:p>
    <w:p w14:paraId="1772035A">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1.2 除技术性能另有规定外，响应文件所使用的度量衡单位，均须采用国家法定计量单位。</w:t>
      </w:r>
    </w:p>
    <w:p w14:paraId="387E425C">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bookmarkStart w:id="40" w:name="_Toc462564074"/>
      <w:bookmarkStart w:id="41" w:name="_Toc20823287"/>
      <w:bookmarkStart w:id="42" w:name="_Toc16938531"/>
      <w:bookmarkStart w:id="43" w:name="_Toc513029215"/>
      <w:r>
        <w:rPr>
          <w:rFonts w:hint="eastAsia" w:ascii="仿宋" w:hAnsi="仿宋" w:eastAsia="仿宋" w:cs="仿宋"/>
          <w:bCs/>
          <w:color w:val="auto"/>
          <w:sz w:val="28"/>
          <w:szCs w:val="28"/>
          <w:highlight w:val="none"/>
        </w:rPr>
        <w:t>2.响应文件构成</w:t>
      </w:r>
      <w:bookmarkEnd w:id="40"/>
      <w:bookmarkEnd w:id="41"/>
      <w:bookmarkEnd w:id="42"/>
      <w:bookmarkEnd w:id="43"/>
    </w:p>
    <w:p w14:paraId="080A2E1D">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响应供应商应按“第四部分响应文件组成”要求编写响应文件。</w:t>
      </w:r>
    </w:p>
    <w:p w14:paraId="731C97A1">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bookmarkStart w:id="44" w:name="_Hlt26954838"/>
      <w:bookmarkEnd w:id="44"/>
      <w:bookmarkStart w:id="45" w:name="_Hlt26668975"/>
      <w:bookmarkEnd w:id="45"/>
      <w:bookmarkStart w:id="46" w:name="_Hlt26670360"/>
      <w:bookmarkEnd w:id="46"/>
      <w:bookmarkStart w:id="47" w:name="_Toc49090511"/>
      <w:bookmarkStart w:id="48" w:name="_Toc14577360"/>
      <w:r>
        <w:rPr>
          <w:rFonts w:hint="eastAsia" w:ascii="仿宋" w:hAnsi="仿宋" w:eastAsia="仿宋" w:cs="仿宋"/>
          <w:color w:val="auto"/>
          <w:sz w:val="28"/>
          <w:szCs w:val="28"/>
          <w:highlight w:val="none"/>
        </w:rPr>
        <w:t>3.</w:t>
      </w:r>
      <w:r>
        <w:rPr>
          <w:rFonts w:hint="eastAsia" w:ascii="仿宋" w:hAnsi="仿宋" w:eastAsia="仿宋" w:cs="仿宋"/>
          <w:bCs/>
          <w:color w:val="auto"/>
          <w:sz w:val="28"/>
          <w:szCs w:val="28"/>
          <w:highlight w:val="none"/>
        </w:rPr>
        <w:t>响应</w:t>
      </w:r>
      <w:r>
        <w:rPr>
          <w:rFonts w:hint="eastAsia" w:ascii="仿宋" w:hAnsi="仿宋" w:eastAsia="仿宋" w:cs="仿宋"/>
          <w:color w:val="auto"/>
          <w:sz w:val="28"/>
          <w:szCs w:val="28"/>
          <w:highlight w:val="none"/>
        </w:rPr>
        <w:t>文件的密封、签署、提交</w:t>
      </w:r>
    </w:p>
    <w:p w14:paraId="224A5E4A">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r>
        <w:rPr>
          <w:rFonts w:hint="eastAsia" w:ascii="仿宋" w:hAnsi="仿宋" w:eastAsia="仿宋" w:cs="仿宋"/>
          <w:bCs/>
          <w:color w:val="auto"/>
          <w:sz w:val="28"/>
          <w:szCs w:val="28"/>
          <w:highlight w:val="none"/>
        </w:rPr>
        <w:t>响应</w:t>
      </w:r>
      <w:r>
        <w:rPr>
          <w:rFonts w:hint="eastAsia" w:ascii="仿宋" w:hAnsi="仿宋" w:eastAsia="仿宋" w:cs="仿宋"/>
          <w:color w:val="auto"/>
          <w:sz w:val="28"/>
          <w:szCs w:val="28"/>
          <w:highlight w:val="none"/>
        </w:rPr>
        <w:t>文件必须提供1份正本2份副本。</w:t>
      </w:r>
    </w:p>
    <w:p w14:paraId="769E149F">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bCs/>
          <w:color w:val="auto"/>
          <w:sz w:val="28"/>
          <w:szCs w:val="28"/>
          <w:highlight w:val="none"/>
        </w:rPr>
        <w:t>响应</w:t>
      </w:r>
      <w:r>
        <w:rPr>
          <w:rFonts w:hint="eastAsia" w:ascii="仿宋" w:hAnsi="仿宋" w:eastAsia="仿宋" w:cs="仿宋"/>
          <w:color w:val="auto"/>
          <w:sz w:val="28"/>
          <w:szCs w:val="28"/>
          <w:highlight w:val="none"/>
        </w:rPr>
        <w:t>文件统一</w:t>
      </w:r>
      <w:r>
        <w:rPr>
          <w:rFonts w:hint="eastAsia" w:ascii="仿宋" w:hAnsi="仿宋" w:eastAsia="仿宋" w:cs="仿宋"/>
          <w:color w:val="auto"/>
          <w:sz w:val="28"/>
          <w:szCs w:val="28"/>
          <w:highlight w:val="none"/>
          <w:lang w:val="en-US" w:eastAsia="zh-CN"/>
        </w:rPr>
        <w:t>采用现场递交</w:t>
      </w:r>
      <w:r>
        <w:rPr>
          <w:rFonts w:hint="eastAsia" w:ascii="仿宋" w:hAnsi="仿宋" w:eastAsia="仿宋" w:cs="仿宋"/>
          <w:color w:val="auto"/>
          <w:sz w:val="28"/>
          <w:szCs w:val="28"/>
          <w:highlight w:val="none"/>
        </w:rPr>
        <w:t>。</w:t>
      </w:r>
    </w:p>
    <w:p w14:paraId="77563191">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3.3</w:t>
      </w:r>
      <w:r>
        <w:rPr>
          <w:rFonts w:hint="eastAsia" w:ascii="仿宋" w:hAnsi="仿宋" w:eastAsia="仿宋" w:cs="仿宋"/>
          <w:bCs/>
          <w:color w:val="auto"/>
          <w:sz w:val="28"/>
          <w:szCs w:val="28"/>
          <w:highlight w:val="none"/>
        </w:rPr>
        <w:t>响应</w:t>
      </w:r>
      <w:r>
        <w:rPr>
          <w:rFonts w:hint="eastAsia" w:ascii="仿宋" w:hAnsi="仿宋" w:eastAsia="仿宋" w:cs="仿宋"/>
          <w:color w:val="auto"/>
          <w:sz w:val="28"/>
          <w:szCs w:val="28"/>
          <w:highlight w:val="none"/>
        </w:rPr>
        <w:t>文件均需采用A4纸（图纸等除外）打印并装订成册，不允许使用活页夹、拉杆夹、文件夹、塑料方便式书脊（插入式或穿孔式）装订，并应在</w:t>
      </w:r>
      <w:r>
        <w:rPr>
          <w:rFonts w:hint="eastAsia" w:ascii="仿宋" w:hAnsi="仿宋" w:eastAsia="仿宋" w:cs="仿宋"/>
          <w:bCs/>
          <w:color w:val="auto"/>
          <w:sz w:val="28"/>
          <w:szCs w:val="28"/>
          <w:highlight w:val="none"/>
        </w:rPr>
        <w:t>响应</w:t>
      </w:r>
      <w:r>
        <w:rPr>
          <w:rFonts w:hint="eastAsia" w:ascii="仿宋" w:hAnsi="仿宋" w:eastAsia="仿宋" w:cs="仿宋"/>
          <w:color w:val="auto"/>
          <w:sz w:val="28"/>
          <w:szCs w:val="28"/>
          <w:highlight w:val="none"/>
        </w:rPr>
        <w:t>文件封面的右上角清楚地注明“正本”或“副本”。正本和副本如有不一致之处，以正本为准。</w:t>
      </w:r>
    </w:p>
    <w:p w14:paraId="1C678DDB">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3.4</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供应商应在响应文件密封袋上标明：采购人名称、项目名称、供应商名称</w:t>
      </w:r>
      <w:r>
        <w:rPr>
          <w:rFonts w:hint="eastAsia" w:ascii="仿宋" w:hAnsi="仿宋" w:eastAsia="仿宋" w:cs="仿宋"/>
          <w:color w:val="auto"/>
          <w:sz w:val="28"/>
          <w:szCs w:val="28"/>
          <w:highlight w:val="none"/>
          <w:lang w:eastAsia="zh-CN"/>
        </w:rPr>
        <w:t>、响应文件名称</w:t>
      </w:r>
      <w:r>
        <w:rPr>
          <w:rFonts w:hint="eastAsia" w:ascii="仿宋" w:hAnsi="仿宋" w:eastAsia="仿宋" w:cs="仿宋"/>
          <w:color w:val="auto"/>
          <w:sz w:val="28"/>
          <w:szCs w:val="28"/>
          <w:highlight w:val="none"/>
        </w:rPr>
        <w:t>。</w:t>
      </w:r>
    </w:p>
    <w:p w14:paraId="1E84D482">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3.5</w:t>
      </w:r>
      <w:r>
        <w:rPr>
          <w:rFonts w:hint="eastAsia" w:ascii="仿宋" w:hAnsi="仿宋" w:eastAsia="仿宋" w:cs="仿宋"/>
          <w:color w:val="auto"/>
          <w:sz w:val="28"/>
          <w:szCs w:val="28"/>
          <w:highlight w:val="none"/>
        </w:rPr>
        <w:t>所有</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文件密封袋的封口处均应加盖供应商印章。</w:t>
      </w:r>
    </w:p>
    <w:p w14:paraId="3615B993">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3.6</w:t>
      </w:r>
      <w:r>
        <w:rPr>
          <w:rFonts w:hint="eastAsia" w:ascii="仿宋" w:hAnsi="仿宋" w:eastAsia="仿宋" w:cs="仿宋"/>
          <w:color w:val="auto"/>
          <w:sz w:val="28"/>
          <w:szCs w:val="28"/>
          <w:highlight w:val="none"/>
        </w:rPr>
        <w:t>如果</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供应商未按上述要求装订密封及加写标记，将作无效</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文件处理。</w:t>
      </w:r>
    </w:p>
    <w:p w14:paraId="330201DF">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4.响应文件的盖章要求</w:t>
      </w:r>
    </w:p>
    <w:p w14:paraId="2F3C8CB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4.1</w:t>
      </w:r>
      <w:r>
        <w:rPr>
          <w:rFonts w:hint="eastAsia" w:ascii="仿宋" w:hAnsi="仿宋" w:eastAsia="仿宋" w:cs="仿宋"/>
          <w:color w:val="auto"/>
          <w:sz w:val="28"/>
          <w:szCs w:val="28"/>
          <w:highlight w:val="none"/>
        </w:rPr>
        <w:t>响应文件必须加盖骑缝章或每页盖章。</w:t>
      </w:r>
    </w:p>
    <w:p w14:paraId="670BE2DB">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4.2</w:t>
      </w:r>
      <w:r>
        <w:rPr>
          <w:rFonts w:hint="eastAsia" w:ascii="仿宋" w:hAnsi="仿宋" w:eastAsia="仿宋" w:cs="仿宋"/>
          <w:color w:val="auto"/>
          <w:sz w:val="28"/>
          <w:szCs w:val="28"/>
          <w:highlight w:val="none"/>
        </w:rPr>
        <w:t>响应文件如有修改、行间内插字和增删，修改处应由</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供应商加盖印章。</w:t>
      </w:r>
    </w:p>
    <w:p w14:paraId="1D84A07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4.3响应</w:t>
      </w:r>
      <w:r>
        <w:rPr>
          <w:rFonts w:hint="eastAsia" w:ascii="仿宋" w:hAnsi="仿宋" w:eastAsia="仿宋" w:cs="仿宋"/>
          <w:color w:val="auto"/>
          <w:sz w:val="28"/>
          <w:szCs w:val="28"/>
          <w:highlight w:val="none"/>
        </w:rPr>
        <w:t>文件均需打印并装订成册，签字使用不褪色的蓝、黑墨水笔书写，字迹应清晰易于辨认，如因</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文件字迹潦草或表达不清所引起的后果由响应</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负责。响应</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文件封面的右上角清楚地注明“正本”或“副本”，正本和副本如有不一致之处，以正本为准。</w:t>
      </w:r>
    </w:p>
    <w:p w14:paraId="678A31CB">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响应有效期</w:t>
      </w:r>
      <w:bookmarkEnd w:id="47"/>
      <w:bookmarkEnd w:id="48"/>
    </w:p>
    <w:p w14:paraId="68FB4943">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响应文件和响应供应商法定代表人或其授权委托人签署的文件、资料的有效期为自开标之日起60个日历日。</w:t>
      </w:r>
      <w:r>
        <w:rPr>
          <w:rFonts w:hint="eastAsia" w:ascii="仿宋" w:hAnsi="仿宋" w:eastAsia="仿宋" w:cs="仿宋"/>
          <w:bCs/>
          <w:color w:val="auto"/>
          <w:sz w:val="28"/>
          <w:szCs w:val="28"/>
          <w:highlight w:val="none"/>
        </w:rPr>
        <w:t>响应有效期比规定短的将被视为非响应性响应而予以拒绝。</w:t>
      </w:r>
    </w:p>
    <w:p w14:paraId="3F7BF6A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.响应有效期的延长</w:t>
      </w:r>
    </w:p>
    <w:p w14:paraId="6CF3130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在特殊情况下，</w:t>
      </w:r>
      <w:r>
        <w:rPr>
          <w:rFonts w:hint="eastAsia" w:ascii="仿宋" w:hAnsi="仿宋" w:eastAsia="仿宋" w:cs="仿宋"/>
          <w:bCs/>
          <w:color w:val="auto"/>
          <w:sz w:val="28"/>
          <w:szCs w:val="28"/>
          <w:highlight w:val="none"/>
          <w:lang w:val="en-US" w:eastAsia="zh-CN"/>
        </w:rPr>
        <w:t>采购人</w:t>
      </w:r>
      <w:r>
        <w:rPr>
          <w:rFonts w:hint="eastAsia" w:ascii="仿宋" w:hAnsi="仿宋" w:eastAsia="仿宋" w:cs="仿宋"/>
          <w:bCs/>
          <w:color w:val="auto"/>
          <w:sz w:val="28"/>
          <w:szCs w:val="28"/>
          <w:highlight w:val="none"/>
        </w:rPr>
        <w:t>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2C486346">
      <w:pPr>
        <w:keepNext w:val="0"/>
        <w:keepLines w:val="0"/>
        <w:pageBreakBefore w:val="0"/>
        <w:widowControl/>
        <w:kinsoku/>
        <w:wordWrap/>
        <w:overflowPunct/>
        <w:topLinePunct w:val="0"/>
        <w:autoSpaceDE/>
        <w:autoSpaceDN/>
        <w:bidi w:val="0"/>
        <w:adjustRightInd w:val="0"/>
        <w:snapToGrid w:val="0"/>
        <w:spacing w:line="500" w:lineRule="exact"/>
        <w:ind w:left="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四、响应文件的递交</w:t>
      </w:r>
    </w:p>
    <w:p w14:paraId="1BFCC68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1.响应文件的递交</w:t>
      </w:r>
    </w:p>
    <w:p w14:paraId="0FBEEC1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1.1响应供应商应当在响应文件提交截止时间前</w:t>
      </w:r>
      <w:r>
        <w:rPr>
          <w:rFonts w:hint="eastAsia" w:ascii="仿宋" w:hAnsi="仿宋" w:eastAsia="仿宋" w:cs="仿宋"/>
          <w:color w:val="auto"/>
          <w:sz w:val="28"/>
          <w:szCs w:val="28"/>
          <w:highlight w:val="none"/>
          <w:lang w:eastAsia="zh-CN"/>
        </w:rPr>
        <w:t>提交按照采购文件要求密封的</w:t>
      </w:r>
      <w:r>
        <w:rPr>
          <w:rFonts w:hint="eastAsia" w:ascii="仿宋" w:hAnsi="仿宋" w:eastAsia="仿宋" w:cs="仿宋"/>
          <w:color w:val="auto"/>
          <w:sz w:val="28"/>
          <w:szCs w:val="28"/>
          <w:highlight w:val="none"/>
        </w:rPr>
        <w:t>响应文件。</w:t>
      </w:r>
    </w:p>
    <w:p w14:paraId="20915FE2">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响应文件的内容不清楚或不清晰的，造成无法评审或部分影响评审的，导致评审差错的，责任由供应商自负。</w:t>
      </w:r>
    </w:p>
    <w:p w14:paraId="0BD3ABB7">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2.响应截止日期</w:t>
      </w:r>
    </w:p>
    <w:p w14:paraId="7F1B40BC">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bookmarkStart w:id="49" w:name="_Toc16938543"/>
      <w:bookmarkStart w:id="50" w:name="_Toc20823299"/>
      <w:bookmarkStart w:id="51" w:name="_Toc513029227"/>
      <w:r>
        <w:rPr>
          <w:rFonts w:hint="eastAsia" w:ascii="仿宋" w:hAnsi="仿宋" w:eastAsia="仿宋" w:cs="仿宋"/>
          <w:color w:val="auto"/>
          <w:sz w:val="28"/>
          <w:szCs w:val="28"/>
          <w:highlight w:val="none"/>
        </w:rPr>
        <w:t xml:space="preserve">2.1 </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提交的</w:t>
      </w:r>
      <w:r>
        <w:rPr>
          <w:rFonts w:hint="eastAsia" w:ascii="仿宋" w:hAnsi="仿宋" w:eastAsia="仿宋" w:cs="仿宋"/>
          <w:color w:val="auto"/>
          <w:sz w:val="28"/>
          <w:szCs w:val="28"/>
          <w:highlight w:val="none"/>
        </w:rPr>
        <w:t>响应文件的时间不得迟于采购公告中规定的响应文件提交截止时间。</w:t>
      </w:r>
    </w:p>
    <w:p w14:paraId="7BC6DD1D">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 </w:t>
      </w:r>
      <w:r>
        <w:rPr>
          <w:rFonts w:hint="eastAsia" w:ascii="仿宋" w:hAnsi="仿宋" w:eastAsia="仿宋" w:cs="仿宋"/>
          <w:color w:val="auto"/>
          <w:sz w:val="28"/>
          <w:szCs w:val="28"/>
          <w:highlight w:val="none"/>
          <w:lang w:eastAsia="zh-CN"/>
        </w:rPr>
        <w:t>采购人可以按照规定，通过修改响应文件酌情延长响应文件提交截止日期，在此情况下，响应供应商的所有权利和义务以及响应供应商受制的截止日期均应以延长后新的截止日期为准</w:t>
      </w:r>
      <w:r>
        <w:rPr>
          <w:rFonts w:hint="eastAsia" w:ascii="仿宋" w:hAnsi="仿宋" w:eastAsia="仿宋" w:cs="仿宋"/>
          <w:color w:val="auto"/>
          <w:sz w:val="28"/>
          <w:szCs w:val="28"/>
          <w:highlight w:val="none"/>
        </w:rPr>
        <w:t>。</w:t>
      </w:r>
    </w:p>
    <w:p w14:paraId="335B278A">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3.响应文件</w:t>
      </w:r>
      <w:bookmarkEnd w:id="49"/>
      <w:bookmarkEnd w:id="50"/>
      <w:bookmarkEnd w:id="51"/>
      <w:r>
        <w:rPr>
          <w:rFonts w:hint="eastAsia" w:ascii="仿宋" w:hAnsi="仿宋" w:eastAsia="仿宋" w:cs="仿宋"/>
          <w:bCs/>
          <w:color w:val="auto"/>
          <w:sz w:val="28"/>
          <w:szCs w:val="28"/>
          <w:highlight w:val="none"/>
        </w:rPr>
        <w:t>的拒收</w:t>
      </w:r>
    </w:p>
    <w:p w14:paraId="095FCCEE">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bookmarkStart w:id="52" w:name="_Toc20823300"/>
      <w:bookmarkStart w:id="53" w:name="_Toc513029228"/>
      <w:bookmarkStart w:id="54" w:name="_Toc16938544"/>
      <w:r>
        <w:rPr>
          <w:rFonts w:hint="eastAsia" w:ascii="仿宋" w:hAnsi="仿宋" w:eastAsia="仿宋" w:cs="仿宋"/>
          <w:color w:val="auto"/>
          <w:sz w:val="28"/>
          <w:szCs w:val="28"/>
          <w:highlight w:val="none"/>
          <w:lang w:eastAsia="zh-CN"/>
        </w:rPr>
        <w:t>采购人拒绝接收未按照采购文件要求密封的响应文件，拒绝接收在响应文件接收截止时间后</w:t>
      </w:r>
      <w:r>
        <w:rPr>
          <w:rFonts w:hint="eastAsia" w:ascii="仿宋" w:hAnsi="仿宋" w:eastAsia="仿宋" w:cs="仿宋"/>
          <w:color w:val="auto"/>
          <w:sz w:val="28"/>
          <w:szCs w:val="28"/>
          <w:highlight w:val="none"/>
          <w:lang w:val="en-US" w:eastAsia="zh-CN"/>
        </w:rPr>
        <w:t>送</w:t>
      </w:r>
      <w:r>
        <w:rPr>
          <w:rFonts w:hint="eastAsia" w:ascii="仿宋" w:hAnsi="仿宋" w:eastAsia="仿宋" w:cs="仿宋"/>
          <w:color w:val="auto"/>
          <w:sz w:val="28"/>
          <w:szCs w:val="28"/>
          <w:highlight w:val="none"/>
          <w:lang w:eastAsia="zh-CN"/>
        </w:rPr>
        <w:t>达的响应文件</w:t>
      </w:r>
      <w:r>
        <w:rPr>
          <w:rFonts w:hint="eastAsia" w:ascii="仿宋" w:hAnsi="仿宋" w:eastAsia="仿宋" w:cs="仿宋"/>
          <w:color w:val="auto"/>
          <w:sz w:val="28"/>
          <w:szCs w:val="28"/>
          <w:highlight w:val="none"/>
        </w:rPr>
        <w:t>。</w:t>
      </w:r>
    </w:p>
    <w:p w14:paraId="1119E91D">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4.响应文件的修改</w:t>
      </w:r>
      <w:bookmarkEnd w:id="52"/>
      <w:bookmarkEnd w:id="53"/>
      <w:bookmarkEnd w:id="54"/>
    </w:p>
    <w:p w14:paraId="694B6CB6">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4.1 在响应文件提交截止时间之后，响应供应商不得对其响应文件作任何修改。</w:t>
      </w:r>
    </w:p>
    <w:p w14:paraId="62B446AB">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4.2 在响应文件提交截止时间至采购文件中规定的响应有效期满之间的这段时间内，响应供应商不得撤回其响应。</w:t>
      </w:r>
    </w:p>
    <w:p w14:paraId="365E8760">
      <w:pPr>
        <w:keepNext w:val="0"/>
        <w:keepLines w:val="0"/>
        <w:pageBreakBefore w:val="0"/>
        <w:kinsoku/>
        <w:wordWrap/>
        <w:overflowPunct/>
        <w:topLinePunct w:val="0"/>
        <w:autoSpaceDE/>
        <w:autoSpaceDN/>
        <w:bidi w:val="0"/>
        <w:adjustRightInd w:val="0"/>
        <w:snapToGrid w:val="0"/>
        <w:spacing w:line="500" w:lineRule="exact"/>
        <w:ind w:left="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五、询价采购程序</w:t>
      </w:r>
    </w:p>
    <w:p w14:paraId="627F8217">
      <w:pPr>
        <w:keepNext w:val="0"/>
        <w:keepLines w:val="0"/>
        <w:pageBreakBefore w:val="0"/>
        <w:kinsoku/>
        <w:wordWrap/>
        <w:overflowPunct/>
        <w:topLinePunct w:val="0"/>
        <w:autoSpaceDE/>
        <w:autoSpaceDN/>
        <w:bidi w:val="0"/>
        <w:adjustRightInd w:val="0"/>
        <w:snapToGrid w:val="0"/>
        <w:spacing w:line="500" w:lineRule="exact"/>
        <w:ind w:left="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1.询价小组</w:t>
      </w:r>
    </w:p>
    <w:p w14:paraId="0BABCDAA">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开标后，</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将立即组织询价小组进行评标。</w:t>
      </w:r>
    </w:p>
    <w:p w14:paraId="1E575CBD">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询价小组由采购人代表组成，且人员构成符合政府采购有关规定。</w:t>
      </w:r>
    </w:p>
    <w:p w14:paraId="227CF074">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1.3询价小组应当按照客观、公正、审慎的原则评审响应供应商的响应文件。</w:t>
      </w:r>
    </w:p>
    <w:p w14:paraId="3E1C5319">
      <w:pPr>
        <w:keepNext w:val="0"/>
        <w:keepLines w:val="0"/>
        <w:pageBreakBefore w:val="0"/>
        <w:kinsoku/>
        <w:wordWrap/>
        <w:overflowPunct/>
        <w:topLinePunct w:val="0"/>
        <w:autoSpaceDE/>
        <w:autoSpaceDN/>
        <w:bidi w:val="0"/>
        <w:adjustRightInd w:val="0"/>
        <w:snapToGrid w:val="0"/>
        <w:spacing w:line="500" w:lineRule="exact"/>
        <w:ind w:left="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2.响应的澄清</w:t>
      </w:r>
    </w:p>
    <w:p w14:paraId="6FF4954A">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2.1评审期间，为有助于对响应文件的审查、评价和比较，询价小组有权要求供应商对其响应文件进行澄清，但并非对每个供应商都作澄清要求。</w:t>
      </w:r>
    </w:p>
    <w:p w14:paraId="39312528">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21BF0253">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 接到询价小组澄清要求的供应商如未按规定做出澄清，其风险由供应商自行承担。</w:t>
      </w:r>
    </w:p>
    <w:p w14:paraId="7F9550A5">
      <w:pPr>
        <w:keepNext w:val="0"/>
        <w:keepLines w:val="0"/>
        <w:pageBreakBefore w:val="0"/>
        <w:kinsoku/>
        <w:wordWrap/>
        <w:overflowPunct/>
        <w:topLinePunct w:val="0"/>
        <w:autoSpaceDE/>
        <w:autoSpaceDN/>
        <w:bidi w:val="0"/>
        <w:adjustRightInd w:val="0"/>
        <w:snapToGrid w:val="0"/>
        <w:spacing w:line="500" w:lineRule="exact"/>
        <w:ind w:left="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3.对响应文件的初审</w:t>
      </w:r>
    </w:p>
    <w:p w14:paraId="51BD9F34">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3.1响应文件初审分为资格性检查和符合性检查。</w:t>
      </w:r>
    </w:p>
    <w:p w14:paraId="08BED8EB">
      <w:pPr>
        <w:keepNext w:val="0"/>
        <w:keepLines w:val="0"/>
        <w:pageBreakBefore w:val="0"/>
        <w:numPr>
          <w:ilvl w:val="0"/>
          <w:numId w:val="1"/>
        </w:numPr>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资格性检查：依据法律法规和采购文件的规定，对响应文件中的资格证明文件等进行审查，以确定供应商是否具备参加询价的资格。</w:t>
      </w:r>
    </w:p>
    <w:p w14:paraId="7A649461">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资格性审查未通过的响应供应商作无效响应处理。</w:t>
      </w:r>
    </w:p>
    <w:p w14:paraId="72BE599F">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3FCF98AA">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（3）未通过资格性审查或符合性审查的响应供应商</w:t>
      </w:r>
      <w:r>
        <w:rPr>
          <w:rFonts w:hint="eastAsia" w:ascii="仿宋" w:hAnsi="仿宋" w:eastAsia="仿宋" w:cs="仿宋"/>
          <w:color w:val="auto"/>
          <w:sz w:val="28"/>
          <w:szCs w:val="28"/>
          <w:highlight w:val="none"/>
          <w:lang w:val="en-US" w:eastAsia="zh-CN"/>
        </w:rPr>
        <w:t>采购单位</w:t>
      </w:r>
      <w:r>
        <w:rPr>
          <w:rFonts w:hint="eastAsia" w:ascii="仿宋" w:hAnsi="仿宋" w:eastAsia="仿宋" w:cs="仿宋"/>
          <w:color w:val="auto"/>
          <w:sz w:val="28"/>
          <w:szCs w:val="28"/>
          <w:highlight w:val="none"/>
        </w:rPr>
        <w:t>将告知其未通过资格性审查或符合性审查的原因。</w:t>
      </w:r>
    </w:p>
    <w:p w14:paraId="0EBABB4E">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w:t>
      </w:r>
      <w:r>
        <w:rPr>
          <w:rFonts w:hint="eastAsia" w:ascii="仿宋" w:hAnsi="仿宋" w:eastAsia="仿宋" w:cs="仿宋"/>
          <w:bCs/>
          <w:color w:val="auto"/>
          <w:sz w:val="28"/>
          <w:szCs w:val="28"/>
          <w:highlight w:val="none"/>
        </w:rPr>
        <w:t>询价小组将对确定为实质性响应的响应进行进一步审核，看其是否有计算</w:t>
      </w:r>
      <w:r>
        <w:rPr>
          <w:rFonts w:hint="eastAsia" w:ascii="仿宋" w:hAnsi="仿宋" w:eastAsia="仿宋" w:cs="仿宋"/>
          <w:color w:val="auto"/>
          <w:sz w:val="28"/>
          <w:szCs w:val="28"/>
          <w:highlight w:val="none"/>
        </w:rPr>
        <w:t>上或累加上的算术错误，修正错误的原则如下：</w:t>
      </w:r>
    </w:p>
    <w:p w14:paraId="11DD162C">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（1）响应文件中开标一览表内容与响应文件中相应内容不一致的，以开标一览表为准。</w:t>
      </w:r>
    </w:p>
    <w:p w14:paraId="48BA0E70">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（2）大写金额和小写金额不一致的，以大写金额为准。</w:t>
      </w:r>
    </w:p>
    <w:p w14:paraId="77C68F27">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（3）总价金额与按单价汇总金额不一致的，以单价金额计算结果为准。</w:t>
      </w:r>
    </w:p>
    <w:p w14:paraId="054A03E5">
      <w:pPr>
        <w:keepNext w:val="0"/>
        <w:keepLines w:val="0"/>
        <w:pageBreakBefore w:val="0"/>
        <w:kinsoku/>
        <w:wordWrap/>
        <w:overflowPunct/>
        <w:topLinePunct w:val="0"/>
        <w:autoSpaceDE/>
        <w:autoSpaceDN/>
        <w:bidi w:val="0"/>
        <w:adjustRightInd w:val="0"/>
        <w:snapToGrid w:val="0"/>
        <w:spacing w:line="500" w:lineRule="exact"/>
        <w:ind w:left="0"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同时出现两种以上错误的，按照前款规定的顺序修正。</w:t>
      </w:r>
    </w:p>
    <w:p w14:paraId="13920514">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1F51A911">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3B71BE6B">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3.5询价小组允许修正响应文件中不构成重大偏离的、微小的、非正规的、不一致的或不规则的地方，但这些修改不能影响任何响应供应商相应的名次排列。</w:t>
      </w:r>
    </w:p>
    <w:p w14:paraId="5ECD04D1">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7C44F836">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3.7响应供应商在询价采购活动全过程中应保持通讯畅通，并安排专人与</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及询价小组联系。</w:t>
      </w:r>
    </w:p>
    <w:p w14:paraId="22A496A1">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4.无效响应及废标情形</w:t>
      </w:r>
    </w:p>
    <w:p w14:paraId="1CA6E149">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4.1符合下列情形之一者，响应供应商响应无效：</w:t>
      </w:r>
    </w:p>
    <w:p w14:paraId="1D4FA4C2">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（1）响应供应商未按本采购文件要求进行制作或密封的；</w:t>
      </w:r>
    </w:p>
    <w:p w14:paraId="766DE9DA">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响应文件未按采购文件的要求签字或盖章的。</w:t>
      </w:r>
    </w:p>
    <w:p w14:paraId="4A10489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pacing w:val="-6"/>
          <w:sz w:val="28"/>
          <w:szCs w:val="28"/>
          <w:highlight w:val="none"/>
          <w:lang w:val="en-US" w:eastAsia="zh-CN"/>
        </w:rPr>
        <w:t>响应文件未按规定加盖供应商印章，投标报价部分未盖章的。</w:t>
      </w:r>
    </w:p>
    <w:p w14:paraId="519E70ED">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（4）响应文件的关键内容字迹模糊，无法辨认的。</w:t>
      </w:r>
    </w:p>
    <w:p w14:paraId="1721B38E">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同</w:t>
      </w:r>
      <w:r>
        <w:rPr>
          <w:rFonts w:hint="eastAsia" w:ascii="仿宋" w:hAnsi="仿宋" w:eastAsia="仿宋" w:cs="仿宋"/>
          <w:color w:val="auto"/>
          <w:spacing w:val="-6"/>
          <w:sz w:val="28"/>
          <w:szCs w:val="28"/>
          <w:highlight w:val="none"/>
          <w:lang w:val="en-US" w:eastAsia="zh-CN"/>
        </w:rPr>
        <w:t>一响应供应商提交两个（含两个）以上不同的响应报价的；</w:t>
      </w:r>
    </w:p>
    <w:p w14:paraId="07D4846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）响应供应商不具备采购文件中规定资格要求的；</w:t>
      </w:r>
    </w:p>
    <w:p w14:paraId="63724308">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）响应供应商的报价超过了采购预算或最高限价的；</w:t>
      </w:r>
    </w:p>
    <w:p w14:paraId="469AF9BE">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）未通过资格性、符合性审查的；</w:t>
      </w:r>
    </w:p>
    <w:p w14:paraId="7A236499">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）不符合询价采购文件中规定的其他实质性要求和条件的；</w:t>
      </w:r>
    </w:p>
    <w:p w14:paraId="435D3F17">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69C54F5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）响应文件含有采购人不能接受的附加条件的；</w:t>
      </w:r>
    </w:p>
    <w:p w14:paraId="35958930">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）其他法律、法规及本采购文件规定的属无效响应的情形。4.2符合下列情形之一者，本采购项目废标：</w:t>
      </w:r>
    </w:p>
    <w:p w14:paraId="4E1143F3">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bCs/>
          <w:color w:val="auto"/>
          <w:sz w:val="28"/>
          <w:szCs w:val="28"/>
          <w:highlight w:val="none"/>
        </w:rPr>
        <w:t>符合专业条件的供应商或者对采购文件作实质响应的供应商不足三家的</w:t>
      </w:r>
      <w:r>
        <w:rPr>
          <w:rFonts w:hint="eastAsia" w:ascii="仿宋" w:hAnsi="仿宋" w:eastAsia="仿宋" w:cs="仿宋"/>
          <w:color w:val="auto"/>
          <w:sz w:val="28"/>
          <w:szCs w:val="28"/>
          <w:highlight w:val="none"/>
        </w:rPr>
        <w:t>；</w:t>
      </w:r>
    </w:p>
    <w:p w14:paraId="132B445D">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（2）所有合格响应供应商的报价均超过本项目预算金额或最高限价的；</w:t>
      </w:r>
    </w:p>
    <w:p w14:paraId="049A98AC">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（3）出现影响采购公正的违法、违规行为的；</w:t>
      </w:r>
    </w:p>
    <w:p w14:paraId="26D01CD8">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（4）因重大变故，采购任务取消的；</w:t>
      </w:r>
    </w:p>
    <w:p w14:paraId="6B27F44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废标后，对于特殊紧急的采购项目，经监管部门批准后采购人可直接改变采购方式，现场继续组织采购活动。</w:t>
      </w:r>
    </w:p>
    <w:p w14:paraId="1169D9BC">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、成交原则</w:t>
      </w:r>
    </w:p>
    <w:p w14:paraId="3834FDDF">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eastAsia="zh-CN"/>
        </w:rPr>
        <w:t>在有效报价范围内的报价最低者为第一中标候选人（仅推荐一名中标候选人）,如有报价相同者，则通过抽签方式随机确定中标候选人排序。</w:t>
      </w:r>
    </w:p>
    <w:p w14:paraId="73B5EF03">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2.当成交供应商放弃成交、因不可抗力不能履行合同、不按照磋商文件要求提交履约保证金，或者被查实存在影响成交结果的违法行为等情形，不符合成交条件的，采购人可依法重新招标。</w:t>
      </w:r>
    </w:p>
    <w:p w14:paraId="3E6D4908">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3.第一中标候选人无正当理由放弃中标的列入吕四港集团不良信誉库。</w:t>
      </w:r>
    </w:p>
    <w:p w14:paraId="01E5AC76">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4.成交结果公告将在“启东市人民政府网站”发布，公告期限为1个工作日。</w:t>
      </w:r>
    </w:p>
    <w:p w14:paraId="2EEF3B7C">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lang w:eastAsia="zh-CN"/>
        </w:rPr>
        <w:t>.质疑处理</w:t>
      </w:r>
    </w:p>
    <w:p w14:paraId="28E1906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提出质疑的供应商应当是参与所质疑项目采购活动的供应商。潜在供应商依法获取其可质疑的采购文件的，可以对采购文件提出质疑。</w:t>
      </w:r>
    </w:p>
    <w:p w14:paraId="582F578D">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2.供应商认为采购文件、采购过程和采购结果使自己的权益受到损害的，可以在知道或应知其权益受到损害之日起</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个工作日内，以书面形式向采购人提出质疑。上述应知其权益受到损害之日，是指：</w:t>
      </w:r>
    </w:p>
    <w:p w14:paraId="6B02CF82">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kern w:val="0"/>
          <w:sz w:val="28"/>
          <w:szCs w:val="28"/>
          <w:highlight w:val="none"/>
        </w:rPr>
        <w:t>对可以质疑的采购文件提出质疑的，为收到采购文件之日或者采购文件公告期限届满之日；</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w:t>
      </w:r>
      <w:r>
        <w:rPr>
          <w:rFonts w:hint="eastAsia" w:ascii="仿宋" w:hAnsi="仿宋" w:eastAsia="仿宋" w:cs="仿宋"/>
          <w:color w:val="auto"/>
          <w:sz w:val="28"/>
          <w:szCs w:val="28"/>
          <w:highlight w:val="none"/>
        </w:rPr>
        <w:t>（2）</w:t>
      </w:r>
      <w:r>
        <w:rPr>
          <w:rFonts w:hint="eastAsia" w:ascii="仿宋" w:hAnsi="仿宋" w:eastAsia="仿宋" w:cs="仿宋"/>
          <w:color w:val="auto"/>
          <w:kern w:val="0"/>
          <w:sz w:val="28"/>
          <w:szCs w:val="28"/>
          <w:highlight w:val="none"/>
        </w:rPr>
        <w:t>对采购过程提出质疑的，为各采购程序环节结束之日；</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w:t>
      </w:r>
      <w:r>
        <w:rPr>
          <w:rFonts w:hint="eastAsia" w:ascii="仿宋" w:hAnsi="仿宋" w:eastAsia="仿宋" w:cs="仿宋"/>
          <w:color w:val="auto"/>
          <w:sz w:val="28"/>
          <w:szCs w:val="28"/>
          <w:highlight w:val="none"/>
        </w:rPr>
        <w:t>（3）</w:t>
      </w:r>
      <w:r>
        <w:rPr>
          <w:rFonts w:hint="eastAsia" w:ascii="仿宋" w:hAnsi="仿宋" w:eastAsia="仿宋" w:cs="仿宋"/>
          <w:color w:val="auto"/>
          <w:kern w:val="0"/>
          <w:sz w:val="28"/>
          <w:szCs w:val="28"/>
          <w:highlight w:val="none"/>
        </w:rPr>
        <w:t>对中标或者成交结果提出质疑的，为中标或者成交结果公告期限届满之日。</w:t>
      </w:r>
    </w:p>
    <w:p w14:paraId="69B7AEF0">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供应商应当在法定质疑期内一次性提出针对同一采购程序环节的质疑。</w:t>
      </w:r>
    </w:p>
    <w:p w14:paraId="6331ED4F">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质疑函必须按照本采购文件中《质疑函范本》（附件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）要求的格式和内容进行填写。供应商如组成联合体参加响应，则《质疑函范本》中要求签字、盖章、加盖公章之处，联合体各方均须按要求签字、盖章、加盖公章。</w:t>
      </w:r>
    </w:p>
    <w:p w14:paraId="67921F1C">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对采购方式、采购文件中项目需求、供应商资格条件等应当由采购人答复的质疑，请向采购人提出，由采购人负责答复。为方便供应商提起质疑，供应商向采购人以书面形式提交质疑函。</w:t>
      </w:r>
    </w:p>
    <w:p w14:paraId="2B5455C4">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采购人质疑接收人及联系方式，见采购文件第一部分。</w:t>
      </w:r>
    </w:p>
    <w:p w14:paraId="3B77D3D0">
      <w:pPr>
        <w:keepNext w:val="0"/>
        <w:keepLines w:val="0"/>
        <w:pageBreakBefore w:val="0"/>
        <w:kinsoku/>
        <w:wordWrap/>
        <w:overflowPunct/>
        <w:topLinePunct w:val="0"/>
        <w:autoSpaceDE/>
        <w:autoSpaceDN/>
        <w:bidi w:val="0"/>
        <w:adjustRightInd w:val="0"/>
        <w:snapToGrid w:val="0"/>
        <w:spacing w:line="500" w:lineRule="exact"/>
        <w:ind w:lef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以下情形的质疑不予受理</w:t>
      </w:r>
    </w:p>
    <w:p w14:paraId="21B6D95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（1）内容不符合《政府采购质疑和投诉办法》第十二条规定的质疑。</w:t>
      </w:r>
    </w:p>
    <w:p w14:paraId="62893988">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（2）超出政府采购法定期限的质疑。</w:t>
      </w:r>
    </w:p>
    <w:p w14:paraId="75DFBD73">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（3）未参加响应活动的供应商或在响应活动中自身权益未受到损害的供应商所提出的质疑。</w:t>
      </w:r>
    </w:p>
    <w:p w14:paraId="66A4842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（4）供应商组成联合体参加响应，联合体中任何一方或多方未按要求签字、盖章、加盖公章的质疑。</w:t>
      </w:r>
    </w:p>
    <w:p w14:paraId="04C919D1">
      <w:pPr>
        <w:keepNext w:val="0"/>
        <w:keepLines w:val="0"/>
        <w:pageBreakBefore w:val="0"/>
        <w:kinsoku/>
        <w:wordWrap/>
        <w:overflowPunct/>
        <w:topLinePunct w:val="0"/>
        <w:autoSpaceDE/>
        <w:autoSpaceDN/>
        <w:bidi w:val="0"/>
        <w:adjustRightInd w:val="0"/>
        <w:snapToGrid w:val="0"/>
        <w:spacing w:line="500" w:lineRule="exact"/>
        <w:ind w:left="0" w:firstLine="546" w:firstLineChars="19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318FF395">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、合同</w:t>
      </w:r>
      <w:r>
        <w:rPr>
          <w:rFonts w:hint="eastAsia" w:ascii="仿宋" w:hAnsi="仿宋" w:eastAsia="仿宋" w:cs="仿宋"/>
          <w:b/>
          <w:bCs/>
          <w:color w:val="auto"/>
          <w:sz w:val="28"/>
          <w:szCs w:val="28"/>
          <w:highlight w:val="none"/>
          <w:lang w:val="en-US" w:eastAsia="zh-CN"/>
        </w:rPr>
        <w:t>签订</w:t>
      </w:r>
    </w:p>
    <w:p w14:paraId="4E004D22">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1.成交供应商应当在成交通知书发出之日起5日内，按照采购文件确定的事项与采购人签订政府采购合同。</w:t>
      </w:r>
    </w:p>
    <w:p w14:paraId="36F083D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2.采购文件、成交供应商的响应文件及采购过程中有关澄清、承诺文件均应作为合同附件。</w:t>
      </w:r>
    </w:p>
    <w:p w14:paraId="4E82358B">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3.签订合同后，未经采购人同意，成交供应商不得随意采用分包的形式履行合同，否则采购人有权终止合同，成交供应商的履约保证金将不予退还。</w:t>
      </w:r>
    </w:p>
    <w:p w14:paraId="72E71B0E">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九</w:t>
      </w:r>
      <w:r>
        <w:rPr>
          <w:rFonts w:hint="eastAsia" w:ascii="仿宋" w:hAnsi="仿宋" w:eastAsia="仿宋" w:cs="仿宋"/>
          <w:b/>
          <w:color w:val="auto"/>
          <w:sz w:val="28"/>
          <w:szCs w:val="28"/>
          <w:highlight w:val="none"/>
        </w:rPr>
        <w:t>、其他说明</w:t>
      </w:r>
    </w:p>
    <w:p w14:paraId="044883D5">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1.法定代表人为同一个人的两个及两个以上法人，母公司、全资子公司及其控股公司，只能有一家单位参加本项目的响应。</w:t>
      </w:r>
    </w:p>
    <w:p w14:paraId="54C2DB52">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和询价小组不向未成交的响应供应商解释未成交原因，也不公布评审过程中的相关细节。</w:t>
      </w:r>
    </w:p>
    <w:p w14:paraId="3A3C2F97">
      <w:pPr>
        <w:keepNext w:val="0"/>
        <w:keepLines w:val="0"/>
        <w:pageBreakBefore w:val="0"/>
        <w:kinsoku/>
        <w:wordWrap/>
        <w:overflowPunct/>
        <w:topLinePunct w:val="0"/>
        <w:autoSpaceDE/>
        <w:autoSpaceDN/>
        <w:bidi w:val="0"/>
        <w:adjustRightInd w:val="0"/>
        <w:snapToGrid w:val="0"/>
        <w:spacing w:line="500" w:lineRule="exact"/>
        <w:ind w:left="0"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十、其他要求：</w:t>
      </w:r>
    </w:p>
    <w:p w14:paraId="1CD69EE4">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bookmarkStart w:id="55" w:name="_Toc32735"/>
      <w:r>
        <w:rPr>
          <w:rFonts w:hint="eastAsia" w:ascii="仿宋" w:hAnsi="仿宋" w:eastAsia="仿宋" w:cs="仿宋"/>
          <w:color w:val="auto"/>
          <w:sz w:val="28"/>
          <w:szCs w:val="28"/>
          <w:highlight w:val="none"/>
          <w:lang w:val="en-US" w:eastAsia="zh-CN"/>
        </w:rPr>
        <w:t>1、成交供应商逾期交货的，按照逾期部分的货款总值的每日0.05%支付；如逾期5天仍未能完成供货、安装及调试，将视为供方违约，终止合同履行，履约保证金不予退还。</w:t>
      </w:r>
    </w:p>
    <w:p w14:paraId="15338470">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成交供应商交付货物时质量明显不符合规定的，采购方有权拒收并有权要求供方限期更换、退货或减少价款等。如因质量引起问题造成的严重负面影响的将列入黑名单，不得再参与江苏吕四港集团有限公司和其下属所有子公司的采购项目。</w:t>
      </w:r>
    </w:p>
    <w:p w14:paraId="75D60587">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3、成交供应商对采购方提出货物或服务有欺诈行为的，依照《中华人民共和国消费者权益保护法》的规定承担损害赔偿责任。</w:t>
      </w:r>
    </w:p>
    <w:p w14:paraId="37684EC6">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请各投标供应商谨慎投标，投标报价须综合考虑自身实际情况、用工成本及本次采购服务内容。如供应商中标后放弃本项目或者不按照采购文件要求履约的，采购人有权将其列入江苏吕四港集团有限公司供应商不良信用库，二年内不得参加江苏吕四港集团有限公司及下属子公司任何项目投标。</w:t>
      </w:r>
    </w:p>
    <w:p w14:paraId="213703F0">
      <w:pPr>
        <w:keepNext w:val="0"/>
        <w:keepLines w:val="0"/>
        <w:pageBreakBefore w:val="0"/>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0A12A80C">
      <w:pPr>
        <w:pStyle w:val="2"/>
        <w:widowControl/>
        <w:adjustRightInd w:val="0"/>
        <w:snapToGrid w:val="0"/>
        <w:spacing w:before="0" w:after="0" w:line="500" w:lineRule="exact"/>
        <w:jc w:val="center"/>
        <w:rPr>
          <w:rFonts w:hint="eastAsia" w:ascii="仿宋" w:hAnsi="仿宋" w:eastAsia="仿宋" w:cs="仿宋"/>
          <w:b w:val="0"/>
          <w:color w:val="auto"/>
          <w:sz w:val="36"/>
          <w:szCs w:val="36"/>
          <w:highlight w:val="none"/>
        </w:rPr>
      </w:pPr>
      <w:r>
        <w:rPr>
          <w:rFonts w:hint="eastAsia" w:ascii="仿宋" w:hAnsi="仿宋" w:eastAsia="仿宋" w:cs="仿宋"/>
          <w:b w:val="0"/>
          <w:color w:val="auto"/>
          <w:sz w:val="36"/>
          <w:szCs w:val="36"/>
          <w:highlight w:val="none"/>
        </w:rPr>
        <w:t>第三部分  项目需求</w:t>
      </w:r>
    </w:p>
    <w:p w14:paraId="6ED7D9BF">
      <w:pPr>
        <w:adjustRightInd w:val="0"/>
        <w:snapToGrid w:val="0"/>
        <w:spacing w:line="500" w:lineRule="exact"/>
        <w:ind w:firstLine="562" w:firstLineChars="200"/>
        <w:rPr>
          <w:rFonts w:hint="eastAsia" w:ascii="仿宋" w:hAnsi="仿宋" w:eastAsia="仿宋" w:cs="仿宋"/>
          <w:b/>
          <w:bCs/>
          <w:color w:val="auto"/>
          <w:sz w:val="28"/>
          <w:szCs w:val="28"/>
          <w:highlight w:val="none"/>
        </w:rPr>
      </w:pPr>
      <w:bookmarkStart w:id="56" w:name="_Toc82505662"/>
      <w:r>
        <w:rPr>
          <w:rFonts w:hint="eastAsia" w:ascii="仿宋" w:hAnsi="仿宋" w:eastAsia="仿宋" w:cs="仿宋"/>
          <w:b/>
          <w:bCs/>
          <w:color w:val="auto"/>
          <w:sz w:val="28"/>
          <w:szCs w:val="28"/>
          <w:highlight w:val="none"/>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1EDDED10">
      <w:pPr>
        <w:adjustRightInd w:val="0"/>
        <w:snapToGrid w:val="0"/>
        <w:spacing w:line="50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其内容包含：</w:t>
      </w:r>
    </w:p>
    <w:tbl>
      <w:tblPr>
        <w:tblStyle w:val="19"/>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6"/>
        <w:gridCol w:w="5361"/>
        <w:gridCol w:w="741"/>
        <w:gridCol w:w="427"/>
        <w:gridCol w:w="636"/>
        <w:gridCol w:w="427"/>
        <w:gridCol w:w="427"/>
      </w:tblGrid>
      <w:tr w14:paraId="4418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27" w:type="dxa"/>
            <w:vAlign w:val="center"/>
          </w:tcPr>
          <w:p w14:paraId="45859C5C">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序号</w:t>
            </w:r>
          </w:p>
        </w:tc>
        <w:tc>
          <w:tcPr>
            <w:tcW w:w="636" w:type="dxa"/>
            <w:vAlign w:val="center"/>
          </w:tcPr>
          <w:p w14:paraId="35C95228">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名称</w:t>
            </w:r>
          </w:p>
        </w:tc>
        <w:tc>
          <w:tcPr>
            <w:tcW w:w="3216" w:type="dxa"/>
            <w:vAlign w:val="center"/>
          </w:tcPr>
          <w:p w14:paraId="6B0C2C3C">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参数</w:t>
            </w:r>
          </w:p>
        </w:tc>
        <w:tc>
          <w:tcPr>
            <w:tcW w:w="2565" w:type="dxa"/>
            <w:vAlign w:val="center"/>
          </w:tcPr>
          <w:p w14:paraId="2C1B3E9A">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推荐品牌</w:t>
            </w:r>
          </w:p>
        </w:tc>
        <w:tc>
          <w:tcPr>
            <w:tcW w:w="427" w:type="dxa"/>
            <w:vAlign w:val="center"/>
          </w:tcPr>
          <w:p w14:paraId="12BE8BA9">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计量单位</w:t>
            </w:r>
          </w:p>
        </w:tc>
        <w:tc>
          <w:tcPr>
            <w:tcW w:w="636" w:type="dxa"/>
            <w:vAlign w:val="center"/>
          </w:tcPr>
          <w:p w14:paraId="0E533C64">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数量</w:t>
            </w:r>
          </w:p>
        </w:tc>
        <w:tc>
          <w:tcPr>
            <w:tcW w:w="427" w:type="dxa"/>
            <w:vAlign w:val="center"/>
          </w:tcPr>
          <w:p w14:paraId="1E8A2B3F">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单价</w:t>
            </w:r>
          </w:p>
        </w:tc>
        <w:tc>
          <w:tcPr>
            <w:tcW w:w="427" w:type="dxa"/>
            <w:vAlign w:val="center"/>
          </w:tcPr>
          <w:p w14:paraId="389207AD">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金额</w:t>
            </w:r>
          </w:p>
        </w:tc>
      </w:tr>
      <w:tr w14:paraId="5C25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26B3B5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636" w:type="dxa"/>
            <w:vAlign w:val="center"/>
          </w:tcPr>
          <w:p w14:paraId="068C6D6C">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lang w:bidi="ar"/>
              </w:rPr>
              <w:t>400万超星光网络球机</w:t>
            </w:r>
          </w:p>
        </w:tc>
        <w:tc>
          <w:tcPr>
            <w:tcW w:w="3216" w:type="dxa"/>
            <w:vAlign w:val="center"/>
          </w:tcPr>
          <w:p w14:paraId="2912E2D0">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全景细节都采用400万像素1/1.8英寸CMOS 传感器</w:t>
            </w:r>
          </w:p>
          <w:p w14:paraId="71C6A247">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内置GPU芯片，支持深度学习算法，有效提升检测准确率</w:t>
            </w:r>
          </w:p>
          <w:p w14:paraId="3FE4DAF5">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细节相机支持25倍光学变倍，16倍数字变倍</w:t>
            </w:r>
          </w:p>
          <w:p w14:paraId="766DF1C5">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smart事件上报的抓图支持叠加规则区域和目标框：可配置报警抓图叠加目标信息及规则信息，支持开启及关闭；支持设置告警区域最大可包含整个监控画面；支持设置预览画面是否叠加显示规则区域框及告警提示信息。</w:t>
            </w:r>
          </w:p>
          <w:p w14:paraId="798C4654">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外壳防护等级检验：样机应符合GB/T4208-2017中1P67等级的要求</w:t>
            </w:r>
          </w:p>
          <w:p w14:paraId="44BCD47F">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电源电压在DC36V±50%范围内变化时，样机可正常工作。</w:t>
            </w:r>
          </w:p>
          <w:p w14:paraId="6FAA1632">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水平范围：0°～320°垂直范围：-20°～90°。</w:t>
            </w:r>
          </w:p>
          <w:p w14:paraId="50092F73">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可从诊断信息中导出云台控制历史记录，包括：手动键控PTZ、3D定位、手动调用预置点、手动调用花扫、手动调用巡航。</w:t>
            </w:r>
          </w:p>
          <w:p w14:paraId="17D6E94C">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rPr>
              <w:t>可输出两路视频图像（1路全景视频图像、1路细节视频图像），全景视频图像内置不低于4颗补光灯，细节视频图像内置不低于10颗红外补光灯及1颗白光灯。</w:t>
            </w:r>
          </w:p>
          <w:p w14:paraId="05D27F5B">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★设备具有AI-ISP图像质量提升功能，在低照度环境下，可自动调节预览场景视频画面中人脸、人体、车辆等目标及预览场景视频画面的区域曝光、亮度、色彩饱和度、对比度、锐度等</w:t>
            </w:r>
          </w:p>
          <w:p w14:paraId="38C97661">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支持对镜头前盖玻璃加热，当环境温度达到预设值时，可自动开启镜头前盖玻璃加热功能，去除玻璃上的冰状和水状附着物。</w:t>
            </w:r>
          </w:p>
        </w:tc>
        <w:tc>
          <w:tcPr>
            <w:tcW w:w="2565" w:type="dxa"/>
            <w:vAlign w:val="center"/>
          </w:tcPr>
          <w:p w14:paraId="6869B35F">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大华、海康、宇视</w:t>
            </w:r>
          </w:p>
        </w:tc>
        <w:tc>
          <w:tcPr>
            <w:tcW w:w="427" w:type="dxa"/>
            <w:vAlign w:val="center"/>
          </w:tcPr>
          <w:p w14:paraId="0B45FC4B">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43E58F0E">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427" w:type="dxa"/>
            <w:vAlign w:val="center"/>
          </w:tcPr>
          <w:p w14:paraId="2FFC698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377691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65CE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2614EB06">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636" w:type="dxa"/>
            <w:vAlign w:val="center"/>
          </w:tcPr>
          <w:p w14:paraId="2CD3828B">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lang w:bidi="ar"/>
              </w:rPr>
              <w:t>400万枪机</w:t>
            </w:r>
          </w:p>
        </w:tc>
        <w:tc>
          <w:tcPr>
            <w:tcW w:w="3216" w:type="dxa"/>
            <w:vAlign w:val="center"/>
          </w:tcPr>
          <w:p w14:paraId="6B366CEA">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传感器类型：1/3英寸CMOS；</w:t>
            </w:r>
          </w:p>
          <w:p w14:paraId="21FD383B">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像素：400万；最大分辨率：2560×1440；</w:t>
            </w:r>
          </w:p>
          <w:p w14:paraId="0A630694">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最低照度：0.01lux（彩色模式）；0.001lux（黑白模式）；0lux（补光灯开启）；</w:t>
            </w:r>
          </w:p>
          <w:p w14:paraId="140018C3">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最大补光距离：50m（红外）；</w:t>
            </w:r>
          </w:p>
          <w:p w14:paraId="62C29EC5">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补光灯：2颗（红外灯）；</w:t>
            </w:r>
          </w:p>
          <w:p w14:paraId="5F51D2AB">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镜头类型：定焦；</w:t>
            </w:r>
          </w:p>
          <w:p w14:paraId="610BC190">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智能编码：H.264：支持；H.265：支持；</w:t>
            </w:r>
          </w:p>
          <w:p w14:paraId="1B0D8A2E">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报警事件：网络断开；IP冲突；非法访问；动态检测；视频遮挡；安全异常；智能动检（人）；</w:t>
            </w:r>
          </w:p>
          <w:p w14:paraId="717ACA85">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接入标准：ONVIF（Profile S &amp; Profile T）；CGI；GB/T28181；</w:t>
            </w:r>
          </w:p>
          <w:p w14:paraId="0EB838EB">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供电方式：DC12V（±30%）；PoE（802.3af）；</w:t>
            </w:r>
          </w:p>
          <w:p w14:paraId="44DF9603">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防护等级：IP67；</w:t>
            </w:r>
          </w:p>
        </w:tc>
        <w:tc>
          <w:tcPr>
            <w:tcW w:w="2565" w:type="dxa"/>
            <w:vAlign w:val="center"/>
          </w:tcPr>
          <w:p w14:paraId="77991D76">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大华、海康、宇视</w:t>
            </w:r>
          </w:p>
        </w:tc>
        <w:tc>
          <w:tcPr>
            <w:tcW w:w="427" w:type="dxa"/>
            <w:vAlign w:val="center"/>
          </w:tcPr>
          <w:p w14:paraId="7E10C438">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58E75F82">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56</w:t>
            </w:r>
          </w:p>
        </w:tc>
        <w:tc>
          <w:tcPr>
            <w:tcW w:w="427" w:type="dxa"/>
            <w:vAlign w:val="center"/>
          </w:tcPr>
          <w:p w14:paraId="03AE60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1B0E12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5673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60877B0E">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636" w:type="dxa"/>
            <w:vAlign w:val="center"/>
          </w:tcPr>
          <w:p w14:paraId="39201864">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硬盘</w:t>
            </w:r>
          </w:p>
        </w:tc>
        <w:tc>
          <w:tcPr>
            <w:tcW w:w="3216" w:type="dxa"/>
            <w:vAlign w:val="center"/>
          </w:tcPr>
          <w:p w14:paraId="7058C43F">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8T,</w:t>
            </w:r>
            <w:r>
              <w:rPr>
                <w:rFonts w:hint="eastAsia" w:ascii="宋体" w:hAnsi="宋体" w:eastAsia="宋体" w:cs="宋体"/>
                <w:color w:val="auto"/>
                <w:kern w:val="0"/>
                <w:sz w:val="21"/>
                <w:szCs w:val="21"/>
                <w:lang w:bidi="ar"/>
              </w:rPr>
              <w:t>7200RPM；256M；SATA</w:t>
            </w:r>
          </w:p>
        </w:tc>
        <w:tc>
          <w:tcPr>
            <w:tcW w:w="2565" w:type="dxa"/>
            <w:vAlign w:val="center"/>
          </w:tcPr>
          <w:p w14:paraId="47E6BDFD">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海康、希捷、西部数据</w:t>
            </w:r>
          </w:p>
        </w:tc>
        <w:tc>
          <w:tcPr>
            <w:tcW w:w="427" w:type="dxa"/>
            <w:vAlign w:val="center"/>
          </w:tcPr>
          <w:p w14:paraId="45EEF7C8">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块</w:t>
            </w:r>
          </w:p>
        </w:tc>
        <w:tc>
          <w:tcPr>
            <w:tcW w:w="636" w:type="dxa"/>
            <w:vAlign w:val="center"/>
          </w:tcPr>
          <w:p w14:paraId="505F98DC">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427" w:type="dxa"/>
            <w:vAlign w:val="center"/>
          </w:tcPr>
          <w:p w14:paraId="3F271B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32AD03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4898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CFAC698">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636" w:type="dxa"/>
            <w:vAlign w:val="center"/>
          </w:tcPr>
          <w:p w14:paraId="34A69159">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lang w:bidi="ar"/>
              </w:rPr>
              <w:t>硬盘录像机</w:t>
            </w:r>
          </w:p>
        </w:tc>
        <w:tc>
          <w:tcPr>
            <w:tcW w:w="3216" w:type="dxa"/>
            <w:vAlign w:val="center"/>
          </w:tcPr>
          <w:p w14:paraId="336D99E1">
            <w:pPr>
              <w:widowControl/>
              <w:numPr>
                <w:ilvl w:val="0"/>
                <w:numId w:val="2"/>
              </w:numPr>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具有2个HDMI接口、2个VGA接口、2个RJ45网络接口、2个USB2.0接口、2个USB3.0接口、1个RS232接口、2个RS485接口、1个eSata接口；具有1路音频输入接口、2路音频输出接口，16个SATA接口，16个报警输入接口、8个报警输出接口、2个DV12V输出接口</w:t>
            </w:r>
          </w:p>
          <w:p w14:paraId="5C95AA04">
            <w:pPr>
              <w:widowControl/>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rPr>
              <w:t>支持64路网络视频接入，支持384Mbps接入、384Mbps存储、384Mbps转发</w:t>
            </w:r>
          </w:p>
          <w:p w14:paraId="06390C41">
            <w:pPr>
              <w:widowControl/>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支持前智能：人脸检测比对、周界防范、视频结构化、通用行为分析、立体行为分析、人群分布、人数统计、热度图、车牌识别、SMD功能</w:t>
            </w:r>
          </w:p>
          <w:p w14:paraId="700B4E21">
            <w:pPr>
              <w:widowControl/>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在专家模式下，支持高空抛物摄像机按视野进行区域划分，并支持轮巡预览。</w:t>
            </w:r>
          </w:p>
          <w:p w14:paraId="5B5AB3D0">
            <w:pPr>
              <w:widowControl/>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rPr>
              <w:t>设备支持分组管理，支持将接入的视频通道按分组管理；支持以分组方式进行预览、回放和检索；自定义视图支持以分组方式拖动通道进行配置。</w:t>
            </w:r>
          </w:p>
          <w:p w14:paraId="62DE97DD">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支持32M/24M/16M/12M/8M/6M/5M/4M/3M/1080P/960P/720PIPC分辨率接入</w:t>
            </w:r>
          </w:p>
        </w:tc>
        <w:tc>
          <w:tcPr>
            <w:tcW w:w="2565" w:type="dxa"/>
            <w:vAlign w:val="center"/>
          </w:tcPr>
          <w:p w14:paraId="635D7AC3">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大华、海康、宇视</w:t>
            </w:r>
          </w:p>
        </w:tc>
        <w:tc>
          <w:tcPr>
            <w:tcW w:w="427" w:type="dxa"/>
            <w:vAlign w:val="center"/>
          </w:tcPr>
          <w:p w14:paraId="680C861D">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lang w:eastAsia="zh-CN"/>
              </w:rPr>
              <w:t>台</w:t>
            </w:r>
          </w:p>
        </w:tc>
        <w:tc>
          <w:tcPr>
            <w:tcW w:w="636" w:type="dxa"/>
            <w:vAlign w:val="center"/>
          </w:tcPr>
          <w:p w14:paraId="163900F5">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1D89F5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10F1D9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70F9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76059F96">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636" w:type="dxa"/>
            <w:vAlign w:val="center"/>
          </w:tcPr>
          <w:p w14:paraId="1F7CA3E9">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lang w:bidi="ar"/>
              </w:rPr>
              <w:t>核心交换机</w:t>
            </w:r>
          </w:p>
        </w:tc>
        <w:tc>
          <w:tcPr>
            <w:tcW w:w="3216" w:type="dxa"/>
            <w:vAlign w:val="center"/>
          </w:tcPr>
          <w:p w14:paraId="601C9B09">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1、要求设备千兆SFP光口≥24个，万兆SFP+光口≥4个，双交流电源。不接受RPS电源方式。USB配置接口≥1，Console配置口≥1，Reset键≥1，提供设备正面清晰图片；</w:t>
            </w:r>
          </w:p>
          <w:p w14:paraId="3A19977C">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2、交换容量≥598Gbps/5.98Tbps，包转发率≥216Mpps/2160Mpps；</w:t>
            </w:r>
          </w:p>
          <w:p w14:paraId="0A994480">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3、支持4K个802.1Q VLAN，Super vlan，支持基于端口、MAC、IP子网、协议的VLAN；</w:t>
            </w:r>
          </w:p>
          <w:p w14:paraId="231CAAFA">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4、</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vertAlign w:val="baseline"/>
                <w:lang w:eastAsia="zh-CN"/>
              </w:rPr>
              <w:t>支持≥8台横向虚拟化功能，实现多个物理设备虚拟为一个逻辑设备进行管理的虚拟化功能。同时支持纵向虚拟化功能，接入交换机作为核心交换机的端口扩展板卡进行配置统一管理, 支持≥128台设备虚拟成一台设备。</w:t>
            </w:r>
          </w:p>
          <w:p w14:paraId="7943D4F2">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5、支持MAC绑定，ACL，风暴抑制，支持用户访问控制；</w:t>
            </w:r>
          </w:p>
          <w:p w14:paraId="41CE6B3D">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6、支持安全审计功能，安全日志功能，操作日志功能；</w:t>
            </w:r>
          </w:p>
          <w:p w14:paraId="7BAB5F8F">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7、</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vertAlign w:val="baseline"/>
                <w:lang w:eastAsia="zh-CN"/>
              </w:rPr>
              <w:t xml:space="preserve">支持CPU保护功能，如ICMP Flood拦截、SYN Flood攻击拦截等，CPU根据不同协议进行限速保护，支持MSTP协议国密算法加密，RIP、OSPF协议支持国密认证算法，支持配置文件国密算法加密，防护设备配置环境信息泄漏； </w:t>
            </w:r>
          </w:p>
        </w:tc>
        <w:tc>
          <w:tcPr>
            <w:tcW w:w="2565" w:type="dxa"/>
            <w:vAlign w:val="center"/>
          </w:tcPr>
          <w:p w14:paraId="40B2205D">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迈普、大华、海康</w:t>
            </w:r>
            <w:r>
              <w:rPr>
                <w:rFonts w:hint="eastAsia" w:ascii="宋体" w:hAnsi="宋体" w:eastAsia="宋体" w:cs="宋体"/>
                <w:color w:val="auto"/>
                <w:sz w:val="21"/>
                <w:szCs w:val="21"/>
                <w:lang w:eastAsia="zh-CN"/>
              </w:rPr>
              <w:t>、华三</w:t>
            </w:r>
          </w:p>
        </w:tc>
        <w:tc>
          <w:tcPr>
            <w:tcW w:w="427" w:type="dxa"/>
            <w:vAlign w:val="center"/>
          </w:tcPr>
          <w:p w14:paraId="0CE80094">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45D677B8">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29B4D8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182EC4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6839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A946019">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636" w:type="dxa"/>
            <w:vAlign w:val="center"/>
          </w:tcPr>
          <w:p w14:paraId="48D81B28">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POE千兆交换机</w:t>
            </w:r>
          </w:p>
        </w:tc>
        <w:tc>
          <w:tcPr>
            <w:tcW w:w="3216" w:type="dxa"/>
            <w:vAlign w:val="center"/>
          </w:tcPr>
          <w:p w14:paraId="31BF56B0">
            <w:pPr>
              <w:widowControl/>
              <w:snapToGrid w:val="0"/>
              <w:ind w:left="0" w:leftChars="0" w:right="0" w:rightChars="0" w:firstLine="0" w:firstLineChars="0"/>
              <w:jc w:val="left"/>
              <w:textAlignment w:val="top"/>
              <w:rPr>
                <w:rFonts w:ascii="宋体" w:hAnsi="宋体" w:eastAsia="宋体" w:cs="宋体"/>
                <w:kern w:val="0"/>
                <w:sz w:val="21"/>
                <w:szCs w:val="21"/>
                <w:lang w:bidi="ar"/>
              </w:rPr>
            </w:pPr>
            <w:r>
              <w:rPr>
                <w:rFonts w:hint="eastAsia" w:ascii="宋体" w:hAnsi="宋体" w:eastAsia="宋体" w:cs="宋体"/>
                <w:kern w:val="0"/>
                <w:sz w:val="21"/>
                <w:szCs w:val="21"/>
                <w:lang w:bidi="ar"/>
              </w:rPr>
              <w:t>1、要求设备千兆电口≥24个，千兆光口≥2个，支持POE，POE输出功率≥370W，金属外壳，标准1U设备，19寸机柜安装；</w:t>
            </w:r>
          </w:p>
          <w:p w14:paraId="4719F799">
            <w:pPr>
              <w:widowControl/>
              <w:snapToGrid w:val="0"/>
              <w:ind w:left="0" w:leftChars="0" w:right="0" w:rightChars="0" w:firstLine="0" w:firstLineChars="0"/>
              <w:jc w:val="left"/>
              <w:textAlignment w:val="top"/>
              <w:rPr>
                <w:rFonts w:ascii="宋体" w:hAnsi="宋体" w:eastAsia="宋体" w:cs="宋体"/>
                <w:kern w:val="0"/>
                <w:sz w:val="21"/>
                <w:szCs w:val="21"/>
                <w:lang w:bidi="ar"/>
              </w:rPr>
            </w:pPr>
            <w:r>
              <w:rPr>
                <w:rFonts w:hint="eastAsia" w:ascii="宋体" w:hAnsi="宋体" w:eastAsia="宋体" w:cs="宋体"/>
                <w:kern w:val="0"/>
                <w:sz w:val="21"/>
                <w:szCs w:val="21"/>
                <w:lang w:bidi="ar"/>
              </w:rPr>
              <w:t>2、交换容量≥52Gbps，包转发率≥38.69Mpps；</w:t>
            </w:r>
          </w:p>
          <w:p w14:paraId="49B3FCA2">
            <w:pPr>
              <w:widowControl/>
              <w:snapToGrid w:val="0"/>
              <w:ind w:left="0" w:leftChars="0" w:right="0" w:rightChars="0" w:firstLine="0" w:firstLineChars="0"/>
              <w:jc w:val="left"/>
              <w:textAlignment w:val="top"/>
              <w:rPr>
                <w:rFonts w:ascii="宋体" w:hAnsi="宋体" w:eastAsia="宋体" w:cs="宋体"/>
                <w:kern w:val="0"/>
                <w:sz w:val="21"/>
                <w:szCs w:val="21"/>
                <w:lang w:bidi="ar"/>
              </w:rPr>
            </w:pPr>
            <w:r>
              <w:rPr>
                <w:rFonts w:hint="eastAsia" w:ascii="宋体" w:hAnsi="宋体" w:eastAsia="宋体" w:cs="宋体"/>
                <w:kern w:val="0"/>
                <w:sz w:val="21"/>
                <w:szCs w:val="21"/>
                <w:lang w:bidi="ar"/>
              </w:rPr>
              <w:t>3、支持端口延长开关及VLAN开关；</w:t>
            </w:r>
          </w:p>
          <w:p w14:paraId="36A54D99">
            <w:pPr>
              <w:widowControl/>
              <w:snapToGrid w:val="0"/>
              <w:ind w:left="0" w:leftChars="0" w:right="0" w:rightChars="0" w:firstLine="0" w:firstLineChars="0"/>
              <w:jc w:val="left"/>
              <w:textAlignment w:val="top"/>
              <w:rPr>
                <w:rFonts w:ascii="宋体" w:hAnsi="宋体" w:eastAsia="宋体" w:cs="宋体"/>
                <w:kern w:val="0"/>
                <w:sz w:val="21"/>
                <w:szCs w:val="21"/>
                <w:lang w:bidi="ar"/>
              </w:rPr>
            </w:pPr>
            <w:r>
              <w:rPr>
                <w:rFonts w:hint="eastAsia" w:ascii="宋体" w:hAnsi="宋体" w:eastAsia="宋体" w:cs="宋体"/>
                <w:kern w:val="0"/>
                <w:sz w:val="21"/>
                <w:szCs w:val="21"/>
                <w:lang w:bidi="ar"/>
              </w:rPr>
              <w:t>4、相关产品对外界辐射、干扰、以及设备本身抗干扰能力等应符合国内、国际标准。</w:t>
            </w:r>
          </w:p>
          <w:p w14:paraId="09D6E3C7">
            <w:pPr>
              <w:widowControl/>
              <w:snapToGrid w:val="0"/>
              <w:spacing w:line="240" w:lineRule="auto"/>
              <w:jc w:val="left"/>
              <w:textAlignment w:val="top"/>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、相关产品所用材料应满足绿色环保要求，相关限制类重金属含量在标准范围之内。</w:t>
            </w:r>
          </w:p>
        </w:tc>
        <w:tc>
          <w:tcPr>
            <w:tcW w:w="2565" w:type="dxa"/>
            <w:vAlign w:val="center"/>
          </w:tcPr>
          <w:p w14:paraId="340AF7C3">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迈普、大华、海康</w:t>
            </w:r>
            <w:r>
              <w:rPr>
                <w:rFonts w:hint="eastAsia" w:ascii="宋体" w:hAnsi="宋体" w:eastAsia="宋体" w:cs="宋体"/>
                <w:color w:val="auto"/>
                <w:sz w:val="21"/>
                <w:szCs w:val="21"/>
                <w:lang w:eastAsia="zh-CN"/>
              </w:rPr>
              <w:t>、华三</w:t>
            </w:r>
          </w:p>
        </w:tc>
        <w:tc>
          <w:tcPr>
            <w:tcW w:w="427" w:type="dxa"/>
            <w:vAlign w:val="center"/>
          </w:tcPr>
          <w:p w14:paraId="1E4F081C">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1BAC7308">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w:t>
            </w:r>
          </w:p>
        </w:tc>
        <w:tc>
          <w:tcPr>
            <w:tcW w:w="427" w:type="dxa"/>
            <w:vAlign w:val="center"/>
          </w:tcPr>
          <w:p w14:paraId="21EE56C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1AAF4C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00C7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6BB8F756">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636" w:type="dxa"/>
            <w:vAlign w:val="center"/>
          </w:tcPr>
          <w:p w14:paraId="1D999185">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电视机</w:t>
            </w:r>
          </w:p>
        </w:tc>
        <w:tc>
          <w:tcPr>
            <w:tcW w:w="3216" w:type="dxa"/>
            <w:vAlign w:val="center"/>
          </w:tcPr>
          <w:p w14:paraId="75934916">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144Hz高刷节能款4K远场语音金属全面屏智能液晶平板电视机65英寸2+32G大存储</w:t>
            </w:r>
          </w:p>
        </w:tc>
        <w:tc>
          <w:tcPr>
            <w:tcW w:w="2565" w:type="dxa"/>
            <w:vAlign w:val="center"/>
          </w:tcPr>
          <w:p w14:paraId="547B51DE">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TCL、小米、海信</w:t>
            </w:r>
          </w:p>
        </w:tc>
        <w:tc>
          <w:tcPr>
            <w:tcW w:w="427" w:type="dxa"/>
            <w:vAlign w:val="center"/>
          </w:tcPr>
          <w:p w14:paraId="35C168DF">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318CDB8C">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2F5E51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3C77A6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6BAA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7C803A4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636" w:type="dxa"/>
            <w:vAlign w:val="center"/>
          </w:tcPr>
          <w:p w14:paraId="2AA243FF">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球机立杆</w:t>
            </w:r>
          </w:p>
        </w:tc>
        <w:tc>
          <w:tcPr>
            <w:tcW w:w="3216" w:type="dxa"/>
            <w:vAlign w:val="center"/>
          </w:tcPr>
          <w:p w14:paraId="2403CB75">
            <w:pPr>
              <w:snapToGrid w:val="0"/>
              <w:spacing w:line="240" w:lineRule="auto"/>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6m，含600*600*1000</w:t>
            </w:r>
            <w:r>
              <w:rPr>
                <w:rFonts w:hint="eastAsia" w:ascii="宋体" w:hAnsi="宋体" w:eastAsia="宋体" w:cs="宋体"/>
                <w:color w:val="auto"/>
                <w:kern w:val="0"/>
                <w:sz w:val="21"/>
                <w:szCs w:val="21"/>
                <w:lang w:val="en-US" w:eastAsia="zh-CN" w:bidi="ar"/>
              </w:rPr>
              <w:t>mm</w:t>
            </w:r>
            <w:r>
              <w:rPr>
                <w:rFonts w:hint="eastAsia" w:ascii="宋体" w:hAnsi="宋体" w:eastAsia="宋体" w:cs="宋体"/>
                <w:color w:val="auto"/>
                <w:kern w:val="0"/>
                <w:sz w:val="21"/>
                <w:szCs w:val="21"/>
                <w:lang w:bidi="ar"/>
              </w:rPr>
              <w:t>基础，杆体作热浸镀锌+喷塑防腐处理，壁厚</w:t>
            </w:r>
            <w:r>
              <w:rPr>
                <w:rFonts w:hint="eastAsia" w:ascii="宋体" w:hAnsi="宋体" w:eastAsia="宋体" w:cs="宋体"/>
                <w:color w:val="auto"/>
                <w:kern w:val="0"/>
                <w:sz w:val="21"/>
                <w:szCs w:val="21"/>
                <w:lang w:val="en-US" w:eastAsia="zh-CN" w:bidi="ar"/>
              </w:rPr>
              <w:t>3mm</w:t>
            </w:r>
          </w:p>
        </w:tc>
        <w:tc>
          <w:tcPr>
            <w:tcW w:w="2565" w:type="dxa"/>
            <w:vAlign w:val="center"/>
          </w:tcPr>
          <w:p w14:paraId="6599A062">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定制</w:t>
            </w:r>
          </w:p>
        </w:tc>
        <w:tc>
          <w:tcPr>
            <w:tcW w:w="427" w:type="dxa"/>
            <w:vAlign w:val="center"/>
          </w:tcPr>
          <w:p w14:paraId="0078F424">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根</w:t>
            </w:r>
          </w:p>
        </w:tc>
        <w:tc>
          <w:tcPr>
            <w:tcW w:w="636" w:type="dxa"/>
            <w:vAlign w:val="center"/>
          </w:tcPr>
          <w:p w14:paraId="7E63B55E">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427" w:type="dxa"/>
            <w:vAlign w:val="center"/>
          </w:tcPr>
          <w:p w14:paraId="6A131D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28A9739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2070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D25A638">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636" w:type="dxa"/>
            <w:vAlign w:val="center"/>
          </w:tcPr>
          <w:p w14:paraId="1AECE79F">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枪机立杆</w:t>
            </w:r>
          </w:p>
        </w:tc>
        <w:tc>
          <w:tcPr>
            <w:tcW w:w="3216" w:type="dxa"/>
            <w:vAlign w:val="center"/>
          </w:tcPr>
          <w:p w14:paraId="5AE8055C">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3.5m，含600*600*800</w:t>
            </w:r>
            <w:r>
              <w:rPr>
                <w:rFonts w:hint="eastAsia" w:ascii="宋体" w:hAnsi="宋体" w:eastAsia="宋体" w:cs="宋体"/>
                <w:color w:val="auto"/>
                <w:kern w:val="0"/>
                <w:sz w:val="21"/>
                <w:szCs w:val="21"/>
                <w:lang w:val="en-US" w:eastAsia="zh-CN" w:bidi="ar"/>
              </w:rPr>
              <w:t>mm</w:t>
            </w:r>
            <w:r>
              <w:rPr>
                <w:rFonts w:hint="eastAsia" w:ascii="宋体" w:hAnsi="宋体" w:eastAsia="宋体" w:cs="宋体"/>
                <w:color w:val="auto"/>
                <w:kern w:val="0"/>
                <w:sz w:val="21"/>
                <w:szCs w:val="21"/>
                <w:lang w:bidi="ar"/>
              </w:rPr>
              <w:t>基础，杆体作热浸镀锌+</w:t>
            </w:r>
            <w:bookmarkStart w:id="57" w:name="OLE_LINK4"/>
            <w:r>
              <w:rPr>
                <w:rFonts w:hint="eastAsia" w:ascii="宋体" w:hAnsi="宋体" w:eastAsia="宋体" w:cs="宋体"/>
                <w:color w:val="auto"/>
                <w:kern w:val="0"/>
                <w:sz w:val="21"/>
                <w:szCs w:val="21"/>
                <w:lang w:bidi="ar"/>
              </w:rPr>
              <w:t>喷塑</w:t>
            </w:r>
            <w:bookmarkEnd w:id="57"/>
            <w:r>
              <w:rPr>
                <w:rFonts w:hint="eastAsia" w:ascii="宋体" w:hAnsi="宋体" w:eastAsia="宋体" w:cs="宋体"/>
                <w:color w:val="auto"/>
                <w:kern w:val="0"/>
                <w:sz w:val="21"/>
                <w:szCs w:val="21"/>
                <w:lang w:bidi="ar"/>
              </w:rPr>
              <w:t>防腐处理，壁厚</w:t>
            </w:r>
            <w:r>
              <w:rPr>
                <w:rFonts w:hint="eastAsia" w:ascii="宋体" w:hAnsi="宋体" w:eastAsia="宋体" w:cs="宋体"/>
                <w:color w:val="auto"/>
                <w:kern w:val="0"/>
                <w:sz w:val="21"/>
                <w:szCs w:val="21"/>
                <w:lang w:val="en-US" w:eastAsia="zh-CN" w:bidi="ar"/>
              </w:rPr>
              <w:t>2mm</w:t>
            </w:r>
          </w:p>
        </w:tc>
        <w:tc>
          <w:tcPr>
            <w:tcW w:w="2565" w:type="dxa"/>
            <w:vAlign w:val="center"/>
          </w:tcPr>
          <w:p w14:paraId="20525C4A">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定制</w:t>
            </w:r>
          </w:p>
        </w:tc>
        <w:tc>
          <w:tcPr>
            <w:tcW w:w="427" w:type="dxa"/>
            <w:vAlign w:val="center"/>
          </w:tcPr>
          <w:p w14:paraId="6CDABDC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根</w:t>
            </w:r>
          </w:p>
        </w:tc>
        <w:tc>
          <w:tcPr>
            <w:tcW w:w="636" w:type="dxa"/>
            <w:vAlign w:val="center"/>
          </w:tcPr>
          <w:p w14:paraId="1B7018B5">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427" w:type="dxa"/>
            <w:vAlign w:val="center"/>
          </w:tcPr>
          <w:p w14:paraId="3483C7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7CB49E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00D4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6EAC7D9">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636" w:type="dxa"/>
            <w:vAlign w:val="center"/>
          </w:tcPr>
          <w:p w14:paraId="4E66CE6C">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室外不锈钢防水箱</w:t>
            </w:r>
          </w:p>
        </w:tc>
        <w:tc>
          <w:tcPr>
            <w:tcW w:w="3216" w:type="dxa"/>
            <w:vAlign w:val="center"/>
          </w:tcPr>
          <w:p w14:paraId="3F4D9DF8">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400*500*200</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rPr>
              <w:t>（含空开、插座、抱箍）</w:t>
            </w:r>
            <w:r>
              <w:rPr>
                <w:rFonts w:hint="eastAsia" w:ascii="宋体" w:hAnsi="宋体" w:eastAsia="宋体" w:cs="宋体"/>
                <w:color w:val="auto"/>
                <w:kern w:val="0"/>
                <w:sz w:val="21"/>
                <w:szCs w:val="21"/>
                <w:lang w:bidi="ar"/>
              </w:rPr>
              <w:t>，箱体作喷塑防腐处理，</w:t>
            </w:r>
            <w:r>
              <w:rPr>
                <w:rFonts w:hint="eastAsia" w:ascii="宋体" w:hAnsi="宋体" w:eastAsia="宋体" w:cs="宋体"/>
                <w:color w:val="auto"/>
                <w:sz w:val="21"/>
                <w:szCs w:val="21"/>
              </w:rPr>
              <w:t>壁厚0.8</w:t>
            </w:r>
            <w:r>
              <w:rPr>
                <w:rFonts w:hint="eastAsia" w:ascii="宋体" w:hAnsi="宋体" w:eastAsia="宋体" w:cs="宋体"/>
                <w:color w:val="auto"/>
                <w:sz w:val="21"/>
                <w:szCs w:val="21"/>
                <w:lang w:val="en-US" w:eastAsia="zh-CN"/>
              </w:rPr>
              <w:t>mm</w:t>
            </w:r>
          </w:p>
        </w:tc>
        <w:tc>
          <w:tcPr>
            <w:tcW w:w="2565" w:type="dxa"/>
            <w:vAlign w:val="center"/>
          </w:tcPr>
          <w:p w14:paraId="6295C2CF">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国产优质</w:t>
            </w:r>
          </w:p>
        </w:tc>
        <w:tc>
          <w:tcPr>
            <w:tcW w:w="427" w:type="dxa"/>
            <w:vAlign w:val="center"/>
          </w:tcPr>
          <w:p w14:paraId="5A63B8A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只</w:t>
            </w:r>
          </w:p>
        </w:tc>
        <w:tc>
          <w:tcPr>
            <w:tcW w:w="636" w:type="dxa"/>
            <w:vAlign w:val="center"/>
          </w:tcPr>
          <w:p w14:paraId="56475394">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24</w:t>
            </w:r>
          </w:p>
        </w:tc>
        <w:tc>
          <w:tcPr>
            <w:tcW w:w="427" w:type="dxa"/>
            <w:vAlign w:val="center"/>
          </w:tcPr>
          <w:p w14:paraId="4966D6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75705B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312D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3E851F47">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636" w:type="dxa"/>
            <w:vAlign w:val="center"/>
          </w:tcPr>
          <w:p w14:paraId="310D0E9C">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电缆</w:t>
            </w:r>
          </w:p>
        </w:tc>
        <w:tc>
          <w:tcPr>
            <w:tcW w:w="3216" w:type="dxa"/>
            <w:vAlign w:val="center"/>
          </w:tcPr>
          <w:p w14:paraId="08788DA8">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RVV3×2.5</w:t>
            </w:r>
          </w:p>
        </w:tc>
        <w:tc>
          <w:tcPr>
            <w:tcW w:w="2565" w:type="dxa"/>
            <w:vAlign w:val="center"/>
          </w:tcPr>
          <w:p w14:paraId="567A602E">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国产优质</w:t>
            </w:r>
          </w:p>
        </w:tc>
        <w:tc>
          <w:tcPr>
            <w:tcW w:w="427" w:type="dxa"/>
            <w:vAlign w:val="center"/>
          </w:tcPr>
          <w:p w14:paraId="1AF6DA2E">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米</w:t>
            </w:r>
          </w:p>
        </w:tc>
        <w:tc>
          <w:tcPr>
            <w:tcW w:w="636" w:type="dxa"/>
            <w:vAlign w:val="center"/>
          </w:tcPr>
          <w:p w14:paraId="621BE8D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2000</w:t>
            </w:r>
          </w:p>
        </w:tc>
        <w:tc>
          <w:tcPr>
            <w:tcW w:w="427" w:type="dxa"/>
            <w:vAlign w:val="center"/>
          </w:tcPr>
          <w:p w14:paraId="34363D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0BC7AE2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4159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1E6C53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636" w:type="dxa"/>
            <w:vAlign w:val="center"/>
          </w:tcPr>
          <w:p w14:paraId="3423F0F8">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光纤、熔纤材料</w:t>
            </w:r>
          </w:p>
        </w:tc>
        <w:tc>
          <w:tcPr>
            <w:tcW w:w="3216" w:type="dxa"/>
            <w:vAlign w:val="center"/>
          </w:tcPr>
          <w:p w14:paraId="3FF9208F">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包含摄像头安装完成所需的光模块、网线、光纤及光纤耗材、终端盒、熔纤耗材等相关光纤、熔纤材料</w:t>
            </w:r>
          </w:p>
        </w:tc>
        <w:tc>
          <w:tcPr>
            <w:tcW w:w="2565" w:type="dxa"/>
            <w:vAlign w:val="center"/>
          </w:tcPr>
          <w:p w14:paraId="4C66D560">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国产优质</w:t>
            </w:r>
          </w:p>
        </w:tc>
        <w:tc>
          <w:tcPr>
            <w:tcW w:w="427" w:type="dxa"/>
            <w:vAlign w:val="center"/>
          </w:tcPr>
          <w:p w14:paraId="10230B9A">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批</w:t>
            </w:r>
          </w:p>
        </w:tc>
        <w:tc>
          <w:tcPr>
            <w:tcW w:w="636" w:type="dxa"/>
            <w:vAlign w:val="center"/>
          </w:tcPr>
          <w:p w14:paraId="0CAD38DB">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3FCFF7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4577CD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16EA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24F40BF">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636" w:type="dxa"/>
            <w:shd w:val="clear" w:color="auto" w:fill="auto"/>
            <w:vAlign w:val="center"/>
          </w:tcPr>
          <w:p w14:paraId="430E4CDA">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kern w:val="0"/>
                <w:sz w:val="21"/>
                <w:szCs w:val="21"/>
                <w:lang w:bidi="ar"/>
              </w:rPr>
              <w:t>机柜</w:t>
            </w:r>
          </w:p>
        </w:tc>
        <w:tc>
          <w:tcPr>
            <w:tcW w:w="3216" w:type="dxa"/>
            <w:shd w:val="clear" w:color="auto" w:fill="auto"/>
            <w:vAlign w:val="center"/>
          </w:tcPr>
          <w:p w14:paraId="7448D847">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kern w:val="0"/>
                <w:sz w:val="21"/>
                <w:szCs w:val="21"/>
                <w:lang w:val="en-US" w:eastAsia="zh-CN" w:bidi="ar"/>
              </w:rPr>
              <w:t>42U 优质冷轧钢板600*600*2000mm</w:t>
            </w:r>
          </w:p>
        </w:tc>
        <w:tc>
          <w:tcPr>
            <w:tcW w:w="2565" w:type="dxa"/>
            <w:vAlign w:val="center"/>
          </w:tcPr>
          <w:p w14:paraId="66574F6C">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国产优质</w:t>
            </w:r>
          </w:p>
        </w:tc>
        <w:tc>
          <w:tcPr>
            <w:tcW w:w="427" w:type="dxa"/>
            <w:vAlign w:val="center"/>
          </w:tcPr>
          <w:p w14:paraId="26C263CE">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578ED52A">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207188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16EFDE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11D6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2E15FB93">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636" w:type="dxa"/>
            <w:shd w:val="clear" w:color="auto" w:fill="auto"/>
            <w:vAlign w:val="center"/>
          </w:tcPr>
          <w:p w14:paraId="46832A19">
            <w:pPr>
              <w:widowControl/>
              <w:snapToGrid w:val="0"/>
              <w:spacing w:line="240" w:lineRule="auto"/>
              <w:ind w:left="0" w:leftChars="0" w:right="0" w:rightChars="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辅材</w:t>
            </w:r>
          </w:p>
        </w:tc>
        <w:tc>
          <w:tcPr>
            <w:tcW w:w="3216" w:type="dxa"/>
            <w:shd w:val="clear" w:color="auto" w:fill="auto"/>
            <w:vAlign w:val="center"/>
          </w:tcPr>
          <w:p w14:paraId="0E3FADF9">
            <w:pPr>
              <w:widowControl/>
              <w:snapToGrid w:val="0"/>
              <w:spacing w:line="240" w:lineRule="auto"/>
              <w:ind w:left="0" w:leftChars="0" w:right="0" w:rightChars="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包含摄像头安装完成所需的插排、管卡、线管辅材、波纹管、跳线</w:t>
            </w:r>
            <w:r>
              <w:rPr>
                <w:rFonts w:hint="eastAsia" w:ascii="宋体" w:hAnsi="宋体" w:eastAsia="宋体" w:cs="宋体"/>
                <w:color w:val="auto"/>
                <w:kern w:val="0"/>
                <w:sz w:val="21"/>
                <w:szCs w:val="21"/>
                <w:lang w:eastAsia="zh-CN" w:bidi="ar"/>
              </w:rPr>
              <w:t>、双绞线</w:t>
            </w:r>
            <w:r>
              <w:rPr>
                <w:rFonts w:hint="eastAsia" w:ascii="宋体" w:hAnsi="宋体" w:eastAsia="宋体" w:cs="宋体"/>
                <w:color w:val="auto"/>
                <w:kern w:val="0"/>
                <w:sz w:val="21"/>
                <w:szCs w:val="21"/>
                <w:lang w:bidi="ar"/>
              </w:rPr>
              <w:t>等相关辅材</w:t>
            </w:r>
          </w:p>
        </w:tc>
        <w:tc>
          <w:tcPr>
            <w:tcW w:w="2565" w:type="dxa"/>
            <w:vAlign w:val="center"/>
          </w:tcPr>
          <w:p w14:paraId="4C7D6D4A">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国产优质</w:t>
            </w:r>
          </w:p>
        </w:tc>
        <w:tc>
          <w:tcPr>
            <w:tcW w:w="427" w:type="dxa"/>
            <w:vAlign w:val="center"/>
          </w:tcPr>
          <w:p w14:paraId="093F3712">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批</w:t>
            </w:r>
          </w:p>
        </w:tc>
        <w:tc>
          <w:tcPr>
            <w:tcW w:w="636" w:type="dxa"/>
            <w:vAlign w:val="center"/>
          </w:tcPr>
          <w:p w14:paraId="1CC7D711">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2B4665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7E533D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1E7E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6" w:type="dxa"/>
            <w:gridSpan w:val="7"/>
            <w:vAlign w:val="center"/>
          </w:tcPr>
          <w:p w14:paraId="2F6AEFD8">
            <w:pPr>
              <w:snapToGrid w:val="0"/>
              <w:ind w:left="0" w:leftChars="0" w:right="0" w:rightChars="0" w:firstLine="0" w:firstLineChars="0"/>
              <w:jc w:val="center"/>
              <w:rPr>
                <w:rFonts w:hint="default"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合计</w:t>
            </w:r>
          </w:p>
        </w:tc>
        <w:tc>
          <w:tcPr>
            <w:tcW w:w="427" w:type="dxa"/>
            <w:vAlign w:val="center"/>
          </w:tcPr>
          <w:p w14:paraId="574D57D0">
            <w:pPr>
              <w:snapToGrid w:val="0"/>
              <w:ind w:left="0" w:leftChars="0" w:right="0" w:rightChars="0" w:firstLine="0" w:firstLineChars="0"/>
              <w:jc w:val="center"/>
              <w:rPr>
                <w:rFonts w:hint="default" w:ascii="宋体" w:hAnsi="宋体" w:eastAsia="宋体" w:cs="宋体"/>
                <w:b/>
                <w:color w:val="auto"/>
                <w:sz w:val="21"/>
                <w:szCs w:val="21"/>
                <w:vertAlign w:val="baseline"/>
                <w:lang w:val="en-US" w:eastAsia="zh-CN"/>
              </w:rPr>
            </w:pPr>
          </w:p>
        </w:tc>
      </w:tr>
      <w:tr w14:paraId="59FD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6" w:type="dxa"/>
            <w:gridSpan w:val="8"/>
            <w:vAlign w:val="center"/>
          </w:tcPr>
          <w:p w14:paraId="39C8E3F1">
            <w:pPr>
              <w:snapToGrid w:val="0"/>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注:1、本项目报价中包含地面开挖，混凝土、大理石、车位砖等地面修复，报价时请自觉考虑在内。</w:t>
            </w:r>
          </w:p>
          <w:p w14:paraId="7965A524">
            <w:pPr>
              <w:snapToGrid w:val="0"/>
              <w:ind w:left="0" w:leftChars="0" w:right="0" w:rightChars="0" w:firstLine="0" w:firstLine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2、加“★”为重要参数指标，投标时需提供</w:t>
            </w:r>
            <w:r>
              <w:rPr>
                <w:rFonts w:hint="eastAsia" w:ascii="宋体" w:hAnsi="宋体" w:eastAsia="宋体" w:cs="宋体"/>
                <w:color w:val="auto"/>
                <w:kern w:val="0"/>
                <w:sz w:val="21"/>
                <w:szCs w:val="21"/>
                <w:lang w:bidi="ar"/>
              </w:rPr>
              <w:t>400万超星光网络球机</w:t>
            </w:r>
            <w:r>
              <w:rPr>
                <w:rFonts w:hint="eastAsia" w:ascii="宋体" w:hAnsi="宋体" w:eastAsia="宋体" w:cs="宋体"/>
                <w:color w:val="auto"/>
                <w:kern w:val="0"/>
                <w:sz w:val="21"/>
                <w:szCs w:val="21"/>
                <w:lang w:eastAsia="zh-CN" w:bidi="ar"/>
              </w:rPr>
              <w:t>和</w:t>
            </w:r>
            <w:r>
              <w:rPr>
                <w:rFonts w:hint="eastAsia" w:ascii="宋体" w:hAnsi="宋体" w:eastAsia="宋体" w:cs="宋体"/>
                <w:color w:val="auto"/>
                <w:kern w:val="0"/>
                <w:sz w:val="21"/>
                <w:szCs w:val="21"/>
                <w:lang w:bidi="ar"/>
              </w:rPr>
              <w:t>硬盘录像机</w:t>
            </w:r>
            <w:r>
              <w:rPr>
                <w:rFonts w:hint="eastAsia" w:ascii="宋体" w:hAnsi="宋体" w:eastAsia="宋体" w:cs="宋体"/>
                <w:color w:val="auto"/>
                <w:sz w:val="21"/>
                <w:szCs w:val="21"/>
                <w:vertAlign w:val="baseline"/>
                <w:lang w:val="en-US" w:eastAsia="zh-CN"/>
              </w:rPr>
              <w:t>符合本项目技术参数要求的公安部检验报告证明、核心交换机符合本项目技术参数要求的第三方检测报告或官网功能介绍截图并加盖投标单位公章，提供不全的，视为未实质响应报价文件要求。</w:t>
            </w:r>
          </w:p>
        </w:tc>
      </w:tr>
    </w:tbl>
    <w:p w14:paraId="0B1420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highlight w:val="none"/>
          <w:lang w:val="en-US" w:eastAsia="zh-CN"/>
        </w:rPr>
      </w:pPr>
    </w:p>
    <w:p w14:paraId="0BE7C9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新宋体" w:hAnsi="新宋体" w:eastAsia="新宋体" w:cs="新宋体"/>
          <w:b w:val="0"/>
          <w:bCs/>
          <w:color w:val="auto"/>
          <w:spacing w:val="-2"/>
          <w:w w:val="100"/>
          <w:kern w:val="2"/>
          <w:position w:val="0"/>
          <w:sz w:val="32"/>
          <w:szCs w:val="32"/>
          <w:highlight w:val="none"/>
          <w:u w:val="none"/>
          <w:shd w:val="clear" w:color="auto" w:fill="auto"/>
          <w:lang w:val="en-US" w:eastAsia="zh-CN" w:bidi="ar-SA"/>
        </w:rPr>
      </w:pPr>
      <w:r>
        <w:rPr>
          <w:rFonts w:hint="eastAsia" w:ascii="仿宋" w:hAnsi="仿宋" w:eastAsia="仿宋" w:cs="仿宋"/>
          <w:sz w:val="28"/>
          <w:szCs w:val="28"/>
          <w:highlight w:val="none"/>
          <w:lang w:val="en-US" w:eastAsia="zh-CN"/>
        </w:rPr>
        <w:t>项目概况：</w:t>
      </w:r>
      <w:r>
        <w:rPr>
          <w:rFonts w:hint="eastAsia"/>
          <w:b w:val="0"/>
          <w:bCs w:val="0"/>
          <w:sz w:val="28"/>
          <w:szCs w:val="28"/>
          <w:lang w:val="en-US" w:eastAsia="zh-CN"/>
        </w:rPr>
        <w:t>2025年吕四港镇</w:t>
      </w:r>
      <w:r>
        <w:rPr>
          <w:rFonts w:hint="eastAsia"/>
          <w:b w:val="0"/>
          <w:bCs w:val="0"/>
          <w:sz w:val="28"/>
          <w:szCs w:val="28"/>
        </w:rPr>
        <w:t>仙渔小镇视频监控系统</w:t>
      </w:r>
      <w:r>
        <w:rPr>
          <w:rFonts w:hint="eastAsia"/>
          <w:b w:val="0"/>
          <w:bCs w:val="0"/>
          <w:sz w:val="28"/>
          <w:szCs w:val="28"/>
          <w:lang w:val="en-US" w:eastAsia="zh-CN"/>
        </w:rPr>
        <w:t>安装项目</w:t>
      </w:r>
    </w:p>
    <w:p w14:paraId="024DF587">
      <w:pPr>
        <w:numPr>
          <w:ilvl w:val="0"/>
          <w:numId w:val="3"/>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项目，具体参见货物清单。</w:t>
      </w:r>
    </w:p>
    <w:p w14:paraId="202E57AF">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二、交货、安装地点：</w:t>
      </w:r>
    </w:p>
    <w:p w14:paraId="4B72DABE">
      <w:pPr>
        <w:widowControl w:val="0"/>
        <w:numPr>
          <w:ilvl w:val="0"/>
          <w:numId w:val="0"/>
        </w:numPr>
        <w:overflowPunct w:val="0"/>
        <w:spacing w:after="0"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启东吕四仙渔小镇，在采购单位指定位置交货、安装牢固，确保正常使用。</w:t>
      </w:r>
    </w:p>
    <w:p w14:paraId="4C3358D6">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三、供货与安装周期：</w:t>
      </w:r>
    </w:p>
    <w:p w14:paraId="25CEE637">
      <w:pPr>
        <w:widowControl w:val="0"/>
        <w:numPr>
          <w:ilvl w:val="0"/>
          <w:numId w:val="0"/>
        </w:numPr>
        <w:overflowPunct w:val="0"/>
        <w:spacing w:after="0" w:line="480" w:lineRule="exact"/>
        <w:ind w:firstLine="560" w:firstLineChars="200"/>
        <w:jc w:val="both"/>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合同签订后，接采购单位的书面通知后20日内完成供货及安装，若供应商未按照合同约定时间交货的，且未及时以书面形式向采购人提交延误原因，又无正当理由的，每推迟一天罚3000元，推迟7天及以上的则采购单位有权罚没所有履约保证金。</w:t>
      </w:r>
    </w:p>
    <w:p w14:paraId="0797C0B1">
      <w:pPr>
        <w:widowControl w:val="0"/>
        <w:numPr>
          <w:ilvl w:val="0"/>
          <w:numId w:val="4"/>
        </w:numPr>
        <w:overflowPunct w:val="0"/>
        <w:spacing w:after="0" w:line="480" w:lineRule="exact"/>
        <w:ind w:firstLine="562" w:firstLineChars="200"/>
        <w:jc w:val="both"/>
        <w:rPr>
          <w:rFonts w:hint="eastAsia" w:ascii="仿宋" w:hAnsi="仿宋" w:eastAsia="仿宋" w:cs="仿宋"/>
          <w:b/>
          <w:bCs/>
          <w:color w:val="auto"/>
          <w:sz w:val="28"/>
          <w:szCs w:val="28"/>
          <w:highlight w:val="none"/>
          <w:lang w:val="zh-CN" w:eastAsia="zh-CN"/>
        </w:rPr>
      </w:pPr>
      <w:r>
        <w:rPr>
          <w:rFonts w:hint="eastAsia" w:ascii="仿宋" w:hAnsi="仿宋" w:eastAsia="仿宋" w:cs="仿宋"/>
          <w:b/>
          <w:bCs/>
          <w:color w:val="auto"/>
          <w:sz w:val="28"/>
          <w:szCs w:val="28"/>
          <w:highlight w:val="none"/>
          <w:lang w:val="zh-CN" w:eastAsia="zh-CN"/>
        </w:rPr>
        <w:t>质量要求：</w:t>
      </w:r>
    </w:p>
    <w:p w14:paraId="5D505D1C">
      <w:pPr>
        <w:widowControl w:val="0"/>
        <w:numPr>
          <w:ilvl w:val="0"/>
          <w:numId w:val="0"/>
        </w:numPr>
        <w:overflowPunct w:val="0"/>
        <w:spacing w:after="0"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供应商须提供符合采购需求、从未使用过的全新设备，产品质量符合询价文件要求、行业及国家标准（供货时提供相关证明材料、有效产品合格证）。</w:t>
      </w:r>
    </w:p>
    <w:p w14:paraId="2C753DDC">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仿宋" w:hAnsi="仿宋" w:eastAsia="仿宋" w:cs="仿宋"/>
          <w:b/>
          <w:bCs/>
          <w:color w:val="auto"/>
          <w:sz w:val="28"/>
          <w:szCs w:val="28"/>
          <w:highlight w:val="none"/>
          <w:lang w:val="zh-CN" w:eastAsia="zh-CN"/>
        </w:rPr>
      </w:pPr>
      <w:r>
        <w:rPr>
          <w:rFonts w:hint="eastAsia" w:ascii="仿宋" w:hAnsi="仿宋" w:eastAsia="仿宋" w:cs="仿宋"/>
          <w:b/>
          <w:bCs/>
          <w:color w:val="auto"/>
          <w:sz w:val="28"/>
          <w:szCs w:val="28"/>
          <w:highlight w:val="none"/>
          <w:lang w:val="zh-CN" w:eastAsia="zh-CN"/>
        </w:rPr>
        <w:t>五、</w:t>
      </w:r>
      <w:r>
        <w:rPr>
          <w:rFonts w:hint="eastAsia" w:ascii="仿宋" w:hAnsi="仿宋" w:eastAsia="仿宋" w:cs="仿宋"/>
          <w:b/>
          <w:bCs/>
          <w:color w:val="auto"/>
          <w:sz w:val="28"/>
          <w:szCs w:val="28"/>
          <w:highlight w:val="none"/>
          <w:lang w:val="en-US" w:eastAsia="zh-CN"/>
        </w:rPr>
        <w:t>质保要求</w:t>
      </w:r>
      <w:r>
        <w:rPr>
          <w:rFonts w:hint="eastAsia" w:ascii="仿宋" w:hAnsi="仿宋" w:eastAsia="仿宋" w:cs="仿宋"/>
          <w:b/>
          <w:bCs/>
          <w:color w:val="auto"/>
          <w:sz w:val="28"/>
          <w:szCs w:val="28"/>
          <w:highlight w:val="none"/>
          <w:lang w:val="zh-CN" w:eastAsia="zh-CN"/>
        </w:rPr>
        <w:t>:</w:t>
      </w:r>
    </w:p>
    <w:p w14:paraId="07A4AEE5">
      <w:pPr>
        <w:widowControl w:val="0"/>
        <w:numPr>
          <w:ilvl w:val="0"/>
          <w:numId w:val="0"/>
        </w:numPr>
        <w:overflowPunct w:val="0"/>
        <w:spacing w:after="0"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免费整体服务期（质保期）为二年（从验收合格之日起）。质保期内，成交供应商应免费维修，成交供应商在接到用户单位电话维修通知后，成交供应商应在12小时之内响应，并在48小时内完成修复或更换，如成交供应商不能及时响应的，采购人有权另行安排其他队伍进行修复，所产生的维修费用从合同价款中直接扣除。供应商超时或未在规定的时间内及时处理故障，每次罚1000元扣款。在质保期内，同一商品、同一质量问题连续两次维修仍无法正常使用，投标人无条件给予全套更新。</w:t>
      </w:r>
    </w:p>
    <w:p w14:paraId="0DA99E2D">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六、项目验收：</w:t>
      </w:r>
    </w:p>
    <w:p w14:paraId="204E1A47">
      <w:pPr>
        <w:widowControl w:val="0"/>
        <w:numPr>
          <w:ilvl w:val="0"/>
          <w:numId w:val="0"/>
        </w:numPr>
        <w:overflowPunct w:val="0"/>
        <w:spacing w:after="0"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成交供应商签订合同后在采购人规定的时间内，必须将符合询价文件要求的所有合格货物送到指定地点并按要求完成安装，由采购人相关人员对所供货物进行数量清点和外观检查，如有需要，采购单位可委托相关质量监督部门对成交供应商所供货物进行验收及检测，因检测发生的一切费用由成交供应商负责。</w:t>
      </w:r>
    </w:p>
    <w:p w14:paraId="410607D9">
      <w:pPr>
        <w:widowControl w:val="0"/>
        <w:numPr>
          <w:ilvl w:val="0"/>
          <w:numId w:val="0"/>
        </w:numPr>
        <w:overflowPunct w:val="0"/>
        <w:spacing w:after="0"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如验收或检测不合格的，供应商应对货物进行更换，因货物进行更换造成供货逾期的，供方应承担逾期供货责任并按逾期供货处理，如再次不符合要求的，采购人有权终止合同履行，履约保证金不予退还并报相关部门进行处理。因检测导致货物损坏的，由供应商免费补足，确保采购人正常使用。</w:t>
      </w:r>
    </w:p>
    <w:p w14:paraId="5456CD9D">
      <w:pPr>
        <w:widowControl w:val="0"/>
        <w:numPr>
          <w:ilvl w:val="0"/>
          <w:numId w:val="0"/>
        </w:numPr>
        <w:overflowPunct w:val="0"/>
        <w:spacing w:after="0"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3成交供应商出现违约情形，应当及时纠正或补偿；造成损失的， 按合同约定追究违约责任；发现有假冒、伪劣、走私产品、商业贿赂等违法情形的，应由采购人移交工商、质监、公安等行政执法部门依法查处。</w:t>
      </w:r>
    </w:p>
    <w:p w14:paraId="7430749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bCs/>
          <w:color w:val="auto"/>
          <w:sz w:val="28"/>
          <w:szCs w:val="28"/>
          <w:highlight w:val="none"/>
          <w:lang w:val="zh-CN" w:eastAsia="zh-CN"/>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lang w:val="zh-CN" w:eastAsia="zh-CN"/>
        </w:rPr>
        <w:t>付款方式：</w:t>
      </w:r>
    </w:p>
    <w:p w14:paraId="3C420FB4">
      <w:pPr>
        <w:spacing w:line="560" w:lineRule="exact"/>
        <w:ind w:firstLine="560" w:firstLineChars="20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合同签订后，全部货物安装调试完毕并经验收合格后支付合同价的95％，余款5%在质保期满后（从验收合格之日算起计算）一个月内一次性支付。</w:t>
      </w:r>
    </w:p>
    <w:p w14:paraId="4FAFC026">
      <w:pPr>
        <w:spacing w:line="560" w:lineRule="exact"/>
        <w:ind w:firstLine="560" w:firstLineChars="200"/>
        <w:rPr>
          <w:rFonts w:hint="eastAsia" w:ascii="仿宋" w:hAnsi="仿宋" w:eastAsia="仿宋" w:cs="FangSong_GB2312"/>
          <w:color w:val="000000" w:themeColor="text1"/>
          <w:sz w:val="32"/>
          <w:szCs w:val="32"/>
          <w:lang w:val="zh-CN" w:eastAsia="zh-CN"/>
          <w14:textFill>
            <w14:solidFill>
              <w14:schemeClr w14:val="tx1"/>
            </w14:solidFill>
          </w14:textFill>
        </w:rPr>
      </w:pPr>
      <w:r>
        <w:rPr>
          <w:rFonts w:hint="eastAsia" w:ascii="仿宋" w:hAnsi="仿宋" w:eastAsia="仿宋" w:cs="仿宋"/>
          <w:color w:val="auto"/>
          <w:kern w:val="2"/>
          <w:sz w:val="28"/>
          <w:szCs w:val="28"/>
          <w:highlight w:val="none"/>
          <w:lang w:val="zh-CN" w:eastAsia="zh-CN" w:bidi="ar-SA"/>
        </w:rPr>
        <w:t>注:供应商申请付款的程序应符合采购人的财务规定，支付费用前要求供应商向采购人提供</w:t>
      </w:r>
      <w:r>
        <w:rPr>
          <w:rFonts w:hint="eastAsia" w:ascii="仿宋" w:hAnsi="仿宋" w:eastAsia="仿宋" w:cs="仿宋"/>
          <w:color w:val="auto"/>
          <w:kern w:val="2"/>
          <w:sz w:val="28"/>
          <w:szCs w:val="28"/>
          <w:highlight w:val="none"/>
          <w:lang w:val="en-US" w:eastAsia="zh-CN" w:bidi="ar-SA"/>
        </w:rPr>
        <w:t>相应增值税专用</w:t>
      </w:r>
      <w:r>
        <w:rPr>
          <w:rFonts w:hint="eastAsia" w:ascii="仿宋" w:hAnsi="仿宋" w:eastAsia="仿宋" w:cs="仿宋"/>
          <w:color w:val="auto"/>
          <w:kern w:val="2"/>
          <w:sz w:val="28"/>
          <w:szCs w:val="28"/>
          <w:highlight w:val="none"/>
          <w:lang w:val="zh-CN" w:eastAsia="zh-CN" w:bidi="ar-SA"/>
        </w:rPr>
        <w:t>发票。</w:t>
      </w:r>
    </w:p>
    <w:p w14:paraId="2EE8BBFE">
      <w:pPr>
        <w:keepNext w:val="0"/>
        <w:keepLines w:val="0"/>
        <w:pageBreakBefore w:val="0"/>
        <w:widowControl w:val="0"/>
        <w:kinsoku/>
        <w:wordWrap/>
        <w:overflowPunct/>
        <w:topLinePunct w:val="0"/>
        <w:autoSpaceDE/>
        <w:autoSpaceDN/>
        <w:bidi w:val="0"/>
        <w:adjustRightInd w:val="0"/>
        <w:snapToGrid w:val="0"/>
        <w:spacing w:line="490" w:lineRule="exact"/>
        <w:ind w:firstLine="562" w:firstLineChars="200"/>
        <w:textAlignment w:val="auto"/>
        <w:rPr>
          <w:rFonts w:hint="eastAsia" w:ascii="仿宋" w:hAnsi="仿宋" w:eastAsia="仿宋" w:cs="仿宋"/>
          <w:b/>
          <w:bCs/>
          <w:color w:val="auto"/>
          <w:sz w:val="28"/>
          <w:szCs w:val="28"/>
          <w:highlight w:val="none"/>
          <w:lang w:val="zh-CN" w:eastAsia="zh-CN"/>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lang w:val="zh-CN" w:eastAsia="zh-CN"/>
        </w:rPr>
        <w:t>、保证金：</w:t>
      </w:r>
    </w:p>
    <w:bookmarkEnd w:id="56"/>
    <w:p w14:paraId="5AA38243">
      <w:pPr>
        <w:widowControl w:val="0"/>
        <w:numPr>
          <w:ilvl w:val="0"/>
          <w:numId w:val="0"/>
        </w:numPr>
        <w:overflowPunct w:val="0"/>
        <w:spacing w:after="0" w:line="480" w:lineRule="exact"/>
        <w:ind w:firstLine="560" w:firstLineChars="200"/>
        <w:jc w:val="both"/>
        <w:rPr>
          <w:rFonts w:hint="eastAsia" w:ascii="仿宋" w:hAnsi="仿宋" w:eastAsia="仿宋" w:cs="仿宋"/>
          <w:color w:val="auto"/>
          <w:sz w:val="28"/>
          <w:szCs w:val="28"/>
          <w:highlight w:val="none"/>
          <w:lang w:val="en-US" w:eastAsia="zh-CN"/>
        </w:rPr>
      </w:pPr>
      <w:bookmarkStart w:id="58" w:name="_Toc82505665"/>
      <w:r>
        <w:rPr>
          <w:rFonts w:hint="eastAsia" w:ascii="仿宋" w:hAnsi="仿宋" w:eastAsia="仿宋" w:cs="仿宋"/>
          <w:color w:val="auto"/>
          <w:sz w:val="28"/>
          <w:szCs w:val="28"/>
          <w:highlight w:val="none"/>
          <w:lang w:val="en-US" w:eastAsia="zh-CN"/>
        </w:rPr>
        <w:t>1.投标保证金：据省财政厅要求，免收投标保证金。</w:t>
      </w:r>
    </w:p>
    <w:p w14:paraId="364F896D">
      <w:pPr>
        <w:pStyle w:val="15"/>
        <w:keepNext w:val="0"/>
        <w:keepLines w:val="0"/>
        <w:pageBreakBefore w:val="0"/>
        <w:kinsoku/>
        <w:wordWrap/>
        <w:overflowPunct/>
        <w:topLinePunct w:val="0"/>
        <w:autoSpaceDE/>
        <w:autoSpaceDN/>
        <w:bidi w:val="0"/>
        <w:spacing w:before="0" w:beforeAutospacing="0" w:after="0" w:afterAutospacing="0" w:line="500" w:lineRule="exact"/>
        <w:ind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2.履约保证金：</w:t>
      </w:r>
      <w:r>
        <w:rPr>
          <w:rFonts w:hint="eastAsia" w:ascii="仿宋" w:hAnsi="仿宋" w:eastAsia="仿宋" w:cs="仿宋"/>
          <w:color w:val="auto"/>
          <w:kern w:val="2"/>
          <w:sz w:val="28"/>
          <w:szCs w:val="28"/>
          <w:highlight w:val="none"/>
          <w:lang w:val="en-US" w:eastAsia="zh-CN" w:bidi="ar-SA"/>
        </w:rPr>
        <w:t>合同价的10%，成交供应商的履约保证金须在成交通知书发出之日起至合同签订前汇入采购单位账户。形式：应当以数字人民币、支票、汇票或者金融机构、担保机构出具的保函等非现金形式提交。成交供应商全部履约合同义务，经采购单位验收合格无质量、进度等问题的，采购人在验收合格后一次性退还履约保证金。</w:t>
      </w:r>
    </w:p>
    <w:p w14:paraId="52C39DB0">
      <w:pPr>
        <w:keepNext w:val="0"/>
        <w:keepLines w:val="0"/>
        <w:pageBreakBefore w:val="0"/>
        <w:widowControl/>
        <w:kinsoku/>
        <w:wordWrap/>
        <w:overflowPunct/>
        <w:topLinePunct w:val="0"/>
        <w:autoSpaceDE/>
        <w:autoSpaceDN/>
        <w:bidi w:val="0"/>
        <w:adjustRightInd/>
        <w:snapToGrid/>
        <w:spacing w:line="500" w:lineRule="exact"/>
        <w:ind w:right="0" w:firstLine="560" w:firstLineChars="200"/>
        <w:jc w:val="left"/>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履约保证金在供应商安装完毕并经采购单位验收合格后由采购单位返还。</w:t>
      </w:r>
    </w:p>
    <w:p w14:paraId="175E24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14:paraId="5F9C1F8F">
      <w:pPr>
        <w:pStyle w:val="9"/>
        <w:rPr>
          <w:rFonts w:hint="eastAsia" w:ascii="仿宋" w:hAnsi="仿宋" w:eastAsia="仿宋" w:cs="仿宋"/>
          <w:color w:val="auto"/>
          <w:sz w:val="28"/>
          <w:szCs w:val="28"/>
          <w:highlight w:val="none"/>
          <w:lang w:val="en-US" w:eastAsia="zh-CN"/>
        </w:rPr>
      </w:pPr>
    </w:p>
    <w:p w14:paraId="4F100EBD">
      <w:pPr>
        <w:rPr>
          <w:rFonts w:hint="eastAsia" w:ascii="仿宋" w:hAnsi="仿宋" w:eastAsia="仿宋" w:cs="仿宋"/>
          <w:color w:val="auto"/>
          <w:sz w:val="28"/>
          <w:szCs w:val="28"/>
          <w:highlight w:val="none"/>
          <w:lang w:val="en-US" w:eastAsia="zh-CN"/>
        </w:rPr>
      </w:pPr>
    </w:p>
    <w:p w14:paraId="275121B3">
      <w:pPr>
        <w:pStyle w:val="9"/>
        <w:rPr>
          <w:rFonts w:hint="eastAsia" w:ascii="仿宋" w:hAnsi="仿宋" w:eastAsia="仿宋" w:cs="仿宋"/>
          <w:color w:val="auto"/>
          <w:sz w:val="28"/>
          <w:szCs w:val="28"/>
          <w:highlight w:val="none"/>
          <w:lang w:val="en-US" w:eastAsia="zh-CN"/>
        </w:rPr>
      </w:pPr>
    </w:p>
    <w:p w14:paraId="1A520DFB">
      <w:pPr>
        <w:rPr>
          <w:rFonts w:hint="eastAsia" w:ascii="仿宋" w:hAnsi="仿宋" w:eastAsia="仿宋" w:cs="仿宋"/>
          <w:color w:val="auto"/>
          <w:sz w:val="28"/>
          <w:szCs w:val="28"/>
          <w:highlight w:val="none"/>
          <w:lang w:val="en-US" w:eastAsia="zh-CN"/>
        </w:rPr>
      </w:pPr>
    </w:p>
    <w:p w14:paraId="0CAA133B">
      <w:pPr>
        <w:pStyle w:val="9"/>
        <w:rPr>
          <w:rFonts w:hint="eastAsia"/>
          <w:highlight w:val="none"/>
        </w:rPr>
      </w:pPr>
      <w:bookmarkStart w:id="59" w:name="_GoBack"/>
      <w:bookmarkEnd w:id="59"/>
    </w:p>
    <w:p w14:paraId="3BE991BC">
      <w:pPr>
        <w:pStyle w:val="2"/>
        <w:widowControl/>
        <w:adjustRightInd w:val="0"/>
        <w:snapToGrid w:val="0"/>
        <w:spacing w:before="0" w:after="0" w:line="500" w:lineRule="exact"/>
        <w:jc w:val="center"/>
        <w:rPr>
          <w:rFonts w:hint="eastAsia" w:ascii="仿宋" w:hAnsi="仿宋" w:eastAsia="仿宋" w:cs="仿宋"/>
          <w:b w:val="0"/>
          <w:color w:val="auto"/>
          <w:highlight w:val="none"/>
        </w:rPr>
      </w:pPr>
      <w:r>
        <w:rPr>
          <w:rFonts w:hint="eastAsia" w:ascii="仿宋" w:hAnsi="仿宋" w:eastAsia="仿宋" w:cs="仿宋"/>
          <w:b w:val="0"/>
          <w:color w:val="auto"/>
          <w:sz w:val="36"/>
          <w:szCs w:val="36"/>
          <w:highlight w:val="none"/>
        </w:rPr>
        <w:t>第四部分  响应文件</w:t>
      </w:r>
      <w:bookmarkEnd w:id="55"/>
      <w:r>
        <w:rPr>
          <w:rFonts w:hint="eastAsia" w:ascii="仿宋" w:hAnsi="仿宋" w:eastAsia="仿宋" w:cs="仿宋"/>
          <w:b w:val="0"/>
          <w:color w:val="auto"/>
          <w:sz w:val="36"/>
          <w:szCs w:val="36"/>
          <w:highlight w:val="none"/>
        </w:rPr>
        <w:t>组成</w:t>
      </w:r>
      <w:bookmarkEnd w:id="58"/>
    </w:p>
    <w:p w14:paraId="1BB67534">
      <w:pPr>
        <w:adjustRightInd w:val="0"/>
        <w:snapToGrid w:val="0"/>
        <w:spacing w:line="50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响应文件必须按照以下格式及要求进行制作、签署</w:t>
      </w:r>
      <w:r>
        <w:rPr>
          <w:rFonts w:hint="eastAsia" w:ascii="仿宋" w:hAnsi="仿宋" w:eastAsia="仿宋" w:cs="仿宋"/>
          <w:b/>
          <w:bCs/>
          <w:color w:val="auto"/>
          <w:sz w:val="28"/>
          <w:szCs w:val="28"/>
          <w:highlight w:val="none"/>
          <w:lang w:val="en-US" w:eastAsia="zh-CN"/>
        </w:rPr>
        <w:t>、密封和提交</w:t>
      </w:r>
      <w:r>
        <w:rPr>
          <w:rFonts w:hint="eastAsia" w:ascii="仿宋" w:hAnsi="仿宋" w:eastAsia="仿宋" w:cs="仿宋"/>
          <w:b/>
          <w:bCs/>
          <w:color w:val="auto"/>
          <w:sz w:val="28"/>
          <w:szCs w:val="28"/>
          <w:highlight w:val="none"/>
        </w:rPr>
        <w:t>。（以下内容必须全部提供，</w:t>
      </w:r>
      <w:r>
        <w:rPr>
          <w:rFonts w:hint="eastAsia" w:ascii="仿宋" w:hAnsi="仿宋" w:eastAsia="仿宋" w:cs="仿宋"/>
          <w:b/>
          <w:bCs/>
          <w:color w:val="auto"/>
          <w:sz w:val="28"/>
          <w:szCs w:val="28"/>
          <w:highlight w:val="none"/>
          <w:lang w:val="zh-CN"/>
        </w:rPr>
        <w:t>并全部加盖</w:t>
      </w:r>
      <w:r>
        <w:rPr>
          <w:rFonts w:hint="eastAsia" w:ascii="仿宋" w:hAnsi="仿宋" w:eastAsia="仿宋" w:cs="仿宋"/>
          <w:b/>
          <w:bCs/>
          <w:color w:val="auto"/>
          <w:sz w:val="28"/>
          <w:szCs w:val="28"/>
          <w:highlight w:val="none"/>
          <w:lang w:val="en-US" w:eastAsia="zh-CN"/>
        </w:rPr>
        <w:t>报价单位公章</w:t>
      </w:r>
      <w:r>
        <w:rPr>
          <w:rFonts w:hint="eastAsia" w:ascii="仿宋" w:hAnsi="仿宋" w:eastAsia="仿宋" w:cs="仿宋"/>
          <w:b/>
          <w:bCs/>
          <w:color w:val="auto"/>
          <w:sz w:val="28"/>
          <w:szCs w:val="28"/>
          <w:highlight w:val="none"/>
          <w:lang w:val="zh-CN"/>
        </w:rPr>
        <w:t>。</w:t>
      </w:r>
      <w:r>
        <w:rPr>
          <w:rFonts w:hint="eastAsia" w:ascii="仿宋" w:hAnsi="仿宋" w:eastAsia="仿宋" w:cs="仿宋"/>
          <w:b/>
          <w:bCs/>
          <w:color w:val="auto"/>
          <w:sz w:val="28"/>
          <w:szCs w:val="28"/>
          <w:highlight w:val="none"/>
        </w:rPr>
        <w:t>响应文件格式中要求签字的不可打印填写，否则视为无效响应。）</w:t>
      </w:r>
    </w:p>
    <w:p w14:paraId="39B056D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w:t>
      </w:r>
      <w:r>
        <w:rPr>
          <w:rFonts w:hint="eastAsia" w:ascii="仿宋" w:hAnsi="仿宋" w:eastAsia="仿宋" w:cs="仿宋"/>
          <w:color w:val="auto"/>
          <w:kern w:val="0"/>
          <w:sz w:val="28"/>
          <w:szCs w:val="28"/>
          <w:highlight w:val="none"/>
        </w:rPr>
        <w:t>投标人符合《政府采购法》第二十二条规定条件的</w:t>
      </w:r>
      <w:r>
        <w:rPr>
          <w:rFonts w:hint="eastAsia" w:ascii="仿宋" w:hAnsi="仿宋" w:eastAsia="仿宋" w:cs="仿宋"/>
          <w:color w:val="auto"/>
          <w:kern w:val="0"/>
          <w:sz w:val="28"/>
          <w:szCs w:val="28"/>
          <w:highlight w:val="none"/>
          <w:lang w:val="en-US" w:eastAsia="zh-CN"/>
        </w:rPr>
        <w:t>声明</w:t>
      </w:r>
      <w:r>
        <w:rPr>
          <w:rFonts w:hint="eastAsia" w:ascii="仿宋" w:hAnsi="仿宋" w:eastAsia="仿宋" w:cs="仿宋"/>
          <w:color w:val="auto"/>
          <w:kern w:val="0"/>
          <w:sz w:val="28"/>
          <w:szCs w:val="28"/>
          <w:highlight w:val="none"/>
        </w:rPr>
        <w:t>函</w:t>
      </w:r>
      <w:r>
        <w:rPr>
          <w:rFonts w:hint="eastAsia" w:ascii="仿宋" w:hAnsi="仿宋" w:eastAsia="仿宋" w:cs="仿宋"/>
          <w:color w:val="auto"/>
          <w:kern w:val="0"/>
          <w:sz w:val="28"/>
          <w:szCs w:val="28"/>
          <w:highlight w:val="none"/>
          <w:lang w:val="zh-CN"/>
        </w:rPr>
        <w:t>（格式见附件1）；</w:t>
      </w:r>
    </w:p>
    <w:p w14:paraId="2ED4E45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2.法定代表人身份证明书、法定代表人身份证</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rPr>
        <w:t>（格式见附件2）；</w:t>
      </w:r>
    </w:p>
    <w:p w14:paraId="1715463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3.法定代表人授权委托书、授权委托人（即代理人）身份证</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rPr>
        <w:t>（格式见附件3</w:t>
      </w:r>
      <w:r>
        <w:rPr>
          <w:rFonts w:hint="eastAsia" w:ascii="仿宋" w:hAnsi="仿宋" w:eastAsia="仿宋" w:cs="仿宋"/>
          <w:bCs/>
          <w:color w:val="auto"/>
          <w:sz w:val="28"/>
          <w:highlight w:val="none"/>
        </w:rPr>
        <w:t>，</w:t>
      </w:r>
      <w:r>
        <w:rPr>
          <w:rFonts w:hint="eastAsia" w:ascii="仿宋" w:hAnsi="仿宋" w:eastAsia="仿宋" w:cs="仿宋"/>
          <w:color w:val="auto"/>
          <w:kern w:val="0"/>
          <w:sz w:val="28"/>
          <w:szCs w:val="28"/>
          <w:highlight w:val="none"/>
          <w:lang w:val="zh-CN"/>
        </w:rPr>
        <w:t>法定代表人参加的，无需提供授权委托书</w:t>
      </w:r>
      <w:r>
        <w:rPr>
          <w:rFonts w:hint="eastAsia" w:ascii="仿宋" w:hAnsi="仿宋" w:eastAsia="仿宋" w:cs="仿宋"/>
          <w:color w:val="auto"/>
          <w:sz w:val="28"/>
          <w:szCs w:val="28"/>
          <w:highlight w:val="none"/>
        </w:rPr>
        <w:t>）；</w:t>
      </w:r>
    </w:p>
    <w:p w14:paraId="66EA7C0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4.</w:t>
      </w:r>
      <w:r>
        <w:rPr>
          <w:rFonts w:hint="eastAsia" w:ascii="仿宋" w:hAnsi="仿宋" w:eastAsia="仿宋" w:cs="仿宋"/>
          <w:color w:val="auto"/>
          <w:sz w:val="28"/>
          <w:szCs w:val="28"/>
          <w:highlight w:val="none"/>
          <w:lang w:val="zh-CN"/>
        </w:rPr>
        <w:t>有效</w:t>
      </w:r>
      <w:r>
        <w:rPr>
          <w:rFonts w:hint="eastAsia" w:ascii="仿宋" w:hAnsi="仿宋" w:eastAsia="仿宋" w:cs="仿宋"/>
          <w:color w:val="auto"/>
          <w:kern w:val="0"/>
          <w:sz w:val="28"/>
          <w:szCs w:val="28"/>
          <w:highlight w:val="none"/>
          <w:lang w:val="zh-CN"/>
        </w:rPr>
        <w:t>的营业执照</w:t>
      </w:r>
      <w:r>
        <w:rPr>
          <w:rFonts w:hint="eastAsia" w:ascii="仿宋" w:hAnsi="仿宋" w:eastAsia="仿宋" w:cs="仿宋"/>
          <w:color w:val="auto"/>
          <w:kern w:val="0"/>
          <w:sz w:val="28"/>
          <w:szCs w:val="28"/>
          <w:highlight w:val="none"/>
          <w:lang w:val="en-US" w:eastAsia="zh-CN"/>
        </w:rPr>
        <w:t>复印件</w:t>
      </w:r>
      <w:r>
        <w:rPr>
          <w:rFonts w:hint="eastAsia" w:ascii="仿宋" w:hAnsi="仿宋" w:eastAsia="仿宋" w:cs="仿宋"/>
          <w:color w:val="auto"/>
          <w:kern w:val="0"/>
          <w:sz w:val="28"/>
          <w:szCs w:val="28"/>
          <w:highlight w:val="none"/>
          <w:lang w:val="zh-CN"/>
        </w:rPr>
        <w:t>；</w:t>
      </w:r>
    </w:p>
    <w:p w14:paraId="24B5A67F">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sz w:val="28"/>
          <w:szCs w:val="28"/>
          <w:highlight w:val="none"/>
        </w:rPr>
        <w:t>质保承诺书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格式见附件4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lang w:val="zh-CN"/>
        </w:rPr>
        <w:t>；</w:t>
      </w:r>
    </w:p>
    <w:p w14:paraId="234B6585">
      <w:pPr>
        <w:pStyle w:val="13"/>
        <w:keepNext w:val="0"/>
        <w:keepLines w:val="0"/>
        <w:pageBreakBefore w:val="0"/>
        <w:kinsoku/>
        <w:wordWrap/>
        <w:overflowPunct/>
        <w:topLinePunct w:val="0"/>
        <w:autoSpaceDE/>
        <w:autoSpaceDN/>
        <w:bidi w:val="0"/>
        <w:spacing w:beforeAutospacing="0" w:afterAutospacing="0"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6.未被“信用中国"网站列入失信被执行人、重大税收违法案件当事人名单、政府采购严重失信行为记录名单（分别提供网站截图）</w:t>
      </w:r>
    </w:p>
    <w:p w14:paraId="1D1E2D7B">
      <w:pPr>
        <w:pStyle w:val="13"/>
        <w:keepNext w:val="0"/>
        <w:keepLines w:val="0"/>
        <w:pageBreakBefore w:val="0"/>
        <w:kinsoku/>
        <w:wordWrap/>
        <w:overflowPunct/>
        <w:topLinePunct w:val="0"/>
        <w:autoSpaceDE/>
        <w:autoSpaceDN/>
        <w:bidi w:val="0"/>
        <w:spacing w:beforeAutospacing="0" w:afterAutospacing="0" w:line="500" w:lineRule="exact"/>
        <w:ind w:firstLine="560" w:firstLineChars="200"/>
        <w:textAlignment w:val="auto"/>
        <w:rPr>
          <w:rFonts w:hint="eastAsia" w:ascii="仿宋" w:hAnsi="仿宋" w:eastAsia="仿宋" w:cs="仿宋"/>
          <w:b w:val="0"/>
          <w:bCs w:val="0"/>
          <w:color w:val="auto"/>
          <w:sz w:val="28"/>
          <w:szCs w:val="28"/>
          <w:highlight w:val="none"/>
          <w:lang w:eastAsia="zh-CN" w:bidi="ar"/>
        </w:rPr>
      </w:pPr>
      <w:r>
        <w:rPr>
          <w:rFonts w:hint="eastAsia" w:ascii="仿宋" w:hAnsi="仿宋" w:eastAsia="仿宋" w:cs="仿宋"/>
          <w:b w:val="0"/>
          <w:bCs w:val="0"/>
          <w:color w:val="auto"/>
          <w:sz w:val="28"/>
          <w:szCs w:val="28"/>
          <w:highlight w:val="none"/>
          <w:lang w:val="en-US" w:eastAsia="zh-CN" w:bidi="ar"/>
        </w:rPr>
        <w:t>7.</w:t>
      </w:r>
      <w:r>
        <w:rPr>
          <w:rFonts w:hint="eastAsia" w:ascii="仿宋" w:hAnsi="仿宋" w:eastAsia="仿宋" w:cs="仿宋"/>
          <w:b w:val="0"/>
          <w:bCs w:val="0"/>
          <w:color w:val="auto"/>
          <w:sz w:val="28"/>
          <w:szCs w:val="28"/>
          <w:highlight w:val="none"/>
          <w:lang w:bidi="ar"/>
        </w:rPr>
        <w:t>参加政府采购活动前3年内在经营活动中没有重大违法记录和失信记录的书面声明</w:t>
      </w:r>
      <w:r>
        <w:rPr>
          <w:rFonts w:hint="eastAsia" w:ascii="仿宋" w:hAnsi="仿宋" w:eastAsia="仿宋" w:cs="仿宋"/>
          <w:b w:val="0"/>
          <w:bCs w:val="0"/>
          <w:color w:val="auto"/>
          <w:sz w:val="28"/>
          <w:szCs w:val="28"/>
          <w:highlight w:val="none"/>
          <w:lang w:eastAsia="zh-CN" w:bidi="ar"/>
        </w:rPr>
        <w:t>（</w:t>
      </w:r>
      <w:r>
        <w:rPr>
          <w:rFonts w:hint="eastAsia" w:ascii="仿宋" w:hAnsi="仿宋" w:eastAsia="仿宋" w:cs="仿宋"/>
          <w:b w:val="0"/>
          <w:bCs w:val="0"/>
          <w:color w:val="auto"/>
          <w:sz w:val="28"/>
          <w:szCs w:val="28"/>
          <w:highlight w:val="none"/>
          <w:lang w:val="en-US" w:eastAsia="zh-CN" w:bidi="ar"/>
        </w:rPr>
        <w:t>格式见附件5</w:t>
      </w:r>
      <w:r>
        <w:rPr>
          <w:rFonts w:hint="eastAsia" w:ascii="仿宋" w:hAnsi="仿宋" w:eastAsia="仿宋" w:cs="仿宋"/>
          <w:b w:val="0"/>
          <w:bCs w:val="0"/>
          <w:color w:val="auto"/>
          <w:sz w:val="28"/>
          <w:szCs w:val="28"/>
          <w:highlight w:val="none"/>
          <w:lang w:eastAsia="zh-CN" w:bidi="ar"/>
        </w:rPr>
        <w:t>）；</w:t>
      </w:r>
    </w:p>
    <w:p w14:paraId="1C7A1FB3">
      <w:pPr>
        <w:ind w:firstLine="560" w:firstLineChars="200"/>
        <w:jc w:val="both"/>
        <w:rPr>
          <w:rFonts w:hint="eastAsia" w:ascii="仿宋" w:hAnsi="仿宋" w:eastAsia="仿宋" w:cs="仿宋"/>
          <w:b w:val="0"/>
          <w:bCs w:val="0"/>
          <w:color w:val="auto"/>
          <w:sz w:val="28"/>
          <w:szCs w:val="28"/>
          <w:highlight w:val="none"/>
          <w:lang w:eastAsia="zh-CN" w:bidi="ar"/>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分项报价明细表中要求的</w:t>
      </w:r>
      <w:r>
        <w:rPr>
          <w:rFonts w:hint="eastAsia" w:ascii="仿宋" w:hAnsi="仿宋" w:eastAsia="仿宋" w:cs="仿宋"/>
          <w:color w:val="auto"/>
          <w:sz w:val="28"/>
          <w:szCs w:val="28"/>
          <w:lang w:val="en-US" w:eastAsia="zh-CN"/>
        </w:rPr>
        <w:t>相关证明材料</w:t>
      </w:r>
    </w:p>
    <w:p w14:paraId="199102A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报价总表及分项报价明细表（格式见附件</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p>
    <w:p w14:paraId="13F1D74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10.本项目采购文件要求响应供应商提供的和响应供应商认为与本项目有关的并可以提供的其他材料。</w:t>
      </w:r>
    </w:p>
    <w:p w14:paraId="67AFB987">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仿宋" w:hAnsi="仿宋" w:eastAsia="仿宋" w:cs="仿宋"/>
          <w:color w:val="auto"/>
          <w:highlight w:val="none"/>
          <w:lang w:val="zh-CN"/>
        </w:rPr>
      </w:pPr>
      <w:r>
        <w:rPr>
          <w:rFonts w:hint="eastAsia" w:ascii="仿宋" w:hAnsi="仿宋" w:eastAsia="仿宋" w:cs="仿宋"/>
          <w:b/>
          <w:bCs/>
          <w:color w:val="auto"/>
          <w:sz w:val="28"/>
          <w:szCs w:val="28"/>
          <w:highlight w:val="none"/>
          <w:lang w:val="en-US" w:eastAsia="zh-CN"/>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5125732D">
      <w:pPr>
        <w:pStyle w:val="9"/>
        <w:rPr>
          <w:rFonts w:hint="eastAsia" w:ascii="宋体" w:hAnsi="宋体" w:eastAsia="宋体" w:cs="宋体"/>
          <w:color w:val="auto"/>
          <w:highlight w:val="none"/>
          <w:lang w:val="zh-CN"/>
        </w:rPr>
      </w:pPr>
    </w:p>
    <w:p w14:paraId="62AED064">
      <w:pPr>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br w:type="page"/>
      </w:r>
    </w:p>
    <w:p w14:paraId="6C123D37">
      <w:pPr>
        <w:keepNext w:val="0"/>
        <w:keepLines w:val="0"/>
        <w:pageBreakBefore w:val="0"/>
        <w:widowControl w:val="0"/>
        <w:kinsoku/>
        <w:wordWrap/>
        <w:overflowPunct/>
        <w:topLinePunct w:val="0"/>
        <w:autoSpaceDE/>
        <w:autoSpaceDN/>
        <w:bidi w:val="0"/>
        <w:adjustRightInd/>
        <w:snapToGrid w:val="0"/>
        <w:spacing w:line="600" w:lineRule="exact"/>
        <w:contextualSpacing/>
        <w:textAlignment w:val="auto"/>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附件1</w:t>
      </w:r>
    </w:p>
    <w:p w14:paraId="691A54C8">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 w:hAnsi="仿宋" w:eastAsia="仿宋" w:cs="仿宋"/>
          <w:b/>
          <w:bCs/>
          <w:color w:val="auto"/>
          <w:sz w:val="44"/>
          <w:szCs w:val="44"/>
          <w:highlight w:val="none"/>
        </w:rPr>
      </w:pPr>
      <w:r>
        <w:rPr>
          <w:rFonts w:hint="eastAsia" w:ascii="仿宋" w:hAnsi="仿宋" w:eastAsia="仿宋" w:cs="仿宋"/>
          <w:b/>
          <w:color w:val="auto"/>
          <w:sz w:val="30"/>
          <w:szCs w:val="30"/>
          <w:highlight w:val="none"/>
        </w:rPr>
        <w:t>投标人符合《政府采购法》第二十二条规定条件的声明函</w:t>
      </w:r>
      <w:r>
        <w:rPr>
          <w:rFonts w:hint="eastAsia" w:ascii="仿宋" w:hAnsi="仿宋" w:eastAsia="仿宋" w:cs="仿宋"/>
          <w:b/>
          <w:bCs/>
          <w:color w:val="auto"/>
          <w:sz w:val="44"/>
          <w:szCs w:val="44"/>
          <w:highlight w:val="none"/>
        </w:rPr>
        <w:t xml:space="preserve">   </w:t>
      </w:r>
    </w:p>
    <w:p w14:paraId="3755030F">
      <w:pPr>
        <w:spacing w:line="52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我单位参加</w:t>
      </w:r>
      <w:r>
        <w:rPr>
          <w:rFonts w:hint="eastAsia" w:ascii="仿宋" w:hAnsi="仿宋" w:eastAsia="仿宋" w:cs="仿宋"/>
          <w:bCs/>
          <w:color w:val="auto"/>
          <w:sz w:val="24"/>
          <w:szCs w:val="21"/>
          <w:highlight w:val="none"/>
          <w:u w:val="single"/>
          <w:lang w:val="en-US" w:eastAsia="zh-CN"/>
        </w:rPr>
        <w:t xml:space="preserve">                       </w:t>
      </w:r>
      <w:r>
        <w:rPr>
          <w:rFonts w:hint="eastAsia" w:ascii="仿宋" w:hAnsi="仿宋" w:eastAsia="仿宋" w:cs="仿宋"/>
          <w:bCs/>
          <w:color w:val="auto"/>
          <w:sz w:val="24"/>
          <w:szCs w:val="21"/>
          <w:highlight w:val="none"/>
        </w:rPr>
        <w:t>（项目名称）</w:t>
      </w:r>
      <w:r>
        <w:rPr>
          <w:rFonts w:hint="eastAsia" w:ascii="仿宋" w:hAnsi="仿宋" w:eastAsia="仿宋" w:cs="仿宋"/>
          <w:bCs/>
          <w:color w:val="auto"/>
          <w:sz w:val="24"/>
          <w:szCs w:val="21"/>
          <w:highlight w:val="none"/>
          <w:lang w:val="en-US" w:eastAsia="zh-CN"/>
        </w:rPr>
        <w:t>的</w:t>
      </w:r>
      <w:r>
        <w:rPr>
          <w:rFonts w:hint="eastAsia" w:ascii="仿宋" w:hAnsi="仿宋" w:eastAsia="仿宋" w:cs="仿宋"/>
          <w:bCs/>
          <w:color w:val="auto"/>
          <w:sz w:val="24"/>
          <w:szCs w:val="21"/>
          <w:highlight w:val="none"/>
        </w:rPr>
        <w:t>投标活动。针对《中华人民共和国政府采购法》第二十二条规定做出如下声明：</w:t>
      </w:r>
    </w:p>
    <w:p w14:paraId="1D128AD2">
      <w:pPr>
        <w:spacing w:line="520" w:lineRule="exact"/>
        <w:ind w:firstLine="482"/>
        <w:rPr>
          <w:rFonts w:hint="eastAsia" w:ascii="仿宋" w:hAnsi="仿宋" w:eastAsia="仿宋" w:cs="仿宋"/>
          <w:color w:val="auto"/>
          <w:sz w:val="24"/>
          <w:highlight w:val="none"/>
        </w:rPr>
      </w:pPr>
      <w:r>
        <w:rPr>
          <w:rFonts w:hint="eastAsia" w:ascii="仿宋" w:hAnsi="仿宋" w:eastAsia="仿宋" w:cs="仿宋"/>
          <w:bCs/>
          <w:color w:val="auto"/>
          <w:sz w:val="24"/>
          <w:szCs w:val="21"/>
          <w:highlight w:val="none"/>
        </w:rPr>
        <w:t>1.我单位具有独立承担民事责任的能力；</w:t>
      </w:r>
    </w:p>
    <w:p w14:paraId="44EE2CCF">
      <w:pPr>
        <w:spacing w:line="52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2.我单位具有良好的商业信誉和健全的财务会计制度；</w:t>
      </w:r>
    </w:p>
    <w:p w14:paraId="52B09B41">
      <w:pPr>
        <w:spacing w:line="52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3.我单位具有履行合同所必需的设备和专业技术能力；</w:t>
      </w:r>
    </w:p>
    <w:p w14:paraId="66B6595B">
      <w:pPr>
        <w:spacing w:line="52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4.我单位有依法缴纳税收和社会保障资金的良好记录；</w:t>
      </w:r>
    </w:p>
    <w:p w14:paraId="6A4BD736">
      <w:pPr>
        <w:spacing w:line="52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D9E109F">
      <w:pPr>
        <w:spacing w:line="52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6.我单位满足法律、行政法规规定的其他条件。</w:t>
      </w:r>
    </w:p>
    <w:p w14:paraId="20C74649">
      <w:pPr>
        <w:spacing w:line="500" w:lineRule="exact"/>
        <w:ind w:firstLine="482"/>
        <w:rPr>
          <w:rFonts w:hint="eastAsia" w:ascii="仿宋" w:hAnsi="仿宋" w:eastAsia="仿宋" w:cs="仿宋"/>
          <w:color w:val="auto"/>
          <w:sz w:val="24"/>
          <w:highlight w:val="none"/>
        </w:rPr>
      </w:pPr>
    </w:p>
    <w:p w14:paraId="7ECEDA7C">
      <w:pPr>
        <w:spacing w:line="500" w:lineRule="exact"/>
        <w:rPr>
          <w:rFonts w:hint="eastAsia" w:ascii="仿宋" w:hAnsi="仿宋" w:eastAsia="仿宋" w:cs="仿宋"/>
          <w:color w:val="auto"/>
          <w:sz w:val="24"/>
          <w:highlight w:val="none"/>
        </w:rPr>
      </w:pPr>
    </w:p>
    <w:p w14:paraId="6E2861C7">
      <w:pPr>
        <w:spacing w:line="500" w:lineRule="exact"/>
        <w:rPr>
          <w:rFonts w:hint="eastAsia" w:ascii="仿宋" w:hAnsi="仿宋" w:eastAsia="仿宋" w:cs="仿宋"/>
          <w:bCs/>
          <w:color w:val="auto"/>
          <w:sz w:val="24"/>
          <w:szCs w:val="21"/>
          <w:highlight w:val="none"/>
        </w:rPr>
      </w:pPr>
    </w:p>
    <w:p w14:paraId="17CA5AA8">
      <w:pPr>
        <w:spacing w:line="500" w:lineRule="exact"/>
        <w:rPr>
          <w:rFonts w:hint="eastAsia" w:ascii="仿宋" w:hAnsi="仿宋" w:eastAsia="仿宋" w:cs="仿宋"/>
          <w:bCs/>
          <w:color w:val="auto"/>
          <w:sz w:val="24"/>
          <w:szCs w:val="21"/>
          <w:highlight w:val="none"/>
        </w:rPr>
      </w:pPr>
    </w:p>
    <w:p w14:paraId="5385976A">
      <w:pPr>
        <w:spacing w:line="500" w:lineRule="exact"/>
        <w:rPr>
          <w:rFonts w:hint="eastAsia" w:ascii="仿宋" w:hAnsi="仿宋" w:eastAsia="仿宋" w:cs="仿宋"/>
          <w:bCs/>
          <w:color w:val="auto"/>
          <w:sz w:val="24"/>
          <w:szCs w:val="21"/>
          <w:highlight w:val="none"/>
        </w:rPr>
      </w:pPr>
    </w:p>
    <w:p w14:paraId="346A1B6C">
      <w:pPr>
        <w:spacing w:line="460" w:lineRule="exact"/>
        <w:jc w:val="center"/>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承诺人名称（公章）：</w:t>
      </w:r>
    </w:p>
    <w:p w14:paraId="2C87059D">
      <w:pPr>
        <w:spacing w:line="460" w:lineRule="exact"/>
        <w:jc w:val="right"/>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w:t>
      </w:r>
    </w:p>
    <w:p w14:paraId="30AE689A">
      <w:pPr>
        <w:spacing w:line="460" w:lineRule="exact"/>
        <w:jc w:val="right"/>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日期：</w:t>
      </w:r>
      <w:r>
        <w:rPr>
          <w:rFonts w:hint="eastAsia" w:ascii="仿宋" w:hAnsi="仿宋" w:eastAsia="仿宋" w:cs="仿宋"/>
          <w:bCs/>
          <w:color w:val="auto"/>
          <w:sz w:val="24"/>
          <w:szCs w:val="21"/>
          <w:highlight w:val="none"/>
          <w:u w:val="single"/>
        </w:rPr>
        <w:t>______</w:t>
      </w:r>
      <w:r>
        <w:rPr>
          <w:rFonts w:hint="eastAsia" w:ascii="仿宋" w:hAnsi="仿宋" w:eastAsia="仿宋" w:cs="仿宋"/>
          <w:bCs/>
          <w:color w:val="auto"/>
          <w:sz w:val="24"/>
          <w:szCs w:val="21"/>
          <w:highlight w:val="none"/>
        </w:rPr>
        <w:t>年</w:t>
      </w:r>
      <w:r>
        <w:rPr>
          <w:rFonts w:hint="eastAsia" w:ascii="仿宋" w:hAnsi="仿宋" w:eastAsia="仿宋" w:cs="仿宋"/>
          <w:bCs/>
          <w:color w:val="auto"/>
          <w:sz w:val="24"/>
          <w:szCs w:val="21"/>
          <w:highlight w:val="none"/>
          <w:u w:val="single"/>
        </w:rPr>
        <w:t xml:space="preserve">    </w:t>
      </w:r>
      <w:r>
        <w:rPr>
          <w:rFonts w:hint="eastAsia" w:ascii="仿宋" w:hAnsi="仿宋" w:eastAsia="仿宋" w:cs="仿宋"/>
          <w:bCs/>
          <w:color w:val="auto"/>
          <w:sz w:val="24"/>
          <w:szCs w:val="21"/>
          <w:highlight w:val="none"/>
        </w:rPr>
        <w:t>月</w:t>
      </w:r>
      <w:r>
        <w:rPr>
          <w:rFonts w:hint="eastAsia" w:ascii="仿宋" w:hAnsi="仿宋" w:eastAsia="仿宋" w:cs="仿宋"/>
          <w:bCs/>
          <w:color w:val="auto"/>
          <w:sz w:val="24"/>
          <w:szCs w:val="21"/>
          <w:highlight w:val="none"/>
          <w:u w:val="single"/>
        </w:rPr>
        <w:t xml:space="preserve">    </w:t>
      </w:r>
      <w:r>
        <w:rPr>
          <w:rFonts w:hint="eastAsia" w:ascii="仿宋" w:hAnsi="仿宋" w:eastAsia="仿宋" w:cs="仿宋"/>
          <w:bCs/>
          <w:color w:val="auto"/>
          <w:sz w:val="24"/>
          <w:szCs w:val="21"/>
          <w:highlight w:val="none"/>
        </w:rPr>
        <w:t>日</w:t>
      </w:r>
    </w:p>
    <w:p w14:paraId="085EA3BA">
      <w:pPr>
        <w:spacing w:line="360" w:lineRule="auto"/>
        <w:rPr>
          <w:rFonts w:hint="eastAsia" w:ascii="仿宋" w:hAnsi="仿宋" w:eastAsia="仿宋" w:cs="仿宋"/>
          <w:bCs/>
          <w:color w:val="auto"/>
          <w:sz w:val="28"/>
          <w:szCs w:val="22"/>
          <w:highlight w:val="none"/>
        </w:rPr>
      </w:pPr>
    </w:p>
    <w:p w14:paraId="52AB32CA">
      <w:pPr>
        <w:spacing w:line="360" w:lineRule="auto"/>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br w:type="page"/>
      </w:r>
    </w:p>
    <w:p w14:paraId="2842CC45">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附件2</w:t>
      </w:r>
    </w:p>
    <w:p w14:paraId="43E80A89">
      <w:pPr>
        <w:spacing w:line="5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法定代表人身份证明</w:t>
      </w:r>
    </w:p>
    <w:p w14:paraId="7AFBA1D4">
      <w:pPr>
        <w:spacing w:line="480" w:lineRule="exact"/>
        <w:rPr>
          <w:rFonts w:hint="eastAsia" w:ascii="仿宋" w:hAnsi="仿宋" w:eastAsia="仿宋" w:cs="仿宋"/>
          <w:color w:val="auto"/>
          <w:sz w:val="24"/>
          <w:highlight w:val="none"/>
        </w:rPr>
      </w:pPr>
    </w:p>
    <w:p w14:paraId="526432E8">
      <w:pPr>
        <w:spacing w:line="480" w:lineRule="exact"/>
        <w:ind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先生/女士，身份证号码：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C7EAB90">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现任我单位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职务，为法定代表人，特此证明。</w:t>
      </w:r>
    </w:p>
    <w:p w14:paraId="71753566">
      <w:pPr>
        <w:spacing w:line="480" w:lineRule="exact"/>
        <w:ind w:firstLine="480"/>
        <w:rPr>
          <w:rFonts w:hint="eastAsia" w:ascii="仿宋" w:hAnsi="仿宋" w:eastAsia="仿宋" w:cs="仿宋"/>
          <w:color w:val="auto"/>
          <w:sz w:val="24"/>
          <w:highlight w:val="none"/>
        </w:rPr>
      </w:pPr>
    </w:p>
    <w:p w14:paraId="40F93928">
      <w:pPr>
        <w:spacing w:after="120"/>
        <w:rPr>
          <w:rFonts w:hint="eastAsia" w:ascii="仿宋" w:hAnsi="仿宋" w:eastAsia="仿宋" w:cs="仿宋"/>
          <w:color w:val="auto"/>
          <w:szCs w:val="20"/>
          <w:highlight w:val="none"/>
        </w:rPr>
      </w:pPr>
    </w:p>
    <w:p w14:paraId="37D0D268">
      <w:pPr>
        <w:adjustRightInd w:val="0"/>
        <w:spacing w:line="480" w:lineRule="auto"/>
        <w:ind w:left="3255" w:leftChars="1550" w:firstLine="210" w:firstLineChars="100"/>
        <w:rPr>
          <w:rFonts w:hint="eastAsia" w:ascii="仿宋" w:hAnsi="仿宋" w:eastAsia="仿宋" w:cs="仿宋"/>
          <w:color w:val="auto"/>
          <w:sz w:val="24"/>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单位名称(盖公章)：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D53DC96">
      <w:pPr>
        <w:adjustRightInd w:val="0"/>
        <w:spacing w:line="48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C1BEA74">
      <w:pPr>
        <w:rPr>
          <w:rFonts w:hint="eastAsia" w:ascii="仿宋" w:hAnsi="仿宋" w:eastAsia="仿宋" w:cs="仿宋"/>
          <w:color w:val="auto"/>
          <w:highlight w:val="none"/>
        </w:rPr>
      </w:pPr>
    </w:p>
    <w:p w14:paraId="12616B1D">
      <w:pPr>
        <w:widowControl/>
        <w:spacing w:line="360" w:lineRule="auto"/>
        <w:rPr>
          <w:rFonts w:hint="eastAsia" w:ascii="仿宋" w:hAnsi="仿宋" w:eastAsia="仿宋" w:cs="仿宋"/>
          <w:b/>
          <w:bCs/>
          <w:color w:val="auto"/>
          <w:kern w:val="0"/>
          <w:sz w:val="28"/>
          <w:szCs w:val="28"/>
          <w:highlight w:val="none"/>
        </w:rPr>
      </w:pPr>
      <w:r>
        <w:rPr>
          <w:rFonts w:hint="eastAsia" w:ascii="仿宋" w:hAnsi="仿宋" w:eastAsia="仿宋" w:cs="仿宋"/>
          <w:b/>
          <w:color w:val="auto"/>
          <w:sz w:val="24"/>
          <w:highlight w:val="none"/>
        </w:rPr>
        <w:t>附：法定代表人的身份证</w:t>
      </w:r>
      <w:r>
        <w:rPr>
          <w:rFonts w:hint="eastAsia" w:ascii="仿宋" w:hAnsi="仿宋" w:eastAsia="仿宋" w:cs="仿宋"/>
          <w:b/>
          <w:color w:val="auto"/>
          <w:sz w:val="24"/>
          <w:highlight w:val="none"/>
          <w:lang w:val="en-US" w:eastAsia="zh-CN"/>
        </w:rPr>
        <w:t>正反面</w:t>
      </w:r>
      <w:r>
        <w:rPr>
          <w:rFonts w:hint="eastAsia" w:ascii="仿宋" w:hAnsi="仿宋" w:eastAsia="仿宋" w:cs="仿宋"/>
          <w:b/>
          <w:color w:val="auto"/>
          <w:sz w:val="24"/>
          <w:highlight w:val="none"/>
        </w:rPr>
        <w:t>复印件盖单位公章</w:t>
      </w:r>
    </w:p>
    <w:p w14:paraId="0CF54882">
      <w:pPr>
        <w:adjustRightInd w:val="0"/>
        <w:snapToGrid w:val="0"/>
        <w:spacing w:line="312" w:lineRule="auto"/>
        <w:ind w:firstLine="562" w:firstLineChars="200"/>
        <w:jc w:val="left"/>
        <w:rPr>
          <w:rFonts w:hint="eastAsia" w:ascii="仿宋" w:hAnsi="仿宋" w:eastAsia="仿宋" w:cs="仿宋"/>
          <w:b/>
          <w:color w:val="auto"/>
          <w:sz w:val="28"/>
          <w:szCs w:val="28"/>
          <w:highlight w:val="none"/>
        </w:rPr>
      </w:pPr>
    </w:p>
    <w:p w14:paraId="4F6D11F0">
      <w:pPr>
        <w:adjustRightInd w:val="0"/>
        <w:snapToGrid w:val="0"/>
        <w:spacing w:line="312" w:lineRule="auto"/>
        <w:jc w:val="left"/>
        <w:rPr>
          <w:rFonts w:hint="eastAsia" w:ascii="仿宋" w:hAnsi="仿宋" w:eastAsia="仿宋" w:cs="仿宋"/>
          <w:color w:val="auto"/>
          <w:sz w:val="32"/>
          <w:szCs w:val="32"/>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color w:val="auto"/>
          <w:sz w:val="32"/>
          <w:szCs w:val="32"/>
          <w:highlight w:val="none"/>
        </w:rPr>
        <w:t>附件3</w:t>
      </w:r>
    </w:p>
    <w:p w14:paraId="7BF1FF94">
      <w:pPr>
        <w:spacing w:line="440" w:lineRule="exact"/>
        <w:jc w:val="center"/>
        <w:rPr>
          <w:rFonts w:hint="eastAsia" w:ascii="仿宋" w:hAnsi="仿宋" w:eastAsia="仿宋" w:cs="仿宋"/>
          <w:b/>
          <w:color w:val="auto"/>
          <w:sz w:val="32"/>
          <w:szCs w:val="32"/>
          <w:highlight w:val="none"/>
          <w:lang w:bidi="ar"/>
        </w:rPr>
      </w:pPr>
      <w:r>
        <w:rPr>
          <w:rFonts w:hint="eastAsia" w:ascii="仿宋" w:hAnsi="仿宋" w:eastAsia="仿宋" w:cs="仿宋"/>
          <w:b/>
          <w:color w:val="auto"/>
          <w:sz w:val="32"/>
          <w:szCs w:val="32"/>
          <w:highlight w:val="none"/>
          <w:lang w:bidi="ar"/>
        </w:rPr>
        <w:t>法</w:t>
      </w:r>
      <w:r>
        <w:rPr>
          <w:rFonts w:hint="eastAsia" w:ascii="仿宋" w:hAnsi="仿宋" w:eastAsia="仿宋" w:cs="仿宋"/>
          <w:color w:val="auto"/>
          <w:sz w:val="32"/>
          <w:szCs w:val="32"/>
          <w:highlight w:val="none"/>
          <w:lang w:bidi="ar"/>
        </w:rPr>
        <w:t xml:space="preserve"> </w:t>
      </w:r>
      <w:r>
        <w:rPr>
          <w:rFonts w:hint="eastAsia" w:ascii="仿宋" w:hAnsi="仿宋" w:eastAsia="仿宋" w:cs="仿宋"/>
          <w:b/>
          <w:color w:val="auto"/>
          <w:sz w:val="32"/>
          <w:szCs w:val="32"/>
          <w:highlight w:val="none"/>
          <w:lang w:bidi="ar"/>
        </w:rPr>
        <w:t>定 代 表 人 授 权 委 托 书</w:t>
      </w:r>
    </w:p>
    <w:p w14:paraId="5DFA8023">
      <w:pPr>
        <w:spacing w:line="440" w:lineRule="exact"/>
        <w:rPr>
          <w:rFonts w:hint="eastAsia" w:ascii="仿宋" w:hAnsi="仿宋" w:eastAsia="仿宋" w:cs="仿宋"/>
          <w:color w:val="auto"/>
          <w:sz w:val="24"/>
          <w:szCs w:val="24"/>
          <w:highlight w:val="none"/>
        </w:rPr>
      </w:pPr>
    </w:p>
    <w:p w14:paraId="7C1627A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u w:val="single"/>
          <w:lang w:bidi="ar"/>
        </w:rPr>
      </w:pPr>
      <w:r>
        <w:rPr>
          <w:rFonts w:hint="eastAsia" w:ascii="仿宋" w:hAnsi="仿宋" w:eastAsia="仿宋" w:cs="仿宋"/>
          <w:color w:val="auto"/>
          <w:sz w:val="24"/>
          <w:szCs w:val="24"/>
          <w:highlight w:val="none"/>
          <w:lang w:bidi="ar"/>
        </w:rPr>
        <w:t>启东港腾资产经营管理有限公司：</w:t>
      </w:r>
    </w:p>
    <w:p w14:paraId="2A7636A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系中华人民共和国合法企业（或事业单位），法定地址：</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，特授权</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代表我单位全权办理针对</w:t>
      </w:r>
      <w:r>
        <w:rPr>
          <w:rFonts w:hint="eastAsia" w:ascii="仿宋" w:hAnsi="仿宋" w:eastAsia="仿宋" w:cs="仿宋"/>
          <w:color w:val="auto"/>
          <w:sz w:val="24"/>
          <w:szCs w:val="24"/>
          <w:highlight w:val="none"/>
          <w:lang w:val="en-US" w:eastAsia="zh-CN" w:bidi="ar"/>
        </w:rPr>
        <w:t>2025年吕四港镇</w:t>
      </w:r>
      <w:r>
        <w:rPr>
          <w:rFonts w:hint="eastAsia" w:ascii="仿宋" w:hAnsi="仿宋" w:eastAsia="仿宋" w:cs="仿宋"/>
          <w:b w:val="0"/>
          <w:bCs/>
          <w:color w:val="auto"/>
          <w:spacing w:val="-2"/>
          <w:w w:val="100"/>
          <w:kern w:val="2"/>
          <w:position w:val="0"/>
          <w:sz w:val="24"/>
          <w:szCs w:val="24"/>
          <w:highlight w:val="none"/>
          <w:u w:val="none"/>
          <w:shd w:val="clear" w:color="auto" w:fill="auto"/>
          <w:lang w:val="en-US" w:eastAsia="zh-CN" w:bidi="ar-SA"/>
        </w:rPr>
        <w:t>仙渔小镇视频监控系统安装项目</w:t>
      </w:r>
      <w:r>
        <w:rPr>
          <w:rFonts w:hint="eastAsia" w:ascii="仿宋" w:hAnsi="仿宋" w:eastAsia="仿宋" w:cs="仿宋"/>
          <w:color w:val="auto"/>
          <w:sz w:val="24"/>
          <w:szCs w:val="24"/>
          <w:highlight w:val="none"/>
          <w:lang w:bidi="ar"/>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68241E4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被授权人无权转委托。</w:t>
      </w:r>
    </w:p>
    <w:p w14:paraId="58AD347B">
      <w:pPr>
        <w:spacing w:line="440" w:lineRule="exact"/>
        <w:ind w:firstLine="480" w:firstLineChars="200"/>
        <w:rPr>
          <w:rFonts w:hint="eastAsia" w:ascii="仿宋" w:hAnsi="仿宋" w:eastAsia="仿宋" w:cs="仿宋"/>
          <w:color w:val="auto"/>
          <w:sz w:val="24"/>
          <w:szCs w:val="24"/>
          <w:highlight w:val="none"/>
        </w:rPr>
      </w:pPr>
    </w:p>
    <w:p w14:paraId="6B3113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被授权人（签字）：</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性别：</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年龄：</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职务：</w:t>
      </w:r>
      <w:r>
        <w:rPr>
          <w:rFonts w:hint="eastAsia" w:ascii="仿宋" w:hAnsi="仿宋" w:eastAsia="仿宋" w:cs="仿宋"/>
          <w:color w:val="auto"/>
          <w:sz w:val="24"/>
          <w:szCs w:val="24"/>
          <w:highlight w:val="none"/>
          <w:u w:val="single"/>
          <w:lang w:bidi="ar"/>
        </w:rPr>
        <w:t xml:space="preserve">       </w:t>
      </w:r>
    </w:p>
    <w:p w14:paraId="552095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p>
    <w:p w14:paraId="7EBF3D2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身份证号码：</w:t>
      </w:r>
      <w:r>
        <w:rPr>
          <w:rFonts w:hint="eastAsia" w:ascii="仿宋" w:hAnsi="仿宋" w:eastAsia="仿宋" w:cs="仿宋"/>
          <w:color w:val="auto"/>
          <w:sz w:val="24"/>
          <w:szCs w:val="24"/>
          <w:highlight w:val="none"/>
          <w:u w:val="single"/>
          <w:lang w:bidi="ar"/>
        </w:rPr>
        <w:t xml:space="preserve">                                       </w:t>
      </w:r>
    </w:p>
    <w:p w14:paraId="037C80E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p>
    <w:p w14:paraId="5761D77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通讯地址：</w:t>
      </w:r>
      <w:r>
        <w:rPr>
          <w:rFonts w:hint="eastAsia" w:ascii="仿宋" w:hAnsi="仿宋" w:eastAsia="仿宋" w:cs="仿宋"/>
          <w:color w:val="auto"/>
          <w:sz w:val="24"/>
          <w:szCs w:val="24"/>
          <w:highlight w:val="none"/>
          <w:u w:val="single"/>
          <w:lang w:bidi="ar"/>
        </w:rPr>
        <w:t xml:space="preserve">                                         </w:t>
      </w:r>
    </w:p>
    <w:p w14:paraId="00C558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p>
    <w:p w14:paraId="28F449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联系电话：</w:t>
      </w:r>
      <w:r>
        <w:rPr>
          <w:rFonts w:hint="eastAsia" w:ascii="仿宋" w:hAnsi="仿宋" w:eastAsia="仿宋" w:cs="仿宋"/>
          <w:color w:val="auto"/>
          <w:sz w:val="24"/>
          <w:szCs w:val="24"/>
          <w:highlight w:val="none"/>
          <w:u w:val="single"/>
          <w:lang w:bidi="ar"/>
        </w:rPr>
        <w:t xml:space="preserve">                                         </w:t>
      </w:r>
    </w:p>
    <w:p w14:paraId="204F5A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p>
    <w:p w14:paraId="224C87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法定代表人（签字或盖章）：</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 xml:space="preserve"> </w:t>
      </w:r>
    </w:p>
    <w:p w14:paraId="741025F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p>
    <w:p w14:paraId="51E2487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供应商（</w:t>
      </w:r>
      <w:r>
        <w:rPr>
          <w:rFonts w:hint="eastAsia" w:ascii="仿宋" w:hAnsi="仿宋" w:eastAsia="仿宋" w:cs="仿宋"/>
          <w:color w:val="auto"/>
          <w:sz w:val="24"/>
          <w:szCs w:val="24"/>
          <w:highlight w:val="none"/>
          <w:lang w:eastAsia="zh-CN" w:bidi="ar"/>
        </w:rPr>
        <w:t>盖公章</w:t>
      </w: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u w:val="single"/>
          <w:lang w:bidi="ar"/>
        </w:rPr>
        <w:t xml:space="preserve">                          </w:t>
      </w:r>
    </w:p>
    <w:p w14:paraId="65CE02F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p>
    <w:p w14:paraId="60BEE2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w:t>
      </w:r>
      <w:r>
        <w:rPr>
          <w:rFonts w:hint="eastAsia" w:ascii="仿宋" w:hAnsi="仿宋" w:eastAsia="仿宋" w:cs="仿宋"/>
          <w:color w:val="auto"/>
          <w:sz w:val="24"/>
          <w:szCs w:val="24"/>
          <w:highlight w:val="none"/>
          <w:lang w:eastAsia="zh-CN" w:bidi="ar"/>
        </w:rPr>
        <w:t>日期：</w:t>
      </w:r>
      <w:r>
        <w:rPr>
          <w:rFonts w:hint="eastAsia" w:ascii="仿宋" w:hAnsi="仿宋" w:eastAsia="仿宋" w:cs="仿宋"/>
          <w:color w:val="auto"/>
          <w:sz w:val="24"/>
          <w:szCs w:val="24"/>
          <w:highlight w:val="none"/>
          <w:lang w:bidi="ar"/>
        </w:rPr>
        <w:t xml:space="preserve"> </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年</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日</w:t>
      </w:r>
    </w:p>
    <w:p w14:paraId="36574D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auto"/>
          <w:kern w:val="0"/>
          <w:sz w:val="24"/>
          <w:szCs w:val="24"/>
          <w:highlight w:val="none"/>
        </w:rPr>
      </w:pPr>
    </w:p>
    <w:p w14:paraId="4BC84AFE">
      <w:pPr>
        <w:jc w:val="left"/>
        <w:rPr>
          <w:rFonts w:hint="eastAsia" w:ascii="仿宋" w:hAnsi="仿宋" w:eastAsia="仿宋" w:cs="仿宋"/>
          <w:b/>
          <w:bCs/>
          <w:color w:val="auto"/>
          <w:sz w:val="24"/>
          <w:szCs w:val="24"/>
          <w:highlight w:val="none"/>
          <w:lang w:bidi="ar"/>
        </w:rPr>
      </w:pPr>
    </w:p>
    <w:p w14:paraId="34A806E6">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bidi="ar"/>
        </w:rPr>
        <w:t>附：被授权人身份证正反面复印件</w:t>
      </w:r>
      <w:r>
        <w:rPr>
          <w:rFonts w:hint="eastAsia" w:ascii="仿宋" w:hAnsi="仿宋" w:eastAsia="仿宋" w:cs="仿宋"/>
          <w:b/>
          <w:bCs/>
          <w:color w:val="auto"/>
          <w:sz w:val="24"/>
          <w:szCs w:val="24"/>
          <w:highlight w:val="none"/>
          <w:lang w:val="en-US" w:eastAsia="zh-CN" w:bidi="ar"/>
        </w:rPr>
        <w:t>盖公章</w:t>
      </w:r>
    </w:p>
    <w:p w14:paraId="616B3F8B">
      <w:pPr>
        <w:adjustRightInd w:val="0"/>
        <w:snapToGrid w:val="0"/>
        <w:spacing w:line="312" w:lineRule="auto"/>
        <w:ind w:firstLine="56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8"/>
          <w:szCs w:val="28"/>
          <w:highlight w:val="none"/>
        </w:rPr>
        <w:br w:type="page"/>
      </w:r>
    </w:p>
    <w:p w14:paraId="2F0376D3">
      <w:pPr>
        <w:spacing w:line="312"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附件4</w:t>
      </w:r>
      <w:r>
        <w:rPr>
          <w:rFonts w:hint="eastAsia" w:ascii="仿宋" w:hAnsi="仿宋" w:eastAsia="仿宋" w:cs="仿宋"/>
          <w:color w:val="auto"/>
          <w:sz w:val="32"/>
          <w:szCs w:val="32"/>
          <w:highlight w:val="none"/>
          <w:lang w:eastAsia="zh-CN"/>
        </w:rPr>
        <w:t>：</w:t>
      </w:r>
    </w:p>
    <w:p w14:paraId="7CF35692">
      <w:pPr>
        <w:pageBreakBefore w:val="0"/>
        <w:kinsoku/>
        <w:wordWrap/>
        <w:overflowPunct/>
        <w:topLinePunct w:val="0"/>
        <w:autoSpaceDE/>
        <w:autoSpaceDN/>
        <w:bidi w:val="0"/>
        <w:spacing w:beforeAutospacing="0" w:afterAutospacing="0" w:line="560" w:lineRule="exact"/>
        <w:jc w:val="center"/>
        <w:textAlignment w:val="auto"/>
        <w:rPr>
          <w:rFonts w:hint="eastAsia" w:ascii="仿宋" w:hAnsi="仿宋" w:eastAsia="仿宋" w:cs="仿宋"/>
          <w:color w:val="auto"/>
          <w:sz w:val="36"/>
          <w:szCs w:val="36"/>
          <w:highlight w:val="none"/>
        </w:rPr>
      </w:pPr>
      <w:r>
        <w:rPr>
          <w:rFonts w:hint="eastAsia" w:ascii="仿宋" w:hAnsi="仿宋" w:eastAsia="仿宋" w:cs="仿宋"/>
          <w:b/>
          <w:color w:val="auto"/>
          <w:sz w:val="36"/>
          <w:szCs w:val="36"/>
          <w:highlight w:val="none"/>
        </w:rPr>
        <w:t>质 保 承 诺 书</w:t>
      </w:r>
    </w:p>
    <w:p w14:paraId="0A2C666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u w:val="single"/>
          <w:lang w:bidi="ar"/>
        </w:rPr>
      </w:pPr>
      <w:r>
        <w:rPr>
          <w:rFonts w:hint="eastAsia" w:ascii="仿宋" w:hAnsi="仿宋" w:eastAsia="仿宋" w:cs="仿宋"/>
          <w:color w:val="auto"/>
          <w:kern w:val="0"/>
          <w:sz w:val="24"/>
          <w:szCs w:val="24"/>
          <w:highlight w:val="none"/>
          <w:u w:val="single"/>
          <w:lang w:val="en-US" w:eastAsia="zh-CN" w:bidi="ar"/>
        </w:rPr>
        <w:t>启东港腾资产经营管理有限公司</w:t>
      </w:r>
      <w:r>
        <w:rPr>
          <w:rFonts w:hint="eastAsia" w:ascii="仿宋" w:hAnsi="仿宋" w:eastAsia="仿宋" w:cs="仿宋"/>
          <w:color w:val="auto"/>
          <w:sz w:val="24"/>
          <w:szCs w:val="24"/>
          <w:highlight w:val="none"/>
          <w:lang w:bidi="ar"/>
        </w:rPr>
        <w:t>：</w:t>
      </w:r>
    </w:p>
    <w:p w14:paraId="1645488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（报价供应商全称）</w:t>
      </w:r>
      <w:r>
        <w:rPr>
          <w:rFonts w:hint="eastAsia" w:ascii="仿宋" w:hAnsi="仿宋" w:eastAsia="仿宋" w:cs="仿宋"/>
          <w:color w:val="auto"/>
          <w:sz w:val="28"/>
          <w:szCs w:val="28"/>
          <w:highlight w:val="none"/>
        </w:rPr>
        <w:t>授权</w:t>
      </w:r>
      <w:r>
        <w:rPr>
          <w:rFonts w:hint="eastAsia" w:ascii="仿宋" w:hAnsi="仿宋" w:eastAsia="仿宋" w:cs="仿宋"/>
          <w:color w:val="auto"/>
          <w:sz w:val="28"/>
          <w:szCs w:val="28"/>
          <w:highlight w:val="none"/>
          <w:u w:val="single"/>
        </w:rPr>
        <w:t>（姓  名）（职  务）</w:t>
      </w:r>
      <w:r>
        <w:rPr>
          <w:rFonts w:hint="eastAsia" w:ascii="仿宋" w:hAnsi="仿宋" w:eastAsia="仿宋" w:cs="仿宋"/>
          <w:color w:val="auto"/>
          <w:sz w:val="28"/>
          <w:szCs w:val="28"/>
          <w:highlight w:val="none"/>
        </w:rPr>
        <w:t>为全权代表，参加</w:t>
      </w:r>
      <w:r>
        <w:rPr>
          <w:rFonts w:hint="eastAsia" w:ascii="仿宋" w:hAnsi="仿宋" w:eastAsia="仿宋" w:cs="仿宋"/>
          <w:color w:val="auto"/>
          <w:sz w:val="28"/>
          <w:szCs w:val="28"/>
          <w:highlight w:val="none"/>
          <w:lang w:val="en-US" w:eastAsia="zh-CN"/>
        </w:rPr>
        <w:t>2025年吕四港镇</w:t>
      </w:r>
      <w:r>
        <w:rPr>
          <w:rFonts w:hint="eastAsia" w:ascii="仿宋" w:hAnsi="仿宋" w:eastAsia="仿宋" w:cs="仿宋"/>
          <w:b w:val="0"/>
          <w:bCs/>
          <w:color w:val="auto"/>
          <w:spacing w:val="-2"/>
          <w:w w:val="100"/>
          <w:kern w:val="2"/>
          <w:position w:val="0"/>
          <w:sz w:val="28"/>
          <w:szCs w:val="28"/>
          <w:highlight w:val="none"/>
          <w:u w:val="none"/>
          <w:shd w:val="clear" w:color="auto" w:fill="auto"/>
          <w:lang w:val="en-US" w:eastAsia="zh-CN" w:bidi="ar-SA"/>
        </w:rPr>
        <w:t>仙渔小镇视频监控系统安装项目</w:t>
      </w:r>
      <w:r>
        <w:rPr>
          <w:rFonts w:hint="eastAsia" w:ascii="仿宋" w:hAnsi="仿宋" w:eastAsia="仿宋" w:cs="仿宋"/>
          <w:color w:val="auto"/>
          <w:sz w:val="28"/>
          <w:szCs w:val="28"/>
          <w:highlight w:val="none"/>
        </w:rPr>
        <w:t>的有关活动，并宣布同意如下：</w:t>
      </w:r>
    </w:p>
    <w:p w14:paraId="2C1C97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1.我方保证提供的货物的完全符合本</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color w:val="auto"/>
          <w:sz w:val="28"/>
          <w:szCs w:val="28"/>
          <w:highlight w:val="none"/>
        </w:rPr>
        <w:t>的要求，如有负偏离视为验收不合格，我方承担所有损失。</w:t>
      </w:r>
    </w:p>
    <w:p w14:paraId="7242BAD6">
      <w:pPr>
        <w:pStyle w:val="32"/>
        <w:keepNext w:val="0"/>
        <w:keepLines w:val="0"/>
        <w:pageBreakBefore w:val="0"/>
        <w:kinsoku/>
        <w:wordWrap/>
        <w:overflowPunct/>
        <w:topLinePunct w:val="0"/>
        <w:bidi w:val="0"/>
        <w:spacing w:line="58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2.我方提供的所有货物免费上门质保期为</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（从验收合格之日起）。</w:t>
      </w:r>
    </w:p>
    <w:p w14:paraId="4095D002">
      <w:pPr>
        <w:pStyle w:val="32"/>
        <w:keepNext w:val="0"/>
        <w:keepLines w:val="0"/>
        <w:pageBreakBefore w:val="0"/>
        <w:kinsoku/>
        <w:wordWrap/>
        <w:overflowPunct/>
        <w:topLinePunct w:val="0"/>
        <w:bidi w:val="0"/>
        <w:spacing w:line="58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3.</w:t>
      </w:r>
      <w:r>
        <w:rPr>
          <w:rFonts w:hint="eastAsia" w:ascii="仿宋" w:hAnsi="仿宋" w:eastAsia="仿宋" w:cs="仿宋"/>
          <w:color w:val="auto"/>
          <w:sz w:val="28"/>
          <w:szCs w:val="28"/>
          <w:highlight w:val="none"/>
          <w:lang w:val="en-US" w:eastAsia="zh-CN"/>
        </w:rPr>
        <w:t>质保期内，成交供应商应免费维修，成交供应商在接到用户单位电话维修通知后，成交供应商应在12小时之内响应，并在48小时内完成修复或更换，如成交供应商不能及时响应的，采购人有权另行安排其他队伍进行修复，所产生的维修费用从合同价款中直接扣除。供应商超时或未在规定的时间内及时处理故障，每次罚1000元扣款。在质保期内，同一商品、同一质量问题连续两次维修仍无法正常使用，投标人无条件给予全套更新。</w:t>
      </w:r>
    </w:p>
    <w:p w14:paraId="2A42E0C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与本项目有关的一切往来通讯请寄：</w:t>
      </w:r>
    </w:p>
    <w:p w14:paraId="1241355C">
      <w:pPr>
        <w:pStyle w:val="9"/>
        <w:rPr>
          <w:rFonts w:hint="eastAsia" w:ascii="仿宋" w:hAnsi="仿宋" w:eastAsia="仿宋" w:cs="仿宋"/>
          <w:color w:val="auto"/>
          <w:highlight w:val="none"/>
        </w:rPr>
      </w:pPr>
    </w:p>
    <w:p w14:paraId="581F1D4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邮编：</w:t>
      </w:r>
      <w:r>
        <w:rPr>
          <w:rFonts w:hint="eastAsia" w:ascii="仿宋" w:hAnsi="仿宋" w:eastAsia="仿宋" w:cs="仿宋"/>
          <w:color w:val="auto"/>
          <w:sz w:val="28"/>
          <w:szCs w:val="28"/>
          <w:highlight w:val="none"/>
          <w:u w:val="single"/>
        </w:rPr>
        <w:t>　　　　　　　　　</w:t>
      </w:r>
    </w:p>
    <w:p w14:paraId="05FEA88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传真：</w:t>
      </w:r>
      <w:r>
        <w:rPr>
          <w:rFonts w:hint="eastAsia" w:ascii="仿宋" w:hAnsi="仿宋" w:eastAsia="仿宋" w:cs="仿宋"/>
          <w:color w:val="auto"/>
          <w:sz w:val="28"/>
          <w:szCs w:val="28"/>
          <w:highlight w:val="none"/>
          <w:u w:val="single"/>
        </w:rPr>
        <w:t>　　　　　　　　　</w:t>
      </w:r>
    </w:p>
    <w:p w14:paraId="48A7F9B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报价单位代表：</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w:t>
      </w:r>
    </w:p>
    <w:p w14:paraId="3D2660A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代表移动电话：</w:t>
      </w:r>
      <w:r>
        <w:rPr>
          <w:rFonts w:hint="eastAsia" w:ascii="仿宋" w:hAnsi="仿宋" w:eastAsia="仿宋" w:cs="仿宋"/>
          <w:color w:val="auto"/>
          <w:sz w:val="28"/>
          <w:szCs w:val="28"/>
          <w:highlight w:val="none"/>
          <w:u w:val="single"/>
        </w:rPr>
        <w:t>　　　　　　　　　</w:t>
      </w:r>
    </w:p>
    <w:p w14:paraId="4A9DDC3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供应商（盖公章）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w:t>
      </w:r>
    </w:p>
    <w:p w14:paraId="73C7B418">
      <w:pPr>
        <w:snapToGrid w:val="0"/>
        <w:spacing w:line="300" w:lineRule="auto"/>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8"/>
          <w:szCs w:val="28"/>
          <w:highlight w:val="none"/>
        </w:rPr>
        <w:t xml:space="preserve">                                        年    月    日</w:t>
      </w:r>
    </w:p>
    <w:p w14:paraId="4877FDEE">
      <w:pPr>
        <w:rPr>
          <w:rFonts w:hint="eastAsia" w:ascii="仿宋" w:hAnsi="仿宋" w:eastAsia="仿宋" w:cs="仿宋"/>
          <w:b/>
          <w:color w:val="auto"/>
          <w:sz w:val="30"/>
          <w:szCs w:val="30"/>
          <w:highlight w:val="none"/>
          <w:lang w:bidi="ar"/>
        </w:rPr>
      </w:pPr>
      <w:r>
        <w:rPr>
          <w:rFonts w:hint="eastAsia" w:ascii="仿宋" w:hAnsi="仿宋" w:eastAsia="仿宋" w:cs="仿宋"/>
          <w:b/>
          <w:color w:val="auto"/>
          <w:sz w:val="30"/>
          <w:szCs w:val="30"/>
          <w:highlight w:val="none"/>
          <w:lang w:bidi="ar"/>
        </w:rPr>
        <w:br w:type="page"/>
      </w:r>
    </w:p>
    <w:p w14:paraId="02C60865">
      <w:pPr>
        <w:spacing w:line="312"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5</w:t>
      </w:r>
    </w:p>
    <w:p w14:paraId="04B20DE5">
      <w:pPr>
        <w:spacing w:line="440" w:lineRule="exact"/>
        <w:ind w:firstLine="602" w:firstLineChars="200"/>
        <w:jc w:val="center"/>
        <w:rPr>
          <w:rFonts w:hint="eastAsia" w:ascii="仿宋" w:hAnsi="仿宋" w:eastAsia="仿宋" w:cs="仿宋"/>
          <w:b/>
          <w:color w:val="auto"/>
          <w:sz w:val="30"/>
          <w:szCs w:val="30"/>
          <w:highlight w:val="none"/>
          <w:lang w:bidi="ar"/>
        </w:rPr>
      </w:pPr>
    </w:p>
    <w:p w14:paraId="42DF0A25">
      <w:pPr>
        <w:spacing w:line="440" w:lineRule="exact"/>
        <w:ind w:firstLine="602" w:firstLineChars="20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30"/>
          <w:szCs w:val="30"/>
          <w:highlight w:val="none"/>
          <w:lang w:bidi="ar"/>
        </w:rPr>
        <w:t>参加政府采购活动前 3 年内在经营活动中没有重大违法记</w:t>
      </w:r>
      <w:r>
        <w:rPr>
          <w:rFonts w:hint="eastAsia" w:ascii="仿宋" w:hAnsi="仿宋" w:eastAsia="仿宋" w:cs="仿宋"/>
          <w:b/>
          <w:bCs/>
          <w:color w:val="auto"/>
          <w:sz w:val="30"/>
          <w:szCs w:val="30"/>
          <w:highlight w:val="none"/>
          <w:lang w:bidi="ar"/>
        </w:rPr>
        <w:t>录和失信记录的书面声明</w:t>
      </w:r>
    </w:p>
    <w:p w14:paraId="2E14D3D0">
      <w:pPr>
        <w:spacing w:line="440" w:lineRule="exact"/>
        <w:rPr>
          <w:rFonts w:hint="eastAsia" w:ascii="仿宋" w:hAnsi="仿宋" w:eastAsia="仿宋" w:cs="仿宋"/>
          <w:b/>
          <w:color w:val="auto"/>
          <w:sz w:val="44"/>
          <w:szCs w:val="44"/>
          <w:highlight w:val="none"/>
        </w:rPr>
      </w:pPr>
      <w:r>
        <w:rPr>
          <w:rFonts w:hint="eastAsia" w:ascii="仿宋" w:hAnsi="仿宋" w:eastAsia="仿宋" w:cs="仿宋"/>
          <w:b/>
          <w:color w:val="auto"/>
          <w:sz w:val="24"/>
          <w:szCs w:val="24"/>
          <w:highlight w:val="none"/>
          <w:lang w:bidi="ar"/>
        </w:rPr>
        <w:t xml:space="preserve">                       </w:t>
      </w:r>
      <w:r>
        <w:rPr>
          <w:rFonts w:hint="eastAsia" w:ascii="仿宋" w:hAnsi="仿宋" w:eastAsia="仿宋" w:cs="仿宋"/>
          <w:b/>
          <w:color w:val="auto"/>
          <w:sz w:val="44"/>
          <w:szCs w:val="44"/>
          <w:highlight w:val="none"/>
          <w:lang w:bidi="ar"/>
        </w:rPr>
        <w:t xml:space="preserve">   </w:t>
      </w:r>
    </w:p>
    <w:p w14:paraId="6FAEC119">
      <w:pPr>
        <w:spacing w:line="44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bidi="ar"/>
        </w:rPr>
        <w:t>声  明</w:t>
      </w:r>
    </w:p>
    <w:p w14:paraId="3372BE81">
      <w:pPr>
        <w:spacing w:line="440" w:lineRule="exact"/>
        <w:ind w:firstLine="881"/>
        <w:jc w:val="center"/>
        <w:rPr>
          <w:rFonts w:hint="eastAsia" w:ascii="仿宋" w:hAnsi="仿宋" w:eastAsia="仿宋" w:cs="仿宋"/>
          <w:b/>
          <w:color w:val="auto"/>
          <w:sz w:val="44"/>
          <w:szCs w:val="44"/>
          <w:highlight w:val="none"/>
        </w:rPr>
      </w:pPr>
    </w:p>
    <w:p w14:paraId="2DC401DA">
      <w:pPr>
        <w:spacing w:line="600" w:lineRule="exact"/>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我公司郑重声明：参加本次政府采购活动前 3 年内，我公司在经营活动中没有因违法经营受到刑事处罚或者责令停产停业、吊销许可证或者执照、较大数额罚款等行政处罚。</w:t>
      </w:r>
    </w:p>
    <w:p w14:paraId="0DB988BD">
      <w:pPr>
        <w:spacing w:line="600" w:lineRule="exact"/>
        <w:ind w:firstLine="482"/>
        <w:rPr>
          <w:rFonts w:hint="eastAsia" w:ascii="仿宋" w:hAnsi="仿宋" w:eastAsia="仿宋" w:cs="仿宋"/>
          <w:color w:val="auto"/>
          <w:sz w:val="24"/>
          <w:szCs w:val="24"/>
          <w:highlight w:val="none"/>
          <w:lang w:bidi="ar"/>
        </w:rPr>
      </w:pPr>
      <w:r>
        <w:rPr>
          <w:rFonts w:hint="eastAsia" w:ascii="仿宋" w:hAnsi="仿宋" w:eastAsia="仿宋" w:cs="仿宋"/>
          <w:bCs/>
          <w:color w:val="auto"/>
          <w:sz w:val="24"/>
          <w:szCs w:val="24"/>
          <w:highlight w:val="none"/>
          <w:lang w:bidi="ar"/>
        </w:rPr>
        <w:t>在</w:t>
      </w:r>
      <w:r>
        <w:rPr>
          <w:rFonts w:hint="eastAsia" w:ascii="仿宋" w:hAnsi="仿宋" w:eastAsia="仿宋" w:cs="仿宋"/>
          <w:color w:val="auto"/>
          <w:sz w:val="24"/>
          <w:szCs w:val="24"/>
          <w:highlight w:val="none"/>
          <w:lang w:bidi="ar"/>
        </w:rPr>
        <w:t>投标截止时间节点，没有被“信用中国”网站列入失信被执行人、重大税收违法案件当事人名单、政府采购严重违法失信行为记录名单。</w:t>
      </w:r>
    </w:p>
    <w:p w14:paraId="6C388553">
      <w:pPr>
        <w:pStyle w:val="9"/>
        <w:rPr>
          <w:rFonts w:hint="eastAsia" w:ascii="仿宋" w:hAnsi="仿宋" w:eastAsia="仿宋" w:cs="仿宋"/>
          <w:color w:val="auto"/>
          <w:sz w:val="24"/>
          <w:szCs w:val="24"/>
          <w:highlight w:val="none"/>
          <w:lang w:bidi="ar"/>
        </w:rPr>
      </w:pPr>
    </w:p>
    <w:p w14:paraId="566448AA">
      <w:pPr>
        <w:pStyle w:val="9"/>
        <w:rPr>
          <w:rFonts w:hint="eastAsia" w:ascii="仿宋" w:hAnsi="仿宋" w:eastAsia="仿宋" w:cs="仿宋"/>
          <w:color w:val="auto"/>
          <w:sz w:val="24"/>
          <w:szCs w:val="24"/>
          <w:highlight w:val="none"/>
          <w:lang w:bidi="ar"/>
        </w:rPr>
      </w:pPr>
    </w:p>
    <w:p w14:paraId="550BEB90">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供应商（</w:t>
      </w:r>
      <w:r>
        <w:rPr>
          <w:rFonts w:hint="eastAsia" w:ascii="仿宋" w:hAnsi="仿宋" w:eastAsia="仿宋" w:cs="仿宋"/>
          <w:bCs/>
          <w:color w:val="auto"/>
          <w:sz w:val="24"/>
          <w:szCs w:val="24"/>
          <w:highlight w:val="none"/>
          <w:lang w:eastAsia="zh-CN" w:bidi="ar"/>
        </w:rPr>
        <w:t>盖公章</w:t>
      </w:r>
      <w:r>
        <w:rPr>
          <w:rFonts w:hint="eastAsia" w:ascii="仿宋" w:hAnsi="仿宋" w:eastAsia="仿宋" w:cs="仿宋"/>
          <w:bCs/>
          <w:color w:val="auto"/>
          <w:sz w:val="24"/>
          <w:szCs w:val="24"/>
          <w:highlight w:val="none"/>
          <w:lang w:bidi="ar"/>
        </w:rPr>
        <w:t>）：</w:t>
      </w:r>
    </w:p>
    <w:p w14:paraId="1DDF0C17">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w:t>
      </w:r>
      <w:r>
        <w:rPr>
          <w:rFonts w:hint="eastAsia" w:ascii="仿宋" w:hAnsi="仿宋" w:eastAsia="仿宋" w:cs="仿宋"/>
          <w:bCs/>
          <w:color w:val="auto"/>
          <w:sz w:val="24"/>
          <w:szCs w:val="24"/>
          <w:highlight w:val="none"/>
          <w:lang w:val="en-US" w:eastAsia="zh-CN" w:bidi="ar"/>
        </w:rPr>
        <w:t xml:space="preserve">          </w:t>
      </w:r>
      <w:r>
        <w:rPr>
          <w:rFonts w:hint="eastAsia" w:ascii="仿宋" w:hAnsi="仿宋" w:eastAsia="仿宋" w:cs="仿宋"/>
          <w:bCs/>
          <w:color w:val="auto"/>
          <w:sz w:val="24"/>
          <w:szCs w:val="24"/>
          <w:highlight w:val="none"/>
          <w:lang w:bidi="ar"/>
        </w:rPr>
        <w:t xml:space="preserve"> </w:t>
      </w:r>
      <w:r>
        <w:rPr>
          <w:rFonts w:hint="eastAsia" w:ascii="仿宋" w:hAnsi="仿宋" w:eastAsia="仿宋" w:cs="仿宋"/>
          <w:color w:val="auto"/>
          <w:sz w:val="24"/>
          <w:szCs w:val="24"/>
          <w:highlight w:val="none"/>
        </w:rPr>
        <w:t>法定代表人或被授权人（签字或盖章）：</w:t>
      </w:r>
      <w:r>
        <w:rPr>
          <w:rFonts w:hint="eastAsia" w:ascii="仿宋" w:hAnsi="仿宋" w:eastAsia="仿宋" w:cs="仿宋"/>
          <w:bCs/>
          <w:color w:val="auto"/>
          <w:sz w:val="24"/>
          <w:szCs w:val="24"/>
          <w:highlight w:val="none"/>
          <w:lang w:bidi="ar"/>
        </w:rPr>
        <w:t>_________</w:t>
      </w:r>
    </w:p>
    <w:p w14:paraId="3147B177">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日期：______年</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月</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日</w:t>
      </w:r>
    </w:p>
    <w:p w14:paraId="57F89975">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EAD3CD5">
      <w:pPr>
        <w:pStyle w:val="15"/>
        <w:widowControl w:val="0"/>
        <w:spacing w:line="400" w:lineRule="exact"/>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6</w:t>
      </w:r>
    </w:p>
    <w:p w14:paraId="17583665">
      <w:pPr>
        <w:pStyle w:val="7"/>
        <w:spacing w:line="440" w:lineRule="exact"/>
        <w:ind w:firstLine="0"/>
        <w:jc w:val="center"/>
        <w:outlineLvl w:val="0"/>
        <w:rPr>
          <w:rFonts w:cs="仿宋" w:asciiTheme="minorEastAsia" w:hAnsiTheme="minorEastAsia" w:eastAsiaTheme="minorEastAsia"/>
          <w:b/>
          <w:bCs/>
          <w:color w:val="000000"/>
          <w:sz w:val="40"/>
          <w:szCs w:val="40"/>
          <w:highlight w:val="none"/>
        </w:rPr>
      </w:pPr>
      <w:r>
        <w:rPr>
          <w:rFonts w:hint="eastAsia" w:cs="仿宋" w:asciiTheme="minorEastAsia" w:hAnsiTheme="minorEastAsia" w:eastAsiaTheme="minorEastAsia"/>
          <w:b/>
          <w:bCs/>
          <w:color w:val="000000"/>
          <w:sz w:val="40"/>
          <w:szCs w:val="40"/>
          <w:highlight w:val="none"/>
        </w:rPr>
        <w:t>投标函</w:t>
      </w:r>
    </w:p>
    <w:p w14:paraId="34AEC292">
      <w:pPr>
        <w:pStyle w:val="7"/>
        <w:spacing w:line="440" w:lineRule="exact"/>
        <w:ind w:firstLine="0"/>
        <w:rPr>
          <w:rFonts w:cs="仿宋" w:asciiTheme="minorEastAsia" w:hAnsiTheme="minorEastAsia" w:eastAsiaTheme="minorEastAsia"/>
          <w:color w:val="000000"/>
          <w:sz w:val="28"/>
          <w:szCs w:val="28"/>
          <w:highlight w:val="none"/>
          <w:u w:val="single"/>
        </w:rPr>
      </w:pPr>
    </w:p>
    <w:p w14:paraId="63F467D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u w:val="single"/>
          <w:lang w:bidi="ar"/>
        </w:rPr>
      </w:pPr>
      <w:r>
        <w:rPr>
          <w:rFonts w:hint="eastAsia" w:ascii="仿宋" w:hAnsi="仿宋" w:eastAsia="仿宋" w:cs="仿宋"/>
          <w:color w:val="auto"/>
          <w:kern w:val="0"/>
          <w:sz w:val="24"/>
          <w:szCs w:val="24"/>
          <w:highlight w:val="none"/>
          <w:u w:val="single"/>
          <w:lang w:val="en-US" w:eastAsia="zh-CN" w:bidi="ar"/>
        </w:rPr>
        <w:t>启东港腾资产经营管理有限公司</w:t>
      </w:r>
      <w:r>
        <w:rPr>
          <w:rFonts w:hint="eastAsia" w:ascii="仿宋" w:hAnsi="仿宋" w:eastAsia="仿宋" w:cs="仿宋"/>
          <w:color w:val="auto"/>
          <w:sz w:val="24"/>
          <w:szCs w:val="24"/>
          <w:highlight w:val="none"/>
          <w:lang w:bidi="ar"/>
        </w:rPr>
        <w:t>：</w:t>
      </w:r>
    </w:p>
    <w:p w14:paraId="32E746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 xml:space="preserve">  </w:t>
      </w:r>
      <w:r>
        <w:rPr>
          <w:rFonts w:hint="eastAsia" w:ascii="仿宋" w:hAnsi="仿宋" w:eastAsia="仿宋" w:cs="仿宋"/>
          <w:bCs/>
          <w:color w:val="auto"/>
          <w:kern w:val="2"/>
          <w:sz w:val="24"/>
          <w:szCs w:val="24"/>
          <w:highlight w:val="none"/>
          <w:lang w:val="en-US" w:eastAsia="zh-CN" w:bidi="ar"/>
        </w:rPr>
        <w:t>贵单位关于2025年吕四港镇</w:t>
      </w:r>
      <w:r>
        <w:rPr>
          <w:rFonts w:hint="eastAsia" w:ascii="仿宋" w:hAnsi="仿宋" w:eastAsia="仿宋" w:cs="仿宋"/>
          <w:b w:val="0"/>
          <w:bCs/>
          <w:color w:val="auto"/>
          <w:spacing w:val="-2"/>
          <w:w w:val="100"/>
          <w:kern w:val="2"/>
          <w:position w:val="0"/>
          <w:sz w:val="24"/>
          <w:szCs w:val="24"/>
          <w:highlight w:val="none"/>
          <w:u w:val="none"/>
          <w:shd w:val="clear" w:color="auto" w:fill="auto"/>
          <w:lang w:val="en-US" w:eastAsia="zh-CN" w:bidi="ar-SA"/>
        </w:rPr>
        <w:t>仙渔小镇视频监控系统安装项目</w:t>
      </w:r>
      <w:r>
        <w:rPr>
          <w:rFonts w:hint="eastAsia" w:ascii="仿宋" w:hAnsi="仿宋" w:eastAsia="仿宋" w:cs="仿宋"/>
          <w:bCs/>
          <w:color w:val="auto"/>
          <w:kern w:val="2"/>
          <w:sz w:val="24"/>
          <w:szCs w:val="24"/>
          <w:highlight w:val="none"/>
          <w:lang w:val="en-US" w:eastAsia="zh-CN" w:bidi="ar"/>
        </w:rPr>
        <w:t>的《询价公告》及相关附件我单位已收悉，并对招标项目的现状及具体招标要求已充分了解并接受。</w:t>
      </w:r>
    </w:p>
    <w:p w14:paraId="2C7441EC">
      <w:pPr>
        <w:pStyle w:val="7"/>
        <w:spacing w:line="440" w:lineRule="exact"/>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Cs/>
          <w:color w:val="auto"/>
          <w:kern w:val="2"/>
          <w:sz w:val="24"/>
          <w:szCs w:val="24"/>
          <w:highlight w:val="none"/>
          <w:lang w:val="en-US" w:eastAsia="zh-CN" w:bidi="ar"/>
        </w:rPr>
        <w:t xml:space="preserve"> 我单位经过对项目现场现状的考察、充分市场调研后，特报价（含税）</w:t>
      </w:r>
      <w:r>
        <w:rPr>
          <w:rFonts w:hint="eastAsia" w:ascii="仿宋" w:hAnsi="仿宋" w:eastAsia="仿宋" w:cs="仿宋"/>
          <w:b/>
          <w:bCs w:val="0"/>
          <w:color w:val="auto"/>
          <w:kern w:val="2"/>
          <w:sz w:val="24"/>
          <w:szCs w:val="24"/>
          <w:highlight w:val="none"/>
          <w:lang w:val="en-US" w:eastAsia="zh-CN" w:bidi="ar"/>
        </w:rPr>
        <w:t>人民币</w:t>
      </w:r>
      <w:r>
        <w:rPr>
          <w:rFonts w:hint="eastAsia" w:ascii="仿宋" w:hAnsi="仿宋" w:eastAsia="仿宋" w:cs="仿宋"/>
          <w:b/>
          <w:bCs w:val="0"/>
          <w:color w:val="auto"/>
          <w:kern w:val="2"/>
          <w:sz w:val="24"/>
          <w:szCs w:val="24"/>
          <w:highlight w:val="none"/>
          <w:u w:val="single"/>
          <w:lang w:val="en-US" w:eastAsia="zh-CN" w:bidi="ar"/>
        </w:rPr>
        <w:t xml:space="preserve">        </w:t>
      </w:r>
      <w:r>
        <w:rPr>
          <w:rFonts w:hint="eastAsia" w:ascii="仿宋" w:hAnsi="仿宋" w:eastAsia="仿宋" w:cs="仿宋"/>
          <w:b/>
          <w:bCs w:val="0"/>
          <w:color w:val="auto"/>
          <w:kern w:val="2"/>
          <w:sz w:val="24"/>
          <w:szCs w:val="24"/>
          <w:highlight w:val="none"/>
          <w:lang w:val="en-US" w:eastAsia="zh-CN" w:bidi="ar"/>
        </w:rPr>
        <w:t>元整（大写人民币</w:t>
      </w:r>
      <w:r>
        <w:rPr>
          <w:rFonts w:hint="eastAsia" w:ascii="仿宋" w:hAnsi="仿宋" w:eastAsia="仿宋" w:cs="仿宋"/>
          <w:b/>
          <w:bCs w:val="0"/>
          <w:color w:val="auto"/>
          <w:kern w:val="2"/>
          <w:sz w:val="24"/>
          <w:szCs w:val="24"/>
          <w:highlight w:val="none"/>
          <w:u w:val="single"/>
          <w:lang w:val="en-US" w:eastAsia="zh-CN" w:bidi="ar"/>
        </w:rPr>
        <w:t xml:space="preserve">         </w:t>
      </w:r>
      <w:r>
        <w:rPr>
          <w:rFonts w:hint="eastAsia" w:ascii="仿宋" w:hAnsi="仿宋" w:eastAsia="仿宋" w:cs="仿宋"/>
          <w:b/>
          <w:bCs w:val="0"/>
          <w:color w:val="auto"/>
          <w:kern w:val="2"/>
          <w:sz w:val="24"/>
          <w:szCs w:val="24"/>
          <w:highlight w:val="none"/>
          <w:lang w:val="en-US" w:eastAsia="zh-CN" w:bidi="ar"/>
        </w:rPr>
        <w:t>元整），清单明细详见报价表。</w:t>
      </w:r>
    </w:p>
    <w:p w14:paraId="007244F8">
      <w:pPr>
        <w:pStyle w:val="7"/>
        <w:spacing w:line="440" w:lineRule="exact"/>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 xml:space="preserve"> 我单位承诺：将严格遵照《中华人民共和国招标投标法》、《中华人民共和国政府采购法》等有关法律法规及《询价公告》要求参与贵单位投标活动，若中标后将积极、善意履约合同，并接受吕四港集团供应商考核办法的约束，《询价公告》和《投标函》及相关文件将构成约束双方合同的一部分。</w:t>
      </w:r>
    </w:p>
    <w:p w14:paraId="2D2EDB0A">
      <w:pPr>
        <w:pStyle w:val="7"/>
        <w:spacing w:line="440" w:lineRule="exact"/>
        <w:rPr>
          <w:rFonts w:hint="eastAsia" w:cs="仿宋" w:asciiTheme="minorEastAsia" w:hAnsiTheme="minorEastAsia" w:eastAsiaTheme="minorEastAsia"/>
          <w:b/>
          <w:kern w:val="2"/>
          <w:sz w:val="28"/>
          <w:szCs w:val="28"/>
          <w:highlight w:val="none"/>
        </w:rPr>
      </w:pPr>
    </w:p>
    <w:p w14:paraId="78E2999A">
      <w:pPr>
        <w:pStyle w:val="7"/>
        <w:spacing w:line="440" w:lineRule="exact"/>
        <w:rPr>
          <w:rFonts w:hint="eastAsia" w:cs="仿宋" w:asciiTheme="minorEastAsia" w:hAnsiTheme="minorEastAsia" w:eastAsiaTheme="minorEastAsia"/>
          <w:b/>
          <w:kern w:val="2"/>
          <w:sz w:val="28"/>
          <w:szCs w:val="28"/>
          <w:highlight w:val="none"/>
        </w:rPr>
      </w:pPr>
    </w:p>
    <w:p w14:paraId="31487A61">
      <w:pPr>
        <w:pStyle w:val="7"/>
        <w:spacing w:line="440" w:lineRule="exact"/>
        <w:rPr>
          <w:rFonts w:hint="eastAsia" w:cs="仿宋" w:asciiTheme="minorEastAsia" w:hAnsiTheme="minorEastAsia" w:eastAsiaTheme="minorEastAsia"/>
          <w:b/>
          <w:kern w:val="2"/>
          <w:sz w:val="28"/>
          <w:szCs w:val="28"/>
          <w:highlight w:val="none"/>
        </w:rPr>
      </w:pPr>
    </w:p>
    <w:p w14:paraId="2790624D">
      <w:pPr>
        <w:pStyle w:val="7"/>
        <w:spacing w:line="440" w:lineRule="exact"/>
        <w:rPr>
          <w:rFonts w:hint="eastAsia" w:cs="仿宋" w:asciiTheme="minorEastAsia" w:hAnsiTheme="minorEastAsia" w:eastAsiaTheme="minorEastAsia"/>
          <w:b/>
          <w:kern w:val="2"/>
          <w:sz w:val="28"/>
          <w:szCs w:val="28"/>
          <w:highlight w:val="none"/>
        </w:rPr>
      </w:pPr>
    </w:p>
    <w:p w14:paraId="31657930">
      <w:pPr>
        <w:spacing w:line="480" w:lineRule="auto"/>
        <w:jc w:val="both"/>
        <w:rPr>
          <w:rFonts w:hint="eastAsia" w:ascii="仿宋" w:hAnsi="仿宋" w:eastAsia="仿宋" w:cs="仿宋"/>
          <w:bCs/>
          <w:color w:val="auto"/>
          <w:kern w:val="2"/>
          <w:sz w:val="24"/>
          <w:szCs w:val="24"/>
          <w:highlight w:val="none"/>
          <w:lang w:val="en-US" w:eastAsia="zh-CN" w:bidi="ar"/>
        </w:rPr>
      </w:pPr>
      <w:r>
        <w:rPr>
          <w:rFonts w:hint="eastAsia" w:ascii="仿宋" w:hAnsi="仿宋" w:eastAsia="仿宋" w:cs="仿宋"/>
          <w:bCs/>
          <w:color w:val="auto"/>
          <w:kern w:val="2"/>
          <w:sz w:val="24"/>
          <w:szCs w:val="24"/>
          <w:highlight w:val="none"/>
          <w:lang w:val="en-US" w:eastAsia="zh-CN" w:bidi="ar"/>
        </w:rPr>
        <w:t>供应商（盖公章）：</w:t>
      </w:r>
    </w:p>
    <w:p w14:paraId="723A012B">
      <w:pPr>
        <w:spacing w:line="480" w:lineRule="auto"/>
        <w:jc w:val="left"/>
        <w:rPr>
          <w:rFonts w:hint="eastAsia" w:ascii="仿宋" w:hAnsi="仿宋" w:eastAsia="仿宋" w:cs="仿宋"/>
          <w:bCs/>
          <w:color w:val="auto"/>
          <w:kern w:val="2"/>
          <w:sz w:val="24"/>
          <w:szCs w:val="24"/>
          <w:highlight w:val="none"/>
          <w:u w:val="single"/>
          <w:lang w:val="en-US" w:eastAsia="zh-CN" w:bidi="ar"/>
        </w:rPr>
      </w:pPr>
      <w:r>
        <w:rPr>
          <w:rFonts w:hint="eastAsia" w:ascii="仿宋" w:hAnsi="仿宋" w:eastAsia="仿宋" w:cs="仿宋"/>
          <w:bCs/>
          <w:color w:val="auto"/>
          <w:kern w:val="2"/>
          <w:sz w:val="24"/>
          <w:szCs w:val="24"/>
          <w:highlight w:val="none"/>
          <w:lang w:val="en-US" w:eastAsia="zh-CN" w:bidi="ar"/>
        </w:rPr>
        <w:t>法定代表人或被授权人（签字或盖章）：</w:t>
      </w:r>
      <w:r>
        <w:rPr>
          <w:rFonts w:hint="eastAsia" w:ascii="仿宋" w:hAnsi="仿宋" w:eastAsia="仿宋" w:cs="仿宋"/>
          <w:bCs/>
          <w:color w:val="auto"/>
          <w:kern w:val="2"/>
          <w:sz w:val="24"/>
          <w:szCs w:val="24"/>
          <w:highlight w:val="none"/>
          <w:u w:val="single"/>
          <w:lang w:val="en-US" w:eastAsia="zh-CN" w:bidi="ar"/>
        </w:rPr>
        <w:t>_________</w:t>
      </w:r>
    </w:p>
    <w:p w14:paraId="3BD37879">
      <w:pPr>
        <w:spacing w:line="480" w:lineRule="auto"/>
        <w:jc w:val="both"/>
        <w:rPr>
          <w:rFonts w:hint="eastAsia" w:ascii="仿宋" w:hAnsi="仿宋" w:eastAsia="仿宋" w:cs="仿宋"/>
          <w:bCs/>
          <w:color w:val="auto"/>
          <w:kern w:val="2"/>
          <w:sz w:val="24"/>
          <w:szCs w:val="24"/>
          <w:highlight w:val="none"/>
          <w:lang w:val="en-US" w:eastAsia="zh-CN" w:bidi="ar"/>
        </w:rPr>
      </w:pPr>
      <w:r>
        <w:rPr>
          <w:rFonts w:hint="eastAsia" w:ascii="仿宋" w:hAnsi="仿宋" w:eastAsia="仿宋" w:cs="仿宋"/>
          <w:bCs/>
          <w:color w:val="auto"/>
          <w:kern w:val="2"/>
          <w:sz w:val="24"/>
          <w:szCs w:val="24"/>
          <w:highlight w:val="none"/>
          <w:lang w:val="en-US" w:eastAsia="zh-CN" w:bidi="ar"/>
        </w:rPr>
        <w:t>日期：</w:t>
      </w:r>
      <w:r>
        <w:rPr>
          <w:rFonts w:hint="eastAsia" w:ascii="仿宋" w:hAnsi="仿宋" w:eastAsia="仿宋" w:cs="仿宋"/>
          <w:bCs/>
          <w:color w:val="auto"/>
          <w:kern w:val="2"/>
          <w:sz w:val="24"/>
          <w:szCs w:val="24"/>
          <w:highlight w:val="none"/>
          <w:u w:val="single"/>
          <w:lang w:val="en-US" w:eastAsia="zh-CN" w:bidi="ar"/>
        </w:rPr>
        <w:t>______</w:t>
      </w:r>
      <w:r>
        <w:rPr>
          <w:rFonts w:hint="eastAsia" w:ascii="仿宋" w:hAnsi="仿宋" w:eastAsia="仿宋" w:cs="仿宋"/>
          <w:bCs/>
          <w:color w:val="auto"/>
          <w:kern w:val="2"/>
          <w:sz w:val="24"/>
          <w:szCs w:val="24"/>
          <w:highlight w:val="none"/>
          <w:lang w:val="en-US" w:eastAsia="zh-CN" w:bidi="ar"/>
        </w:rPr>
        <w:t>年</w:t>
      </w:r>
      <w:r>
        <w:rPr>
          <w:rFonts w:hint="eastAsia" w:ascii="仿宋" w:hAnsi="仿宋" w:eastAsia="仿宋" w:cs="仿宋"/>
          <w:bCs/>
          <w:color w:val="auto"/>
          <w:kern w:val="2"/>
          <w:sz w:val="24"/>
          <w:szCs w:val="24"/>
          <w:highlight w:val="none"/>
          <w:u w:val="single"/>
          <w:lang w:val="en-US" w:eastAsia="zh-CN" w:bidi="ar"/>
        </w:rPr>
        <w:t xml:space="preserve">    </w:t>
      </w:r>
      <w:r>
        <w:rPr>
          <w:rFonts w:hint="eastAsia" w:ascii="仿宋" w:hAnsi="仿宋" w:eastAsia="仿宋" w:cs="仿宋"/>
          <w:bCs/>
          <w:color w:val="auto"/>
          <w:kern w:val="2"/>
          <w:sz w:val="24"/>
          <w:szCs w:val="24"/>
          <w:highlight w:val="none"/>
          <w:lang w:val="en-US" w:eastAsia="zh-CN" w:bidi="ar"/>
        </w:rPr>
        <w:t>月</w:t>
      </w:r>
      <w:r>
        <w:rPr>
          <w:rFonts w:hint="eastAsia" w:ascii="仿宋" w:hAnsi="仿宋" w:eastAsia="仿宋" w:cs="仿宋"/>
          <w:bCs/>
          <w:color w:val="auto"/>
          <w:kern w:val="2"/>
          <w:sz w:val="24"/>
          <w:szCs w:val="24"/>
          <w:highlight w:val="none"/>
          <w:u w:val="single"/>
          <w:lang w:val="en-US" w:eastAsia="zh-CN" w:bidi="ar"/>
        </w:rPr>
        <w:t xml:space="preserve">    </w:t>
      </w:r>
      <w:r>
        <w:rPr>
          <w:rFonts w:hint="eastAsia" w:ascii="仿宋" w:hAnsi="仿宋" w:eastAsia="仿宋" w:cs="仿宋"/>
          <w:bCs/>
          <w:color w:val="auto"/>
          <w:kern w:val="2"/>
          <w:sz w:val="24"/>
          <w:szCs w:val="24"/>
          <w:highlight w:val="none"/>
          <w:lang w:val="en-US" w:eastAsia="zh-CN" w:bidi="ar"/>
        </w:rPr>
        <w:t>日</w:t>
      </w:r>
    </w:p>
    <w:p w14:paraId="144DF01F">
      <w:pPr>
        <w:spacing w:line="480" w:lineRule="auto"/>
        <w:jc w:val="both"/>
        <w:rPr>
          <w:rFonts w:hint="eastAsia" w:ascii="仿宋" w:hAnsi="仿宋" w:eastAsia="仿宋" w:cs="仿宋"/>
          <w:bCs/>
          <w:color w:val="auto"/>
          <w:kern w:val="2"/>
          <w:sz w:val="24"/>
          <w:szCs w:val="24"/>
          <w:highlight w:val="none"/>
          <w:lang w:val="en-US" w:eastAsia="zh-CN" w:bidi="ar"/>
        </w:rPr>
        <w:sectPr>
          <w:footerReference r:id="rId3" w:type="default"/>
          <w:footerReference r:id="rId4" w:type="even"/>
          <w:pgSz w:w="11906" w:h="16838"/>
          <w:pgMar w:top="1440" w:right="1800" w:bottom="1440" w:left="1800" w:header="851" w:footer="992" w:gutter="0"/>
          <w:pgNumType w:fmt="decimal"/>
          <w:cols w:space="720" w:num="1"/>
          <w:docGrid w:linePitch="360" w:charSpace="0"/>
        </w:sectPr>
      </w:pPr>
    </w:p>
    <w:p w14:paraId="04CD5F2E">
      <w:pPr>
        <w:spacing w:line="312"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7</w:t>
      </w:r>
    </w:p>
    <w:p w14:paraId="37D9012B">
      <w:pPr>
        <w:jc w:val="both"/>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分项报价明细表</w:t>
      </w:r>
    </w:p>
    <w:tbl>
      <w:tblPr>
        <w:tblStyle w:val="19"/>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6"/>
        <w:gridCol w:w="5361"/>
        <w:gridCol w:w="741"/>
        <w:gridCol w:w="427"/>
        <w:gridCol w:w="636"/>
        <w:gridCol w:w="427"/>
        <w:gridCol w:w="427"/>
      </w:tblGrid>
      <w:tr w14:paraId="36E7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27" w:type="dxa"/>
            <w:vAlign w:val="center"/>
          </w:tcPr>
          <w:p w14:paraId="7A27EA7E">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序号</w:t>
            </w:r>
          </w:p>
        </w:tc>
        <w:tc>
          <w:tcPr>
            <w:tcW w:w="636" w:type="dxa"/>
            <w:vAlign w:val="center"/>
          </w:tcPr>
          <w:p w14:paraId="19B8D1FB">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名称</w:t>
            </w:r>
          </w:p>
        </w:tc>
        <w:tc>
          <w:tcPr>
            <w:tcW w:w="3216" w:type="dxa"/>
            <w:vAlign w:val="center"/>
          </w:tcPr>
          <w:p w14:paraId="0BC941E1">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参数</w:t>
            </w:r>
          </w:p>
        </w:tc>
        <w:tc>
          <w:tcPr>
            <w:tcW w:w="2574" w:type="dxa"/>
            <w:vAlign w:val="center"/>
          </w:tcPr>
          <w:p w14:paraId="2F18DF10">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推荐品牌</w:t>
            </w:r>
          </w:p>
        </w:tc>
        <w:tc>
          <w:tcPr>
            <w:tcW w:w="427" w:type="dxa"/>
            <w:vAlign w:val="center"/>
          </w:tcPr>
          <w:p w14:paraId="6EA1589D">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计量单位</w:t>
            </w:r>
          </w:p>
        </w:tc>
        <w:tc>
          <w:tcPr>
            <w:tcW w:w="636" w:type="dxa"/>
            <w:vAlign w:val="center"/>
          </w:tcPr>
          <w:p w14:paraId="3FF91DCD">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数量</w:t>
            </w:r>
          </w:p>
        </w:tc>
        <w:tc>
          <w:tcPr>
            <w:tcW w:w="427" w:type="dxa"/>
            <w:vAlign w:val="center"/>
          </w:tcPr>
          <w:p w14:paraId="779301A7">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单价</w:t>
            </w:r>
          </w:p>
        </w:tc>
        <w:tc>
          <w:tcPr>
            <w:tcW w:w="427" w:type="dxa"/>
            <w:vAlign w:val="center"/>
          </w:tcPr>
          <w:p w14:paraId="6910B200">
            <w:pPr>
              <w:snapToGrid w:val="0"/>
              <w:spacing w:line="240" w:lineRule="auto"/>
              <w:ind w:left="0" w:leftChars="0" w:right="0" w:rightChars="0" w:firstLine="0" w:firstLineChars="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金额</w:t>
            </w:r>
          </w:p>
        </w:tc>
      </w:tr>
      <w:tr w14:paraId="7E4D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01866366">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636" w:type="dxa"/>
            <w:vAlign w:val="center"/>
          </w:tcPr>
          <w:p w14:paraId="51A04AFE">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lang w:bidi="ar"/>
              </w:rPr>
              <w:t>400万超星光网络球机</w:t>
            </w:r>
          </w:p>
        </w:tc>
        <w:tc>
          <w:tcPr>
            <w:tcW w:w="3216" w:type="dxa"/>
            <w:vAlign w:val="center"/>
          </w:tcPr>
          <w:p w14:paraId="662BE7AE">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全景细节都采用400万像素1/1.8英寸CMOS 传感器</w:t>
            </w:r>
          </w:p>
          <w:p w14:paraId="5475F856">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内置GPU芯片，支持深度学习算法，有效提升检测准确率</w:t>
            </w:r>
          </w:p>
          <w:p w14:paraId="1A783F80">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细节相机支持25倍光学变倍，16倍数字变倍</w:t>
            </w:r>
          </w:p>
          <w:p w14:paraId="6A20BA0D">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smart事件上报的抓图支持叠加规则区域和目标框：可配置报警抓图叠加目标信息及规则信息，支持开启及关闭；支持设置告警区域最大可包含整个监控画面；支持设置预览画面是否叠加显示规则区域框及告警提示信息。</w:t>
            </w:r>
          </w:p>
          <w:p w14:paraId="6BE86C90">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外壳防护等级检验：样机应符合GB/T4208-2017中1P67等级的要求</w:t>
            </w:r>
          </w:p>
          <w:p w14:paraId="00266C3D">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电源电压在DC36V±50%范围内变化时，样机可正常工作。</w:t>
            </w:r>
          </w:p>
          <w:p w14:paraId="21B7A068">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水平范围：0°～320°垂直范围：-20°～90°。</w:t>
            </w:r>
          </w:p>
          <w:p w14:paraId="6E126523">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可从诊断信息中导出云台控制历史记录，包括：手动键控PTZ、3D定位、手动调用预置点、手动调用花扫、手动调用巡航。</w:t>
            </w:r>
          </w:p>
          <w:p w14:paraId="5C1A87CF">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rPr>
              <w:t>可输出两路视频图像（1路全景视频图像、1路细节视频图像），全景视频图像内置不低于4颗补光灯，细节视频图像内置不低于10颗红外补光灯及1颗白光灯。</w:t>
            </w:r>
          </w:p>
          <w:p w14:paraId="29D5A68D">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★设备具有AI-ISP图像质量提升功能，在低照度环境下，可自动调节预览场景视频画面中人脸、人体、车辆等目标及预览场景视频画面的区域曝光、亮度、色彩饱和度、对比度、锐度等</w:t>
            </w:r>
          </w:p>
          <w:p w14:paraId="17095AAB">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支持对镜头前盖玻璃加热，当环境温度达到预设值时，可自动开启镜头前盖玻璃加热功能，去除玻璃上的冰状和水状附着物。</w:t>
            </w:r>
          </w:p>
        </w:tc>
        <w:tc>
          <w:tcPr>
            <w:tcW w:w="2574" w:type="dxa"/>
            <w:vAlign w:val="center"/>
          </w:tcPr>
          <w:p w14:paraId="5E016AB4">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大华、海康、宇视</w:t>
            </w:r>
          </w:p>
        </w:tc>
        <w:tc>
          <w:tcPr>
            <w:tcW w:w="427" w:type="dxa"/>
            <w:vAlign w:val="center"/>
          </w:tcPr>
          <w:p w14:paraId="500A8F16">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15F522C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427" w:type="dxa"/>
            <w:vAlign w:val="center"/>
          </w:tcPr>
          <w:p w14:paraId="1C9E3E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026EDC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5B85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0B9EB354">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636" w:type="dxa"/>
            <w:vAlign w:val="center"/>
          </w:tcPr>
          <w:p w14:paraId="30ECFC29">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lang w:bidi="ar"/>
              </w:rPr>
              <w:t>400万枪机</w:t>
            </w:r>
          </w:p>
        </w:tc>
        <w:tc>
          <w:tcPr>
            <w:tcW w:w="3216" w:type="dxa"/>
            <w:vAlign w:val="center"/>
          </w:tcPr>
          <w:p w14:paraId="3D12234F">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传感器类型：1/3英寸CMOS；</w:t>
            </w:r>
          </w:p>
          <w:p w14:paraId="31B11AE4">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像素：400万；最大分辨率：2560×1440；</w:t>
            </w:r>
          </w:p>
          <w:p w14:paraId="7C333488">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最低照度：0.01lux（彩色模式）；0.001lux（黑白模式）；0lux（补光灯开启）；</w:t>
            </w:r>
          </w:p>
          <w:p w14:paraId="48C1CBC0">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最大补光距离：50m（红外）；</w:t>
            </w:r>
          </w:p>
          <w:p w14:paraId="38BC1907">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补光灯：2颗（红外灯）；</w:t>
            </w:r>
          </w:p>
          <w:p w14:paraId="5C020474">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镜头类型：定焦；</w:t>
            </w:r>
          </w:p>
          <w:p w14:paraId="2516D390">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智能编码：H.264：支持；H.265：支持；</w:t>
            </w:r>
          </w:p>
          <w:p w14:paraId="24999253">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报警事件：网络断开；IP冲突；非法访问；动态检测；视频遮挡；安全异常；智能动检（人）；</w:t>
            </w:r>
          </w:p>
          <w:p w14:paraId="2C45E431">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接入标准：ONVIF（Profile S &amp; Profile T）；CGI；GB/T28181；</w:t>
            </w:r>
          </w:p>
          <w:p w14:paraId="7AED59D1">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供电方式：DC12V（±30%）；PoE（802.3af）；</w:t>
            </w:r>
          </w:p>
          <w:p w14:paraId="7A34DA54">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防护等级：IP67；</w:t>
            </w:r>
          </w:p>
        </w:tc>
        <w:tc>
          <w:tcPr>
            <w:tcW w:w="2574" w:type="dxa"/>
            <w:vAlign w:val="center"/>
          </w:tcPr>
          <w:p w14:paraId="5E5B60F2">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大华、海康、宇视</w:t>
            </w:r>
          </w:p>
        </w:tc>
        <w:tc>
          <w:tcPr>
            <w:tcW w:w="427" w:type="dxa"/>
            <w:vAlign w:val="center"/>
          </w:tcPr>
          <w:p w14:paraId="35CD0D8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52B169F6">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56</w:t>
            </w:r>
          </w:p>
        </w:tc>
        <w:tc>
          <w:tcPr>
            <w:tcW w:w="427" w:type="dxa"/>
            <w:vAlign w:val="center"/>
          </w:tcPr>
          <w:p w14:paraId="44D122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71B39A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3176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2496BA5F">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636" w:type="dxa"/>
            <w:vAlign w:val="center"/>
          </w:tcPr>
          <w:p w14:paraId="19EEA06D">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硬盘</w:t>
            </w:r>
          </w:p>
        </w:tc>
        <w:tc>
          <w:tcPr>
            <w:tcW w:w="3216" w:type="dxa"/>
            <w:vAlign w:val="center"/>
          </w:tcPr>
          <w:p w14:paraId="5570A256">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8T,</w:t>
            </w:r>
            <w:r>
              <w:rPr>
                <w:rFonts w:hint="eastAsia" w:ascii="宋体" w:hAnsi="宋体" w:eastAsia="宋体" w:cs="宋体"/>
                <w:color w:val="auto"/>
                <w:kern w:val="0"/>
                <w:sz w:val="21"/>
                <w:szCs w:val="21"/>
                <w:lang w:bidi="ar"/>
              </w:rPr>
              <w:t>7200RPM；256M；SATA</w:t>
            </w:r>
          </w:p>
        </w:tc>
        <w:tc>
          <w:tcPr>
            <w:tcW w:w="2574" w:type="dxa"/>
            <w:vAlign w:val="center"/>
          </w:tcPr>
          <w:p w14:paraId="04E714C4">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海康、希捷、西部数据</w:t>
            </w:r>
          </w:p>
        </w:tc>
        <w:tc>
          <w:tcPr>
            <w:tcW w:w="427" w:type="dxa"/>
            <w:vAlign w:val="center"/>
          </w:tcPr>
          <w:p w14:paraId="2BEA4183">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块</w:t>
            </w:r>
          </w:p>
        </w:tc>
        <w:tc>
          <w:tcPr>
            <w:tcW w:w="636" w:type="dxa"/>
            <w:vAlign w:val="center"/>
          </w:tcPr>
          <w:p w14:paraId="42B7294E">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427" w:type="dxa"/>
            <w:vAlign w:val="center"/>
          </w:tcPr>
          <w:p w14:paraId="7A5451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116855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604B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305932E8">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636" w:type="dxa"/>
            <w:vAlign w:val="center"/>
          </w:tcPr>
          <w:p w14:paraId="21B847FE">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lang w:bidi="ar"/>
              </w:rPr>
              <w:t>硬盘录像机</w:t>
            </w:r>
          </w:p>
        </w:tc>
        <w:tc>
          <w:tcPr>
            <w:tcW w:w="3216" w:type="dxa"/>
            <w:vAlign w:val="center"/>
          </w:tcPr>
          <w:p w14:paraId="65F23E1F">
            <w:pPr>
              <w:widowControl/>
              <w:numPr>
                <w:ilvl w:val="0"/>
                <w:numId w:val="2"/>
              </w:numPr>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具有2个HDMI接口、2个VGA接口、2个RJ45网络接口、2个USB2.0接口、2个USB3.0接口、1个RS232接口、2个RS485接口、1个eSata接口；具有1路音频输入接口、2路音频输出接口，16个SATA接口，16个报警输入接口、8个报警输出接口、2个DV12V输出接口</w:t>
            </w:r>
          </w:p>
          <w:p w14:paraId="30CC120C">
            <w:pPr>
              <w:widowControl/>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rPr>
              <w:t>支持64路网络视频接入，支持384Mbps接入、384Mbps存储、384Mbps转发</w:t>
            </w:r>
          </w:p>
          <w:p w14:paraId="17CF60B6">
            <w:pPr>
              <w:widowControl/>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支持前智能：人脸检测比对、周界防范、视频结构化、通用行为分析、立体行为分析、人群分布、人数统计、热度图、车牌识别、SMD功能</w:t>
            </w:r>
          </w:p>
          <w:p w14:paraId="0976CAB9">
            <w:pPr>
              <w:widowControl/>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在专家模式下，支持高空抛物摄像机按视野进行区域划分，并支持轮巡预览。</w:t>
            </w:r>
          </w:p>
          <w:p w14:paraId="7DD02185">
            <w:pPr>
              <w:widowControl/>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rPr>
              <w:t>设备支持分组管理，支持将接入的视频通道按分组管理；支持以分组方式进行预览、回放和检索；自定义视图支持以分组方式拖动通道进行配置。</w:t>
            </w:r>
          </w:p>
          <w:p w14:paraId="540EC60D">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支持32M/24M/16M/12M/8M/6M/5M/4M/3M/1080P/960P/720PIPC分辨率接入</w:t>
            </w:r>
          </w:p>
        </w:tc>
        <w:tc>
          <w:tcPr>
            <w:tcW w:w="2574" w:type="dxa"/>
            <w:vAlign w:val="center"/>
          </w:tcPr>
          <w:p w14:paraId="2342B8B6">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大华、海康、宇视</w:t>
            </w:r>
          </w:p>
        </w:tc>
        <w:tc>
          <w:tcPr>
            <w:tcW w:w="427" w:type="dxa"/>
            <w:vAlign w:val="center"/>
          </w:tcPr>
          <w:p w14:paraId="27C9B1D6">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lang w:eastAsia="zh-CN"/>
              </w:rPr>
              <w:t>台</w:t>
            </w:r>
          </w:p>
        </w:tc>
        <w:tc>
          <w:tcPr>
            <w:tcW w:w="636" w:type="dxa"/>
            <w:vAlign w:val="center"/>
          </w:tcPr>
          <w:p w14:paraId="2B4CB33C">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042FA3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214B91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7D64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2726B42D">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636" w:type="dxa"/>
            <w:vAlign w:val="center"/>
          </w:tcPr>
          <w:p w14:paraId="2A5F0211">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lang w:bidi="ar"/>
              </w:rPr>
              <w:t>核心交换机</w:t>
            </w:r>
          </w:p>
        </w:tc>
        <w:tc>
          <w:tcPr>
            <w:tcW w:w="3216" w:type="dxa"/>
            <w:vAlign w:val="center"/>
          </w:tcPr>
          <w:p w14:paraId="05C76B7C">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1、要求设备千兆SFP光口≥24个，万兆SFP+光口≥4个，双交流电源。不接受RPS电源方式。USB配置接口≥1，Console配置口≥1，Reset键≥1，提供设备正面清晰图片；</w:t>
            </w:r>
          </w:p>
          <w:p w14:paraId="5808C8CF">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2、交换容量≥598Gbps/5.98Tbps，包转发率≥216Mpps/2160Mpps；</w:t>
            </w:r>
          </w:p>
          <w:p w14:paraId="19BFBC14">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3、支持4K个802.1Q VLAN，Super vlan，支持基于端口、MAC、IP子网、协议的VLAN；</w:t>
            </w:r>
          </w:p>
          <w:p w14:paraId="3DF0E583">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4、</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vertAlign w:val="baseline"/>
                <w:lang w:eastAsia="zh-CN"/>
              </w:rPr>
              <w:t>支持≥8台横向虚拟化功能，实现多个物理设备虚拟为一个逻辑设备进行管理的虚拟化功能。同时支持纵向虚拟化功能，接入交换机作为核心交换机的端口扩展板卡进行配置统一管理, 支持≥128台设备虚拟成一台设备。</w:t>
            </w:r>
          </w:p>
          <w:p w14:paraId="100C0807">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5、支持MAC绑定，ACL，风暴抑制，支持用户访问控制；</w:t>
            </w:r>
          </w:p>
          <w:p w14:paraId="3BBCDD95">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6、支持安全审计功能，安全日志功能，操作日志功能；</w:t>
            </w:r>
          </w:p>
          <w:p w14:paraId="26B7A407">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7、</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vertAlign w:val="baseline"/>
                <w:lang w:eastAsia="zh-CN"/>
              </w:rPr>
              <w:t xml:space="preserve">支持CPU保护功能，如ICMP Flood拦截、SYN Flood攻击拦截等，CPU根据不同协议进行限速保护，支持MSTP协议国密算法加密，RIP、OSPF协议支持国密认证算法，支持配置文件国密算法加密，防护设备配置环境信息泄漏； </w:t>
            </w:r>
          </w:p>
        </w:tc>
        <w:tc>
          <w:tcPr>
            <w:tcW w:w="2574" w:type="dxa"/>
            <w:vAlign w:val="center"/>
          </w:tcPr>
          <w:p w14:paraId="74B38345">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rPr>
              <w:t>迈普、大华、海康</w:t>
            </w:r>
            <w:r>
              <w:rPr>
                <w:rFonts w:hint="eastAsia" w:ascii="宋体" w:hAnsi="宋体" w:eastAsia="宋体" w:cs="宋体"/>
                <w:color w:val="auto"/>
                <w:sz w:val="21"/>
                <w:szCs w:val="21"/>
                <w:lang w:eastAsia="zh-CN"/>
              </w:rPr>
              <w:t>、华三</w:t>
            </w:r>
          </w:p>
        </w:tc>
        <w:tc>
          <w:tcPr>
            <w:tcW w:w="427" w:type="dxa"/>
            <w:vAlign w:val="center"/>
          </w:tcPr>
          <w:p w14:paraId="251688D3">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21BB9CAB">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2BC9AB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44F903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46DF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75E6047F">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636" w:type="dxa"/>
            <w:vAlign w:val="center"/>
          </w:tcPr>
          <w:p w14:paraId="40315A33">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POE千兆交换机</w:t>
            </w:r>
          </w:p>
        </w:tc>
        <w:tc>
          <w:tcPr>
            <w:tcW w:w="3216" w:type="dxa"/>
            <w:vAlign w:val="center"/>
          </w:tcPr>
          <w:p w14:paraId="0EF34820">
            <w:pPr>
              <w:widowControl/>
              <w:snapToGrid w:val="0"/>
              <w:ind w:left="0" w:leftChars="0" w:right="0" w:rightChars="0" w:firstLine="0" w:firstLineChars="0"/>
              <w:jc w:val="left"/>
              <w:textAlignment w:val="top"/>
              <w:rPr>
                <w:rFonts w:ascii="宋体" w:hAnsi="宋体" w:eastAsia="宋体" w:cs="宋体"/>
                <w:kern w:val="0"/>
                <w:sz w:val="21"/>
                <w:szCs w:val="21"/>
                <w:lang w:bidi="ar"/>
              </w:rPr>
            </w:pPr>
            <w:r>
              <w:rPr>
                <w:rFonts w:hint="eastAsia" w:ascii="宋体" w:hAnsi="宋体" w:eastAsia="宋体" w:cs="宋体"/>
                <w:kern w:val="0"/>
                <w:sz w:val="21"/>
                <w:szCs w:val="21"/>
                <w:lang w:bidi="ar"/>
              </w:rPr>
              <w:t>1、要求设备千兆电口≥24个，千兆光口≥2个，支持POE，POE输出功率≥370W，金属外壳，标准1U设备，19寸机柜安装；</w:t>
            </w:r>
          </w:p>
          <w:p w14:paraId="33FE89C2">
            <w:pPr>
              <w:widowControl/>
              <w:snapToGrid w:val="0"/>
              <w:ind w:left="0" w:leftChars="0" w:right="0" w:rightChars="0" w:firstLine="0" w:firstLineChars="0"/>
              <w:jc w:val="left"/>
              <w:textAlignment w:val="top"/>
              <w:rPr>
                <w:rFonts w:ascii="宋体" w:hAnsi="宋体" w:eastAsia="宋体" w:cs="宋体"/>
                <w:kern w:val="0"/>
                <w:sz w:val="21"/>
                <w:szCs w:val="21"/>
                <w:lang w:bidi="ar"/>
              </w:rPr>
            </w:pPr>
            <w:r>
              <w:rPr>
                <w:rFonts w:hint="eastAsia" w:ascii="宋体" w:hAnsi="宋体" w:eastAsia="宋体" w:cs="宋体"/>
                <w:kern w:val="0"/>
                <w:sz w:val="21"/>
                <w:szCs w:val="21"/>
                <w:lang w:bidi="ar"/>
              </w:rPr>
              <w:t>2、交换容量≥52Gbps，包转发率≥38.69Mpps；</w:t>
            </w:r>
          </w:p>
          <w:p w14:paraId="098B422E">
            <w:pPr>
              <w:widowControl/>
              <w:snapToGrid w:val="0"/>
              <w:ind w:left="0" w:leftChars="0" w:right="0" w:rightChars="0" w:firstLine="0" w:firstLineChars="0"/>
              <w:jc w:val="left"/>
              <w:textAlignment w:val="top"/>
              <w:rPr>
                <w:rFonts w:ascii="宋体" w:hAnsi="宋体" w:eastAsia="宋体" w:cs="宋体"/>
                <w:kern w:val="0"/>
                <w:sz w:val="21"/>
                <w:szCs w:val="21"/>
                <w:lang w:bidi="ar"/>
              </w:rPr>
            </w:pPr>
            <w:r>
              <w:rPr>
                <w:rFonts w:hint="eastAsia" w:ascii="宋体" w:hAnsi="宋体" w:eastAsia="宋体" w:cs="宋体"/>
                <w:kern w:val="0"/>
                <w:sz w:val="21"/>
                <w:szCs w:val="21"/>
                <w:lang w:bidi="ar"/>
              </w:rPr>
              <w:t>3、支持端口延长开关及VLAN开关；</w:t>
            </w:r>
          </w:p>
          <w:p w14:paraId="3A98D49B">
            <w:pPr>
              <w:widowControl/>
              <w:snapToGrid w:val="0"/>
              <w:ind w:left="0" w:leftChars="0" w:right="0" w:rightChars="0" w:firstLine="0" w:firstLineChars="0"/>
              <w:jc w:val="left"/>
              <w:textAlignment w:val="top"/>
              <w:rPr>
                <w:rFonts w:ascii="宋体" w:hAnsi="宋体" w:eastAsia="宋体" w:cs="宋体"/>
                <w:kern w:val="0"/>
                <w:sz w:val="21"/>
                <w:szCs w:val="21"/>
                <w:lang w:bidi="ar"/>
              </w:rPr>
            </w:pPr>
            <w:r>
              <w:rPr>
                <w:rFonts w:hint="eastAsia" w:ascii="宋体" w:hAnsi="宋体" w:eastAsia="宋体" w:cs="宋体"/>
                <w:kern w:val="0"/>
                <w:sz w:val="21"/>
                <w:szCs w:val="21"/>
                <w:lang w:bidi="ar"/>
              </w:rPr>
              <w:t>4、相关产品对外界辐射、干扰、以及设备本身抗干扰能力等应符合国内、国际标准。</w:t>
            </w:r>
          </w:p>
          <w:p w14:paraId="299752CC">
            <w:pPr>
              <w:widowControl/>
              <w:snapToGrid w:val="0"/>
              <w:spacing w:line="240" w:lineRule="auto"/>
              <w:jc w:val="left"/>
              <w:textAlignment w:val="top"/>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、相关产品所用材料应满足绿色环保要求，相关限制类重金属含量在标准范围之内。</w:t>
            </w:r>
          </w:p>
        </w:tc>
        <w:tc>
          <w:tcPr>
            <w:tcW w:w="2574" w:type="dxa"/>
            <w:vAlign w:val="center"/>
          </w:tcPr>
          <w:p w14:paraId="2DD4C246">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迈普、大华、海康</w:t>
            </w:r>
            <w:r>
              <w:rPr>
                <w:rFonts w:hint="eastAsia" w:ascii="宋体" w:hAnsi="宋体" w:eastAsia="宋体" w:cs="宋体"/>
                <w:color w:val="auto"/>
                <w:sz w:val="21"/>
                <w:szCs w:val="21"/>
                <w:lang w:eastAsia="zh-CN"/>
              </w:rPr>
              <w:t>、华三</w:t>
            </w:r>
          </w:p>
        </w:tc>
        <w:tc>
          <w:tcPr>
            <w:tcW w:w="427" w:type="dxa"/>
            <w:vAlign w:val="center"/>
          </w:tcPr>
          <w:p w14:paraId="470E6A77">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0593EDE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w:t>
            </w:r>
          </w:p>
        </w:tc>
        <w:tc>
          <w:tcPr>
            <w:tcW w:w="427" w:type="dxa"/>
            <w:vAlign w:val="center"/>
          </w:tcPr>
          <w:p w14:paraId="4785C3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2BEF86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5B51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5EE011CD">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636" w:type="dxa"/>
            <w:vAlign w:val="center"/>
          </w:tcPr>
          <w:p w14:paraId="64DD4315">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电视机</w:t>
            </w:r>
          </w:p>
        </w:tc>
        <w:tc>
          <w:tcPr>
            <w:tcW w:w="3216" w:type="dxa"/>
            <w:vAlign w:val="center"/>
          </w:tcPr>
          <w:p w14:paraId="75FD5583">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144Hz高刷节能款4K远场语音金属全面屏智能液晶平板电视机65英寸2+32G大存储</w:t>
            </w:r>
          </w:p>
        </w:tc>
        <w:tc>
          <w:tcPr>
            <w:tcW w:w="2574" w:type="dxa"/>
            <w:vAlign w:val="center"/>
          </w:tcPr>
          <w:p w14:paraId="6DD4E397">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TCL、小米、海信</w:t>
            </w:r>
          </w:p>
        </w:tc>
        <w:tc>
          <w:tcPr>
            <w:tcW w:w="427" w:type="dxa"/>
            <w:vAlign w:val="center"/>
          </w:tcPr>
          <w:p w14:paraId="62D388F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3E53D85F">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69AB5B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7ED9E5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2A51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B800DD1">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636" w:type="dxa"/>
            <w:vAlign w:val="center"/>
          </w:tcPr>
          <w:p w14:paraId="5FCCC2D7">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球机立杆</w:t>
            </w:r>
          </w:p>
        </w:tc>
        <w:tc>
          <w:tcPr>
            <w:tcW w:w="3216" w:type="dxa"/>
            <w:vAlign w:val="center"/>
          </w:tcPr>
          <w:p w14:paraId="13BB3D75">
            <w:pPr>
              <w:snapToGrid w:val="0"/>
              <w:spacing w:line="240" w:lineRule="auto"/>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6m，含600*600*1000</w:t>
            </w:r>
            <w:r>
              <w:rPr>
                <w:rFonts w:hint="eastAsia" w:ascii="宋体" w:hAnsi="宋体" w:eastAsia="宋体" w:cs="宋体"/>
                <w:color w:val="auto"/>
                <w:kern w:val="0"/>
                <w:sz w:val="21"/>
                <w:szCs w:val="21"/>
                <w:lang w:val="en-US" w:eastAsia="zh-CN" w:bidi="ar"/>
              </w:rPr>
              <w:t>mm</w:t>
            </w:r>
            <w:r>
              <w:rPr>
                <w:rFonts w:hint="eastAsia" w:ascii="宋体" w:hAnsi="宋体" w:eastAsia="宋体" w:cs="宋体"/>
                <w:color w:val="auto"/>
                <w:kern w:val="0"/>
                <w:sz w:val="21"/>
                <w:szCs w:val="21"/>
                <w:lang w:bidi="ar"/>
              </w:rPr>
              <w:t>基础，杆体作热浸镀锌+喷塑防腐处理，壁厚</w:t>
            </w:r>
            <w:r>
              <w:rPr>
                <w:rFonts w:hint="eastAsia" w:ascii="宋体" w:hAnsi="宋体" w:eastAsia="宋体" w:cs="宋体"/>
                <w:color w:val="auto"/>
                <w:kern w:val="0"/>
                <w:sz w:val="21"/>
                <w:szCs w:val="21"/>
                <w:lang w:val="en-US" w:eastAsia="zh-CN" w:bidi="ar"/>
              </w:rPr>
              <w:t>3mm</w:t>
            </w:r>
          </w:p>
        </w:tc>
        <w:tc>
          <w:tcPr>
            <w:tcW w:w="2574" w:type="dxa"/>
            <w:vAlign w:val="center"/>
          </w:tcPr>
          <w:p w14:paraId="3E7D2D79">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定制</w:t>
            </w:r>
          </w:p>
        </w:tc>
        <w:tc>
          <w:tcPr>
            <w:tcW w:w="427" w:type="dxa"/>
            <w:vAlign w:val="center"/>
          </w:tcPr>
          <w:p w14:paraId="226D762E">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根</w:t>
            </w:r>
          </w:p>
        </w:tc>
        <w:tc>
          <w:tcPr>
            <w:tcW w:w="636" w:type="dxa"/>
            <w:vAlign w:val="center"/>
          </w:tcPr>
          <w:p w14:paraId="6EE91A8C">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427" w:type="dxa"/>
            <w:vAlign w:val="center"/>
          </w:tcPr>
          <w:p w14:paraId="6C9C2E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53C04E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1F56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62D1C64A">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636" w:type="dxa"/>
            <w:vAlign w:val="center"/>
          </w:tcPr>
          <w:p w14:paraId="4A03E249">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枪机立杆</w:t>
            </w:r>
          </w:p>
        </w:tc>
        <w:tc>
          <w:tcPr>
            <w:tcW w:w="3216" w:type="dxa"/>
            <w:vAlign w:val="center"/>
          </w:tcPr>
          <w:p w14:paraId="73C76BB8">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3.5m，含600*600*800</w:t>
            </w:r>
            <w:r>
              <w:rPr>
                <w:rFonts w:hint="eastAsia" w:ascii="宋体" w:hAnsi="宋体" w:eastAsia="宋体" w:cs="宋体"/>
                <w:color w:val="auto"/>
                <w:kern w:val="0"/>
                <w:sz w:val="21"/>
                <w:szCs w:val="21"/>
                <w:lang w:val="en-US" w:eastAsia="zh-CN" w:bidi="ar"/>
              </w:rPr>
              <w:t>mm</w:t>
            </w:r>
            <w:r>
              <w:rPr>
                <w:rFonts w:hint="eastAsia" w:ascii="宋体" w:hAnsi="宋体" w:eastAsia="宋体" w:cs="宋体"/>
                <w:color w:val="auto"/>
                <w:kern w:val="0"/>
                <w:sz w:val="21"/>
                <w:szCs w:val="21"/>
                <w:lang w:bidi="ar"/>
              </w:rPr>
              <w:t>基础，杆体作热浸镀锌+喷塑防腐处理，壁厚</w:t>
            </w:r>
            <w:r>
              <w:rPr>
                <w:rFonts w:hint="eastAsia" w:ascii="宋体" w:hAnsi="宋体" w:eastAsia="宋体" w:cs="宋体"/>
                <w:color w:val="auto"/>
                <w:kern w:val="0"/>
                <w:sz w:val="21"/>
                <w:szCs w:val="21"/>
                <w:lang w:val="en-US" w:eastAsia="zh-CN" w:bidi="ar"/>
              </w:rPr>
              <w:t>2mm</w:t>
            </w:r>
          </w:p>
        </w:tc>
        <w:tc>
          <w:tcPr>
            <w:tcW w:w="2574" w:type="dxa"/>
            <w:vAlign w:val="center"/>
          </w:tcPr>
          <w:p w14:paraId="6F32C766">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定制</w:t>
            </w:r>
          </w:p>
        </w:tc>
        <w:tc>
          <w:tcPr>
            <w:tcW w:w="427" w:type="dxa"/>
            <w:vAlign w:val="center"/>
          </w:tcPr>
          <w:p w14:paraId="32002654">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根</w:t>
            </w:r>
          </w:p>
        </w:tc>
        <w:tc>
          <w:tcPr>
            <w:tcW w:w="636" w:type="dxa"/>
            <w:vAlign w:val="center"/>
          </w:tcPr>
          <w:p w14:paraId="56F6A459">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427" w:type="dxa"/>
            <w:vAlign w:val="center"/>
          </w:tcPr>
          <w:p w14:paraId="53B54B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7B4239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67DA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3308A232">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636" w:type="dxa"/>
            <w:vAlign w:val="center"/>
          </w:tcPr>
          <w:p w14:paraId="37A4E3F0">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室外不锈钢防水箱</w:t>
            </w:r>
          </w:p>
        </w:tc>
        <w:tc>
          <w:tcPr>
            <w:tcW w:w="3216" w:type="dxa"/>
            <w:vAlign w:val="center"/>
          </w:tcPr>
          <w:p w14:paraId="153974D7">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400*500*200</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rPr>
              <w:t>（含空开、插座、抱箍）</w:t>
            </w:r>
            <w:r>
              <w:rPr>
                <w:rFonts w:hint="eastAsia" w:ascii="宋体" w:hAnsi="宋体" w:eastAsia="宋体" w:cs="宋体"/>
                <w:color w:val="auto"/>
                <w:kern w:val="0"/>
                <w:sz w:val="21"/>
                <w:szCs w:val="21"/>
                <w:lang w:bidi="ar"/>
              </w:rPr>
              <w:t>，箱体作喷塑防腐处理，</w:t>
            </w:r>
            <w:r>
              <w:rPr>
                <w:rFonts w:hint="eastAsia" w:ascii="宋体" w:hAnsi="宋体" w:eastAsia="宋体" w:cs="宋体"/>
                <w:color w:val="auto"/>
                <w:sz w:val="21"/>
                <w:szCs w:val="21"/>
              </w:rPr>
              <w:t>壁厚0.8</w:t>
            </w:r>
            <w:r>
              <w:rPr>
                <w:rFonts w:hint="eastAsia" w:ascii="宋体" w:hAnsi="宋体" w:eastAsia="宋体" w:cs="宋体"/>
                <w:color w:val="auto"/>
                <w:sz w:val="21"/>
                <w:szCs w:val="21"/>
                <w:lang w:val="en-US" w:eastAsia="zh-CN"/>
              </w:rPr>
              <w:t>mm</w:t>
            </w:r>
          </w:p>
        </w:tc>
        <w:tc>
          <w:tcPr>
            <w:tcW w:w="2574" w:type="dxa"/>
            <w:vAlign w:val="center"/>
          </w:tcPr>
          <w:p w14:paraId="7350FB0F">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国产优质</w:t>
            </w:r>
          </w:p>
        </w:tc>
        <w:tc>
          <w:tcPr>
            <w:tcW w:w="427" w:type="dxa"/>
            <w:vAlign w:val="center"/>
          </w:tcPr>
          <w:p w14:paraId="3D89E50E">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只</w:t>
            </w:r>
          </w:p>
        </w:tc>
        <w:tc>
          <w:tcPr>
            <w:tcW w:w="636" w:type="dxa"/>
            <w:vAlign w:val="center"/>
          </w:tcPr>
          <w:p w14:paraId="2259F086">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24</w:t>
            </w:r>
          </w:p>
        </w:tc>
        <w:tc>
          <w:tcPr>
            <w:tcW w:w="427" w:type="dxa"/>
            <w:vAlign w:val="center"/>
          </w:tcPr>
          <w:p w14:paraId="62CB62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05EAD23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1F9A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214E3B70">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636" w:type="dxa"/>
            <w:vAlign w:val="center"/>
          </w:tcPr>
          <w:p w14:paraId="2FD3CE2B">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电缆</w:t>
            </w:r>
          </w:p>
        </w:tc>
        <w:tc>
          <w:tcPr>
            <w:tcW w:w="3216" w:type="dxa"/>
            <w:vAlign w:val="center"/>
          </w:tcPr>
          <w:p w14:paraId="241286AE">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RVV3×2.5</w:t>
            </w:r>
          </w:p>
        </w:tc>
        <w:tc>
          <w:tcPr>
            <w:tcW w:w="2574" w:type="dxa"/>
            <w:vAlign w:val="center"/>
          </w:tcPr>
          <w:p w14:paraId="4703610B">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国产优质</w:t>
            </w:r>
          </w:p>
        </w:tc>
        <w:tc>
          <w:tcPr>
            <w:tcW w:w="427" w:type="dxa"/>
            <w:vAlign w:val="center"/>
          </w:tcPr>
          <w:p w14:paraId="2E595930">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米</w:t>
            </w:r>
          </w:p>
        </w:tc>
        <w:tc>
          <w:tcPr>
            <w:tcW w:w="636" w:type="dxa"/>
            <w:vAlign w:val="center"/>
          </w:tcPr>
          <w:p w14:paraId="60E5BBF8">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2000</w:t>
            </w:r>
          </w:p>
        </w:tc>
        <w:tc>
          <w:tcPr>
            <w:tcW w:w="427" w:type="dxa"/>
            <w:vAlign w:val="center"/>
          </w:tcPr>
          <w:p w14:paraId="41DC6E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495894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376B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56F80FEE">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636" w:type="dxa"/>
            <w:vAlign w:val="center"/>
          </w:tcPr>
          <w:p w14:paraId="09700D51">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光纤、熔纤材料</w:t>
            </w:r>
          </w:p>
        </w:tc>
        <w:tc>
          <w:tcPr>
            <w:tcW w:w="3216" w:type="dxa"/>
            <w:vAlign w:val="center"/>
          </w:tcPr>
          <w:p w14:paraId="280745FA">
            <w:pPr>
              <w:snapToGrid w:val="0"/>
              <w:spacing w:line="240" w:lineRule="auto"/>
              <w:ind w:left="0" w:leftChars="0" w:right="0" w:righ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包含摄像头安装完成所需的光模块、网线、光纤及光纤耗材、终端盒、熔纤耗材等相关光纤、熔纤材料</w:t>
            </w:r>
          </w:p>
        </w:tc>
        <w:tc>
          <w:tcPr>
            <w:tcW w:w="2574" w:type="dxa"/>
            <w:vAlign w:val="center"/>
          </w:tcPr>
          <w:p w14:paraId="3C661799">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国产优质</w:t>
            </w:r>
          </w:p>
        </w:tc>
        <w:tc>
          <w:tcPr>
            <w:tcW w:w="427" w:type="dxa"/>
            <w:vAlign w:val="center"/>
          </w:tcPr>
          <w:p w14:paraId="206614E2">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批</w:t>
            </w:r>
          </w:p>
        </w:tc>
        <w:tc>
          <w:tcPr>
            <w:tcW w:w="636" w:type="dxa"/>
            <w:vAlign w:val="center"/>
          </w:tcPr>
          <w:p w14:paraId="03CA0278">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745980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06306AD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0458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5DDAD2AB">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636" w:type="dxa"/>
            <w:shd w:val="clear" w:color="auto" w:fill="auto"/>
            <w:vAlign w:val="center"/>
          </w:tcPr>
          <w:p w14:paraId="58ADDFE2">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kern w:val="0"/>
                <w:sz w:val="21"/>
                <w:szCs w:val="21"/>
                <w:lang w:bidi="ar"/>
              </w:rPr>
              <w:t>机柜</w:t>
            </w:r>
          </w:p>
        </w:tc>
        <w:tc>
          <w:tcPr>
            <w:tcW w:w="3216" w:type="dxa"/>
            <w:shd w:val="clear" w:color="auto" w:fill="auto"/>
            <w:vAlign w:val="center"/>
          </w:tcPr>
          <w:p w14:paraId="4B08092A">
            <w:pPr>
              <w:widowControl/>
              <w:snapToGrid w:val="0"/>
              <w:spacing w:line="240" w:lineRule="auto"/>
              <w:ind w:left="0" w:leftChars="0" w:right="0" w:rightChars="0" w:firstLine="0" w:firstLineChars="0"/>
              <w:jc w:val="left"/>
              <w:textAlignment w:val="center"/>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kern w:val="0"/>
                <w:sz w:val="21"/>
                <w:szCs w:val="21"/>
                <w:lang w:val="en-US" w:eastAsia="zh-CN" w:bidi="ar"/>
              </w:rPr>
              <w:t>42U 优质冷轧钢板600*600*2000mm</w:t>
            </w:r>
          </w:p>
        </w:tc>
        <w:tc>
          <w:tcPr>
            <w:tcW w:w="2574" w:type="dxa"/>
            <w:vAlign w:val="center"/>
          </w:tcPr>
          <w:p w14:paraId="0DBF9B90">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国产优质</w:t>
            </w:r>
          </w:p>
        </w:tc>
        <w:tc>
          <w:tcPr>
            <w:tcW w:w="427" w:type="dxa"/>
            <w:vAlign w:val="center"/>
          </w:tcPr>
          <w:p w14:paraId="50EB524A">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636" w:type="dxa"/>
            <w:vAlign w:val="center"/>
          </w:tcPr>
          <w:p w14:paraId="3E68F25B">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1C3387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7D0056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3B6D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0163002B">
            <w:pPr>
              <w:snapToGrid w:val="0"/>
              <w:spacing w:line="240" w:lineRule="auto"/>
              <w:ind w:left="0" w:leftChars="0" w:right="0" w:rightChars="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636" w:type="dxa"/>
            <w:shd w:val="clear" w:color="auto" w:fill="auto"/>
            <w:vAlign w:val="center"/>
          </w:tcPr>
          <w:p w14:paraId="2F8C6261">
            <w:pPr>
              <w:widowControl/>
              <w:snapToGrid w:val="0"/>
              <w:spacing w:line="240" w:lineRule="auto"/>
              <w:ind w:left="0" w:leftChars="0" w:right="0" w:rightChars="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辅材</w:t>
            </w:r>
          </w:p>
        </w:tc>
        <w:tc>
          <w:tcPr>
            <w:tcW w:w="3216" w:type="dxa"/>
            <w:shd w:val="clear" w:color="auto" w:fill="auto"/>
            <w:vAlign w:val="center"/>
          </w:tcPr>
          <w:p w14:paraId="1354E968">
            <w:pPr>
              <w:widowControl/>
              <w:snapToGrid w:val="0"/>
              <w:spacing w:line="240" w:lineRule="auto"/>
              <w:ind w:left="0" w:leftChars="0" w:right="0" w:rightChars="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包含摄像头安装完成所需的插排、管卡、线管辅材、波纹管、跳线</w:t>
            </w:r>
            <w:r>
              <w:rPr>
                <w:rFonts w:hint="eastAsia" w:ascii="宋体" w:hAnsi="宋体" w:eastAsia="宋体" w:cs="宋体"/>
                <w:color w:val="auto"/>
                <w:kern w:val="0"/>
                <w:sz w:val="21"/>
                <w:szCs w:val="21"/>
                <w:lang w:eastAsia="zh-CN" w:bidi="ar"/>
              </w:rPr>
              <w:t>、双绞线</w:t>
            </w:r>
            <w:r>
              <w:rPr>
                <w:rFonts w:hint="eastAsia" w:ascii="宋体" w:hAnsi="宋体" w:eastAsia="宋体" w:cs="宋体"/>
                <w:color w:val="auto"/>
                <w:kern w:val="0"/>
                <w:sz w:val="21"/>
                <w:szCs w:val="21"/>
                <w:lang w:bidi="ar"/>
              </w:rPr>
              <w:t>等相关辅材</w:t>
            </w:r>
          </w:p>
        </w:tc>
        <w:tc>
          <w:tcPr>
            <w:tcW w:w="2574" w:type="dxa"/>
            <w:vAlign w:val="center"/>
          </w:tcPr>
          <w:p w14:paraId="4FCE521D">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国产优质</w:t>
            </w:r>
          </w:p>
        </w:tc>
        <w:tc>
          <w:tcPr>
            <w:tcW w:w="427" w:type="dxa"/>
            <w:vAlign w:val="center"/>
          </w:tcPr>
          <w:p w14:paraId="3627A2A7">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批</w:t>
            </w:r>
          </w:p>
        </w:tc>
        <w:tc>
          <w:tcPr>
            <w:tcW w:w="636" w:type="dxa"/>
            <w:vAlign w:val="center"/>
          </w:tcPr>
          <w:p w14:paraId="391F1305">
            <w:pPr>
              <w:snapToGrid w:val="0"/>
              <w:spacing w:line="240" w:lineRule="auto"/>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27" w:type="dxa"/>
            <w:vAlign w:val="center"/>
          </w:tcPr>
          <w:p w14:paraId="42713C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c>
          <w:tcPr>
            <w:tcW w:w="427" w:type="dxa"/>
            <w:vAlign w:val="center"/>
          </w:tcPr>
          <w:p w14:paraId="2E6325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vertAlign w:val="baseline"/>
                <w:lang w:val="en-US" w:eastAsia="zh-CN"/>
              </w:rPr>
            </w:pPr>
          </w:p>
        </w:tc>
      </w:tr>
      <w:tr w14:paraId="23B2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6" w:type="dxa"/>
            <w:gridSpan w:val="7"/>
            <w:vAlign w:val="center"/>
          </w:tcPr>
          <w:p w14:paraId="52899E04">
            <w:pPr>
              <w:snapToGrid w:val="0"/>
              <w:ind w:left="0" w:leftChars="0" w:right="0" w:rightChars="0" w:firstLine="0" w:firstLineChars="0"/>
              <w:jc w:val="center"/>
              <w:rPr>
                <w:rFonts w:hint="default"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合计</w:t>
            </w:r>
          </w:p>
        </w:tc>
        <w:tc>
          <w:tcPr>
            <w:tcW w:w="427" w:type="dxa"/>
            <w:vAlign w:val="center"/>
          </w:tcPr>
          <w:p w14:paraId="47207B08">
            <w:pPr>
              <w:snapToGrid w:val="0"/>
              <w:ind w:left="0" w:leftChars="0" w:right="0" w:rightChars="0" w:firstLine="0" w:firstLineChars="0"/>
              <w:jc w:val="center"/>
              <w:rPr>
                <w:rFonts w:hint="default" w:ascii="宋体" w:hAnsi="宋体" w:eastAsia="宋体" w:cs="宋体"/>
                <w:b/>
                <w:color w:val="auto"/>
                <w:sz w:val="21"/>
                <w:szCs w:val="21"/>
                <w:vertAlign w:val="baseline"/>
                <w:lang w:val="en-US" w:eastAsia="zh-CN"/>
              </w:rPr>
            </w:pPr>
          </w:p>
        </w:tc>
      </w:tr>
      <w:tr w14:paraId="3646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6" w:type="dxa"/>
            <w:gridSpan w:val="8"/>
            <w:vAlign w:val="center"/>
          </w:tcPr>
          <w:p w14:paraId="4C096D29">
            <w:pPr>
              <w:snapToGrid w:val="0"/>
              <w:ind w:left="0" w:leftChars="0" w:right="0"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注:1、本项目报价中包含地面开挖，混凝土、大理石、车位砖等地面修复，报价时请自觉考虑在内。</w:t>
            </w:r>
          </w:p>
          <w:p w14:paraId="1D0EE1E6">
            <w:pPr>
              <w:snapToGrid w:val="0"/>
              <w:ind w:left="0" w:leftChars="0" w:right="0" w:rightChars="0" w:firstLine="0" w:firstLine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2、加“★”为重要参数指标，投标时需提供</w:t>
            </w:r>
            <w:r>
              <w:rPr>
                <w:rFonts w:hint="eastAsia" w:ascii="宋体" w:hAnsi="宋体" w:eastAsia="宋体" w:cs="宋体"/>
                <w:color w:val="auto"/>
                <w:kern w:val="0"/>
                <w:sz w:val="21"/>
                <w:szCs w:val="21"/>
                <w:lang w:bidi="ar"/>
              </w:rPr>
              <w:t>400万超星光网络球机</w:t>
            </w:r>
            <w:r>
              <w:rPr>
                <w:rFonts w:hint="eastAsia" w:ascii="宋体" w:hAnsi="宋体" w:eastAsia="宋体" w:cs="宋体"/>
                <w:color w:val="auto"/>
                <w:kern w:val="0"/>
                <w:sz w:val="21"/>
                <w:szCs w:val="21"/>
                <w:lang w:eastAsia="zh-CN" w:bidi="ar"/>
              </w:rPr>
              <w:t>和</w:t>
            </w:r>
            <w:r>
              <w:rPr>
                <w:rFonts w:hint="eastAsia" w:ascii="宋体" w:hAnsi="宋体" w:eastAsia="宋体" w:cs="宋体"/>
                <w:color w:val="auto"/>
                <w:kern w:val="0"/>
                <w:sz w:val="21"/>
                <w:szCs w:val="21"/>
                <w:lang w:bidi="ar"/>
              </w:rPr>
              <w:t>硬盘录像机</w:t>
            </w:r>
            <w:r>
              <w:rPr>
                <w:rFonts w:hint="eastAsia" w:ascii="宋体" w:hAnsi="宋体" w:eastAsia="宋体" w:cs="宋体"/>
                <w:color w:val="auto"/>
                <w:sz w:val="21"/>
                <w:szCs w:val="21"/>
                <w:vertAlign w:val="baseline"/>
                <w:lang w:val="en-US" w:eastAsia="zh-CN"/>
              </w:rPr>
              <w:t>符合本项目技术参数要求的公安部检验报告证明、核心交换机符合本项目技术参数要求的第三方检测报告或官网功能介绍截图并加盖投标单位公章，提供不全的，视为未实质响应报价文件要求。</w:t>
            </w:r>
          </w:p>
        </w:tc>
      </w:tr>
    </w:tbl>
    <w:p w14:paraId="168ACB0A">
      <w:pPr>
        <w:snapToGrid w:val="0"/>
        <w:spacing w:line="360" w:lineRule="auto"/>
        <w:rPr>
          <w:rFonts w:hint="eastAsia" w:ascii="仿宋" w:hAnsi="仿宋" w:eastAsia="仿宋" w:cs="仿宋"/>
          <w:color w:val="auto"/>
          <w:sz w:val="24"/>
          <w:szCs w:val="24"/>
          <w:highlight w:val="none"/>
        </w:rPr>
      </w:pPr>
    </w:p>
    <w:p w14:paraId="4AFF7D09">
      <w:pPr>
        <w:snapToGrid w:val="0"/>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u w:val="single"/>
        </w:rPr>
        <w:t>本报价表须机打并加盖报价单位公章，手填无效。</w:t>
      </w:r>
    </w:p>
    <w:p w14:paraId="20F28E4F">
      <w:pPr>
        <w:adjustRightInd w:val="0"/>
        <w:snapToGrid w:val="0"/>
        <w:spacing w:line="312" w:lineRule="auto"/>
        <w:ind w:firstLine="3360" w:firstLineChars="1400"/>
        <w:jc w:val="left"/>
        <w:rPr>
          <w:rFonts w:hint="eastAsia" w:ascii="仿宋" w:hAnsi="仿宋" w:eastAsia="仿宋" w:cs="仿宋"/>
          <w:color w:val="auto"/>
          <w:sz w:val="24"/>
          <w:highlight w:val="none"/>
        </w:rPr>
      </w:pPr>
    </w:p>
    <w:p w14:paraId="29C5ED23">
      <w:pPr>
        <w:adjustRightInd w:val="0"/>
        <w:snapToGrid w:val="0"/>
        <w:spacing w:line="360" w:lineRule="auto"/>
        <w:jc w:val="left"/>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盖公章</w:t>
      </w:r>
      <w:r>
        <w:rPr>
          <w:rFonts w:hint="eastAsia" w:ascii="仿宋" w:hAnsi="仿宋" w:eastAsia="仿宋" w:cs="仿宋"/>
          <w:color w:val="auto"/>
          <w:sz w:val="24"/>
          <w:szCs w:val="24"/>
          <w:highlight w:val="none"/>
        </w:rPr>
        <w:t>）：</w:t>
      </w:r>
    </w:p>
    <w:p w14:paraId="0278561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法定代表人或被授权人（签字或盖章）： </w:t>
      </w:r>
    </w:p>
    <w:p w14:paraId="514290CE">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5EED142B">
      <w:pPr>
        <w:rPr>
          <w:rFonts w:hint="eastAsia" w:ascii="仿宋" w:hAnsi="仿宋" w:eastAsia="仿宋" w:cs="仿宋"/>
          <w:b/>
          <w:bCs/>
          <w:color w:val="auto"/>
          <w:sz w:val="24"/>
          <w:highlight w:val="none"/>
        </w:rPr>
        <w:sectPr>
          <w:headerReference r:id="rId5" w:type="default"/>
          <w:footerReference r:id="rId6" w:type="default"/>
          <w:footerReference r:id="rId7" w:type="even"/>
          <w:pgSz w:w="11915" w:h="16840"/>
          <w:pgMar w:top="1440" w:right="1758" w:bottom="1440" w:left="1758" w:header="851" w:footer="850" w:gutter="0"/>
          <w:pgNumType w:fmt="decimal"/>
          <w:cols w:space="720" w:num="1"/>
          <w:docGrid w:type="linesAndChars" w:linePitch="312" w:charSpace="0"/>
        </w:sectPr>
      </w:pPr>
      <w:r>
        <w:rPr>
          <w:rFonts w:hint="eastAsia" w:ascii="仿宋" w:hAnsi="仿宋" w:eastAsia="仿宋" w:cs="仿宋"/>
          <w:b/>
          <w:bCs/>
          <w:color w:val="auto"/>
          <w:sz w:val="24"/>
          <w:highlight w:val="none"/>
        </w:rPr>
        <w:br w:type="page"/>
      </w:r>
    </w:p>
    <w:p w14:paraId="3111B6B6">
      <w:pPr>
        <w:rPr>
          <w:rFonts w:hint="eastAsia" w:ascii="仿宋" w:hAnsi="仿宋" w:eastAsia="仿宋" w:cs="仿宋"/>
          <w:color w:val="auto"/>
          <w:sz w:val="32"/>
          <w:szCs w:val="32"/>
          <w:highlight w:val="none"/>
          <w:lang w:eastAsia="zh-CN"/>
        </w:rPr>
      </w:pPr>
      <w:r>
        <w:rPr>
          <w:rFonts w:hint="eastAsia" w:ascii="仿宋" w:hAnsi="仿宋" w:eastAsia="仿宋" w:cs="仿宋"/>
          <w:bCs/>
          <w:color w:val="auto"/>
          <w:sz w:val="32"/>
          <w:szCs w:val="32"/>
          <w:highlight w:val="none"/>
          <w:lang w:bidi="ar"/>
        </w:rPr>
        <w:t>附件</w:t>
      </w:r>
      <w:r>
        <w:rPr>
          <w:rFonts w:hint="eastAsia" w:ascii="仿宋" w:hAnsi="仿宋" w:eastAsia="仿宋" w:cs="仿宋"/>
          <w:bCs/>
          <w:color w:val="auto"/>
          <w:sz w:val="32"/>
          <w:szCs w:val="32"/>
          <w:highlight w:val="none"/>
          <w:lang w:val="en-US" w:eastAsia="zh-CN" w:bidi="ar"/>
        </w:rPr>
        <w:t>8</w:t>
      </w:r>
    </w:p>
    <w:p w14:paraId="57A9987D">
      <w:pPr>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质疑函范本</w:t>
      </w:r>
    </w:p>
    <w:p w14:paraId="07066553">
      <w:pPr>
        <w:adjustRightInd w:val="0"/>
        <w:snapToGrid w:val="0"/>
        <w:spacing w:before="312" w:beforeLines="100" w:line="312"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一、质疑供应商基本信息</w:t>
      </w:r>
    </w:p>
    <w:p w14:paraId="28B1E359">
      <w:pPr>
        <w:adjustRightInd w:val="0"/>
        <w:snapToGrid w:val="0"/>
        <w:spacing w:line="312" w:lineRule="auto"/>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质疑供应商：</w:t>
      </w:r>
    </w:p>
    <w:p w14:paraId="64F1C21C">
      <w:pPr>
        <w:adjustRightInd w:val="0"/>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地址：邮编：</w:t>
      </w:r>
    </w:p>
    <w:p w14:paraId="74E2EEEF">
      <w:pPr>
        <w:adjustRightInd w:val="0"/>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联系人：联系电话：</w:t>
      </w:r>
    </w:p>
    <w:p w14:paraId="694F6F69">
      <w:pPr>
        <w:adjustRightInd w:val="0"/>
        <w:snapToGrid w:val="0"/>
        <w:spacing w:line="312" w:lineRule="auto"/>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授权代表：</w:t>
      </w:r>
    </w:p>
    <w:p w14:paraId="2EE3B6D5">
      <w:pPr>
        <w:adjustRightInd w:val="0"/>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53C0D443">
      <w:pPr>
        <w:adjustRightInd w:val="0"/>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地址：邮编：</w:t>
      </w:r>
    </w:p>
    <w:p w14:paraId="65700197">
      <w:pPr>
        <w:adjustRightInd w:val="0"/>
        <w:snapToGrid w:val="0"/>
        <w:spacing w:line="312"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二、质疑项目基本情况</w:t>
      </w:r>
    </w:p>
    <w:p w14:paraId="55EED413">
      <w:pPr>
        <w:adjustRightInd w:val="0"/>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质疑项目的名称：</w:t>
      </w:r>
    </w:p>
    <w:p w14:paraId="388559F4">
      <w:pPr>
        <w:adjustRightInd w:val="0"/>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质疑项目的编号：包号：</w:t>
      </w:r>
    </w:p>
    <w:p w14:paraId="1C85D103">
      <w:pPr>
        <w:adjustRightInd w:val="0"/>
        <w:snapToGrid w:val="0"/>
        <w:spacing w:line="312" w:lineRule="auto"/>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采购人名称：</w:t>
      </w:r>
    </w:p>
    <w:p w14:paraId="15A309C9">
      <w:pPr>
        <w:adjustRightInd w:val="0"/>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采购文件获取日期：</w:t>
      </w:r>
    </w:p>
    <w:p w14:paraId="49C86CC0">
      <w:pPr>
        <w:adjustRightInd w:val="0"/>
        <w:snapToGrid w:val="0"/>
        <w:spacing w:line="312"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三、质疑事项具体内容</w:t>
      </w:r>
    </w:p>
    <w:p w14:paraId="314696F7">
      <w:pPr>
        <w:adjustRightInd w:val="0"/>
        <w:snapToGrid w:val="0"/>
        <w:spacing w:line="312" w:lineRule="auto"/>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质疑事项1：</w:t>
      </w:r>
    </w:p>
    <w:p w14:paraId="280C6174">
      <w:pPr>
        <w:adjustRightInd w:val="0"/>
        <w:snapToGrid w:val="0"/>
        <w:spacing w:line="312" w:lineRule="auto"/>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事实依据：</w:t>
      </w:r>
    </w:p>
    <w:p w14:paraId="1E0F4AC9">
      <w:pPr>
        <w:adjustRightInd w:val="0"/>
        <w:snapToGrid w:val="0"/>
        <w:spacing w:line="312" w:lineRule="auto"/>
        <w:rPr>
          <w:rFonts w:hint="eastAsia" w:ascii="仿宋" w:hAnsi="仿宋" w:eastAsia="仿宋" w:cs="仿宋"/>
          <w:color w:val="auto"/>
          <w:sz w:val="28"/>
          <w:szCs w:val="28"/>
          <w:highlight w:val="none"/>
        </w:rPr>
      </w:pPr>
    </w:p>
    <w:p w14:paraId="76D7D9F7">
      <w:pPr>
        <w:adjustRightInd w:val="0"/>
        <w:snapToGrid w:val="0"/>
        <w:spacing w:line="312" w:lineRule="auto"/>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法律依据：</w:t>
      </w:r>
    </w:p>
    <w:p w14:paraId="7FCB610D">
      <w:pPr>
        <w:adjustRightInd w:val="0"/>
        <w:snapToGrid w:val="0"/>
        <w:spacing w:line="312" w:lineRule="auto"/>
        <w:rPr>
          <w:rFonts w:hint="eastAsia" w:ascii="仿宋" w:hAnsi="仿宋" w:eastAsia="仿宋" w:cs="仿宋"/>
          <w:color w:val="auto"/>
          <w:sz w:val="28"/>
          <w:szCs w:val="28"/>
          <w:highlight w:val="none"/>
          <w:u w:val="dotted"/>
        </w:rPr>
      </w:pPr>
    </w:p>
    <w:p w14:paraId="17996B10">
      <w:pPr>
        <w:adjustRightInd w:val="0"/>
        <w:snapToGrid w:val="0"/>
        <w:spacing w:line="312" w:lineRule="auto"/>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质疑事项2</w:t>
      </w:r>
    </w:p>
    <w:p w14:paraId="0152F0D5">
      <w:pPr>
        <w:adjustRightInd w:val="0"/>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14:paraId="53FB0A39">
      <w:pPr>
        <w:adjustRightInd w:val="0"/>
        <w:snapToGrid w:val="0"/>
        <w:spacing w:line="312"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四、与质疑事项相关的质疑请求</w:t>
      </w:r>
    </w:p>
    <w:p w14:paraId="5758E2F8">
      <w:pPr>
        <w:adjustRightInd w:val="0"/>
        <w:snapToGrid w:val="0"/>
        <w:spacing w:line="312" w:lineRule="auto"/>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请求：</w:t>
      </w:r>
    </w:p>
    <w:p w14:paraId="1C172CC6">
      <w:pPr>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签字(签章)：                   公章：                      </w:t>
      </w:r>
    </w:p>
    <w:p w14:paraId="77E2BB91">
      <w:pPr>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日期：    </w:t>
      </w:r>
    </w:p>
    <w:p w14:paraId="3B38CD15">
      <w:pPr>
        <w:adjustRightInd w:val="0"/>
        <w:snapToGrid w:val="0"/>
        <w:spacing w:line="288" w:lineRule="auto"/>
        <w:rPr>
          <w:rFonts w:hint="eastAsia" w:ascii="仿宋" w:hAnsi="仿宋" w:eastAsia="仿宋" w:cs="仿宋"/>
          <w:color w:val="auto"/>
          <w:sz w:val="28"/>
          <w:szCs w:val="28"/>
          <w:highlight w:val="none"/>
        </w:rPr>
      </w:pPr>
    </w:p>
    <w:p w14:paraId="226EF88D">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质疑函制作说明：</w:t>
      </w:r>
    </w:p>
    <w:p w14:paraId="65D01C24">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1.供应商提出质疑时，应提交质疑函和必要的证明材料。</w:t>
      </w:r>
    </w:p>
    <w:p w14:paraId="72A81C91">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8"/>
          <w:szCs w:val="28"/>
          <w:highlight w:val="none"/>
        </w:rPr>
        <w:t>供应商签署的授权委托书。授权委托书应载明代理人的姓名或者名称、代理事项、具体权限、期限和相关事项。</w:t>
      </w:r>
    </w:p>
    <w:p w14:paraId="3392A773">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3.质疑供应商若对项目的某一分包进行质疑，质疑函中应列明具体分包号。</w:t>
      </w:r>
    </w:p>
    <w:p w14:paraId="18C1CB5B">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4.质疑函的质疑事项应具体、明确，并有必要的事实依据和法律依据。</w:t>
      </w:r>
    </w:p>
    <w:p w14:paraId="377B85EA">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5.质疑函的质疑请求应与质疑事项相关。</w:t>
      </w:r>
    </w:p>
    <w:p w14:paraId="7FEA1D10">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2ED073D3">
      <w:pPr>
        <w:snapToGrid w:val="0"/>
        <w:spacing w:line="300" w:lineRule="auto"/>
        <w:outlineLvl w:val="0"/>
        <w:rPr>
          <w:rFonts w:hint="eastAsia" w:ascii="仿宋" w:hAnsi="仿宋" w:eastAsia="仿宋" w:cs="仿宋"/>
          <w:color w:val="auto"/>
          <w:sz w:val="28"/>
          <w:szCs w:val="28"/>
          <w:highlight w:val="none"/>
        </w:rPr>
      </w:pPr>
    </w:p>
    <w:p w14:paraId="0552FDFC">
      <w:pPr>
        <w:snapToGrid w:val="0"/>
        <w:spacing w:line="300" w:lineRule="auto"/>
        <w:outlineLvl w:val="0"/>
        <w:rPr>
          <w:rFonts w:hint="eastAsia" w:ascii="仿宋" w:hAnsi="仿宋" w:eastAsia="仿宋" w:cs="仿宋"/>
          <w:color w:val="auto"/>
          <w:sz w:val="28"/>
          <w:szCs w:val="28"/>
          <w:highlight w:val="none"/>
        </w:rPr>
      </w:pPr>
    </w:p>
    <w:p w14:paraId="4FE8B9BB">
      <w:pPr>
        <w:rPr>
          <w:rFonts w:hint="eastAsia" w:ascii="仿宋" w:hAnsi="仿宋" w:eastAsia="仿宋" w:cs="仿宋"/>
          <w:color w:val="auto"/>
          <w:highlight w:val="none"/>
        </w:rPr>
      </w:pPr>
    </w:p>
    <w:sectPr>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FangSong_GB2312">
    <w:altName w:val="仿宋"/>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37A5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2F01A0">
                          <w:pPr>
                            <w:pStyle w:val="13"/>
                          </w:pPr>
                          <w:r>
                            <w:fldChar w:fldCharType="begin"/>
                          </w:r>
                          <w:r>
                            <w:instrText xml:space="preserve"> PAGE  \* MERGEFORMAT </w:instrText>
                          </w:r>
                          <w:r>
                            <w:fldChar w:fldCharType="separate"/>
                          </w:r>
                          <w:r>
                            <w:t>133</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712F01A0">
                    <w:pPr>
                      <w:pStyle w:val="1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2F8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DDAE62">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09DDAE6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41CD">
    <w:pPr>
      <w:pStyle w:val="13"/>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2475C2">
                          <w:pPr>
                            <w:pStyle w:val="13"/>
                          </w:pPr>
                          <w:r>
                            <w:fldChar w:fldCharType="begin"/>
                          </w:r>
                          <w:r>
                            <w:instrText xml:space="preserve"> PAGE  \* MERGEFORMAT </w:instrText>
                          </w:r>
                          <w:r>
                            <w:fldChar w:fldCharType="separate"/>
                          </w:r>
                          <w:r>
                            <w:t>133</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wUxM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wUxMoBAACcAwAADgAAAAAAAAABACAAAAAeAQAAZHJzL2Uyb0Rv&#10;Yy54bWxQSwUGAAAAAAYABgBZAQAAWgUAAAAA&#10;">
              <v:fill on="f" focussize="0,0"/>
              <v:stroke on="f"/>
              <v:imagedata o:title=""/>
              <o:lock v:ext="edit" aspectratio="f"/>
              <v:textbox inset="0mm,0mm,0mm,0mm" style="mso-fit-shape-to-text:t;">
                <w:txbxContent>
                  <w:p w14:paraId="092475C2">
                    <w:pPr>
                      <w:pStyle w:val="1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CEF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1A5807">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131A5807">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4689">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D3E0F117"/>
    <w:multiLevelType w:val="singleLevel"/>
    <w:tmpl w:val="D3E0F117"/>
    <w:lvl w:ilvl="0" w:tentative="0">
      <w:start w:val="1"/>
      <w:numFmt w:val="chineseCounting"/>
      <w:suff w:val="nothing"/>
      <w:lvlText w:val="%1、"/>
      <w:lvlJc w:val="left"/>
      <w:rPr>
        <w:rFonts w:hint="eastAsia"/>
      </w:rPr>
    </w:lvl>
  </w:abstractNum>
  <w:abstractNum w:abstractNumId="2">
    <w:nsid w:val="2B00ED99"/>
    <w:multiLevelType w:val="singleLevel"/>
    <w:tmpl w:val="2B00ED99"/>
    <w:lvl w:ilvl="0" w:tentative="0">
      <w:start w:val="1"/>
      <w:numFmt w:val="decimal"/>
      <w:suff w:val="space"/>
      <w:lvlText w:val="%1、"/>
      <w:lvlJc w:val="left"/>
    </w:lvl>
  </w:abstractNum>
  <w:abstractNum w:abstractNumId="3">
    <w:nsid w:val="4650B42F"/>
    <w:multiLevelType w:val="singleLevel"/>
    <w:tmpl w:val="4650B42F"/>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NDNjNDM0YjFjMmMzZDE5NzZiNDQzZjgwZTM4Y2UifQ=="/>
  </w:docVars>
  <w:rsids>
    <w:rsidRoot w:val="72DA44FF"/>
    <w:rsid w:val="000031BB"/>
    <w:rsid w:val="000120F6"/>
    <w:rsid w:val="00013AEC"/>
    <w:rsid w:val="00030D94"/>
    <w:rsid w:val="0005603F"/>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23BCF"/>
    <w:rsid w:val="0014136A"/>
    <w:rsid w:val="00151A61"/>
    <w:rsid w:val="00177C0D"/>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C0F03"/>
    <w:rsid w:val="002D5236"/>
    <w:rsid w:val="003037A3"/>
    <w:rsid w:val="00310D5F"/>
    <w:rsid w:val="003121C2"/>
    <w:rsid w:val="00315121"/>
    <w:rsid w:val="003364F4"/>
    <w:rsid w:val="00367F5D"/>
    <w:rsid w:val="00380875"/>
    <w:rsid w:val="003820DA"/>
    <w:rsid w:val="003A4DF6"/>
    <w:rsid w:val="003B0F20"/>
    <w:rsid w:val="003C03B5"/>
    <w:rsid w:val="003C130D"/>
    <w:rsid w:val="003C21FD"/>
    <w:rsid w:val="003C693E"/>
    <w:rsid w:val="003C76E6"/>
    <w:rsid w:val="003D21B2"/>
    <w:rsid w:val="003F4FD8"/>
    <w:rsid w:val="00421872"/>
    <w:rsid w:val="00433C8F"/>
    <w:rsid w:val="004366FE"/>
    <w:rsid w:val="004378CD"/>
    <w:rsid w:val="004444F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27AC"/>
    <w:rsid w:val="00585220"/>
    <w:rsid w:val="00590012"/>
    <w:rsid w:val="005C5DCC"/>
    <w:rsid w:val="005D23AE"/>
    <w:rsid w:val="005D378A"/>
    <w:rsid w:val="005E605F"/>
    <w:rsid w:val="00602CBB"/>
    <w:rsid w:val="006050D1"/>
    <w:rsid w:val="006166DC"/>
    <w:rsid w:val="00624A21"/>
    <w:rsid w:val="00635D3A"/>
    <w:rsid w:val="0067318C"/>
    <w:rsid w:val="006910F6"/>
    <w:rsid w:val="006937C8"/>
    <w:rsid w:val="006A3707"/>
    <w:rsid w:val="006A76F6"/>
    <w:rsid w:val="006B111D"/>
    <w:rsid w:val="006B5AD4"/>
    <w:rsid w:val="006B7CD3"/>
    <w:rsid w:val="006C7881"/>
    <w:rsid w:val="006F435E"/>
    <w:rsid w:val="006F61CB"/>
    <w:rsid w:val="006F72CE"/>
    <w:rsid w:val="0071021D"/>
    <w:rsid w:val="00711944"/>
    <w:rsid w:val="00715C56"/>
    <w:rsid w:val="00734BD1"/>
    <w:rsid w:val="007412AA"/>
    <w:rsid w:val="00747FCA"/>
    <w:rsid w:val="00750D27"/>
    <w:rsid w:val="00751867"/>
    <w:rsid w:val="0076663F"/>
    <w:rsid w:val="00793C13"/>
    <w:rsid w:val="007C4F8B"/>
    <w:rsid w:val="007E4447"/>
    <w:rsid w:val="00803D68"/>
    <w:rsid w:val="008076E2"/>
    <w:rsid w:val="00810BD0"/>
    <w:rsid w:val="00814356"/>
    <w:rsid w:val="00852DE3"/>
    <w:rsid w:val="00893CDE"/>
    <w:rsid w:val="008B5DEC"/>
    <w:rsid w:val="008D5924"/>
    <w:rsid w:val="008D7681"/>
    <w:rsid w:val="008F4E65"/>
    <w:rsid w:val="0091137A"/>
    <w:rsid w:val="00923838"/>
    <w:rsid w:val="009312BD"/>
    <w:rsid w:val="00975836"/>
    <w:rsid w:val="009937E8"/>
    <w:rsid w:val="009B79B1"/>
    <w:rsid w:val="009C0E7F"/>
    <w:rsid w:val="009D047A"/>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818AF"/>
    <w:rsid w:val="00AD3E11"/>
    <w:rsid w:val="00B16617"/>
    <w:rsid w:val="00B61542"/>
    <w:rsid w:val="00B654EA"/>
    <w:rsid w:val="00B82506"/>
    <w:rsid w:val="00B9181B"/>
    <w:rsid w:val="00BA611D"/>
    <w:rsid w:val="00BE5D54"/>
    <w:rsid w:val="00BE6F5B"/>
    <w:rsid w:val="00C00A45"/>
    <w:rsid w:val="00C01D06"/>
    <w:rsid w:val="00C01E89"/>
    <w:rsid w:val="00C23DFA"/>
    <w:rsid w:val="00C26813"/>
    <w:rsid w:val="00C46100"/>
    <w:rsid w:val="00C57D84"/>
    <w:rsid w:val="00C85DF0"/>
    <w:rsid w:val="00CB17F4"/>
    <w:rsid w:val="00CE346F"/>
    <w:rsid w:val="00D112D6"/>
    <w:rsid w:val="00D114FD"/>
    <w:rsid w:val="00D30BC0"/>
    <w:rsid w:val="00D3580A"/>
    <w:rsid w:val="00D42457"/>
    <w:rsid w:val="00D817F3"/>
    <w:rsid w:val="00D8449B"/>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1191B"/>
    <w:rsid w:val="00F21BDD"/>
    <w:rsid w:val="00F34615"/>
    <w:rsid w:val="00F54BE6"/>
    <w:rsid w:val="00F7090D"/>
    <w:rsid w:val="00FC35B2"/>
    <w:rsid w:val="00FE4037"/>
    <w:rsid w:val="00FF2CF6"/>
    <w:rsid w:val="00FF4D3F"/>
    <w:rsid w:val="00FF6AE3"/>
    <w:rsid w:val="011B0745"/>
    <w:rsid w:val="011B466A"/>
    <w:rsid w:val="014D0B1B"/>
    <w:rsid w:val="01A87AFF"/>
    <w:rsid w:val="01DF2B34"/>
    <w:rsid w:val="01F17356"/>
    <w:rsid w:val="02072A78"/>
    <w:rsid w:val="0221497E"/>
    <w:rsid w:val="02411B93"/>
    <w:rsid w:val="025C1016"/>
    <w:rsid w:val="027125E7"/>
    <w:rsid w:val="02A12ECC"/>
    <w:rsid w:val="02C62933"/>
    <w:rsid w:val="02E80AFB"/>
    <w:rsid w:val="032D650E"/>
    <w:rsid w:val="03863E70"/>
    <w:rsid w:val="03A3046B"/>
    <w:rsid w:val="03B15391"/>
    <w:rsid w:val="040A2CF3"/>
    <w:rsid w:val="04231D23"/>
    <w:rsid w:val="043B4C5B"/>
    <w:rsid w:val="04951247"/>
    <w:rsid w:val="049525BD"/>
    <w:rsid w:val="04A15406"/>
    <w:rsid w:val="04A8035C"/>
    <w:rsid w:val="04CD61FB"/>
    <w:rsid w:val="05065269"/>
    <w:rsid w:val="050F6813"/>
    <w:rsid w:val="05353DA0"/>
    <w:rsid w:val="054A784B"/>
    <w:rsid w:val="055204AE"/>
    <w:rsid w:val="057B186A"/>
    <w:rsid w:val="05816FE5"/>
    <w:rsid w:val="05C205C7"/>
    <w:rsid w:val="05DB04A3"/>
    <w:rsid w:val="05EA4B8A"/>
    <w:rsid w:val="060D2627"/>
    <w:rsid w:val="06336531"/>
    <w:rsid w:val="06956EF8"/>
    <w:rsid w:val="06EE4206"/>
    <w:rsid w:val="06F207A1"/>
    <w:rsid w:val="06FA7309"/>
    <w:rsid w:val="07434BE5"/>
    <w:rsid w:val="07487DBA"/>
    <w:rsid w:val="075020E6"/>
    <w:rsid w:val="07585B24"/>
    <w:rsid w:val="075A2B50"/>
    <w:rsid w:val="076F5347"/>
    <w:rsid w:val="078A58ED"/>
    <w:rsid w:val="08167EB9"/>
    <w:rsid w:val="08297BEC"/>
    <w:rsid w:val="08314CF2"/>
    <w:rsid w:val="083245C7"/>
    <w:rsid w:val="085A3487"/>
    <w:rsid w:val="0878647D"/>
    <w:rsid w:val="089B216C"/>
    <w:rsid w:val="08AE1E9F"/>
    <w:rsid w:val="08EC29C7"/>
    <w:rsid w:val="092C1FE1"/>
    <w:rsid w:val="09491BC8"/>
    <w:rsid w:val="09646A02"/>
    <w:rsid w:val="099E0166"/>
    <w:rsid w:val="09B62700"/>
    <w:rsid w:val="09D43B87"/>
    <w:rsid w:val="09DC2A3C"/>
    <w:rsid w:val="09E16AD8"/>
    <w:rsid w:val="0A1026E6"/>
    <w:rsid w:val="0A355414"/>
    <w:rsid w:val="0A821835"/>
    <w:rsid w:val="0A862501"/>
    <w:rsid w:val="0AE0030A"/>
    <w:rsid w:val="0AFD0EBC"/>
    <w:rsid w:val="0B462863"/>
    <w:rsid w:val="0B5036E2"/>
    <w:rsid w:val="0B50723E"/>
    <w:rsid w:val="0B56577A"/>
    <w:rsid w:val="0B61769D"/>
    <w:rsid w:val="0B685928"/>
    <w:rsid w:val="0B700E0C"/>
    <w:rsid w:val="0BE70023"/>
    <w:rsid w:val="0BEF6A57"/>
    <w:rsid w:val="0C1B5A9E"/>
    <w:rsid w:val="0C1C35C4"/>
    <w:rsid w:val="0C540FAF"/>
    <w:rsid w:val="0C774C9E"/>
    <w:rsid w:val="0C9D4705"/>
    <w:rsid w:val="0CAF268A"/>
    <w:rsid w:val="0CC32F3E"/>
    <w:rsid w:val="0CC41FE6"/>
    <w:rsid w:val="0CCA3020"/>
    <w:rsid w:val="0D0B79A8"/>
    <w:rsid w:val="0D15073F"/>
    <w:rsid w:val="0D331B77"/>
    <w:rsid w:val="0D3606B5"/>
    <w:rsid w:val="0D8B0A01"/>
    <w:rsid w:val="0D9A6E96"/>
    <w:rsid w:val="0D9D24E2"/>
    <w:rsid w:val="0E211365"/>
    <w:rsid w:val="0E2A021A"/>
    <w:rsid w:val="0E3B3D37"/>
    <w:rsid w:val="0E867A2B"/>
    <w:rsid w:val="0E9525CD"/>
    <w:rsid w:val="0EA31D7A"/>
    <w:rsid w:val="0EF10D38"/>
    <w:rsid w:val="0EF45FEF"/>
    <w:rsid w:val="0F4C5F6E"/>
    <w:rsid w:val="0F955B67"/>
    <w:rsid w:val="0FA1275E"/>
    <w:rsid w:val="0FB57FB7"/>
    <w:rsid w:val="0FD70A10"/>
    <w:rsid w:val="0FFC0273"/>
    <w:rsid w:val="100F6863"/>
    <w:rsid w:val="101F6CD7"/>
    <w:rsid w:val="106A2B50"/>
    <w:rsid w:val="107B45E5"/>
    <w:rsid w:val="107C30FC"/>
    <w:rsid w:val="10A72DDA"/>
    <w:rsid w:val="10DE1449"/>
    <w:rsid w:val="10F1501F"/>
    <w:rsid w:val="110765F0"/>
    <w:rsid w:val="11185E54"/>
    <w:rsid w:val="111E1B8C"/>
    <w:rsid w:val="114710E3"/>
    <w:rsid w:val="120B0362"/>
    <w:rsid w:val="12443874"/>
    <w:rsid w:val="12487CE3"/>
    <w:rsid w:val="125E66E4"/>
    <w:rsid w:val="127C39BF"/>
    <w:rsid w:val="12A165D1"/>
    <w:rsid w:val="12A762DD"/>
    <w:rsid w:val="13255FEB"/>
    <w:rsid w:val="135C3EE8"/>
    <w:rsid w:val="13AE5449"/>
    <w:rsid w:val="13D03611"/>
    <w:rsid w:val="13D34EB0"/>
    <w:rsid w:val="13FF3EF7"/>
    <w:rsid w:val="14045069"/>
    <w:rsid w:val="14105202"/>
    <w:rsid w:val="14593E59"/>
    <w:rsid w:val="147C10A3"/>
    <w:rsid w:val="14991C55"/>
    <w:rsid w:val="14FE3D37"/>
    <w:rsid w:val="15430425"/>
    <w:rsid w:val="15542020"/>
    <w:rsid w:val="159E329B"/>
    <w:rsid w:val="15A8272D"/>
    <w:rsid w:val="15CC70C4"/>
    <w:rsid w:val="16257519"/>
    <w:rsid w:val="16276709"/>
    <w:rsid w:val="16314110"/>
    <w:rsid w:val="16411589"/>
    <w:rsid w:val="164825DB"/>
    <w:rsid w:val="16B40FC8"/>
    <w:rsid w:val="16B9038D"/>
    <w:rsid w:val="174502AB"/>
    <w:rsid w:val="176C2274"/>
    <w:rsid w:val="178F10EE"/>
    <w:rsid w:val="179130B8"/>
    <w:rsid w:val="17967F85"/>
    <w:rsid w:val="17B500E2"/>
    <w:rsid w:val="17EC6540"/>
    <w:rsid w:val="17F84EE5"/>
    <w:rsid w:val="18357AA5"/>
    <w:rsid w:val="189270E7"/>
    <w:rsid w:val="19113420"/>
    <w:rsid w:val="192561AE"/>
    <w:rsid w:val="19597C05"/>
    <w:rsid w:val="196565AA"/>
    <w:rsid w:val="199E386A"/>
    <w:rsid w:val="19F94F44"/>
    <w:rsid w:val="19FD4A34"/>
    <w:rsid w:val="1A3B49D3"/>
    <w:rsid w:val="1A6625D6"/>
    <w:rsid w:val="1A670100"/>
    <w:rsid w:val="1A824F3A"/>
    <w:rsid w:val="1A840CB2"/>
    <w:rsid w:val="1AB1581F"/>
    <w:rsid w:val="1AD339E7"/>
    <w:rsid w:val="1AE17EB2"/>
    <w:rsid w:val="1AF44089"/>
    <w:rsid w:val="1B100797"/>
    <w:rsid w:val="1B3A5814"/>
    <w:rsid w:val="1B525A3A"/>
    <w:rsid w:val="1B5B5EB7"/>
    <w:rsid w:val="1BB83309"/>
    <w:rsid w:val="1BD15BBA"/>
    <w:rsid w:val="1BF60EA2"/>
    <w:rsid w:val="1C101741"/>
    <w:rsid w:val="1C1442B7"/>
    <w:rsid w:val="1C3D27D9"/>
    <w:rsid w:val="1C7A05BE"/>
    <w:rsid w:val="1CBD66FD"/>
    <w:rsid w:val="1CEB5A62"/>
    <w:rsid w:val="1CFA34AD"/>
    <w:rsid w:val="1D1C1676"/>
    <w:rsid w:val="1D507571"/>
    <w:rsid w:val="1D6372A4"/>
    <w:rsid w:val="1D6512B9"/>
    <w:rsid w:val="1D94745E"/>
    <w:rsid w:val="1DC97EE6"/>
    <w:rsid w:val="1DFE3E65"/>
    <w:rsid w:val="1E326C77"/>
    <w:rsid w:val="1E3B5B2B"/>
    <w:rsid w:val="1E3E386E"/>
    <w:rsid w:val="1E524B92"/>
    <w:rsid w:val="1E7B23CC"/>
    <w:rsid w:val="1E854FF8"/>
    <w:rsid w:val="1E8C45D9"/>
    <w:rsid w:val="1EA82360"/>
    <w:rsid w:val="1F022AED"/>
    <w:rsid w:val="1F234F3D"/>
    <w:rsid w:val="1F4B3C4B"/>
    <w:rsid w:val="1F83778A"/>
    <w:rsid w:val="1FA45952"/>
    <w:rsid w:val="1FA65675"/>
    <w:rsid w:val="1FFE5062"/>
    <w:rsid w:val="2004056C"/>
    <w:rsid w:val="20114408"/>
    <w:rsid w:val="201B69CC"/>
    <w:rsid w:val="2024799D"/>
    <w:rsid w:val="20801F1B"/>
    <w:rsid w:val="208C6B12"/>
    <w:rsid w:val="20AA6F98"/>
    <w:rsid w:val="20AC4ABE"/>
    <w:rsid w:val="20B816B5"/>
    <w:rsid w:val="20FB77F4"/>
    <w:rsid w:val="210D5718"/>
    <w:rsid w:val="21182154"/>
    <w:rsid w:val="21411C9A"/>
    <w:rsid w:val="2155573C"/>
    <w:rsid w:val="21645399"/>
    <w:rsid w:val="2190618E"/>
    <w:rsid w:val="21DC4F15"/>
    <w:rsid w:val="2234120F"/>
    <w:rsid w:val="224D2894"/>
    <w:rsid w:val="22A81D4C"/>
    <w:rsid w:val="22FC48E1"/>
    <w:rsid w:val="230A01C2"/>
    <w:rsid w:val="231A0405"/>
    <w:rsid w:val="23A97579"/>
    <w:rsid w:val="23C860B3"/>
    <w:rsid w:val="23EE53EE"/>
    <w:rsid w:val="23F46EA8"/>
    <w:rsid w:val="240D1D18"/>
    <w:rsid w:val="247B4ED4"/>
    <w:rsid w:val="24F52D0A"/>
    <w:rsid w:val="250B4332"/>
    <w:rsid w:val="253432D4"/>
    <w:rsid w:val="25381017"/>
    <w:rsid w:val="256F266F"/>
    <w:rsid w:val="259C5AEB"/>
    <w:rsid w:val="25A247EC"/>
    <w:rsid w:val="25F72C80"/>
    <w:rsid w:val="26061132"/>
    <w:rsid w:val="2650413E"/>
    <w:rsid w:val="2668592C"/>
    <w:rsid w:val="267442D0"/>
    <w:rsid w:val="2685584E"/>
    <w:rsid w:val="268B161A"/>
    <w:rsid w:val="26EC20B9"/>
    <w:rsid w:val="26F86CAF"/>
    <w:rsid w:val="271B299E"/>
    <w:rsid w:val="27294138"/>
    <w:rsid w:val="275B2D9A"/>
    <w:rsid w:val="279A7D67"/>
    <w:rsid w:val="27A02EA3"/>
    <w:rsid w:val="27BD3A55"/>
    <w:rsid w:val="28335AC5"/>
    <w:rsid w:val="2852419D"/>
    <w:rsid w:val="285C14C0"/>
    <w:rsid w:val="286001FB"/>
    <w:rsid w:val="28724840"/>
    <w:rsid w:val="28C50E13"/>
    <w:rsid w:val="28FD7399"/>
    <w:rsid w:val="29283150"/>
    <w:rsid w:val="292E037B"/>
    <w:rsid w:val="296D5007"/>
    <w:rsid w:val="297707B3"/>
    <w:rsid w:val="29950680"/>
    <w:rsid w:val="29AC3D81"/>
    <w:rsid w:val="29D137E8"/>
    <w:rsid w:val="29F6324E"/>
    <w:rsid w:val="2A0B0AA8"/>
    <w:rsid w:val="2A1738F0"/>
    <w:rsid w:val="2A793900"/>
    <w:rsid w:val="2ADC2293"/>
    <w:rsid w:val="2AE92B8B"/>
    <w:rsid w:val="2AF7102C"/>
    <w:rsid w:val="2AFD0A94"/>
    <w:rsid w:val="2B185933"/>
    <w:rsid w:val="2B3D7387"/>
    <w:rsid w:val="2B7076F0"/>
    <w:rsid w:val="2B990335"/>
    <w:rsid w:val="2B9920F0"/>
    <w:rsid w:val="2BBF4532"/>
    <w:rsid w:val="2BC52ED8"/>
    <w:rsid w:val="2BE364AF"/>
    <w:rsid w:val="2BE617CC"/>
    <w:rsid w:val="2C251BC9"/>
    <w:rsid w:val="2C311191"/>
    <w:rsid w:val="2C416D72"/>
    <w:rsid w:val="2C424529"/>
    <w:rsid w:val="2C5A7AC4"/>
    <w:rsid w:val="2C6C114E"/>
    <w:rsid w:val="2C8763E0"/>
    <w:rsid w:val="2CA23219"/>
    <w:rsid w:val="2CA376BD"/>
    <w:rsid w:val="2D016192"/>
    <w:rsid w:val="2D384EE3"/>
    <w:rsid w:val="2D494239"/>
    <w:rsid w:val="2D6501FC"/>
    <w:rsid w:val="2D654973"/>
    <w:rsid w:val="2D986AF6"/>
    <w:rsid w:val="2D99286E"/>
    <w:rsid w:val="2DA21723"/>
    <w:rsid w:val="2DAA05D8"/>
    <w:rsid w:val="2DC55411"/>
    <w:rsid w:val="2E4E3659"/>
    <w:rsid w:val="2E6C46A3"/>
    <w:rsid w:val="2E861327"/>
    <w:rsid w:val="2E9F3EB4"/>
    <w:rsid w:val="2EA72180"/>
    <w:rsid w:val="2ED33B5E"/>
    <w:rsid w:val="2F5C288F"/>
    <w:rsid w:val="2F742938"/>
    <w:rsid w:val="2F9C1554"/>
    <w:rsid w:val="2FC961C2"/>
    <w:rsid w:val="2FFA5B1F"/>
    <w:rsid w:val="30607673"/>
    <w:rsid w:val="30FB127B"/>
    <w:rsid w:val="3182062E"/>
    <w:rsid w:val="31842C04"/>
    <w:rsid w:val="319B4CA7"/>
    <w:rsid w:val="31A517E2"/>
    <w:rsid w:val="31AD4B3A"/>
    <w:rsid w:val="31C4449A"/>
    <w:rsid w:val="31F2254D"/>
    <w:rsid w:val="32145A07"/>
    <w:rsid w:val="322B4AD8"/>
    <w:rsid w:val="322F3C4C"/>
    <w:rsid w:val="323D7C6C"/>
    <w:rsid w:val="32456E89"/>
    <w:rsid w:val="32537490"/>
    <w:rsid w:val="326E42CA"/>
    <w:rsid w:val="32894C60"/>
    <w:rsid w:val="329F4483"/>
    <w:rsid w:val="32A001FB"/>
    <w:rsid w:val="32C43EEA"/>
    <w:rsid w:val="32DC173E"/>
    <w:rsid w:val="32F32A21"/>
    <w:rsid w:val="32F36749"/>
    <w:rsid w:val="33150BE9"/>
    <w:rsid w:val="334D0383"/>
    <w:rsid w:val="336851BD"/>
    <w:rsid w:val="33CA5530"/>
    <w:rsid w:val="33F407FF"/>
    <w:rsid w:val="34140EA1"/>
    <w:rsid w:val="34145862"/>
    <w:rsid w:val="342F5CDB"/>
    <w:rsid w:val="343C3F54"/>
    <w:rsid w:val="348451A1"/>
    <w:rsid w:val="349C3C37"/>
    <w:rsid w:val="34A15F56"/>
    <w:rsid w:val="34EF0FC6"/>
    <w:rsid w:val="35011425"/>
    <w:rsid w:val="35042CC3"/>
    <w:rsid w:val="356203CC"/>
    <w:rsid w:val="356E638F"/>
    <w:rsid w:val="35B46497"/>
    <w:rsid w:val="35C52022"/>
    <w:rsid w:val="35EF72F8"/>
    <w:rsid w:val="361E2B75"/>
    <w:rsid w:val="3627310D"/>
    <w:rsid w:val="363B0967"/>
    <w:rsid w:val="368D0A96"/>
    <w:rsid w:val="36981915"/>
    <w:rsid w:val="3699568D"/>
    <w:rsid w:val="36E0506A"/>
    <w:rsid w:val="371F3DE4"/>
    <w:rsid w:val="3756674C"/>
    <w:rsid w:val="375B2943"/>
    <w:rsid w:val="376D0FF4"/>
    <w:rsid w:val="37896C52"/>
    <w:rsid w:val="37AD13F0"/>
    <w:rsid w:val="37D050DF"/>
    <w:rsid w:val="37DA5F5D"/>
    <w:rsid w:val="37F9175D"/>
    <w:rsid w:val="38072EB2"/>
    <w:rsid w:val="381274A5"/>
    <w:rsid w:val="382F0057"/>
    <w:rsid w:val="384D4565"/>
    <w:rsid w:val="386677F1"/>
    <w:rsid w:val="387B2130"/>
    <w:rsid w:val="38A26A7B"/>
    <w:rsid w:val="38E075A3"/>
    <w:rsid w:val="38FE5C7B"/>
    <w:rsid w:val="391536F1"/>
    <w:rsid w:val="39162D81"/>
    <w:rsid w:val="39D37108"/>
    <w:rsid w:val="39E62997"/>
    <w:rsid w:val="39FA4695"/>
    <w:rsid w:val="3A100A68"/>
    <w:rsid w:val="3A15327D"/>
    <w:rsid w:val="3A1C460B"/>
    <w:rsid w:val="3A4B4EF0"/>
    <w:rsid w:val="3A8F302F"/>
    <w:rsid w:val="3AA23689"/>
    <w:rsid w:val="3AAC27E9"/>
    <w:rsid w:val="3AB74334"/>
    <w:rsid w:val="3AC42E63"/>
    <w:rsid w:val="3AD66EB0"/>
    <w:rsid w:val="3B0F5F1E"/>
    <w:rsid w:val="3B253993"/>
    <w:rsid w:val="3BC9431F"/>
    <w:rsid w:val="3BF53076"/>
    <w:rsid w:val="3C0B4511"/>
    <w:rsid w:val="3C10408D"/>
    <w:rsid w:val="3C2B1619"/>
    <w:rsid w:val="3C313FF4"/>
    <w:rsid w:val="3C37397E"/>
    <w:rsid w:val="3C477110"/>
    <w:rsid w:val="3C7945AF"/>
    <w:rsid w:val="3C940DD1"/>
    <w:rsid w:val="3C942B7F"/>
    <w:rsid w:val="3CAC46F6"/>
    <w:rsid w:val="3CCC056A"/>
    <w:rsid w:val="3CD3774B"/>
    <w:rsid w:val="3CDE029E"/>
    <w:rsid w:val="3CF7310E"/>
    <w:rsid w:val="3CFB49AC"/>
    <w:rsid w:val="3D4F4CF8"/>
    <w:rsid w:val="3D540560"/>
    <w:rsid w:val="3D7A7FC6"/>
    <w:rsid w:val="3DB039E8"/>
    <w:rsid w:val="3DB41ED8"/>
    <w:rsid w:val="3DBB5DC7"/>
    <w:rsid w:val="3E5A3606"/>
    <w:rsid w:val="3E611D45"/>
    <w:rsid w:val="3E636CAD"/>
    <w:rsid w:val="3E6B5B61"/>
    <w:rsid w:val="3E79568B"/>
    <w:rsid w:val="3E8D3D29"/>
    <w:rsid w:val="3EA51C60"/>
    <w:rsid w:val="3F5F4168"/>
    <w:rsid w:val="3FAB3A69"/>
    <w:rsid w:val="3FB35A12"/>
    <w:rsid w:val="3FB452E6"/>
    <w:rsid w:val="40185875"/>
    <w:rsid w:val="40267F92"/>
    <w:rsid w:val="40381A73"/>
    <w:rsid w:val="403D352D"/>
    <w:rsid w:val="40486923"/>
    <w:rsid w:val="40664832"/>
    <w:rsid w:val="40880C4C"/>
    <w:rsid w:val="408B4299"/>
    <w:rsid w:val="40A40D4F"/>
    <w:rsid w:val="40B732E0"/>
    <w:rsid w:val="40BA656D"/>
    <w:rsid w:val="40D23C76"/>
    <w:rsid w:val="40D914A8"/>
    <w:rsid w:val="40DB5220"/>
    <w:rsid w:val="40F36293"/>
    <w:rsid w:val="40F7192E"/>
    <w:rsid w:val="413A0E87"/>
    <w:rsid w:val="41782A6F"/>
    <w:rsid w:val="417A10C5"/>
    <w:rsid w:val="419B2E13"/>
    <w:rsid w:val="41B415CD"/>
    <w:rsid w:val="41B617E9"/>
    <w:rsid w:val="41C95079"/>
    <w:rsid w:val="42201879"/>
    <w:rsid w:val="422A188F"/>
    <w:rsid w:val="42611755"/>
    <w:rsid w:val="42813BA5"/>
    <w:rsid w:val="4286740D"/>
    <w:rsid w:val="429733C9"/>
    <w:rsid w:val="430B346F"/>
    <w:rsid w:val="4324703D"/>
    <w:rsid w:val="43254A44"/>
    <w:rsid w:val="4392593E"/>
    <w:rsid w:val="43E22422"/>
    <w:rsid w:val="440B0B14"/>
    <w:rsid w:val="44242A3A"/>
    <w:rsid w:val="443F11DE"/>
    <w:rsid w:val="44856F92"/>
    <w:rsid w:val="44A43B7B"/>
    <w:rsid w:val="44B1265C"/>
    <w:rsid w:val="45264590"/>
    <w:rsid w:val="45284A5E"/>
    <w:rsid w:val="453C2005"/>
    <w:rsid w:val="45460E2C"/>
    <w:rsid w:val="455554B2"/>
    <w:rsid w:val="45676B0B"/>
    <w:rsid w:val="456B6431"/>
    <w:rsid w:val="457F1EF2"/>
    <w:rsid w:val="45A32084"/>
    <w:rsid w:val="45C1250B"/>
    <w:rsid w:val="46080139"/>
    <w:rsid w:val="463F42D7"/>
    <w:rsid w:val="4642189D"/>
    <w:rsid w:val="4642364B"/>
    <w:rsid w:val="469320F9"/>
    <w:rsid w:val="46BF2EEE"/>
    <w:rsid w:val="46C40504"/>
    <w:rsid w:val="46DF70EC"/>
    <w:rsid w:val="46F10BCE"/>
    <w:rsid w:val="47694C08"/>
    <w:rsid w:val="47874EA9"/>
    <w:rsid w:val="47A67C0A"/>
    <w:rsid w:val="47B44676"/>
    <w:rsid w:val="47D74267"/>
    <w:rsid w:val="47DF4CAB"/>
    <w:rsid w:val="4803701A"/>
    <w:rsid w:val="480A548C"/>
    <w:rsid w:val="480F3951"/>
    <w:rsid w:val="48142DC6"/>
    <w:rsid w:val="48D83DF3"/>
    <w:rsid w:val="48FD7CFE"/>
    <w:rsid w:val="491237A9"/>
    <w:rsid w:val="491B34B2"/>
    <w:rsid w:val="49530312"/>
    <w:rsid w:val="49583186"/>
    <w:rsid w:val="496D4E83"/>
    <w:rsid w:val="49B77EAC"/>
    <w:rsid w:val="49C8668D"/>
    <w:rsid w:val="49ED64C9"/>
    <w:rsid w:val="4A534079"/>
    <w:rsid w:val="4A9326C8"/>
    <w:rsid w:val="4AF36E2F"/>
    <w:rsid w:val="4B3814C1"/>
    <w:rsid w:val="4B3C4B0D"/>
    <w:rsid w:val="4B48499E"/>
    <w:rsid w:val="4B876D4C"/>
    <w:rsid w:val="4BC0573E"/>
    <w:rsid w:val="4BDB5372"/>
    <w:rsid w:val="4BE331DB"/>
    <w:rsid w:val="4C0F5D7E"/>
    <w:rsid w:val="4C7A32E7"/>
    <w:rsid w:val="4C942727"/>
    <w:rsid w:val="4C9B3AB5"/>
    <w:rsid w:val="4D05239A"/>
    <w:rsid w:val="4D2B308B"/>
    <w:rsid w:val="4D447CA9"/>
    <w:rsid w:val="4D677E3B"/>
    <w:rsid w:val="4D6A3FBD"/>
    <w:rsid w:val="4D844549"/>
    <w:rsid w:val="4D890F66"/>
    <w:rsid w:val="4DC40DEA"/>
    <w:rsid w:val="4DC808DA"/>
    <w:rsid w:val="4DD03C33"/>
    <w:rsid w:val="4E023E15"/>
    <w:rsid w:val="4E371546"/>
    <w:rsid w:val="4E760336"/>
    <w:rsid w:val="4E802F63"/>
    <w:rsid w:val="4E8D7C2F"/>
    <w:rsid w:val="4EB8094F"/>
    <w:rsid w:val="4ED632AE"/>
    <w:rsid w:val="4EDD5AD5"/>
    <w:rsid w:val="4EF851EF"/>
    <w:rsid w:val="4F100820"/>
    <w:rsid w:val="4F38629A"/>
    <w:rsid w:val="4F9A0054"/>
    <w:rsid w:val="4FA964E9"/>
    <w:rsid w:val="4FF43C08"/>
    <w:rsid w:val="50011E81"/>
    <w:rsid w:val="502D711A"/>
    <w:rsid w:val="504D156B"/>
    <w:rsid w:val="50502E09"/>
    <w:rsid w:val="505C3C79"/>
    <w:rsid w:val="507A635B"/>
    <w:rsid w:val="508722C5"/>
    <w:rsid w:val="508A631B"/>
    <w:rsid w:val="50B6598C"/>
    <w:rsid w:val="50D70E34"/>
    <w:rsid w:val="514207FD"/>
    <w:rsid w:val="5176064D"/>
    <w:rsid w:val="51A73905"/>
    <w:rsid w:val="51B11685"/>
    <w:rsid w:val="51C13FBE"/>
    <w:rsid w:val="51F31C9E"/>
    <w:rsid w:val="52232583"/>
    <w:rsid w:val="522602C5"/>
    <w:rsid w:val="52262073"/>
    <w:rsid w:val="52274752"/>
    <w:rsid w:val="522D179F"/>
    <w:rsid w:val="523C3645"/>
    <w:rsid w:val="524065F2"/>
    <w:rsid w:val="526130AB"/>
    <w:rsid w:val="52A5743C"/>
    <w:rsid w:val="52B96A43"/>
    <w:rsid w:val="52C74869"/>
    <w:rsid w:val="52E87329"/>
    <w:rsid w:val="53111CCF"/>
    <w:rsid w:val="53364538"/>
    <w:rsid w:val="5349426B"/>
    <w:rsid w:val="536F35A6"/>
    <w:rsid w:val="53BC7CB1"/>
    <w:rsid w:val="53CA4C80"/>
    <w:rsid w:val="53DB2795"/>
    <w:rsid w:val="5402266C"/>
    <w:rsid w:val="546E1AAF"/>
    <w:rsid w:val="54896BD1"/>
    <w:rsid w:val="54DB230D"/>
    <w:rsid w:val="54F226E1"/>
    <w:rsid w:val="55944C0E"/>
    <w:rsid w:val="55A90FF1"/>
    <w:rsid w:val="56097CE2"/>
    <w:rsid w:val="561F04E5"/>
    <w:rsid w:val="56206DD9"/>
    <w:rsid w:val="565E1E5D"/>
    <w:rsid w:val="569752EE"/>
    <w:rsid w:val="56A31EE4"/>
    <w:rsid w:val="56A417B8"/>
    <w:rsid w:val="56B45E9F"/>
    <w:rsid w:val="57030BD5"/>
    <w:rsid w:val="571266AC"/>
    <w:rsid w:val="571B7CCD"/>
    <w:rsid w:val="571C1C97"/>
    <w:rsid w:val="576D3087"/>
    <w:rsid w:val="57B343A9"/>
    <w:rsid w:val="57B974E6"/>
    <w:rsid w:val="585F62DF"/>
    <w:rsid w:val="58823D7B"/>
    <w:rsid w:val="58871392"/>
    <w:rsid w:val="58AC2BA6"/>
    <w:rsid w:val="58D740C7"/>
    <w:rsid w:val="58FC1D80"/>
    <w:rsid w:val="58FC58DC"/>
    <w:rsid w:val="592C4BC0"/>
    <w:rsid w:val="593A06B5"/>
    <w:rsid w:val="595E0345"/>
    <w:rsid w:val="59C26129"/>
    <w:rsid w:val="59DB1995"/>
    <w:rsid w:val="5A3D43FE"/>
    <w:rsid w:val="5A5D684E"/>
    <w:rsid w:val="5A655703"/>
    <w:rsid w:val="5A762450"/>
    <w:rsid w:val="5A7871E4"/>
    <w:rsid w:val="5A7F0572"/>
    <w:rsid w:val="5A981634"/>
    <w:rsid w:val="5AC35A6B"/>
    <w:rsid w:val="5AC661A1"/>
    <w:rsid w:val="5AD76600"/>
    <w:rsid w:val="5B2829B8"/>
    <w:rsid w:val="5B2D4472"/>
    <w:rsid w:val="5B392E17"/>
    <w:rsid w:val="5B4D0671"/>
    <w:rsid w:val="5B726329"/>
    <w:rsid w:val="5B991B08"/>
    <w:rsid w:val="5B9E2C7A"/>
    <w:rsid w:val="5BA34735"/>
    <w:rsid w:val="5BBC75A4"/>
    <w:rsid w:val="5BC36B85"/>
    <w:rsid w:val="5BC76675"/>
    <w:rsid w:val="5BD111F4"/>
    <w:rsid w:val="5BE525E5"/>
    <w:rsid w:val="5BF44F90"/>
    <w:rsid w:val="5BFB631F"/>
    <w:rsid w:val="5C001B87"/>
    <w:rsid w:val="5C0E40B2"/>
    <w:rsid w:val="5C1E3DBB"/>
    <w:rsid w:val="5C367357"/>
    <w:rsid w:val="5C7165E1"/>
    <w:rsid w:val="5C974299"/>
    <w:rsid w:val="5CC74453"/>
    <w:rsid w:val="5CC86EA4"/>
    <w:rsid w:val="5CE5193F"/>
    <w:rsid w:val="5CF214D0"/>
    <w:rsid w:val="5D5E6B65"/>
    <w:rsid w:val="5D883BE2"/>
    <w:rsid w:val="5DA652DB"/>
    <w:rsid w:val="5DB1138B"/>
    <w:rsid w:val="5DD92690"/>
    <w:rsid w:val="5E1D07CE"/>
    <w:rsid w:val="5E23390B"/>
    <w:rsid w:val="5E2A6A47"/>
    <w:rsid w:val="5E3D507A"/>
    <w:rsid w:val="5E3E6996"/>
    <w:rsid w:val="5E4F40DA"/>
    <w:rsid w:val="5E5011F2"/>
    <w:rsid w:val="5E506D1E"/>
    <w:rsid w:val="5EEB267A"/>
    <w:rsid w:val="5F092B01"/>
    <w:rsid w:val="5F243677"/>
    <w:rsid w:val="5F3062DF"/>
    <w:rsid w:val="5F4955F3"/>
    <w:rsid w:val="5F4A16A1"/>
    <w:rsid w:val="5F571ABE"/>
    <w:rsid w:val="5F5F6BC4"/>
    <w:rsid w:val="5F957A86"/>
    <w:rsid w:val="5F9C69B7"/>
    <w:rsid w:val="5FBE1B3D"/>
    <w:rsid w:val="5FED5F7E"/>
    <w:rsid w:val="60017C7C"/>
    <w:rsid w:val="60D31618"/>
    <w:rsid w:val="60FC6EF3"/>
    <w:rsid w:val="61204B95"/>
    <w:rsid w:val="6130766C"/>
    <w:rsid w:val="613F280A"/>
    <w:rsid w:val="615F4C5A"/>
    <w:rsid w:val="616205E8"/>
    <w:rsid w:val="61722BDF"/>
    <w:rsid w:val="6186668A"/>
    <w:rsid w:val="61A501A5"/>
    <w:rsid w:val="61BA4586"/>
    <w:rsid w:val="61DC7186"/>
    <w:rsid w:val="621974FF"/>
    <w:rsid w:val="621F0086"/>
    <w:rsid w:val="623844F4"/>
    <w:rsid w:val="623E6F65"/>
    <w:rsid w:val="624D0C1C"/>
    <w:rsid w:val="62766E03"/>
    <w:rsid w:val="62A019CE"/>
    <w:rsid w:val="62CA6A4B"/>
    <w:rsid w:val="62D11B87"/>
    <w:rsid w:val="63531F8D"/>
    <w:rsid w:val="638C227F"/>
    <w:rsid w:val="639B7CD8"/>
    <w:rsid w:val="63B3128D"/>
    <w:rsid w:val="63BC2837"/>
    <w:rsid w:val="63BD1701"/>
    <w:rsid w:val="63F01943"/>
    <w:rsid w:val="64256973"/>
    <w:rsid w:val="647E0EAE"/>
    <w:rsid w:val="64901CDF"/>
    <w:rsid w:val="64E02555"/>
    <w:rsid w:val="64E102CB"/>
    <w:rsid w:val="64E12312"/>
    <w:rsid w:val="652C579B"/>
    <w:rsid w:val="65362175"/>
    <w:rsid w:val="65A34405"/>
    <w:rsid w:val="65AD7581"/>
    <w:rsid w:val="65DB74FA"/>
    <w:rsid w:val="666845B1"/>
    <w:rsid w:val="66D460EA"/>
    <w:rsid w:val="66D9725C"/>
    <w:rsid w:val="670F7122"/>
    <w:rsid w:val="67310E46"/>
    <w:rsid w:val="673812B4"/>
    <w:rsid w:val="675B78C5"/>
    <w:rsid w:val="6767406A"/>
    <w:rsid w:val="67A71109"/>
    <w:rsid w:val="67FD341E"/>
    <w:rsid w:val="682664D1"/>
    <w:rsid w:val="68560755"/>
    <w:rsid w:val="687A3533"/>
    <w:rsid w:val="68802085"/>
    <w:rsid w:val="68914293"/>
    <w:rsid w:val="68A13DAA"/>
    <w:rsid w:val="68CA1553"/>
    <w:rsid w:val="68F95994"/>
    <w:rsid w:val="691E364C"/>
    <w:rsid w:val="692F7608"/>
    <w:rsid w:val="69482477"/>
    <w:rsid w:val="695F3F02"/>
    <w:rsid w:val="69A55B1C"/>
    <w:rsid w:val="69B35505"/>
    <w:rsid w:val="69B705EC"/>
    <w:rsid w:val="6A510DDC"/>
    <w:rsid w:val="6A55309E"/>
    <w:rsid w:val="6A6B28C1"/>
    <w:rsid w:val="6AF059AE"/>
    <w:rsid w:val="6B1116BB"/>
    <w:rsid w:val="6B1B7E43"/>
    <w:rsid w:val="6B442F1F"/>
    <w:rsid w:val="6B59096C"/>
    <w:rsid w:val="6BD526E8"/>
    <w:rsid w:val="6C1A00FB"/>
    <w:rsid w:val="6C223454"/>
    <w:rsid w:val="6C2E3BA6"/>
    <w:rsid w:val="6C7377BF"/>
    <w:rsid w:val="6C892CE1"/>
    <w:rsid w:val="6CC60283"/>
    <w:rsid w:val="6CD04C5E"/>
    <w:rsid w:val="6DCE5641"/>
    <w:rsid w:val="6DEE53C5"/>
    <w:rsid w:val="6E39717B"/>
    <w:rsid w:val="6E930639"/>
    <w:rsid w:val="6E9E6B17"/>
    <w:rsid w:val="6E9F3C9F"/>
    <w:rsid w:val="6F2474E3"/>
    <w:rsid w:val="6F817D54"/>
    <w:rsid w:val="6FA147C9"/>
    <w:rsid w:val="6FB41C14"/>
    <w:rsid w:val="6FB6638D"/>
    <w:rsid w:val="6FCA008A"/>
    <w:rsid w:val="6FCA2ACC"/>
    <w:rsid w:val="6FF375E1"/>
    <w:rsid w:val="700F08C0"/>
    <w:rsid w:val="70381498"/>
    <w:rsid w:val="704A4D27"/>
    <w:rsid w:val="704F0ED7"/>
    <w:rsid w:val="704F7F89"/>
    <w:rsid w:val="705B714E"/>
    <w:rsid w:val="706F2E94"/>
    <w:rsid w:val="707A560C"/>
    <w:rsid w:val="7080699B"/>
    <w:rsid w:val="70DC1E23"/>
    <w:rsid w:val="70E52E33"/>
    <w:rsid w:val="713E0F09"/>
    <w:rsid w:val="713F23B2"/>
    <w:rsid w:val="7177615E"/>
    <w:rsid w:val="718C1A9B"/>
    <w:rsid w:val="71933005"/>
    <w:rsid w:val="719721EE"/>
    <w:rsid w:val="71A55100"/>
    <w:rsid w:val="71B903B6"/>
    <w:rsid w:val="71D34078"/>
    <w:rsid w:val="7231619E"/>
    <w:rsid w:val="72BF7C4E"/>
    <w:rsid w:val="72C05AE3"/>
    <w:rsid w:val="72D03C09"/>
    <w:rsid w:val="72DA44FF"/>
    <w:rsid w:val="72EB15F3"/>
    <w:rsid w:val="73021434"/>
    <w:rsid w:val="73025D8D"/>
    <w:rsid w:val="73283E25"/>
    <w:rsid w:val="735143C5"/>
    <w:rsid w:val="73CB43D1"/>
    <w:rsid w:val="73CB6DD9"/>
    <w:rsid w:val="73DC213A"/>
    <w:rsid w:val="73E01848"/>
    <w:rsid w:val="73F25E01"/>
    <w:rsid w:val="74116287"/>
    <w:rsid w:val="742762A4"/>
    <w:rsid w:val="74600FBD"/>
    <w:rsid w:val="74A649E1"/>
    <w:rsid w:val="74AB7C75"/>
    <w:rsid w:val="74E22F5B"/>
    <w:rsid w:val="74E60521"/>
    <w:rsid w:val="74FA4F6E"/>
    <w:rsid w:val="7548217D"/>
    <w:rsid w:val="75821800"/>
    <w:rsid w:val="75A153E9"/>
    <w:rsid w:val="75DA1C82"/>
    <w:rsid w:val="7601232C"/>
    <w:rsid w:val="7660577F"/>
    <w:rsid w:val="76C23869"/>
    <w:rsid w:val="76D33CC8"/>
    <w:rsid w:val="76D37824"/>
    <w:rsid w:val="76D90BB3"/>
    <w:rsid w:val="76EE465E"/>
    <w:rsid w:val="77037899"/>
    <w:rsid w:val="77364257"/>
    <w:rsid w:val="7758241F"/>
    <w:rsid w:val="7763329E"/>
    <w:rsid w:val="776C7C79"/>
    <w:rsid w:val="77843214"/>
    <w:rsid w:val="77AB445A"/>
    <w:rsid w:val="77F739E6"/>
    <w:rsid w:val="78083F5D"/>
    <w:rsid w:val="78197E01"/>
    <w:rsid w:val="783469E8"/>
    <w:rsid w:val="78564BB1"/>
    <w:rsid w:val="78664144"/>
    <w:rsid w:val="789D27E0"/>
    <w:rsid w:val="78E21FA1"/>
    <w:rsid w:val="78EC2E1F"/>
    <w:rsid w:val="7901354B"/>
    <w:rsid w:val="79265FEE"/>
    <w:rsid w:val="79464C25"/>
    <w:rsid w:val="79A74F98"/>
    <w:rsid w:val="79AD40D0"/>
    <w:rsid w:val="79AD6A52"/>
    <w:rsid w:val="79B7342D"/>
    <w:rsid w:val="79BA116F"/>
    <w:rsid w:val="79E24222"/>
    <w:rsid w:val="7A0348C4"/>
    <w:rsid w:val="7A24483B"/>
    <w:rsid w:val="7A2F16EC"/>
    <w:rsid w:val="7A3B22B0"/>
    <w:rsid w:val="7A49604F"/>
    <w:rsid w:val="7A4F7B0A"/>
    <w:rsid w:val="7AA00365"/>
    <w:rsid w:val="7ABD7B48"/>
    <w:rsid w:val="7ACF18EE"/>
    <w:rsid w:val="7B000E04"/>
    <w:rsid w:val="7B0E3521"/>
    <w:rsid w:val="7B252618"/>
    <w:rsid w:val="7BB52A0C"/>
    <w:rsid w:val="7C280612"/>
    <w:rsid w:val="7CE16A13"/>
    <w:rsid w:val="7D1D5C9D"/>
    <w:rsid w:val="7D252DA4"/>
    <w:rsid w:val="7D3B55E6"/>
    <w:rsid w:val="7D3E5C13"/>
    <w:rsid w:val="7D5471E5"/>
    <w:rsid w:val="7DC4436B"/>
    <w:rsid w:val="7E075985"/>
    <w:rsid w:val="7E751B09"/>
    <w:rsid w:val="7E781722"/>
    <w:rsid w:val="7EA146AC"/>
    <w:rsid w:val="7EDF0D45"/>
    <w:rsid w:val="7EE97F06"/>
    <w:rsid w:val="7F106D19"/>
    <w:rsid w:val="7F2647E5"/>
    <w:rsid w:val="7F345520"/>
    <w:rsid w:val="7F78097A"/>
    <w:rsid w:val="7FB81CAD"/>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3"/>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line="360" w:lineRule="auto"/>
      <w:ind w:firstLine="1680" w:firstLineChars="200"/>
      <w:jc w:val="left"/>
      <w:outlineLvl w:val="1"/>
    </w:pPr>
    <w:rPr>
      <w:rFonts w:ascii="Cambria" w:hAnsi="Cambria" w:cs="Times New Roman"/>
      <w:b/>
      <w:bCs/>
      <w:kern w:val="0"/>
      <w:sz w:val="32"/>
      <w:szCs w:val="32"/>
    </w:rPr>
  </w:style>
  <w:style w:type="paragraph" w:styleId="4">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autoRedefine/>
    <w:qFormat/>
    <w:uiPriority w:val="0"/>
    <w:pPr>
      <w:keepNext/>
      <w:jc w:val="center"/>
      <w:outlineLvl w:val="3"/>
    </w:pPr>
    <w:rPr>
      <w:rFonts w:eastAsia="新宋体"/>
      <w:kern w:val="0"/>
      <w:sz w:val="30"/>
      <w:szCs w:val="21"/>
    </w:rPr>
  </w:style>
  <w:style w:type="paragraph" w:styleId="6">
    <w:name w:val="heading 6"/>
    <w:basedOn w:val="1"/>
    <w:next w:val="7"/>
    <w:autoRedefine/>
    <w:qFormat/>
    <w:uiPriority w:val="0"/>
    <w:pPr>
      <w:keepNext/>
      <w:jc w:val="center"/>
      <w:outlineLvl w:val="5"/>
    </w:pPr>
    <w:rPr>
      <w:b/>
      <w:kern w:val="0"/>
      <w:sz w:val="44"/>
      <w:szCs w:val="20"/>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eastAsia="宋体" w:cs="Times New Roman"/>
      <w:kern w:val="0"/>
      <w:sz w:val="20"/>
      <w:szCs w:val="20"/>
    </w:rPr>
  </w:style>
  <w:style w:type="paragraph" w:styleId="8">
    <w:name w:val="Document Map"/>
    <w:basedOn w:val="1"/>
    <w:link w:val="44"/>
    <w:autoRedefine/>
    <w:semiHidden/>
    <w:unhideWhenUsed/>
    <w:qFormat/>
    <w:uiPriority w:val="0"/>
    <w:rPr>
      <w:rFonts w:ascii="Microsoft YaHei UI" w:eastAsia="Microsoft YaHei UI"/>
      <w:sz w:val="18"/>
      <w:szCs w:val="18"/>
    </w:rPr>
  </w:style>
  <w:style w:type="paragraph" w:styleId="9">
    <w:name w:val="Body Text"/>
    <w:basedOn w:val="1"/>
    <w:next w:val="1"/>
    <w:autoRedefine/>
    <w:qFormat/>
    <w:uiPriority w:val="0"/>
    <w:pPr>
      <w:spacing w:after="120"/>
    </w:pPr>
    <w:rPr>
      <w:rFonts w:ascii="Times New Roman" w:hAnsi="Times New Roman"/>
      <w:szCs w:val="20"/>
    </w:rPr>
  </w:style>
  <w:style w:type="paragraph" w:styleId="10">
    <w:name w:val="Body Text Indent"/>
    <w:basedOn w:val="1"/>
    <w:autoRedefine/>
    <w:qFormat/>
    <w:uiPriority w:val="0"/>
    <w:pPr>
      <w:ind w:left="420" w:leftChars="200"/>
    </w:pPr>
  </w:style>
  <w:style w:type="paragraph" w:styleId="11">
    <w:name w:val="index 4"/>
    <w:basedOn w:val="1"/>
    <w:next w:val="1"/>
    <w:autoRedefine/>
    <w:unhideWhenUsed/>
    <w:qFormat/>
    <w:uiPriority w:val="99"/>
    <w:pPr>
      <w:ind w:left="600" w:leftChars="600"/>
    </w:pPr>
  </w:style>
  <w:style w:type="paragraph" w:styleId="12">
    <w:name w:val="Plain Text"/>
    <w:basedOn w:val="1"/>
    <w:next w:val="1"/>
    <w:autoRedefine/>
    <w:qFormat/>
    <w:uiPriority w:val="0"/>
    <w:rPr>
      <w:rFonts w:hint="eastAsia" w:ascii="宋体" w:hAnsi="Courier New"/>
      <w:szCs w:val="20"/>
    </w:rPr>
  </w:style>
  <w:style w:type="paragraph" w:styleId="13">
    <w:name w:val="footer"/>
    <w:basedOn w:val="1"/>
    <w:link w:val="41"/>
    <w:autoRedefine/>
    <w:qFormat/>
    <w:uiPriority w:val="99"/>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6">
    <w:name w:val="Body Text First Indent"/>
    <w:basedOn w:val="9"/>
    <w:autoRedefine/>
    <w:qFormat/>
    <w:uiPriority w:val="0"/>
    <w:pPr>
      <w:ind w:firstLine="420" w:firstLineChars="100"/>
    </w:pPr>
  </w:style>
  <w:style w:type="paragraph" w:styleId="17">
    <w:name w:val="Body Text First Indent 2"/>
    <w:basedOn w:val="10"/>
    <w:next w:val="1"/>
    <w:autoRedefine/>
    <w:qFormat/>
    <w:uiPriority w:val="0"/>
    <w:pPr>
      <w:spacing w:after="120"/>
      <w:ind w:firstLine="420" w:firstLineChars="200"/>
    </w:pPr>
    <w:rPr>
      <w:rFonts w:ascii="Times New Roman" w:hAnsi="Times New Roman"/>
      <w:szCs w:val="20"/>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autoRedefine/>
    <w:qFormat/>
    <w:uiPriority w:val="0"/>
    <w:rPr>
      <w:color w:val="800080"/>
      <w:u w:val="none"/>
    </w:rPr>
  </w:style>
  <w:style w:type="character" w:styleId="22">
    <w:name w:val="HTML Definition"/>
    <w:basedOn w:val="20"/>
    <w:autoRedefine/>
    <w:qFormat/>
    <w:uiPriority w:val="0"/>
  </w:style>
  <w:style w:type="character" w:styleId="23">
    <w:name w:val="HTML Typewriter"/>
    <w:basedOn w:val="20"/>
    <w:autoRedefine/>
    <w:qFormat/>
    <w:uiPriority w:val="0"/>
    <w:rPr>
      <w:rFonts w:hint="default" w:ascii="monospace" w:hAnsi="monospace" w:eastAsia="monospace" w:cs="monospace"/>
      <w:sz w:val="20"/>
    </w:rPr>
  </w:style>
  <w:style w:type="character" w:styleId="24">
    <w:name w:val="HTML Acronym"/>
    <w:basedOn w:val="20"/>
    <w:autoRedefine/>
    <w:qFormat/>
    <w:uiPriority w:val="0"/>
  </w:style>
  <w:style w:type="character" w:styleId="25">
    <w:name w:val="HTML Variable"/>
    <w:basedOn w:val="20"/>
    <w:autoRedefine/>
    <w:qFormat/>
    <w:uiPriority w:val="0"/>
  </w:style>
  <w:style w:type="character" w:styleId="26">
    <w:name w:val="Hyperlink"/>
    <w:basedOn w:val="20"/>
    <w:autoRedefine/>
    <w:qFormat/>
    <w:uiPriority w:val="0"/>
    <w:rPr>
      <w:color w:val="0000FF"/>
      <w:u w:val="none"/>
    </w:rPr>
  </w:style>
  <w:style w:type="character" w:styleId="27">
    <w:name w:val="HTML Code"/>
    <w:basedOn w:val="20"/>
    <w:autoRedefine/>
    <w:qFormat/>
    <w:uiPriority w:val="0"/>
    <w:rPr>
      <w:rFonts w:ascii="monospace" w:hAnsi="monospace" w:eastAsia="monospace" w:cs="monospace"/>
      <w:sz w:val="20"/>
    </w:rPr>
  </w:style>
  <w:style w:type="character" w:styleId="28">
    <w:name w:val="HTML Cite"/>
    <w:basedOn w:val="20"/>
    <w:autoRedefine/>
    <w:qFormat/>
    <w:uiPriority w:val="0"/>
  </w:style>
  <w:style w:type="character" w:styleId="29">
    <w:name w:val="HTML Keyboard"/>
    <w:basedOn w:val="20"/>
    <w:autoRedefine/>
    <w:qFormat/>
    <w:uiPriority w:val="0"/>
    <w:rPr>
      <w:rFonts w:hint="default" w:ascii="monospace" w:hAnsi="monospace" w:eastAsia="monospace" w:cs="monospace"/>
      <w:sz w:val="20"/>
    </w:rPr>
  </w:style>
  <w:style w:type="character" w:styleId="30">
    <w:name w:val="HTML Sample"/>
    <w:basedOn w:val="20"/>
    <w:autoRedefine/>
    <w:qFormat/>
    <w:uiPriority w:val="0"/>
    <w:rPr>
      <w:rFonts w:hint="default" w:ascii="monospace" w:hAnsi="monospace" w:eastAsia="monospace" w:cs="monospace"/>
    </w:rPr>
  </w:style>
  <w:style w:type="paragraph" w:customStyle="1" w:styleId="31">
    <w:name w:val="*正文"/>
    <w:basedOn w:val="1"/>
    <w:autoRedefine/>
    <w:qFormat/>
    <w:uiPriority w:val="0"/>
    <w:rPr>
      <w:rFonts w:ascii="宋体" w:hAnsi="宋体"/>
      <w:kern w:val="0"/>
      <w:szCs w:val="24"/>
    </w:rPr>
  </w:style>
  <w:style w:type="paragraph" w:customStyle="1" w:styleId="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4">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5">
    <w:name w:val="first-child"/>
    <w:basedOn w:val="20"/>
    <w:autoRedefine/>
    <w:qFormat/>
    <w:uiPriority w:val="0"/>
  </w:style>
  <w:style w:type="character" w:customStyle="1" w:styleId="36">
    <w:name w:val="hover2"/>
    <w:basedOn w:val="20"/>
    <w:autoRedefine/>
    <w:qFormat/>
    <w:uiPriority w:val="0"/>
    <w:rPr>
      <w:color w:val="5FB878"/>
    </w:rPr>
  </w:style>
  <w:style w:type="character" w:customStyle="1" w:styleId="37">
    <w:name w:val="hover3"/>
    <w:basedOn w:val="20"/>
    <w:autoRedefine/>
    <w:qFormat/>
    <w:uiPriority w:val="0"/>
    <w:rPr>
      <w:color w:val="5FB878"/>
    </w:rPr>
  </w:style>
  <w:style w:type="character" w:customStyle="1" w:styleId="38">
    <w:name w:val="hover4"/>
    <w:basedOn w:val="20"/>
    <w:autoRedefine/>
    <w:qFormat/>
    <w:uiPriority w:val="0"/>
    <w:rPr>
      <w:color w:val="FFFFFF"/>
    </w:rPr>
  </w:style>
  <w:style w:type="character" w:customStyle="1" w:styleId="39">
    <w:name w:val="layui-this"/>
    <w:basedOn w:val="20"/>
    <w:autoRedefine/>
    <w:qFormat/>
    <w:uiPriority w:val="0"/>
    <w:rPr>
      <w:bdr w:val="single" w:color="EEEEEE" w:sz="6" w:space="0"/>
      <w:shd w:val="clear" w:color="auto" w:fill="FFFFFF"/>
    </w:rPr>
  </w:style>
  <w:style w:type="paragraph" w:customStyle="1" w:styleId="40">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1">
    <w:name w:val="页脚 Char"/>
    <w:basedOn w:val="20"/>
    <w:link w:val="13"/>
    <w:autoRedefine/>
    <w:qFormat/>
    <w:uiPriority w:val="99"/>
    <w:rPr>
      <w:rFonts w:ascii="Calibri" w:hAnsi="Calibri"/>
      <w:kern w:val="2"/>
      <w:sz w:val="18"/>
      <w:szCs w:val="24"/>
    </w:rPr>
  </w:style>
  <w:style w:type="paragraph" w:styleId="42">
    <w:name w:val="List Paragraph"/>
    <w:basedOn w:val="1"/>
    <w:autoRedefine/>
    <w:qFormat/>
    <w:uiPriority w:val="99"/>
    <w:pPr>
      <w:ind w:firstLine="420" w:firstLineChars="200"/>
    </w:pPr>
  </w:style>
  <w:style w:type="character" w:customStyle="1" w:styleId="43">
    <w:name w:val="标题 1 Char"/>
    <w:link w:val="2"/>
    <w:autoRedefine/>
    <w:qFormat/>
    <w:uiPriority w:val="0"/>
    <w:rPr>
      <w:b/>
      <w:kern w:val="44"/>
      <w:sz w:val="44"/>
    </w:rPr>
  </w:style>
  <w:style w:type="character" w:customStyle="1" w:styleId="44">
    <w:name w:val="文档结构图 Char"/>
    <w:basedOn w:val="20"/>
    <w:link w:val="8"/>
    <w:autoRedefine/>
    <w:semiHidden/>
    <w:qFormat/>
    <w:uiPriority w:val="0"/>
    <w:rPr>
      <w:rFonts w:ascii="Microsoft YaHei UI" w:hAnsi="Calibri" w:eastAsia="Microsoft YaHei UI"/>
      <w:kern w:val="2"/>
      <w:sz w:val="18"/>
      <w:szCs w:val="18"/>
    </w:rPr>
  </w:style>
  <w:style w:type="character" w:customStyle="1" w:styleId="45">
    <w:name w:val="font21"/>
    <w:basedOn w:val="20"/>
    <w:autoRedefine/>
    <w:qFormat/>
    <w:uiPriority w:val="0"/>
    <w:rPr>
      <w:rFonts w:hint="eastAsia" w:ascii="微软雅黑" w:hAnsi="微软雅黑" w:eastAsia="微软雅黑" w:cs="微软雅黑"/>
      <w:color w:val="000000"/>
      <w:sz w:val="20"/>
      <w:szCs w:val="20"/>
      <w:u w:val="none"/>
    </w:rPr>
  </w:style>
  <w:style w:type="character" w:customStyle="1" w:styleId="46">
    <w:name w:val="font41"/>
    <w:basedOn w:val="20"/>
    <w:autoRedefine/>
    <w:qFormat/>
    <w:uiPriority w:val="0"/>
    <w:rPr>
      <w:rFonts w:ascii="Arial" w:hAnsi="Arial" w:cs="Arial"/>
      <w:color w:val="000000"/>
      <w:sz w:val="20"/>
      <w:szCs w:val="20"/>
      <w:u w:val="none"/>
    </w:rPr>
  </w:style>
  <w:style w:type="character" w:customStyle="1" w:styleId="47">
    <w:name w:val="NormalCharacter"/>
    <w:autoRedefine/>
    <w:qFormat/>
    <w:uiPriority w:val="99"/>
  </w:style>
  <w:style w:type="paragraph" w:customStyle="1" w:styleId="48">
    <w:name w:val="HtmlNormal"/>
    <w:basedOn w:val="1"/>
    <w:autoRedefine/>
    <w:qFormat/>
    <w:uiPriority w:val="0"/>
    <w:pPr>
      <w:jc w:val="left"/>
    </w:pPr>
    <w:rPr>
      <w:kern w:val="0"/>
      <w:sz w:val="24"/>
    </w:rPr>
  </w:style>
  <w:style w:type="paragraph" w:customStyle="1" w:styleId="49">
    <w:name w:val="样式 正文格式 + 行距: 多倍行距 1.25 字行"/>
    <w:basedOn w:val="50"/>
    <w:autoRedefine/>
    <w:qFormat/>
    <w:uiPriority w:val="0"/>
    <w:pPr>
      <w:spacing w:line="300" w:lineRule="auto"/>
    </w:pPr>
    <w:rPr>
      <w:rFonts w:cs="宋体"/>
    </w:rPr>
  </w:style>
  <w:style w:type="paragraph" w:customStyle="1" w:styleId="50">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51">
    <w:name w:val="font11"/>
    <w:basedOn w:val="20"/>
    <w:autoRedefine/>
    <w:qFormat/>
    <w:uiPriority w:val="0"/>
    <w:rPr>
      <w:rFonts w:hint="eastAsia" w:ascii="宋体" w:hAnsi="宋体" w:eastAsia="宋体" w:cs="宋体"/>
      <w:color w:val="000000"/>
      <w:sz w:val="24"/>
      <w:szCs w:val="24"/>
      <w:u w:val="none"/>
    </w:rPr>
  </w:style>
  <w:style w:type="paragraph" w:customStyle="1" w:styleId="52">
    <w:name w:val="Table Text"/>
    <w:basedOn w:val="1"/>
    <w:autoRedefine/>
    <w:semiHidden/>
    <w:qFormat/>
    <w:uiPriority w:val="0"/>
    <w:rPr>
      <w:rFonts w:ascii="微软雅黑" w:hAnsi="微软雅黑" w:eastAsia="微软雅黑" w:cs="微软雅黑"/>
      <w:sz w:val="19"/>
      <w:szCs w:val="19"/>
    </w:r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character" w:customStyle="1" w:styleId="54">
    <w:name w:val="font31"/>
    <w:basedOn w:val="20"/>
    <w:qFormat/>
    <w:uiPriority w:val="0"/>
    <w:rPr>
      <w:rFonts w:hint="eastAsia" w:ascii="宋体" w:hAnsi="宋体" w:eastAsia="宋体" w:cs="宋体"/>
      <w:color w:val="000000"/>
      <w:sz w:val="20"/>
      <w:szCs w:val="20"/>
      <w:u w:val="none"/>
    </w:rPr>
  </w:style>
  <w:style w:type="character" w:customStyle="1" w:styleId="55">
    <w:name w:val="font51"/>
    <w:basedOn w:val="20"/>
    <w:qFormat/>
    <w:uiPriority w:val="0"/>
    <w:rPr>
      <w:rFonts w:ascii="Segoe UI Symbol" w:hAnsi="Segoe UI Symbol" w:eastAsia="Segoe UI Symbol" w:cs="Segoe UI Symbol"/>
      <w:color w:val="000000"/>
      <w:sz w:val="20"/>
      <w:szCs w:val="20"/>
      <w:u w:val="none"/>
    </w:rPr>
  </w:style>
  <w:style w:type="character" w:customStyle="1" w:styleId="56">
    <w:name w:val="font61"/>
    <w:basedOn w:val="20"/>
    <w:qFormat/>
    <w:uiPriority w:val="0"/>
    <w:rPr>
      <w:rFonts w:ascii="Symbol" w:hAnsi="Symbol" w:cs="Symbol"/>
      <w:color w:val="000000"/>
      <w:sz w:val="18"/>
      <w:szCs w:val="18"/>
      <w:u w:val="none"/>
    </w:rPr>
  </w:style>
  <w:style w:type="character" w:customStyle="1" w:styleId="57">
    <w:name w:val="font71"/>
    <w:basedOn w:val="20"/>
    <w:qFormat/>
    <w:uiPriority w:val="0"/>
    <w:rPr>
      <w:rFonts w:ascii="Symbol" w:hAnsi="Symbol" w:cs="Symbo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7742</Words>
  <Characters>8163</Characters>
  <Lines>137</Lines>
  <Paragraphs>38</Paragraphs>
  <TotalTime>1</TotalTime>
  <ScaleCrop>false</ScaleCrop>
  <LinksUpToDate>false</LinksUpToDate>
  <CharactersWithSpaces>8370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2021-11-08T17:01:00Z</dcterms:created>
  <dc:creator>Administrator</dc:creator>
  <cp:lastModifiedBy>傻傻分不清</cp:lastModifiedBy>
  <cp:lastPrinted>2024-03-01T16:31:00Z</cp:lastPrinted>
  <dcterms:modified xsi:type="dcterms:W3CDTF">2025-10-24T07:36:19Z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050D768FDE5248BEAE92680025CF3B16_13</vt:lpwstr>
  </property>
  <property fmtid="{D5CDD505-2E9C-101B-9397-08002B2CF9AE}" pid="4" name="KSOTemplateDocerSaveRecord">
    <vt:lpwstr>eyJoZGlkIjoiNzkzYjZjOTM4NzA1YThmMjE5Mzc5ZGJkYTBiZGFhOGQiLCJ1c2VySWQiOiIyMzU4NDMxNzQifQ==</vt:lpwstr>
  </property>
</Properties>
</file>