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B83B8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2025年启东吕四港口投资有限公司仙渔小镇地面资产财产一切险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采购项目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公开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询价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公告</w:t>
      </w:r>
    </w:p>
    <w:p w14:paraId="6D73F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eastAsia="zh-CN"/>
        </w:rPr>
        <w:t>启东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吕四港口投资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eastAsia="zh-CN"/>
        </w:rPr>
        <w:t>有限公司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根据启东市政府采购管理的有关规定，就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2025年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启东吕四港口投资有限公司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仙渔小镇地面资产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财产一切险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  <w:t>采购项目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进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公开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询价采购，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欢迎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具有相应资质的供应商参加投标。</w:t>
      </w:r>
    </w:p>
    <w:p w14:paraId="7C37D6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一、项目概况</w:t>
      </w:r>
    </w:p>
    <w:p w14:paraId="560487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项目地点：</w:t>
      </w:r>
      <w:bookmarkStart w:id="0" w:name="OLE_LINK1"/>
      <w:bookmarkStart w:id="1" w:name="OLE_LINK2"/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启东吕四仙渔小镇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；</w:t>
      </w:r>
      <w:bookmarkEnd w:id="0"/>
      <w:bookmarkEnd w:id="1"/>
    </w:p>
    <w:p w14:paraId="53C37B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项目规模：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single"/>
          <w:lang w:val="en-US" w:eastAsia="zh-CN"/>
        </w:rPr>
        <w:t>仙渔小镇A-F区（固定资产房屋-仙渔美食广场1-27幢楼）。A-E区资产价值为233099914元、F区资产价值为44446007元；</w:t>
      </w:r>
    </w:p>
    <w:p w14:paraId="323D92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质量要求：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u w:val="single"/>
        </w:rPr>
        <w:t>中标人应自觉履行投标承诺，主动及时前往，并及时赔付（赔付周期一般不超过一个月），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u w:val="single"/>
          <w:lang w:val="en-US" w:eastAsia="zh-CN"/>
        </w:rPr>
        <w:t>对理赔材料的提供应给予指导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u w:val="single"/>
        </w:rPr>
        <w:t>。</w:t>
      </w:r>
    </w:p>
    <w:p w14:paraId="2ED02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资质要求：</w:t>
      </w:r>
    </w:p>
    <w:p w14:paraId="2EBB3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(1)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符合《中华人民共和国政府采购法》第二十二条的规定；</w:t>
      </w:r>
    </w:p>
    <w:p w14:paraId="409F6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(2)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具备中国保险监督管理委员会认证许可，根据保险行业的特殊性，允许分支机构参与，但同一集团公司只能有一家子公司参加投标；</w:t>
      </w:r>
    </w:p>
    <w:p w14:paraId="5301C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(3)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投标人为启东地区分公司或以上级别的保险公司，提供在启东地区公司的经营保险业务许可证；</w:t>
      </w:r>
    </w:p>
    <w:p w14:paraId="0B7A0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(4)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本次招标不接受联合体形式投标。</w:t>
      </w:r>
    </w:p>
    <w:p w14:paraId="32569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(5)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特别要求：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single"/>
        </w:rPr>
        <w:t>本次投标中涉及的项目单价一次性包定，不再追加。请各供应商在报价时请充分考虑各种因素。</w:t>
      </w:r>
    </w:p>
    <w:p w14:paraId="48E87F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1" w:firstLineChars="100"/>
        <w:textAlignment w:val="auto"/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本项目招标的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免赔要求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如下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：</w:t>
      </w:r>
    </w:p>
    <w:p w14:paraId="6EC67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1.财产一切险的条款及附加条款（详见附件四）</w:t>
      </w:r>
    </w:p>
    <w:p w14:paraId="18482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2.财产一切险免赔要求：</w:t>
      </w:r>
    </w:p>
    <w:p w14:paraId="1EEF9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全部风险每次事故绝对免赔额为人民币1000元或损失金额的10%,二者以高者为准。</w:t>
      </w:r>
    </w:p>
    <w:p w14:paraId="57C68F9A"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</w:rPr>
        <w:t>三、报价要求</w:t>
      </w:r>
    </w:p>
    <w:p w14:paraId="19B65F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 xml:space="preserve"> 1.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本项目招标控制价（含税）为人民币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u w:val="single"/>
          <w:lang w:val="en-US" w:eastAsia="zh-CN"/>
        </w:rPr>
        <w:t xml:space="preserve"> 124895.66 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u w:val="none"/>
          <w:lang w:val="en-US" w:eastAsia="zh-CN"/>
        </w:rPr>
        <w:t>元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/年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（大写：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人民币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u w:val="single"/>
          <w:lang w:val="en-US" w:eastAsia="zh-CN"/>
        </w:rPr>
        <w:t>壹拾贰万肆仟捌佰玖拾伍元陆角陆分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），</w:t>
      </w: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24"/>
          <w:szCs w:val="24"/>
          <w:u w:color="000000"/>
        </w:rPr>
        <w:t>超过或等于招标控制价的为无效报价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。</w:t>
      </w:r>
    </w:p>
    <w:p w14:paraId="6D1C4F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 xml:space="preserve">   2.保单生效时间分别为：A-E区 2025年9月14日—2026年9月13日</w:t>
      </w:r>
    </w:p>
    <w:p w14:paraId="7E3664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 xml:space="preserve">                           F区 2025年9月16日—2026年9月15日</w:t>
      </w:r>
    </w:p>
    <w:p w14:paraId="002954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 xml:space="preserve">   备注：报价应包含本项目所有涉及的全部费用，项目实施过程中不再支付其它任何费用。</w:t>
      </w:r>
    </w:p>
    <w:p w14:paraId="05BE6F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21" w:firstLineChars="100"/>
        <w:textAlignment w:val="auto"/>
        <w:rPr>
          <w:rFonts w:hint="eastAsia" w:ascii="仿宋_GB2312" w:eastAsia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四、付款方式</w:t>
      </w:r>
    </w:p>
    <w:p w14:paraId="68E8DF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中标单位在提供相应的增值税专用发票及保单，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且经采购人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验收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确认后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一次性付清款项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。</w:t>
      </w:r>
    </w:p>
    <w:p w14:paraId="5898D5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注：申请付款的程序应符合甲方的财务规定。</w:t>
      </w:r>
    </w:p>
    <w:p w14:paraId="2ED5DE28">
      <w:pPr>
        <w:spacing w:line="440" w:lineRule="exact"/>
        <w:ind w:firstLine="321" w:firstLineChars="1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五、</w:t>
      </w:r>
      <w:r>
        <w:rPr>
          <w:rFonts w:hint="eastAsia" w:ascii="仿宋_GB2312" w:hAnsi="Times New Roman" w:eastAsia="仿宋_GB2312" w:cs="Times New Roman"/>
          <w:b/>
          <w:bCs w:val="0"/>
          <w:sz w:val="32"/>
          <w:szCs w:val="32"/>
        </w:rPr>
        <w:t>递交响应文件截止时间、开标（谈判）时间和地点 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   </w:t>
      </w:r>
    </w:p>
    <w:p w14:paraId="5ED5C5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</w:rPr>
        <w:t>递交时间：投标申请人应于202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</w:rPr>
        <w:t>日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</w:rPr>
        <w:t>时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</w:rPr>
        <w:t>0分之前将响应文件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  <w:lang w:val="en-US" w:eastAsia="zh-CN"/>
        </w:rPr>
        <w:t>递交至启东港腾资产经营管理有限公司（渔港大楼）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</w:rPr>
        <w:t>。</w:t>
      </w:r>
    </w:p>
    <w:p w14:paraId="012353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</w:rPr>
        <w:t>截止时间：202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</w:rPr>
        <w:t>日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</w:rPr>
        <w:t>时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</w:rPr>
        <w:t>0分（北京时间）</w:t>
      </w:r>
    </w:p>
    <w:p w14:paraId="3B9832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</w:rPr>
        <w:t>开标（谈判）时间：202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</w:rPr>
        <w:t>日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</w:rPr>
        <w:t>时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</w:rPr>
        <w:t>0分（北京时间）</w:t>
      </w:r>
    </w:p>
    <w:p w14:paraId="727CAA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FF0000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</w:rPr>
        <w:t>开标（谈判）地点：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  <w:lang w:val="en-US" w:eastAsia="zh-CN"/>
        </w:rPr>
        <w:t>启东港腾资产经营管理有限公司四楼会议室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</w:rPr>
        <w:t>。</w:t>
      </w:r>
    </w:p>
    <w:p w14:paraId="57424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21" w:firstLineChars="100"/>
        <w:textAlignment w:val="auto"/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六、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售后部分要求：</w:t>
      </w:r>
    </w:p>
    <w:p w14:paraId="5DE40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   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本次招标只选择具有服务资质和服务能力的保险公司，中标人应自觉履行投标承诺，主动及时前往，并及时赔付（赔付周期一般不超过一个月），对理赔材料的提供应给予指导。</w:t>
      </w:r>
    </w:p>
    <w:p w14:paraId="5D0CF16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b/>
          <w:bCs/>
          <w:sz w:val="32"/>
          <w:szCs w:val="32"/>
        </w:rPr>
        <w:t>、投标资料要求：</w:t>
      </w:r>
    </w:p>
    <w:p w14:paraId="56195E8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641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24"/>
          <w:szCs w:val="24"/>
        </w:rPr>
        <w:t>授权委托人须携带公司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24"/>
          <w:szCs w:val="24"/>
          <w:u w:val="single"/>
        </w:rPr>
        <w:t>营业执照复印件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24"/>
          <w:szCs w:val="24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24"/>
          <w:szCs w:val="24"/>
          <w:u w:val="single"/>
        </w:rPr>
        <w:t>保险业务经营许可证复印件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24"/>
          <w:szCs w:val="24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24"/>
          <w:szCs w:val="24"/>
          <w:u w:val="single"/>
          <w:lang w:val="en-US" w:eastAsia="zh-CN"/>
        </w:rPr>
        <w:t>报价承诺书原件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24"/>
          <w:szCs w:val="24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24"/>
          <w:szCs w:val="24"/>
          <w:u w:val="single"/>
        </w:rPr>
        <w:t>授权委托书原件、本人身份证复印件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24"/>
          <w:szCs w:val="24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24"/>
          <w:szCs w:val="24"/>
          <w:u w:val="single"/>
          <w:lang w:val="en-US" w:eastAsia="zh-CN"/>
        </w:rPr>
        <w:t>报价表范本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24"/>
          <w:szCs w:val="24"/>
          <w:u w:val="single"/>
        </w:rPr>
        <w:t>原件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24"/>
          <w:szCs w:val="24"/>
        </w:rPr>
        <w:t>。</w:t>
      </w:r>
    </w:p>
    <w:p w14:paraId="0C2E3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注：响应文件正本一份、副本一份，响应文件中必须包含上述要求提供的所有材料并加盖单位公章，否则以未实质性响应采购文件处理。响应文件装订成册并密封，密封袋上标明：项目名称、供应商名称，否则视为无效响应。</w:t>
      </w:r>
    </w:p>
    <w:p w14:paraId="42C49E49">
      <w:pPr>
        <w:widowControl/>
        <w:shd w:val="clear" w:color="auto" w:fill="FFFFFF"/>
        <w:snapToGrid w:val="0"/>
        <w:spacing w:line="440" w:lineRule="exact"/>
        <w:ind w:firstLine="321" w:firstLineChars="100"/>
        <w:contextualSpacing/>
        <w:jc w:val="left"/>
        <w:rPr>
          <w:rFonts w:ascii="宋体" w:hAnsi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八、合同的签订及注意事项：</w:t>
      </w:r>
    </w:p>
    <w:p w14:paraId="68402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1、询价文件、补充文件及成交供应商的报价文件等均为签订保险合同的依据。</w:t>
      </w:r>
    </w:p>
    <w:p w14:paraId="3B2DC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2、成交供应商因自身原因不能订立保险合同的，采购人将取消其成交资格。</w:t>
      </w:r>
    </w:p>
    <w:p w14:paraId="2F32B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3、成交供应商因自身原因不能履行保险合同的，采购人将取消其成交资格。</w:t>
      </w:r>
    </w:p>
    <w:p w14:paraId="45D82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4、成交供应商必须在中标（成交）通知书发出之日起15日内与采购人签订保险合同。</w:t>
      </w:r>
    </w:p>
    <w:p w14:paraId="14DC5C04">
      <w:pPr>
        <w:widowControl/>
        <w:shd w:val="clear" w:color="auto" w:fill="FFFFFF"/>
        <w:snapToGrid w:val="0"/>
        <w:spacing w:line="440" w:lineRule="exact"/>
        <w:ind w:firstLine="321" w:firstLineChars="100"/>
        <w:contextualSpacing/>
        <w:jc w:val="left"/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九、成交原则：</w:t>
      </w:r>
    </w:p>
    <w:p w14:paraId="39840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1.符合采购需求且总价最低者成交。</w:t>
      </w:r>
    </w:p>
    <w:p w14:paraId="00026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2.若总报价最低者有相同时，通过抽签方式确定成交供应商。</w:t>
      </w:r>
    </w:p>
    <w:p w14:paraId="11405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</w:p>
    <w:p w14:paraId="303E9DE9">
      <w:pPr>
        <w:keepNext w:val="0"/>
        <w:keepLines w:val="0"/>
        <w:pageBreakBefore w:val="0"/>
        <w:widowControl/>
        <w:tabs>
          <w:tab w:val="left" w:pos="-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37674A80">
      <w:pPr>
        <w:keepNext w:val="0"/>
        <w:keepLines w:val="0"/>
        <w:pageBreakBefore w:val="0"/>
        <w:widowControl/>
        <w:tabs>
          <w:tab w:val="left" w:pos="-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200" w:firstLineChars="10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7EC6A43A">
      <w:pPr>
        <w:keepNext w:val="0"/>
        <w:keepLines w:val="0"/>
        <w:pageBreakBefore w:val="0"/>
        <w:widowControl/>
        <w:tabs>
          <w:tab w:val="left" w:pos="-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0" w:firstLineChars="10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招标人（盖章）：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启东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吕四港口投资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有限公司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 </w:t>
      </w:r>
    </w:p>
    <w:p w14:paraId="4ED87CF2">
      <w:pPr>
        <w:keepNext w:val="0"/>
        <w:keepLines w:val="0"/>
        <w:pageBreakBefore w:val="0"/>
        <w:widowControl/>
        <w:tabs>
          <w:tab w:val="left" w:pos="-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联系人：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祖天德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</w:t>
      </w:r>
    </w:p>
    <w:p w14:paraId="28B443A5">
      <w:pPr>
        <w:keepNext w:val="0"/>
        <w:keepLines w:val="0"/>
        <w:pageBreakBefore w:val="0"/>
        <w:widowControl/>
        <w:tabs>
          <w:tab w:val="left" w:pos="-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联系电话：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18036445527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</w:t>
      </w:r>
    </w:p>
    <w:p w14:paraId="5E9E8E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 xml:space="preserve"> 日期：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2025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月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日</w:t>
      </w:r>
      <w:bookmarkStart w:id="2" w:name="_Toc341876476"/>
    </w:p>
    <w:p w14:paraId="044CABF4">
      <w:pPr>
        <w:pStyle w:val="2"/>
        <w:spacing w:line="560" w:lineRule="exact"/>
        <w:ind w:firstLine="0"/>
        <w:jc w:val="both"/>
        <w:outlineLvl w:val="0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</w:p>
    <w:p w14:paraId="462D8932">
      <w:pPr>
        <w:pStyle w:val="2"/>
        <w:spacing w:line="560" w:lineRule="exact"/>
        <w:ind w:firstLine="0"/>
        <w:jc w:val="both"/>
        <w:outlineLvl w:val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6A383D91">
      <w:pPr>
        <w:pStyle w:val="2"/>
        <w:spacing w:line="560" w:lineRule="exact"/>
        <w:ind w:firstLine="0"/>
        <w:jc w:val="both"/>
        <w:outlineLvl w:val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4ED480C4">
      <w:pPr>
        <w:pStyle w:val="2"/>
        <w:spacing w:line="560" w:lineRule="exact"/>
        <w:ind w:firstLine="0"/>
        <w:jc w:val="both"/>
        <w:outlineLvl w:val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278DD50D">
      <w:pPr>
        <w:pStyle w:val="2"/>
        <w:spacing w:line="560" w:lineRule="exact"/>
        <w:ind w:firstLine="0"/>
        <w:jc w:val="both"/>
        <w:outlineLvl w:val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5CD484A5">
      <w:pPr>
        <w:pStyle w:val="2"/>
        <w:spacing w:line="560" w:lineRule="exact"/>
        <w:ind w:firstLine="0"/>
        <w:jc w:val="both"/>
        <w:outlineLvl w:val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532BC221">
      <w:pPr>
        <w:pStyle w:val="2"/>
        <w:spacing w:line="560" w:lineRule="exact"/>
        <w:ind w:firstLine="0"/>
        <w:jc w:val="both"/>
        <w:outlineLvl w:val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0F205F1D">
      <w:pPr>
        <w:pStyle w:val="2"/>
        <w:spacing w:line="560" w:lineRule="exact"/>
        <w:ind w:firstLine="0"/>
        <w:jc w:val="both"/>
        <w:outlineLvl w:val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62CC8D3D">
      <w:pPr>
        <w:pStyle w:val="2"/>
        <w:spacing w:line="560" w:lineRule="exact"/>
        <w:ind w:firstLine="0"/>
        <w:jc w:val="both"/>
        <w:outlineLvl w:val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44AE6606">
      <w:pPr>
        <w:pStyle w:val="2"/>
        <w:spacing w:line="560" w:lineRule="exact"/>
        <w:ind w:firstLine="0"/>
        <w:jc w:val="both"/>
        <w:outlineLvl w:val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bookmarkEnd w:id="2"/>
    <w:p w14:paraId="4903E1DC"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</w:p>
    <w:p w14:paraId="7E261534">
      <w:pPr>
        <w:pStyle w:val="12"/>
        <w:rPr>
          <w:rFonts w:hint="eastAsia"/>
        </w:rPr>
      </w:pPr>
    </w:p>
    <w:p w14:paraId="2E5D9DDE"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</w:p>
    <w:p w14:paraId="51A0176F"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</w:p>
    <w:p w14:paraId="3C0C46D2"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</w:p>
    <w:p w14:paraId="18375643"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</w:p>
    <w:p w14:paraId="5727664D"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</w:p>
    <w:p w14:paraId="44FAC119"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</w:p>
    <w:p w14:paraId="4F19C80C"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</w:p>
    <w:p w14:paraId="600DBAA0"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</w:p>
    <w:p w14:paraId="2F55122D"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</w:p>
    <w:p w14:paraId="05537789">
      <w:pP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bookmarkStart w:id="3" w:name="_GoBack"/>
      <w:bookmarkEnd w:id="3"/>
    </w:p>
    <w:sectPr>
      <w:pgSz w:w="11906" w:h="16838"/>
      <w:pgMar w:top="1134" w:right="1803" w:bottom="1134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ZGIxYTUzM2ZhMzk5Mjg0MGM0NWI5NTVmYWZlMzkifQ=="/>
  </w:docVars>
  <w:rsids>
    <w:rsidRoot w:val="006B635B"/>
    <w:rsid w:val="00032F53"/>
    <w:rsid w:val="00121C8B"/>
    <w:rsid w:val="00345AB0"/>
    <w:rsid w:val="00560A70"/>
    <w:rsid w:val="00637E4A"/>
    <w:rsid w:val="006B635B"/>
    <w:rsid w:val="00737745"/>
    <w:rsid w:val="00A71166"/>
    <w:rsid w:val="00A93442"/>
    <w:rsid w:val="00AB3BA0"/>
    <w:rsid w:val="00AD7AB1"/>
    <w:rsid w:val="00C93460"/>
    <w:rsid w:val="00DD2131"/>
    <w:rsid w:val="00EB76F4"/>
    <w:rsid w:val="00F1571B"/>
    <w:rsid w:val="020B53EA"/>
    <w:rsid w:val="020F7B7E"/>
    <w:rsid w:val="0281282A"/>
    <w:rsid w:val="02AF383B"/>
    <w:rsid w:val="032F4705"/>
    <w:rsid w:val="03710914"/>
    <w:rsid w:val="04461F7D"/>
    <w:rsid w:val="044C6E68"/>
    <w:rsid w:val="046B5540"/>
    <w:rsid w:val="04F90025"/>
    <w:rsid w:val="05926AFC"/>
    <w:rsid w:val="05A14F91"/>
    <w:rsid w:val="05B72A07"/>
    <w:rsid w:val="05F0385E"/>
    <w:rsid w:val="076170CE"/>
    <w:rsid w:val="083C7387"/>
    <w:rsid w:val="08AF5C17"/>
    <w:rsid w:val="08ED6E6B"/>
    <w:rsid w:val="09412D13"/>
    <w:rsid w:val="09D27E0F"/>
    <w:rsid w:val="0A051F93"/>
    <w:rsid w:val="0AC7549A"/>
    <w:rsid w:val="0B464611"/>
    <w:rsid w:val="0BE300B2"/>
    <w:rsid w:val="0D337175"/>
    <w:rsid w:val="0D3661C5"/>
    <w:rsid w:val="0D814026"/>
    <w:rsid w:val="0E415563"/>
    <w:rsid w:val="0E572FD9"/>
    <w:rsid w:val="0E925DBF"/>
    <w:rsid w:val="0F2C6214"/>
    <w:rsid w:val="0FA266A2"/>
    <w:rsid w:val="0FC65D20"/>
    <w:rsid w:val="0FDC19E8"/>
    <w:rsid w:val="0FF56606"/>
    <w:rsid w:val="103D0671"/>
    <w:rsid w:val="10D97CD5"/>
    <w:rsid w:val="12A14823"/>
    <w:rsid w:val="130C25E4"/>
    <w:rsid w:val="13946135"/>
    <w:rsid w:val="13B21ACC"/>
    <w:rsid w:val="14092680"/>
    <w:rsid w:val="14851245"/>
    <w:rsid w:val="14965354"/>
    <w:rsid w:val="14E46C49"/>
    <w:rsid w:val="15E2587E"/>
    <w:rsid w:val="165D4F05"/>
    <w:rsid w:val="1666025D"/>
    <w:rsid w:val="16826719"/>
    <w:rsid w:val="171657DF"/>
    <w:rsid w:val="17365E81"/>
    <w:rsid w:val="173E6AE4"/>
    <w:rsid w:val="174D4F79"/>
    <w:rsid w:val="17944956"/>
    <w:rsid w:val="180F27EF"/>
    <w:rsid w:val="181A30AD"/>
    <w:rsid w:val="18F57676"/>
    <w:rsid w:val="194A16E0"/>
    <w:rsid w:val="199649B5"/>
    <w:rsid w:val="1A9366B4"/>
    <w:rsid w:val="1B277159"/>
    <w:rsid w:val="1C890801"/>
    <w:rsid w:val="1CCE26B8"/>
    <w:rsid w:val="1CDD56DE"/>
    <w:rsid w:val="1D230C56"/>
    <w:rsid w:val="1D556936"/>
    <w:rsid w:val="1D6848BB"/>
    <w:rsid w:val="1ECA0C97"/>
    <w:rsid w:val="1F7E6617"/>
    <w:rsid w:val="205F2C44"/>
    <w:rsid w:val="20C95670"/>
    <w:rsid w:val="20F621DE"/>
    <w:rsid w:val="21472A39"/>
    <w:rsid w:val="22111BD5"/>
    <w:rsid w:val="22350AE4"/>
    <w:rsid w:val="231F5A1C"/>
    <w:rsid w:val="237B69CA"/>
    <w:rsid w:val="23F8626D"/>
    <w:rsid w:val="27790D9E"/>
    <w:rsid w:val="277A5A3B"/>
    <w:rsid w:val="27B064D7"/>
    <w:rsid w:val="28245882"/>
    <w:rsid w:val="2A0C4820"/>
    <w:rsid w:val="2A5D507B"/>
    <w:rsid w:val="2ADD7AF7"/>
    <w:rsid w:val="2B255B99"/>
    <w:rsid w:val="2B522706"/>
    <w:rsid w:val="2B966A97"/>
    <w:rsid w:val="2D016192"/>
    <w:rsid w:val="2D917516"/>
    <w:rsid w:val="2DFD4BAB"/>
    <w:rsid w:val="2E4427DA"/>
    <w:rsid w:val="2E734E6D"/>
    <w:rsid w:val="2EF22236"/>
    <w:rsid w:val="2F7C5FA4"/>
    <w:rsid w:val="2F983BEA"/>
    <w:rsid w:val="2FF7387C"/>
    <w:rsid w:val="30185CCC"/>
    <w:rsid w:val="31540689"/>
    <w:rsid w:val="31C22200"/>
    <w:rsid w:val="31D73965"/>
    <w:rsid w:val="32D22AAA"/>
    <w:rsid w:val="332E1CAB"/>
    <w:rsid w:val="33CF0D98"/>
    <w:rsid w:val="33F86541"/>
    <w:rsid w:val="34831B82"/>
    <w:rsid w:val="34AE30A3"/>
    <w:rsid w:val="34C401D1"/>
    <w:rsid w:val="35265E52"/>
    <w:rsid w:val="352670DE"/>
    <w:rsid w:val="35F84742"/>
    <w:rsid w:val="36851BE2"/>
    <w:rsid w:val="36B6623F"/>
    <w:rsid w:val="37256F21"/>
    <w:rsid w:val="37971BCD"/>
    <w:rsid w:val="381C47C8"/>
    <w:rsid w:val="395C1320"/>
    <w:rsid w:val="39E62997"/>
    <w:rsid w:val="3A423C8F"/>
    <w:rsid w:val="3A766411"/>
    <w:rsid w:val="3B1B2347"/>
    <w:rsid w:val="3BE850ED"/>
    <w:rsid w:val="3CFD4BC8"/>
    <w:rsid w:val="3D0E0B83"/>
    <w:rsid w:val="3D347EBE"/>
    <w:rsid w:val="3DF5764D"/>
    <w:rsid w:val="3F1C6E5B"/>
    <w:rsid w:val="3F6458BD"/>
    <w:rsid w:val="3FF878C8"/>
    <w:rsid w:val="40784565"/>
    <w:rsid w:val="40B530C4"/>
    <w:rsid w:val="4114428E"/>
    <w:rsid w:val="41375017"/>
    <w:rsid w:val="417B430D"/>
    <w:rsid w:val="421B164C"/>
    <w:rsid w:val="427C033D"/>
    <w:rsid w:val="43212C92"/>
    <w:rsid w:val="432602A9"/>
    <w:rsid w:val="43C62A7A"/>
    <w:rsid w:val="442C7B41"/>
    <w:rsid w:val="44507CD3"/>
    <w:rsid w:val="45344EFF"/>
    <w:rsid w:val="45693C0E"/>
    <w:rsid w:val="45BC4EF4"/>
    <w:rsid w:val="460C15F5"/>
    <w:rsid w:val="460D1F64"/>
    <w:rsid w:val="46674E60"/>
    <w:rsid w:val="469C6C9C"/>
    <w:rsid w:val="46C87FF5"/>
    <w:rsid w:val="46CE1383"/>
    <w:rsid w:val="46DD3374"/>
    <w:rsid w:val="47084895"/>
    <w:rsid w:val="47B73BC5"/>
    <w:rsid w:val="48276F9D"/>
    <w:rsid w:val="4837181B"/>
    <w:rsid w:val="48934632"/>
    <w:rsid w:val="48E924A4"/>
    <w:rsid w:val="490B1AE0"/>
    <w:rsid w:val="498E6BA8"/>
    <w:rsid w:val="4BC15012"/>
    <w:rsid w:val="4C194E4E"/>
    <w:rsid w:val="4C806C7C"/>
    <w:rsid w:val="4CCF550D"/>
    <w:rsid w:val="4D0E072B"/>
    <w:rsid w:val="4D4F0A12"/>
    <w:rsid w:val="4D8B3B2A"/>
    <w:rsid w:val="4E6B74B7"/>
    <w:rsid w:val="4ED432AF"/>
    <w:rsid w:val="4F075432"/>
    <w:rsid w:val="4F2A1121"/>
    <w:rsid w:val="4F691C49"/>
    <w:rsid w:val="4FDF63AF"/>
    <w:rsid w:val="506863A4"/>
    <w:rsid w:val="509E5922"/>
    <w:rsid w:val="50C23D07"/>
    <w:rsid w:val="517B5C63"/>
    <w:rsid w:val="51B000E3"/>
    <w:rsid w:val="536F35A6"/>
    <w:rsid w:val="53725FA8"/>
    <w:rsid w:val="537806AC"/>
    <w:rsid w:val="53F51CFD"/>
    <w:rsid w:val="543E083D"/>
    <w:rsid w:val="55801A9A"/>
    <w:rsid w:val="55F06C20"/>
    <w:rsid w:val="56002BDB"/>
    <w:rsid w:val="560A55AC"/>
    <w:rsid w:val="563B6F46"/>
    <w:rsid w:val="56DF6C95"/>
    <w:rsid w:val="572F5526"/>
    <w:rsid w:val="57891165"/>
    <w:rsid w:val="579A1BB6"/>
    <w:rsid w:val="57D52571"/>
    <w:rsid w:val="58334193"/>
    <w:rsid w:val="58B06B3A"/>
    <w:rsid w:val="59417793"/>
    <w:rsid w:val="597933D0"/>
    <w:rsid w:val="5AB83A84"/>
    <w:rsid w:val="5B8B37BD"/>
    <w:rsid w:val="5B9067AF"/>
    <w:rsid w:val="5B9444F1"/>
    <w:rsid w:val="5C4B1054"/>
    <w:rsid w:val="5C974299"/>
    <w:rsid w:val="5D741BAE"/>
    <w:rsid w:val="5DF474C9"/>
    <w:rsid w:val="5E3D1008"/>
    <w:rsid w:val="5E4C4C10"/>
    <w:rsid w:val="5F3F2F83"/>
    <w:rsid w:val="5F8403D9"/>
    <w:rsid w:val="60234096"/>
    <w:rsid w:val="60BA67A8"/>
    <w:rsid w:val="61630BEE"/>
    <w:rsid w:val="61A44D62"/>
    <w:rsid w:val="61A92379"/>
    <w:rsid w:val="61FB0443"/>
    <w:rsid w:val="62A0377C"/>
    <w:rsid w:val="62CF5E0F"/>
    <w:rsid w:val="6454481E"/>
    <w:rsid w:val="6472739A"/>
    <w:rsid w:val="648B5E4D"/>
    <w:rsid w:val="659A2704"/>
    <w:rsid w:val="67184229"/>
    <w:rsid w:val="6727621A"/>
    <w:rsid w:val="67A91325"/>
    <w:rsid w:val="67F3434E"/>
    <w:rsid w:val="6817003C"/>
    <w:rsid w:val="681C38A5"/>
    <w:rsid w:val="68594AF9"/>
    <w:rsid w:val="68907DEF"/>
    <w:rsid w:val="68C161FA"/>
    <w:rsid w:val="68EC14C9"/>
    <w:rsid w:val="691B590A"/>
    <w:rsid w:val="693E05C7"/>
    <w:rsid w:val="6956633E"/>
    <w:rsid w:val="699851AD"/>
    <w:rsid w:val="69CA7330"/>
    <w:rsid w:val="69F61ED3"/>
    <w:rsid w:val="6A0B3BD1"/>
    <w:rsid w:val="6A4E3ABD"/>
    <w:rsid w:val="6B583A17"/>
    <w:rsid w:val="6BA53BB1"/>
    <w:rsid w:val="6BBA3B00"/>
    <w:rsid w:val="6C240F7A"/>
    <w:rsid w:val="6CA976D1"/>
    <w:rsid w:val="6CD81D64"/>
    <w:rsid w:val="6D785A21"/>
    <w:rsid w:val="6E274D51"/>
    <w:rsid w:val="6F2B3F5C"/>
    <w:rsid w:val="6F4D07E7"/>
    <w:rsid w:val="6F60051B"/>
    <w:rsid w:val="6FAC3760"/>
    <w:rsid w:val="700510C2"/>
    <w:rsid w:val="70EB02B8"/>
    <w:rsid w:val="72084E9A"/>
    <w:rsid w:val="723F4D5F"/>
    <w:rsid w:val="72C915DE"/>
    <w:rsid w:val="733A72D5"/>
    <w:rsid w:val="73683E42"/>
    <w:rsid w:val="738E13CF"/>
    <w:rsid w:val="744A1799"/>
    <w:rsid w:val="74C432FA"/>
    <w:rsid w:val="74F33BDF"/>
    <w:rsid w:val="74F51705"/>
    <w:rsid w:val="750605E6"/>
    <w:rsid w:val="75357D54"/>
    <w:rsid w:val="75385A96"/>
    <w:rsid w:val="759251A6"/>
    <w:rsid w:val="759C6025"/>
    <w:rsid w:val="75F714AD"/>
    <w:rsid w:val="76D010DE"/>
    <w:rsid w:val="76D35A76"/>
    <w:rsid w:val="77E66F42"/>
    <w:rsid w:val="78632E2A"/>
    <w:rsid w:val="78B611AB"/>
    <w:rsid w:val="79537342"/>
    <w:rsid w:val="796E7CD8"/>
    <w:rsid w:val="79EA1A55"/>
    <w:rsid w:val="79FE7719"/>
    <w:rsid w:val="7A212F9C"/>
    <w:rsid w:val="7A666C01"/>
    <w:rsid w:val="7AC04563"/>
    <w:rsid w:val="7C5A4544"/>
    <w:rsid w:val="7CB41EA6"/>
    <w:rsid w:val="7D056BA5"/>
    <w:rsid w:val="7D761851"/>
    <w:rsid w:val="7DAA32A9"/>
    <w:rsid w:val="7DD547CA"/>
    <w:rsid w:val="7E7979DA"/>
    <w:rsid w:val="7EC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15"/>
    <w:qFormat/>
    <w:uiPriority w:val="0"/>
    <w:pPr>
      <w:spacing w:line="360" w:lineRule="exact"/>
      <w:ind w:left="-527" w:firstLine="526" w:firstLineChars="219"/>
    </w:pPr>
    <w:rPr>
      <w:sz w:val="24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next w:val="8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*正文"/>
    <w:basedOn w:val="1"/>
    <w:qFormat/>
    <w:uiPriority w:val="0"/>
    <w:rPr>
      <w:rFonts w:ascii="宋体" w:hAnsi="宋体"/>
      <w:kern w:val="0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首行缩进"/>
    <w:basedOn w:val="1"/>
    <w:qFormat/>
    <w:uiPriority w:val="99"/>
    <w:pPr>
      <w:spacing w:line="360" w:lineRule="auto"/>
      <w:ind w:firstLine="480" w:firstLineChars="200"/>
      <w:jc w:val="left"/>
    </w:pPr>
    <w:rPr>
      <w:rFonts w:ascii="宋体" w:hAnsi="宋体"/>
      <w:sz w:val="24"/>
      <w:szCs w:val="24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1"/>
    <w:link w:val="4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10970</Words>
  <Characters>11182</Characters>
  <Lines>17</Lines>
  <Paragraphs>4</Paragraphs>
  <TotalTime>6</TotalTime>
  <ScaleCrop>false</ScaleCrop>
  <LinksUpToDate>false</LinksUpToDate>
  <CharactersWithSpaces>11856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2020-07-01T12:43:00Z</dcterms:created>
  <dc:creator>pc</dc:creator>
  <cp:lastModifiedBy>傻傻分不清</cp:lastModifiedBy>
  <cp:lastPrinted>2024-05-29T01:55:00Z</cp:lastPrinted>
  <dcterms:modified xsi:type="dcterms:W3CDTF">2025-09-01T05:58:23Z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B717E446881B475B822C9FFEF52985B0_13</vt:lpwstr>
  </property>
  <property fmtid="{D5CDD505-2E9C-101B-9397-08002B2CF9AE}" pid="4" name="KSOTemplateDocerSaveRecord">
    <vt:lpwstr>eyJoZGlkIjoiYWU0NzcxOTc2Y2IzMDE3MzUzZGU5ZmFhY2MwMWY1ZTMiLCJ1c2VySWQiOiIyMzU4NDMxNzQifQ==</vt:lpwstr>
  </property>
</Properties>
</file>