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27775">
      <w:pPr>
        <w:bidi w:val="0"/>
        <w:jc w:val="center"/>
        <w:rPr>
          <w:rFonts w:hint="eastAsia"/>
          <w:sz w:val="32"/>
          <w:szCs w:val="32"/>
          <w:lang w:val="en-GB" w:eastAsia="zh-CN"/>
        </w:rPr>
      </w:pPr>
      <w:r>
        <w:rPr>
          <w:rFonts w:hint="eastAsia"/>
          <w:sz w:val="32"/>
          <w:szCs w:val="32"/>
          <w:lang w:val="en-GB" w:eastAsia="zh-CN"/>
        </w:rPr>
        <w:t>江苏锦汇集团有限公司相关往来全面清理专项审计项目</w:t>
      </w:r>
    </w:p>
    <w:p w14:paraId="5D766290">
      <w:pPr>
        <w:bidi w:val="0"/>
        <w:jc w:val="center"/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</w:pPr>
      <w:r>
        <w:rPr>
          <w:sz w:val="32"/>
          <w:szCs w:val="32"/>
        </w:rPr>
        <w:t>询价公告</w:t>
      </w:r>
    </w:p>
    <w:p w14:paraId="1A85C7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default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GB" w:eastAsia="zh-CN"/>
        </w:rPr>
        <w:t>江苏锦汇集团有限公司根据启东市政府采购管理的有关规定，就江苏锦汇集团有限公司相关往来全面清理专项审计项目进行采购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前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GB" w:eastAsia="zh-CN"/>
        </w:rPr>
        <w:t>询价。</w:t>
      </w:r>
    </w:p>
    <w:p w14:paraId="7C61C3A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GB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GB" w:eastAsia="zh-CN"/>
        </w:rPr>
        <w:t>一、项目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需求</w:t>
      </w:r>
    </w:p>
    <w:p w14:paraId="2E9C1E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1、采购项目内容： 本项目拟对江苏锦汇集团有限公司旗下管理的公司（不限于股权控制），进行往来款清理专项审计（以实际审计清单为准）。完成实体化前形成的长期挂账往来款清理工作后，配合做好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隐患排查及风险防范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等（不限于上述业务）服务内容。 本次清理范围分为所有政府往来事项排查，从2000年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1月1日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开始到2025年5月底。</w:t>
      </w:r>
    </w:p>
    <w:p w14:paraId="052045F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2、采购项目涉及款项具体类型</w:t>
      </w:r>
    </w:p>
    <w:p w14:paraId="34F2B23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⑴账面各项往来款；</w:t>
      </w:r>
    </w:p>
    <w:p w14:paraId="0CE07B5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⑵按会计准则应调整确认的往来款（如：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政府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工程已完工未结算的款项;按工程形象进度应确认的应收款）；</w:t>
      </w:r>
    </w:p>
    <w:p w14:paraId="16007A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⑶按往来款形成合同或相关文件要求计算的实际资金占用成本；</w:t>
      </w:r>
    </w:p>
    <w:p w14:paraId="617DCC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⑷所有政府往来事项清理。</w:t>
      </w:r>
    </w:p>
    <w:p w14:paraId="2542FB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3、人员需求：</w:t>
      </w:r>
    </w:p>
    <w:p w14:paraId="7BBDA2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⑴人员配备：中标供应商须拟派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专项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项目组，项目拟派的人员不少于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人（包含1名组长）。拟派的人员中至少1名人员具有注册会计师执业资格、至少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名人员具有中级会计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及以上职称。</w:t>
      </w:r>
    </w:p>
    <w:p w14:paraId="4F6153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⑵配备人员具有类似相关审计经验，拟派人员需经采购人确认同意后方可进场审计，如进场后采购人发现业务水平不具备从事本业务要求，中标方需无条件更换直至符合为止），且须每天向采购方汇报进展情况。</w:t>
      </w:r>
    </w:p>
    <w:p w14:paraId="3869C7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⑶采购方在项目实施过程中，对审计服务质量进行检查，检查中发现审计人员不匹配、随意更改审计人员、审计人员无故不在岗等情况，有权视情况轻重扣减审计费或将审计单位纳入相关审计黑名单。</w:t>
      </w:r>
    </w:p>
    <w:p w14:paraId="1375BAB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⑷中标方在服务前，必须签订保密协议，不愿签订保密协议或签订后泄漏企业相关情况，采购人有权取消合同，纳入国资国企审计黑名单，且视情况追究相关法律责任。</w:t>
      </w:r>
    </w:p>
    <w:p w14:paraId="4E2EC2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⑸其他（在审计过程发现的应确认往来款的内容）。</w:t>
      </w:r>
    </w:p>
    <w:p w14:paraId="7B2E51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default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4、资料归档要求：专项审计项目审计结束后，中标人需将完整的项目审计资料（包括计算底稿）、审计过程中的现场核查记录、会议纪要、咨询报告或审计意见书、其他需要存档的资料等）。按照规定的归档顺序整理完后交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与采购人。如发现资料不全的扣除该项目10%的审计费用，同时采购人有权终止合同。</w:t>
      </w:r>
    </w:p>
    <w:p w14:paraId="5C26F4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5、服务期：具体以业主的要求为准，在签订服务合同后两个月内完成。</w:t>
      </w:r>
    </w:p>
    <w:p w14:paraId="02263A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二、约定事项</w:t>
      </w:r>
    </w:p>
    <w:p w14:paraId="59D6FF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1.上述采购要求为最低要求，不得负偏离，否则视为无效报价。</w:t>
      </w:r>
    </w:p>
    <w:p w14:paraId="7BFF67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.拟定支付方式及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期限：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提交完整的审计报告后，按照合同约定审计服务费一次性支付。</w:t>
      </w:r>
    </w:p>
    <w:p w14:paraId="57B811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.市场询价表及相关材料于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zh-CN" w:eastAsia="zh-CN"/>
        </w:rPr>
        <w:t>202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zh-CN" w:eastAsia="zh-CN"/>
        </w:rPr>
        <w:t>年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zh-CN" w:eastAsia="zh-CN"/>
        </w:rPr>
        <w:t>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zh-CN" w:eastAsia="zh-CN"/>
        </w:rPr>
        <w:t>日17:00前，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需将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报价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表及营业执照复印件等加盖单位公章扫描发送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shd w:val="clear" w:fill="FFFFFF"/>
          <w:lang w:val="en-US" w:eastAsia="zh-CN"/>
        </w:rPr>
        <w:t>342168465@qq.com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，联系人：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施伶俐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，联系电话：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0513-83302829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。</w:t>
      </w:r>
    </w:p>
    <w:p w14:paraId="4E8ACFA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zh-CN" w:eastAsia="zh-CN"/>
        </w:rPr>
        <w:t>5.其他：（1）请报价单位认真核算、如实报价，如发现虚假报价的，该单位将被列入黑名单；（2）本次报价仅作为市场调研用，因此价格仅供参考；（3）本次调研询价不接收质疑函，只接收对本项目的建议。</w:t>
      </w:r>
    </w:p>
    <w:p w14:paraId="78CB0D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1134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GB" w:eastAsia="zh-CN"/>
        </w:rPr>
      </w:pPr>
    </w:p>
    <w:p w14:paraId="5CD142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1134"/>
        <w:jc w:val="righ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GB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GB" w:eastAsia="zh-CN"/>
        </w:rPr>
        <w:t>江苏锦汇集团有限公司</w:t>
      </w:r>
    </w:p>
    <w:p w14:paraId="4A6CA1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1134"/>
        <w:jc w:val="righ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en-GB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en-GB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en-US" w:eastAsia="zh-CN"/>
        </w:rPr>
        <w:t>025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en-GB" w:eastAsia="zh-CN"/>
        </w:rPr>
        <w:t>年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en-GB" w:eastAsia="zh-CN"/>
        </w:rPr>
        <w:t>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en-GB" w:eastAsia="zh-CN"/>
        </w:rPr>
        <w:t>日</w:t>
      </w:r>
    </w:p>
    <w:p w14:paraId="289C2C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1134"/>
        <w:jc w:val="righ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yellow"/>
          <w:shd w:val="clear" w:fill="FFFFFF"/>
          <w:lang w:val="en-GB" w:eastAsia="zh-CN"/>
        </w:rPr>
      </w:pPr>
    </w:p>
    <w:p w14:paraId="4BBD2A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1134"/>
        <w:jc w:val="righ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yellow"/>
          <w:shd w:val="clear" w:fill="FFFFFF"/>
          <w:lang w:val="en-GB" w:eastAsia="zh-CN"/>
        </w:rPr>
      </w:pPr>
    </w:p>
    <w:p w14:paraId="45C937D4">
      <w:pPr>
        <w:spacing w:line="500" w:lineRule="exact"/>
        <w:jc w:val="center"/>
        <w:rPr>
          <w:rFonts w:hint="eastAsia" w:ascii="宋体" w:hAnsi="宋体" w:cs="仿宋_GB2312"/>
          <w:b/>
          <w:sz w:val="44"/>
          <w:szCs w:val="44"/>
        </w:rPr>
      </w:pPr>
    </w:p>
    <w:p w14:paraId="045FF0E3">
      <w:pPr>
        <w:spacing w:line="500" w:lineRule="exact"/>
        <w:jc w:val="center"/>
        <w:rPr>
          <w:rFonts w:hint="eastAsia" w:ascii="宋体" w:hAnsi="宋体" w:cs="仿宋_GB2312"/>
          <w:b/>
          <w:sz w:val="44"/>
          <w:szCs w:val="44"/>
        </w:rPr>
      </w:pPr>
    </w:p>
    <w:p w14:paraId="6412C262">
      <w:pPr>
        <w:spacing w:line="500" w:lineRule="exact"/>
        <w:jc w:val="center"/>
        <w:rPr>
          <w:rFonts w:hint="eastAsia" w:ascii="宋体" w:hAnsi="宋体" w:cs="仿宋_GB2312"/>
          <w:b/>
          <w:sz w:val="44"/>
          <w:szCs w:val="44"/>
        </w:rPr>
      </w:pPr>
    </w:p>
    <w:p w14:paraId="53E36FC6">
      <w:pPr>
        <w:spacing w:line="500" w:lineRule="exact"/>
        <w:jc w:val="center"/>
        <w:rPr>
          <w:rFonts w:hint="eastAsia" w:ascii="宋体" w:hAnsi="宋体" w:cs="仿宋_GB2312"/>
          <w:b/>
          <w:sz w:val="44"/>
          <w:szCs w:val="44"/>
        </w:rPr>
      </w:pPr>
      <w:r>
        <w:rPr>
          <w:rFonts w:hint="eastAsia" w:ascii="宋体" w:hAnsi="宋体" w:cs="仿宋_GB2312"/>
          <w:b/>
          <w:sz w:val="44"/>
          <w:szCs w:val="44"/>
        </w:rPr>
        <w:t>报  价  表</w:t>
      </w:r>
    </w:p>
    <w:p w14:paraId="6AC4980E">
      <w:pPr>
        <w:spacing w:line="500" w:lineRule="exact"/>
        <w:ind w:firstLine="3238" w:firstLineChars="896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tbl>
      <w:tblPr>
        <w:tblStyle w:val="5"/>
        <w:tblW w:w="93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3210"/>
        <w:gridCol w:w="3914"/>
        <w:gridCol w:w="1227"/>
      </w:tblGrid>
      <w:tr w14:paraId="7D8E9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F199EB8">
            <w:pPr>
              <w:pStyle w:val="2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2A10">
            <w:pPr>
              <w:pStyle w:val="2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3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FD29">
            <w:pPr>
              <w:pStyle w:val="2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D76C">
            <w:pPr>
              <w:pStyle w:val="2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 w14:paraId="4A36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F7FE193">
            <w:pPr>
              <w:spacing w:line="5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4541">
            <w:pPr>
              <w:spacing w:line="5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8"/>
                <w:szCs w:val="28"/>
              </w:rPr>
              <w:t>江苏锦汇集团有限公司相关往来全面清理专项审计项目</w:t>
            </w:r>
          </w:p>
        </w:tc>
        <w:tc>
          <w:tcPr>
            <w:tcW w:w="3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DB39">
            <w:pPr>
              <w:spacing w:line="5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  <w:lang w:val="en-US" w:eastAsia="zh-CN"/>
              </w:rPr>
              <w:t>大写：</w:t>
            </w:r>
          </w:p>
          <w:p w14:paraId="15A5EF88">
            <w:pPr>
              <w:spacing w:line="500" w:lineRule="exact"/>
              <w:jc w:val="center"/>
              <w:rPr>
                <w:rFonts w:hint="default" w:ascii="宋体" w:hAnsi="宋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  <w:lang w:val="en-US" w:eastAsia="zh-CN"/>
              </w:rPr>
              <w:t>小写：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0EAD">
            <w:pPr>
              <w:spacing w:line="500" w:lineRule="exac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14:paraId="656B8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4"/>
                <w:lang w:val="en-US" w:eastAsia="zh-CN"/>
              </w:rPr>
              <w:t>备注：报价中含人工费、交通费、差旅费、利润、税金、保险、等与此有关的一切费用。为满足本次采购服务需求，承包单位充分考虑不可预见风险，所有涉及的费用均包括在投标报价中（除另说明外），结算时均不作调整。</w:t>
            </w:r>
          </w:p>
        </w:tc>
      </w:tr>
    </w:tbl>
    <w:p w14:paraId="701A7E9A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</w:rPr>
      </w:pPr>
    </w:p>
    <w:p w14:paraId="48D34E76">
      <w:pPr>
        <w:snapToGrid w:val="0"/>
        <w:spacing w:line="50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单位</w:t>
      </w:r>
      <w:r>
        <w:rPr>
          <w:rFonts w:hint="eastAsia" w:ascii="宋体" w:hAnsi="宋体"/>
          <w:sz w:val="28"/>
          <w:lang w:val="en-US" w:eastAsia="zh-CN"/>
        </w:rPr>
        <w:t>名称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  <w:r>
        <w:rPr>
          <w:rFonts w:hint="eastAsia" w:ascii="宋体" w:hAnsi="宋体"/>
          <w:sz w:val="28"/>
        </w:rPr>
        <w:t>（须盖章）</w:t>
      </w:r>
    </w:p>
    <w:p w14:paraId="3F29803C">
      <w:pPr>
        <w:snapToGrid w:val="0"/>
        <w:spacing w:line="500" w:lineRule="exact"/>
        <w:ind w:firstLine="560" w:firstLineChars="200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联 系 人：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</w:p>
    <w:p w14:paraId="0AAF34AF">
      <w:pPr>
        <w:snapToGrid w:val="0"/>
        <w:spacing w:line="50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联系电话：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</w:p>
    <w:p w14:paraId="0842A7A8">
      <w:pPr>
        <w:snapToGrid w:val="0"/>
        <w:spacing w:line="500" w:lineRule="exact"/>
        <w:ind w:firstLine="560" w:firstLineChars="200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时    间：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</w:p>
    <w:p w14:paraId="28597A82">
      <w:pPr>
        <w:tabs>
          <w:tab w:val="left" w:pos="5256"/>
        </w:tabs>
        <w:bidi w:val="0"/>
        <w:ind w:firstLine="3570" w:firstLineChars="1700"/>
        <w:jc w:val="left"/>
        <w:rPr>
          <w:rFonts w:hint="eastAsia"/>
          <w:lang w:val="en-US" w:eastAsia="zh-CN"/>
        </w:rPr>
      </w:pPr>
    </w:p>
    <w:p w14:paraId="61920CB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1134"/>
        <w:jc w:val="righ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yellow"/>
          <w:shd w:val="clear" w:fill="FFFFFF"/>
          <w:lang w:val="en-GB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zczYTJiM2U0ODQ0ZTk0N2I0ZjE0NzYwMDU3YzEifQ=="/>
  </w:docVars>
  <w:rsids>
    <w:rsidRoot w:val="23B708F1"/>
    <w:rsid w:val="07DC7F64"/>
    <w:rsid w:val="09937C3D"/>
    <w:rsid w:val="0A241322"/>
    <w:rsid w:val="0CD34796"/>
    <w:rsid w:val="0D49663A"/>
    <w:rsid w:val="13AE32CE"/>
    <w:rsid w:val="23B708F1"/>
    <w:rsid w:val="25761DE7"/>
    <w:rsid w:val="276572D8"/>
    <w:rsid w:val="313756BA"/>
    <w:rsid w:val="33A61CB9"/>
    <w:rsid w:val="38FF5516"/>
    <w:rsid w:val="3B560EAA"/>
    <w:rsid w:val="3D17674E"/>
    <w:rsid w:val="3E7016CB"/>
    <w:rsid w:val="55556F23"/>
    <w:rsid w:val="5AFA73BD"/>
    <w:rsid w:val="5AFF16B3"/>
    <w:rsid w:val="5C9C024C"/>
    <w:rsid w:val="5D8F5977"/>
    <w:rsid w:val="5DA47DB0"/>
    <w:rsid w:val="60BE27CA"/>
    <w:rsid w:val="62F12185"/>
    <w:rsid w:val="651A7E0F"/>
    <w:rsid w:val="6D9240B6"/>
    <w:rsid w:val="7E02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nth-child(2)"/>
    <w:basedOn w:val="6"/>
    <w:qFormat/>
    <w:uiPriority w:val="0"/>
  </w:style>
  <w:style w:type="character" w:customStyle="1" w:styleId="10">
    <w:name w:val="nth-child(2)1"/>
    <w:basedOn w:val="6"/>
    <w:qFormat/>
    <w:uiPriority w:val="0"/>
  </w:style>
  <w:style w:type="character" w:customStyle="1" w:styleId="11">
    <w:name w:val="z2"/>
    <w:basedOn w:val="6"/>
    <w:qFormat/>
    <w:uiPriority w:val="0"/>
    <w:rPr>
      <w:color w:val="0C69B7"/>
      <w:shd w:val="clear" w:fill="FFFFFF"/>
    </w:rPr>
  </w:style>
  <w:style w:type="character" w:customStyle="1" w:styleId="12">
    <w:name w:val="zx"/>
    <w:basedOn w:val="6"/>
    <w:qFormat/>
    <w:uiPriority w:val="0"/>
    <w:rPr>
      <w:color w:val="2FB8A0"/>
      <w:bdr w:val="single" w:color="2FB8A0" w:sz="6" w:space="0"/>
    </w:rPr>
  </w:style>
  <w:style w:type="character" w:customStyle="1" w:styleId="13">
    <w:name w:val="act"/>
    <w:basedOn w:val="6"/>
    <w:qFormat/>
    <w:uiPriority w:val="0"/>
    <w:rPr>
      <w:color w:val="4D87BE"/>
      <w:shd w:val="clear" w:fill="FFFFFF"/>
    </w:rPr>
  </w:style>
  <w:style w:type="character" w:customStyle="1" w:styleId="14">
    <w:name w:val="act1"/>
    <w:basedOn w:val="6"/>
    <w:qFormat/>
    <w:uiPriority w:val="0"/>
    <w:rPr>
      <w:shd w:val="clear" w:fill="FF9900"/>
    </w:rPr>
  </w:style>
  <w:style w:type="character" w:customStyle="1" w:styleId="15">
    <w:name w:val="act2"/>
    <w:basedOn w:val="6"/>
    <w:qFormat/>
    <w:uiPriority w:val="0"/>
    <w:rPr>
      <w:color w:val="4D87BE"/>
      <w:shd w:val="clear" w:fill="FFFFFF"/>
    </w:rPr>
  </w:style>
  <w:style w:type="character" w:customStyle="1" w:styleId="16">
    <w:name w:val="act3"/>
    <w:basedOn w:val="6"/>
    <w:qFormat/>
    <w:uiPriority w:val="0"/>
    <w:rPr>
      <w:color w:val="0C69B7"/>
    </w:rPr>
  </w:style>
  <w:style w:type="character" w:customStyle="1" w:styleId="17">
    <w:name w:val="ts"/>
    <w:basedOn w:val="6"/>
    <w:qFormat/>
    <w:uiPriority w:val="0"/>
    <w:rPr>
      <w:color w:val="C82A3F"/>
      <w:bdr w:val="single" w:color="C82A3F" w:sz="6" w:space="0"/>
    </w:rPr>
  </w:style>
  <w:style w:type="character" w:customStyle="1" w:styleId="18">
    <w:name w:val="jb"/>
    <w:basedOn w:val="6"/>
    <w:qFormat/>
    <w:uiPriority w:val="0"/>
    <w:rPr>
      <w:color w:val="E2A229"/>
      <w:bdr w:val="single" w:color="E2A229" w:sz="6" w:space="0"/>
    </w:rPr>
  </w:style>
  <w:style w:type="character" w:customStyle="1" w:styleId="19">
    <w:name w:val="jxz"/>
    <w:basedOn w:val="6"/>
    <w:qFormat/>
    <w:uiPriority w:val="0"/>
    <w:rPr>
      <w:color w:val="C82A3F"/>
      <w:bdr w:val="single" w:color="C82A3F" w:sz="6" w:space="0"/>
    </w:rPr>
  </w:style>
  <w:style w:type="paragraph" w:customStyle="1" w:styleId="20">
    <w:name w:val="No Spacing"/>
    <w:qFormat/>
    <w:uiPriority w:val="0"/>
    <w:rPr>
      <w:rFonts w:ascii="Calibri" w:hAnsi="Calibri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1305</Words>
  <Characters>1356</Characters>
  <Lines>0</Lines>
  <Paragraphs>0</Paragraphs>
  <TotalTime>49</TotalTime>
  <ScaleCrop>false</ScaleCrop>
  <LinksUpToDate>false</LinksUpToDate>
  <CharactersWithSpaces>1472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2022-10-08T08:54:00Z</dcterms:created>
  <dc:creator>荸荠</dc:creator>
  <cp:lastModifiedBy>2.</cp:lastModifiedBy>
  <dcterms:modified xsi:type="dcterms:W3CDTF">2025-06-04T01:19:13Z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D3F5E2510AB34B06A738EA5448F37D98</vt:lpwstr>
  </property>
  <property fmtid="{D5CDD505-2E9C-101B-9397-08002B2CF9AE}" pid="4" name="KSOTemplateDocerSaveRecord">
    <vt:lpwstr>eyJoZGlkIjoiNTRlMGI1YWQxZjQwZmVjOTFmZDI1NDVhZTEyNmMyMDQiLCJ1c2VySWQiOiIxNDQ1NzkxMTI3In0=</vt:lpwstr>
  </property>
</Properties>
</file>