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启东市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启云数据中心机房基础设施维保服务采购项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目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right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市场询价公告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启东市启云数据中心机房基础设施维保服务项目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即将实施，现就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启云数据中心机房基础设施维保服务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进行市场询价调研。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一、采购服务内容及要求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启云数据中心提供政务云计算平台，为政府机关、事业单位、国有企业提供计算、存储、网络、安全、带宽等云服务。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本项目为启云数据中心机房稳定运行必需的精密空调、UPS、配电柜、蓄电池组、监控中心大屏、气体消防、环控、市电配电系统（含高压、低压）等系统购买软硬件维保服务。具体详见附件二《启云数据中心机房基础设施维保服务方案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二、询价约定事项：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1.市场询价报价单（附件一）及相关材料于202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17:30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前，以PDF格式文件通过电子邮件方式发送到邮箱 qiyun@qiyundata.net ，联系人：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徐先生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，联系电话：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15051258595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2.报价费用说明：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报价包括完成本项目采购需求中的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全部服务所发生的费用，具体包括（但不限于）现场踏勘、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配套备品备件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、系统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更新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软、硬件维保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及技术咨询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服务等及相应的税金及规费等一切费用。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3、报价单位须提供营业执照。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4.拟支付方式及期限：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签订合同后 30个工作日内支付合同总金额的30%，服务到期后支付考核后的余款金额。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服务期限为签订合同并正式开始提供对应服务起1年（本项目根据采购结果，采取一次招标三年沿用）。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每次付款前须由乙方向甲方开具合法有效发票，乙方迟延提供发票的，付款期限相应顺延。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2、付款方式：银行汇款。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其他：（１）请报价单位认真核算、如实报价，如发现虚假报价的，该单位今后将记入采购单位黑名单；（２）本次报价仅作为市场调研用，因此价格仅供参考；（３）本次调研询价不接收质疑函，只接收对本项目的建议。</w:t>
      </w:r>
    </w:p>
    <w:p>
      <w:pPr>
        <w:spacing w:line="440" w:lineRule="exact"/>
        <w:jc w:val="right"/>
        <w:rPr>
          <w:rFonts w:hint="eastAsia"/>
          <w:sz w:val="21"/>
          <w:szCs w:val="21"/>
        </w:rPr>
      </w:pPr>
    </w:p>
    <w:p>
      <w:pPr>
        <w:spacing w:line="440" w:lineRule="exact"/>
        <w:jc w:val="right"/>
        <w:rPr>
          <w:rFonts w:hint="eastAsia"/>
          <w:sz w:val="21"/>
          <w:szCs w:val="21"/>
        </w:rPr>
      </w:pPr>
    </w:p>
    <w:p>
      <w:pPr>
        <w:spacing w:line="440" w:lineRule="exact"/>
        <w:jc w:val="right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启东市晟云智慧信息技术有限公司</w:t>
      </w:r>
    </w:p>
    <w:p>
      <w:pPr>
        <w:spacing w:line="440" w:lineRule="exact"/>
        <w:jc w:val="righ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sectPr>
          <w:footerReference r:id="rId3" w:type="default"/>
          <w:pgSz w:w="11906" w:h="16838"/>
          <w:pgMar w:top="1240" w:right="1800" w:bottom="1098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日</w:t>
      </w:r>
    </w:p>
    <w:p>
      <w:pPr>
        <w:pStyle w:val="7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7"/>
        <w:ind w:left="0" w:leftChars="0" w:firstLine="0" w:firstLineChars="0"/>
        <w:rPr>
          <w:rFonts w:hint="eastAsia" w:ascii="微软雅黑" w:hAnsi="微软雅黑" w:cs="宋体"/>
          <w:color w:val="000000"/>
          <w:sz w:val="24"/>
        </w:rPr>
      </w:pPr>
      <w:r>
        <w:rPr>
          <w:rFonts w:hint="eastAsia" w:ascii="微软雅黑" w:hAnsi="微软雅黑" w:cs="宋体"/>
          <w:color w:val="000000"/>
          <w:sz w:val="24"/>
        </w:rPr>
        <w:t>附件</w:t>
      </w:r>
      <w:r>
        <w:rPr>
          <w:rFonts w:hint="eastAsia" w:ascii="微软雅黑" w:hAnsi="微软雅黑" w:cs="宋体"/>
          <w:color w:val="000000"/>
          <w:sz w:val="24"/>
          <w:lang w:eastAsia="zh-CN"/>
        </w:rPr>
        <w:t>一</w:t>
      </w:r>
      <w:r>
        <w:rPr>
          <w:rFonts w:hint="eastAsia" w:ascii="微软雅黑" w:hAnsi="微软雅黑" w:cs="宋体"/>
          <w:color w:val="000000"/>
          <w:sz w:val="24"/>
        </w:rPr>
        <w:t>：</w:t>
      </w:r>
    </w:p>
    <w:p>
      <w:pPr>
        <w:pStyle w:val="7"/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pStyle w:val="7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启东市启云数据中心机房基础设施维保服务采购项目</w:t>
      </w:r>
    </w:p>
    <w:p>
      <w:pPr>
        <w:pStyle w:val="7"/>
        <w:ind w:firstLine="3654" w:firstLineChars="1300"/>
        <w:rPr>
          <w:rFonts w:hint="default" w:ascii="微软雅黑" w:hAnsi="微软雅黑" w:cs="宋体"/>
          <w:color w:val="000000"/>
          <w:sz w:val="24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报价单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464"/>
        <w:gridCol w:w="2955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cs="宋体" w:eastAsiaTheme="minorEastAsia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4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cs="宋体" w:eastAsiaTheme="minorEastAsia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173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cs="宋体" w:eastAsiaTheme="minorEastAsia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13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cs="宋体" w:eastAsiaTheme="minorEastAsia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4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精密空调系统</w:t>
            </w:r>
          </w:p>
        </w:tc>
        <w:tc>
          <w:tcPr>
            <w:tcW w:w="173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cs="宋体" w:eastAsiaTheme="minorEastAsia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采购需求方案</w:t>
            </w:r>
          </w:p>
        </w:tc>
        <w:tc>
          <w:tcPr>
            <w:tcW w:w="13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cs="宋体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cs="宋体" w:eastAsiaTheme="minorEastAsia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4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UPS系统</w:t>
            </w:r>
          </w:p>
        </w:tc>
        <w:tc>
          <w:tcPr>
            <w:tcW w:w="173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cs="宋体"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采购需求方案</w:t>
            </w:r>
          </w:p>
        </w:tc>
        <w:tc>
          <w:tcPr>
            <w:tcW w:w="13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cs="宋体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cs="宋体" w:eastAsiaTheme="minorEastAsia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4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配电柜系统</w:t>
            </w:r>
          </w:p>
        </w:tc>
        <w:tc>
          <w:tcPr>
            <w:tcW w:w="173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cs="宋体"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采购需求方案</w:t>
            </w:r>
          </w:p>
        </w:tc>
        <w:tc>
          <w:tcPr>
            <w:tcW w:w="13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cs="宋体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4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蓄电池组系统</w:t>
            </w:r>
          </w:p>
        </w:tc>
        <w:tc>
          <w:tcPr>
            <w:tcW w:w="29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采购需求方案</w:t>
            </w:r>
          </w:p>
        </w:tc>
        <w:tc>
          <w:tcPr>
            <w:tcW w:w="13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cs="宋体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4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监控中心大屏系统</w:t>
            </w:r>
          </w:p>
        </w:tc>
        <w:tc>
          <w:tcPr>
            <w:tcW w:w="29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采购需求方案</w:t>
            </w:r>
          </w:p>
        </w:tc>
        <w:tc>
          <w:tcPr>
            <w:tcW w:w="13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cs="宋体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4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气体消防系统</w:t>
            </w:r>
          </w:p>
        </w:tc>
        <w:tc>
          <w:tcPr>
            <w:tcW w:w="29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采购需求方案</w:t>
            </w:r>
          </w:p>
        </w:tc>
        <w:tc>
          <w:tcPr>
            <w:tcW w:w="13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cs="宋体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4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环控系统</w:t>
            </w:r>
          </w:p>
        </w:tc>
        <w:tc>
          <w:tcPr>
            <w:tcW w:w="29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采购需求方案</w:t>
            </w:r>
          </w:p>
        </w:tc>
        <w:tc>
          <w:tcPr>
            <w:tcW w:w="13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cs="宋体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4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市电配电系统（含高压、低压）</w:t>
            </w:r>
          </w:p>
        </w:tc>
        <w:tc>
          <w:tcPr>
            <w:tcW w:w="29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采购需求方案</w:t>
            </w:r>
          </w:p>
        </w:tc>
        <w:tc>
          <w:tcPr>
            <w:tcW w:w="13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cs="宋体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  <w:t>合价</w:t>
            </w:r>
          </w:p>
        </w:tc>
        <w:tc>
          <w:tcPr>
            <w:tcW w:w="4507" w:type="pct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both"/>
              <w:textAlignment w:val="auto"/>
              <w:rPr>
                <w:rFonts w:hint="default" w:ascii="微软雅黑" w:hAnsi="微软雅黑" w:cs="宋体" w:eastAsiaTheme="minorEastAsia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vertAlign w:val="baseline"/>
                <w:lang w:val="en-US" w:eastAsia="zh-CN"/>
              </w:rPr>
              <w:t>人民币大写：                         （¥：           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微软雅黑" w:hAnsi="微软雅黑" w:cs="宋体"/>
          <w:color w:val="00000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微软雅黑" w:hAnsi="微软雅黑" w:cs="宋体"/>
          <w:color w:val="000000"/>
          <w:sz w:val="24"/>
          <w:lang w:val="en-US" w:eastAsia="zh-CN"/>
        </w:rPr>
      </w:pPr>
      <w:r>
        <w:rPr>
          <w:rFonts w:hint="eastAsia" w:ascii="微软雅黑" w:hAnsi="微软雅黑" w:cs="宋体"/>
          <w:color w:val="000000"/>
          <w:sz w:val="24"/>
          <w:lang w:val="en-US" w:eastAsia="zh-CN"/>
        </w:rPr>
        <w:t>报价单位（盖章）：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both"/>
        <w:textAlignment w:val="auto"/>
        <w:rPr>
          <w:rFonts w:hint="eastAsia" w:ascii="微软雅黑" w:hAnsi="微软雅黑" w:cs="宋体"/>
          <w:color w:val="000000"/>
          <w:sz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both"/>
        <w:textAlignment w:val="auto"/>
        <w:rPr>
          <w:rFonts w:hint="eastAsia" w:ascii="微软雅黑" w:hAnsi="微软雅黑" w:cs="宋体"/>
          <w:color w:val="000000"/>
          <w:sz w:val="24"/>
          <w:lang w:val="en-US" w:eastAsia="zh-CN"/>
        </w:rPr>
      </w:pPr>
      <w:r>
        <w:rPr>
          <w:rFonts w:hint="eastAsia" w:ascii="微软雅黑" w:hAnsi="微软雅黑" w:cs="宋体"/>
          <w:color w:val="000000"/>
          <w:sz w:val="24"/>
          <w:lang w:val="en-US" w:eastAsia="zh-CN"/>
        </w:rPr>
        <w:t>联系人：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both"/>
        <w:textAlignment w:val="auto"/>
        <w:rPr>
          <w:rFonts w:hint="eastAsia" w:ascii="微软雅黑" w:hAnsi="微软雅黑" w:cs="宋体"/>
          <w:color w:val="000000"/>
          <w:sz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both"/>
        <w:textAlignment w:val="auto"/>
        <w:rPr>
          <w:rFonts w:hint="eastAsia" w:ascii="微软雅黑" w:hAnsi="微软雅黑" w:cs="宋体"/>
          <w:color w:val="000000"/>
          <w:sz w:val="24"/>
          <w:lang w:val="en-US" w:eastAsia="zh-CN"/>
        </w:rPr>
      </w:pPr>
      <w:r>
        <w:rPr>
          <w:rFonts w:hint="eastAsia" w:ascii="微软雅黑" w:hAnsi="微软雅黑" w:cs="宋体"/>
          <w:color w:val="000000"/>
          <w:sz w:val="24"/>
          <w:lang w:val="en-US" w:eastAsia="zh-CN"/>
        </w:rPr>
        <w:t>联系电话：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both"/>
        <w:textAlignment w:val="auto"/>
        <w:rPr>
          <w:rFonts w:hint="eastAsia" w:ascii="微软雅黑" w:hAnsi="微软雅黑" w:cs="宋体"/>
          <w:color w:val="000000"/>
          <w:sz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both"/>
        <w:textAlignment w:val="auto"/>
        <w:rPr>
          <w:rFonts w:hint="eastAsia" w:ascii="微软雅黑" w:hAnsi="微软雅黑" w:cs="宋体"/>
          <w:color w:val="000000"/>
          <w:sz w:val="24"/>
          <w:lang w:val="en-US" w:eastAsia="zh-CN"/>
        </w:rPr>
      </w:pPr>
      <w:r>
        <w:rPr>
          <w:rFonts w:hint="eastAsia" w:ascii="微软雅黑" w:hAnsi="微软雅黑" w:cs="宋体"/>
          <w:color w:val="000000"/>
          <w:sz w:val="24"/>
          <w:lang w:val="en-US" w:eastAsia="zh-CN"/>
        </w:rPr>
        <w:t>日期：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both"/>
        <w:textAlignment w:val="auto"/>
        <w:rPr>
          <w:rFonts w:hint="default" w:ascii="微软雅黑" w:hAnsi="微软雅黑" w:cs="宋体"/>
          <w:color w:val="000000"/>
          <w:sz w:val="24"/>
          <w:lang w:val="en-US" w:eastAsia="zh-CN"/>
        </w:rPr>
      </w:pPr>
    </w:p>
    <w:p>
      <w:pPr>
        <w:pStyle w:val="7"/>
        <w:rPr>
          <w:rFonts w:hint="eastAsia" w:ascii="微软雅黑" w:hAnsi="微软雅黑" w:cs="宋体"/>
          <w:color w:val="000000"/>
          <w:sz w:val="24"/>
        </w:rPr>
      </w:pPr>
    </w:p>
    <w:p>
      <w:pPr>
        <w:pStyle w:val="7"/>
        <w:ind w:left="0" w:leftChars="0" w:firstLine="0" w:firstLineChars="0"/>
        <w:rPr>
          <w:rFonts w:hint="eastAsia" w:ascii="微软雅黑" w:hAnsi="微软雅黑" w:cs="宋体"/>
          <w:color w:val="000000"/>
          <w:sz w:val="24"/>
        </w:rPr>
      </w:pPr>
    </w:p>
    <w:p>
      <w:pPr>
        <w:pStyle w:val="7"/>
        <w:ind w:left="0" w:leftChars="0" w:firstLine="0" w:firstLineChars="0"/>
        <w:rPr>
          <w:rFonts w:hint="eastAsia" w:ascii="微软雅黑" w:hAnsi="微软雅黑" w:cs="宋体"/>
          <w:color w:val="000000"/>
          <w:sz w:val="24"/>
        </w:rPr>
      </w:pPr>
    </w:p>
    <w:p>
      <w:pPr>
        <w:pStyle w:val="7"/>
        <w:ind w:left="0" w:leftChars="0" w:firstLine="0" w:firstLineChars="0"/>
        <w:rPr>
          <w:rFonts w:hint="eastAsia" w:ascii="微软雅黑" w:hAnsi="微软雅黑" w:cs="宋体"/>
          <w:color w:val="000000"/>
          <w:sz w:val="24"/>
        </w:rPr>
      </w:pPr>
    </w:p>
    <w:p>
      <w:pPr>
        <w:pStyle w:val="7"/>
        <w:ind w:left="0" w:leftChars="0" w:firstLine="0" w:firstLineChars="0"/>
        <w:rPr>
          <w:rFonts w:hint="eastAsia" w:ascii="微软雅黑" w:hAnsi="微软雅黑" w:cs="宋体"/>
          <w:color w:val="000000"/>
          <w:sz w:val="24"/>
        </w:rPr>
      </w:pPr>
    </w:p>
    <w:p>
      <w:pPr>
        <w:pStyle w:val="7"/>
        <w:ind w:left="0" w:leftChars="0" w:firstLine="0" w:firstLineChars="0"/>
        <w:rPr>
          <w:rFonts w:hint="eastAsia" w:ascii="微软雅黑" w:hAnsi="微软雅黑" w:cs="宋体"/>
          <w:color w:val="000000"/>
          <w:sz w:val="24"/>
        </w:rPr>
      </w:pPr>
    </w:p>
    <w:p>
      <w:pPr>
        <w:pStyle w:val="7"/>
        <w:ind w:left="0" w:leftChars="0" w:firstLine="0" w:firstLineChars="0"/>
        <w:rPr>
          <w:rFonts w:hint="eastAsia" w:ascii="微软雅黑" w:hAnsi="微软雅黑" w:cs="宋体"/>
          <w:color w:val="000000"/>
          <w:sz w:val="24"/>
        </w:rPr>
      </w:pPr>
      <w:r>
        <w:rPr>
          <w:rFonts w:hint="eastAsia" w:ascii="微软雅黑" w:hAnsi="微软雅黑" w:cs="宋体"/>
          <w:color w:val="000000"/>
          <w:sz w:val="24"/>
        </w:rPr>
        <w:t>附件</w:t>
      </w:r>
      <w:r>
        <w:rPr>
          <w:rFonts w:hint="eastAsia" w:ascii="微软雅黑" w:hAnsi="微软雅黑" w:cs="宋体"/>
          <w:color w:val="000000"/>
          <w:sz w:val="24"/>
          <w:lang w:val="en-US" w:eastAsia="zh-CN"/>
        </w:rPr>
        <w:t>二</w:t>
      </w:r>
      <w:r>
        <w:rPr>
          <w:rFonts w:hint="eastAsia" w:ascii="微软雅黑" w:hAnsi="微软雅黑" w:cs="宋体"/>
          <w:color w:val="000000"/>
          <w:sz w:val="24"/>
        </w:rPr>
        <w:t>：</w:t>
      </w:r>
    </w:p>
    <w:p>
      <w:pPr>
        <w:pStyle w:val="4"/>
        <w:spacing w:line="540" w:lineRule="exact"/>
        <w:ind w:left="0" w:leftChars="0" w:firstLine="0" w:firstLineChars="0"/>
        <w:jc w:val="center"/>
        <w:rPr>
          <w:sz w:val="32"/>
          <w:szCs w:val="32"/>
          <w:lang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firstLine="0" w:firstLineChars="0"/>
        <w:jc w:val="center"/>
        <w:textAlignment w:val="auto"/>
        <w:rPr>
          <w:b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启云数据中心机房基础设施维保服务</w:t>
      </w:r>
      <w:r>
        <w:rPr>
          <w:b/>
          <w:sz w:val="32"/>
          <w:szCs w:val="32"/>
          <w:lang w:eastAsia="zh-CN"/>
        </w:rPr>
        <w:t>方案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exact"/>
        <w:textAlignment w:val="auto"/>
        <w:outlineLvl w:val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项目名称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启云数据中心基础设施系统维保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服务采购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exact"/>
        <w:textAlignment w:val="auto"/>
        <w:outlineLvl w:val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项目背景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启云数据中心机房，位于启东市人民西路，属于国家A类标准机房。目前建设有1个机房（1-1机房在用，1-2机房备用），具体建筑物为机楼一、机楼二、办公楼配电间、油机房、高低配间，面积约1500平方米。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保障启云数据中心的高效、平稳运行，为其相关业务提供高效、畅通的运行保障，需购买数据中心基础设施系统的维护保养服务，建立合规合法运维体系，组织开展日常运行维护，提供培训和技术咨询服务，为启云数据中心云平台提供强有力的运维支撑和稳定的服务保障，实现项目的可持续发展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exact"/>
        <w:textAlignment w:val="auto"/>
        <w:outlineLvl w:val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服务周期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本维保项目自服务生效之日起，本次招标维保周期为12个月。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exact"/>
        <w:textAlignment w:val="auto"/>
        <w:outlineLvl w:val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维保服务要求</w:t>
      </w:r>
    </w:p>
    <w:p>
      <w:pPr>
        <w:pStyle w:val="17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firstLine="482" w:firstLineChars="200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4.1、运维服务范围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启云数据中心提供政务云计算平台，为政府机关、事业单位、国有企业提供计算、存储、网络、安全、带宽等云服务。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本项目为启云数据中心机房稳定运行必需的精密空调、UPS、配电柜、蓄电池组、监控中心大屏、气体消防、环控、市电配电系统（含高压、低压）等系统购买软硬件维保服务。</w:t>
      </w:r>
    </w:p>
    <w:p>
      <w:pPr>
        <w:pStyle w:val="17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firstLine="482" w:firstLineChars="200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4.2、运维服务内容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exact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精密空调系统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设备生产厂家：杭州琨源科技有限公司；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型号：MEAD0902E、数量5台；型号：GAU12L、数量2台；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需求：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每季度进行系统维护保养，包含更换过滤网等辅材；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临时性紧急维修，12小时内到达现场给予解决；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提供培训服务；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需提供原厂质保函；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exact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UPS系统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设备生产厂家：江苏品全机电工程技术有限公司；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型号：Galaxy  7000、数量2台；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需求：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提供5×8小时响应服务，7×24小时电话技术支持服务；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包含全部维修备件故障处理；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提供1次5×8的UPS保养服务；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提供培训服务；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需提供原厂质保函；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exact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配电柜</w:t>
      </w:r>
    </w:p>
    <w:p>
      <w:pPr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设备生产厂家：杭州王玛电子科技有限公司；</w:t>
      </w:r>
    </w:p>
    <w:p>
      <w:pPr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型号：UPS输出柜、数量2台；型号：空调配电柜、数量1台；</w:t>
      </w:r>
    </w:p>
    <w:p>
      <w:pPr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需求：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提供7×24服务及电话咨询服务；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配电柜维保服务方式包含所有故障元器件更换；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每6个月提供一次常规巡检，一年内共2次；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提供培训服务；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需提供原厂质保函；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exact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蓄电池组</w:t>
      </w:r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设备生产厂家：浙江南都电源动力股份有限公司；</w:t>
      </w:r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型号：南都GFM－720HR；数量：528节；</w:t>
      </w:r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需求：电池出现损坏时，免费更换同型号参数的电池。</w:t>
      </w:r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需提供原厂质保函；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exact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监控中心大屏系统</w:t>
      </w:r>
    </w:p>
    <w:p>
      <w:pPr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设备生产厂家：深圳市乐派商显科技有限公司；</w:t>
      </w:r>
    </w:p>
    <w:p>
      <w:pPr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型号：55寸；数量：12块；</w:t>
      </w:r>
    </w:p>
    <w:p>
      <w:pPr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需求：屏幕及配件损坏维保。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exact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气体消防系统</w:t>
      </w:r>
    </w:p>
    <w:p>
      <w:pPr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型号：气体灭火系统；数量：1套；</w:t>
      </w:r>
    </w:p>
    <w:p>
      <w:pPr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需求：</w:t>
      </w:r>
    </w:p>
    <w:p>
      <w:pPr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房消防设施设备（含系统）维保，专业巡检、技术支持、7×24小时故障响应、故障修复、配件更换、bug修正、系统升级、检修配合、备件提供等保障系统正常有效运行所需要的一切服务，关联温烟感测点调试并确保与平台对应等内容；</w:t>
      </w:r>
    </w:p>
    <w:p>
      <w:pPr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全年检查工作不低于4次；</w:t>
      </w:r>
    </w:p>
    <w:p>
      <w:pPr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提供培训服务。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exact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环控系统</w:t>
      </w:r>
    </w:p>
    <w:p>
      <w:pPr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设备生产厂家：深圳市共济科技股份有限公司；</w:t>
      </w:r>
    </w:p>
    <w:p>
      <w:pPr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型号：机房环控系统；数量：1套；</w:t>
      </w:r>
    </w:p>
    <w:p>
      <w:pPr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需求：</w:t>
      </w:r>
    </w:p>
    <w:p>
      <w:pPr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新增配电、变压器、发电机、温湿度、漏水检测等点位的环境监控，新增点位数据需接入原环控平台；</w:t>
      </w:r>
    </w:p>
    <w:p>
      <w:pPr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服务时间7×24小时；</w:t>
      </w:r>
    </w:p>
    <w:p>
      <w:pPr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软硬件维保，设备损坏免费更换；</w:t>
      </w:r>
    </w:p>
    <w:p>
      <w:pPr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一年4次现场巡检，出巡检报告；</w:t>
      </w:r>
    </w:p>
    <w:p>
      <w:pPr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提供培训服务。</w:t>
      </w:r>
    </w:p>
    <w:p>
      <w:pPr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需提供原厂质保函；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exact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市电配电系统</w:t>
      </w:r>
    </w:p>
    <w:p>
      <w:pPr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型号：包含进线柜、隔离柜、避雷器柜、高压低压出线柜等；数量：28柜；</w:t>
      </w:r>
    </w:p>
    <w:p>
      <w:pPr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需求：</w:t>
      </w:r>
    </w:p>
    <w:p>
      <w:pPr>
        <w:pageBreakBefore w:val="0"/>
        <w:widowControl w:val="0"/>
        <w:tabs>
          <w:tab w:val="left" w:pos="420"/>
        </w:tabs>
        <w:kinsoku/>
        <w:wordWrap/>
        <w:overflowPunct/>
        <w:topLinePunct w:val="0"/>
        <w:bidi w:val="0"/>
        <w:spacing w:line="360" w:lineRule="exact"/>
        <w:ind w:left="42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每月一次巡检，每年一次停电实验检修，故障抢修。</w:t>
      </w:r>
    </w:p>
    <w:p>
      <w:pPr>
        <w:pStyle w:val="17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firstLine="482" w:firstLineChars="200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4.3、运维服务要求</w:t>
      </w:r>
    </w:p>
    <w:p>
      <w:pPr>
        <w:pStyle w:val="6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4.3.1、日常维保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①每次上门维护保养各系统运行状况时，需确保障用户使用不中断；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②每次维保需检查并记录各系统的运行状态，保障系统能够正常运行，形成维护报告、整改措施；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③需及时汇报、解决出现的问题；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2" w:firstLineChars="200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4.3.2、实施安全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①在系统维护工作前，供应商工程师须向启云数据中心提出申请，得到同意后维护工作方能开始；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②如维护工作需要使用移动介质，则必须事先在本地进行病毒检查，经启云数据中心确认方可使用；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③所有操作记录须存档并长期保留。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2" w:firstLineChars="200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4.3.3、咨询评估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①需根据日常维保、测试、故障排除等用户系统设备的实际运行情况，对系统设备的运行问题、存在隐患及系统效率、功能提升提出优化建议；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②需定期对各系统的应用情况进行评估，提出改进建议。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2" w:firstLineChars="200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4.3.4、技术保障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①需分析系统使用过程中的出现的故障原因，并告知用户解决方法；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②如有软件系统需定期提供软件的补丁升级，补丁升级需包括对用户已有的软件功能的提升、缺陷的修正；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③每个保养周期需将数据报送情况及工作情况以书面形式递交用户；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④需协助用户做好各系统帐户等信息的保密工作，并需签定保密协议；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⑤除做好以上工作外，平时需确保系统运行正常。</w:t>
      </w:r>
    </w:p>
    <w:p>
      <w:pPr>
        <w:pStyle w:val="17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firstLine="482" w:firstLineChars="200"/>
        <w:textAlignment w:val="auto"/>
        <w:outlineLvl w:val="1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4.4、日常维护需求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安排1名固定负责维保的联系人，负责维保服务，协调并组织各系统服务供应商的各种技术力量，为用户方提供团队化的技术支持。一旦出现紧急事件，需要调动研发、产品、设计、评估、商务等各种力量，为用户提供技术力量支撑，必要时成交供应商另行派人进行现场维护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2、需根据采购人的实际需要，安排针对性的培训和操作指导，并提供日常咨询服务。根据采购人提出的问题，提供针对性地答疑和问题解答服务。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2、服务工作时间：免费提供7x24小时电话、邮件等多方式远程指导服务；提供24小时技术人员的联系方式，有变更及时通知，以备紧急问题的指导处理。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3、人员资质及要求：负责维保的联系人，必须具有一年以上相关工作经验,必须能胜任维保、联系、沟通、协调等服务工作，如因特殊情况需更换联系人，必须经甲方同意方可更换。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firstLine="482" w:firstLineChars="200"/>
        <w:textAlignment w:val="auto"/>
        <w:outlineLvl w:val="1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4.5项目运维考核。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人根据客观公正、科学规范、注重实效、定性与定量相结合的考核原则进行考核。如有扣分情况，采购人将根据被考核单位的工作情况及事件实时记录，将考核扣分情况通报被考核单位，并在费用结报时，进行相应的扣款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exact"/>
        <w:textAlignment w:val="auto"/>
        <w:outlineLvl w:val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其他要求</w:t>
      </w:r>
    </w:p>
    <w:p>
      <w:pPr>
        <w:pStyle w:val="2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保密要求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严格遵循保密协议，凡涉及客户和项目的软硬件安装配置、管理文件等信息不得向第三方泄露，维护过程中如需涉及客户系统的数据信息，必须先通过客户方认可，维护工作的数据信息（无论是打印或介质上的数据信息）不得带离客户工作现场。</w:t>
      </w:r>
    </w:p>
    <w:p>
      <w:pPr>
        <w:pStyle w:val="2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服务期限及付款方式：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服务期限为签订合同并正式开始提供对应服务起1年（本项目根据采购结果，采取一次招标三年沿用）；</w:t>
      </w:r>
    </w:p>
    <w:p>
      <w:pPr>
        <w:pStyle w:val="2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付款方式：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签订合同后 30个工作日内支付合同总金额的30%，服务到期后支付考核后的余款金额。</w:t>
      </w:r>
    </w:p>
    <w:p>
      <w:pPr>
        <w:pStyle w:val="2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服务时间：自合同签定之日起15天内。</w:t>
      </w:r>
    </w:p>
    <w:p>
      <w:pPr>
        <w:pStyle w:val="2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服务地点：启东市启云数据中心。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right="0" w:rightChars="0" w:firstLine="48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验收方案：按照采购文件执行。</w:t>
      </w:r>
    </w:p>
    <w:p>
      <w:pPr>
        <w:pStyle w:val="7"/>
        <w:rPr>
          <w:rFonts w:hint="eastAsia" w:ascii="微软雅黑" w:hAnsi="微软雅黑" w:cs="宋体"/>
          <w:color w:val="000000"/>
          <w:sz w:val="24"/>
        </w:rPr>
      </w:pPr>
    </w:p>
    <w:p>
      <w:pPr>
        <w:pStyle w:val="7"/>
        <w:rPr>
          <w:rFonts w:hint="eastAsia" w:ascii="微软雅黑" w:hAnsi="微软雅黑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D3ABB"/>
    <w:multiLevelType w:val="singleLevel"/>
    <w:tmpl w:val="94FD3ABB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982EA0A1"/>
    <w:multiLevelType w:val="singleLevel"/>
    <w:tmpl w:val="982EA0A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98FE80B8"/>
    <w:multiLevelType w:val="singleLevel"/>
    <w:tmpl w:val="98FE80B8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>
    <w:nsid w:val="BD0A32CF"/>
    <w:multiLevelType w:val="singleLevel"/>
    <w:tmpl w:val="BD0A32C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>
    <w:nsid w:val="C83E258B"/>
    <w:multiLevelType w:val="singleLevel"/>
    <w:tmpl w:val="C83E258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085F522D"/>
    <w:multiLevelType w:val="singleLevel"/>
    <w:tmpl w:val="085F522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6">
    <w:nsid w:val="0B1FF208"/>
    <w:multiLevelType w:val="singleLevel"/>
    <w:tmpl w:val="0B1FF20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7">
    <w:nsid w:val="0DC0B7BC"/>
    <w:multiLevelType w:val="singleLevel"/>
    <w:tmpl w:val="0DC0B7B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>
    <w:nsid w:val="1A837855"/>
    <w:multiLevelType w:val="singleLevel"/>
    <w:tmpl w:val="1A837855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9">
    <w:nsid w:val="1DFB86F5"/>
    <w:multiLevelType w:val="singleLevel"/>
    <w:tmpl w:val="1DFB86F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0">
    <w:nsid w:val="1E0497A1"/>
    <w:multiLevelType w:val="singleLevel"/>
    <w:tmpl w:val="1E0497A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>
    <w:nsid w:val="20AABBA7"/>
    <w:multiLevelType w:val="singleLevel"/>
    <w:tmpl w:val="20AABBA7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2">
    <w:nsid w:val="3BBC2446"/>
    <w:multiLevelType w:val="singleLevel"/>
    <w:tmpl w:val="3BBC244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3">
    <w:nsid w:val="5EE93C83"/>
    <w:multiLevelType w:val="singleLevel"/>
    <w:tmpl w:val="5EE93C83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4">
    <w:nsid w:val="67E25CB6"/>
    <w:multiLevelType w:val="singleLevel"/>
    <w:tmpl w:val="67E25CB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5">
    <w:nsid w:val="77DF9CEE"/>
    <w:multiLevelType w:val="singleLevel"/>
    <w:tmpl w:val="77DF9CE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1"/>
  </w:num>
  <w:num w:numId="5">
    <w:abstractNumId w:val="6"/>
  </w:num>
  <w:num w:numId="6">
    <w:abstractNumId w:val="8"/>
  </w:num>
  <w:num w:numId="7">
    <w:abstractNumId w:val="14"/>
  </w:num>
  <w:num w:numId="8">
    <w:abstractNumId w:val="0"/>
  </w:num>
  <w:num w:numId="9">
    <w:abstractNumId w:val="4"/>
  </w:num>
  <w:num w:numId="10">
    <w:abstractNumId w:val="5"/>
  </w:num>
  <w:num w:numId="11">
    <w:abstractNumId w:val="12"/>
  </w:num>
  <w:num w:numId="12">
    <w:abstractNumId w:val="13"/>
  </w:num>
  <w:num w:numId="13">
    <w:abstractNumId w:val="1"/>
  </w:num>
  <w:num w:numId="14">
    <w:abstractNumId w:val="2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MjQyNDNjMWNjMDMyZjE4ZjM3NzQzYWExMDE2NzgifQ=="/>
  </w:docVars>
  <w:rsids>
    <w:rsidRoot w:val="00000000"/>
    <w:rsid w:val="01BB2C67"/>
    <w:rsid w:val="06AF2C81"/>
    <w:rsid w:val="1E0C276D"/>
    <w:rsid w:val="22AD24B7"/>
    <w:rsid w:val="2FC76054"/>
    <w:rsid w:val="33A974AA"/>
    <w:rsid w:val="4C764AFD"/>
    <w:rsid w:val="61995262"/>
    <w:rsid w:val="640202E1"/>
    <w:rsid w:val="78784D67"/>
    <w:rsid w:val="7C4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ind w:left="3388" w:hanging="2607"/>
      <w:outlineLvl w:val="0"/>
    </w:pPr>
    <w:rPr>
      <w:b/>
      <w:bCs/>
      <w:sz w:val="44"/>
      <w:szCs w:val="44"/>
    </w:rPr>
  </w:style>
  <w:style w:type="paragraph" w:styleId="5">
    <w:name w:val="heading 2"/>
    <w:basedOn w:val="1"/>
    <w:next w:val="1"/>
    <w:unhideWhenUsed/>
    <w:qFormat/>
    <w:uiPriority w:val="9"/>
    <w:pPr>
      <w:spacing w:before="1"/>
      <w:ind w:left="220"/>
      <w:outlineLvl w:val="1"/>
    </w:pPr>
    <w:rPr>
      <w:rFonts w:ascii="等线 Light" w:hAnsi="等线 Light" w:eastAsia="等线 Light" w:cs="等线 Light"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宋体" w:cs="仿宋_GB2312"/>
      <w:color w:val="000000"/>
      <w:sz w:val="24"/>
      <w:szCs w:val="24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Table Paragraph"/>
    <w:basedOn w:val="1"/>
    <w:qFormat/>
    <w:uiPriority w:val="1"/>
    <w:pPr>
      <w:jc w:val="center"/>
    </w:pPr>
    <w:rPr>
      <w:rFonts w:ascii="等线" w:hAnsi="等线" w:eastAsia="等线" w:cs="等线"/>
    </w:rPr>
  </w:style>
  <w:style w:type="table" w:customStyle="1" w:styleId="1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默认段落字体 Para Char Char Char"/>
    <w:basedOn w:val="1"/>
    <w:qFormat/>
    <w:uiPriority w:val="0"/>
    <w:pPr>
      <w:ind w:firstLine="602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5464</Words>
  <Characters>6652</Characters>
  <Lines>0</Lines>
  <Paragraphs>0</Paragraphs>
  <TotalTime>113</TotalTime>
  <ScaleCrop>false</ScaleCrop>
  <LinksUpToDate>false</LinksUpToDate>
  <CharactersWithSpaces>6780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2023-05-17T06:56:00Z</dcterms:created>
  <dc:creator>Administrator</dc:creator>
  <cp:lastModifiedBy>ZHJ</cp:lastModifiedBy>
  <dcterms:modified xsi:type="dcterms:W3CDTF">2023-10-26T06:55:01Z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B129CB8452AB427AB0627550A0AC9F51_13</vt:lpwstr>
  </property>
</Properties>
</file>