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right="0" w:firstLine="336" w:firstLineChars="100"/>
        <w:jc w:val="center"/>
        <w:rPr>
          <w:rFonts w:hint="eastAsia" w:ascii="宋体" w:hAnsi="宋体" w:eastAsia="宋体" w:cs="宋体"/>
          <w:i w:val="0"/>
          <w:iCs w:val="0"/>
          <w:caps w:val="0"/>
          <w:spacing w:val="8"/>
          <w:sz w:val="32"/>
          <w:szCs w:val="32"/>
          <w:u w:val="none" w:color="auto"/>
          <w:shd w:val="clear" w:fill="FFFFFF"/>
          <w:lang w:val="en-US" w:eastAsia="zh-CN"/>
        </w:rPr>
      </w:pPr>
      <w:r>
        <w:rPr>
          <w:rFonts w:hint="eastAsia" w:ascii="宋体" w:hAnsi="宋体" w:eastAsia="宋体" w:cs="宋体"/>
          <w:i w:val="0"/>
          <w:iCs w:val="0"/>
          <w:caps w:val="0"/>
          <w:spacing w:val="8"/>
          <w:sz w:val="32"/>
          <w:szCs w:val="32"/>
          <w:u w:val="none" w:color="auto"/>
          <w:shd w:val="clear" w:fill="FFFFFF"/>
          <w:lang w:val="en-US" w:eastAsia="zh-CN"/>
        </w:rPr>
        <w:t>启东市循环经济产业园渣土、建筑垃圾装运服务项目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right="0" w:firstLine="336" w:firstLineChars="100"/>
        <w:jc w:val="center"/>
        <w:rPr>
          <w:rFonts w:hint="eastAsia" w:ascii="宋体" w:hAnsi="宋体" w:eastAsia="宋体" w:cs="宋体"/>
          <w:i w:val="0"/>
          <w:iCs w:val="0"/>
          <w:caps w:val="0"/>
          <w:spacing w:val="8"/>
          <w:sz w:val="32"/>
          <w:szCs w:val="32"/>
          <w:u w:val="none" w:color="auto"/>
          <w:shd w:val="clear" w:fill="FFFFFF"/>
          <w:lang w:val="en-US" w:eastAsia="zh-CN"/>
        </w:rPr>
      </w:pPr>
      <w:r>
        <w:rPr>
          <w:rFonts w:hint="eastAsia" w:ascii="宋体" w:hAnsi="宋体" w:eastAsia="宋体" w:cs="宋体"/>
          <w:i w:val="0"/>
          <w:iCs w:val="0"/>
          <w:caps w:val="0"/>
          <w:spacing w:val="8"/>
          <w:sz w:val="32"/>
          <w:szCs w:val="32"/>
          <w:u w:val="none" w:color="auto"/>
          <w:shd w:val="clear" w:fill="FFFFFF"/>
          <w:lang w:val="en-US" w:eastAsia="zh-CN"/>
        </w:rPr>
        <w:t>询价公告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right="0" w:firstLine="240" w:firstLineChars="100"/>
        <w:jc w:val="left"/>
        <w:rPr>
          <w:rFonts w:hint="default"/>
          <w:sz w:val="24"/>
          <w:szCs w:val="32"/>
          <w:lang w:val="en-US" w:eastAsia="zh-CN"/>
        </w:rPr>
      </w:pPr>
      <w:r>
        <w:rPr>
          <w:rFonts w:hint="eastAsia"/>
          <w:sz w:val="24"/>
          <w:szCs w:val="32"/>
          <w:u w:val="single"/>
          <w:lang w:eastAsia="zh-CN"/>
        </w:rPr>
        <w:t>启东交投再生资源有限公司</w:t>
      </w:r>
      <w:r>
        <w:rPr>
          <w:rFonts w:hint="eastAsia"/>
          <w:sz w:val="24"/>
          <w:szCs w:val="32"/>
        </w:rPr>
        <w:t>根据启东市政府采购管理的有关规定，就</w:t>
      </w:r>
      <w:r>
        <w:rPr>
          <w:rFonts w:hint="eastAsia"/>
          <w:sz w:val="24"/>
          <w:szCs w:val="32"/>
          <w:u w:val="single"/>
          <w:lang w:val="en-US" w:eastAsia="zh-CN"/>
        </w:rPr>
        <w:t>启东市循环经济产业园渣土、建筑垃圾装运服务项目</w:t>
      </w:r>
      <w:r>
        <w:rPr>
          <w:rFonts w:hint="eastAsia"/>
          <w:sz w:val="24"/>
          <w:szCs w:val="32"/>
        </w:rPr>
        <w:t>进行公开询价采购</w:t>
      </w:r>
      <w:r>
        <w:rPr>
          <w:rFonts w:hint="eastAsia"/>
          <w:sz w:val="24"/>
          <w:szCs w:val="32"/>
          <w:lang w:eastAsia="zh-CN"/>
        </w:rPr>
        <w:t>。</w:t>
      </w:r>
      <w:r>
        <w:rPr>
          <w:rFonts w:hint="eastAsia"/>
          <w:sz w:val="24"/>
          <w:szCs w:val="32"/>
          <w:lang w:val="en-US" w:eastAsia="zh-CN"/>
        </w:rPr>
        <w:t>具体采购明细详见以下表格。</w:t>
      </w:r>
    </w:p>
    <w:p>
      <w:pPr>
        <w:spacing w:line="360" w:lineRule="auto"/>
        <w:rPr>
          <w:rFonts w:hint="eastAsia"/>
          <w:sz w:val="24"/>
          <w:szCs w:val="32"/>
        </w:rPr>
      </w:pPr>
      <w:r>
        <w:rPr>
          <w:rFonts w:hint="eastAsia"/>
          <w:sz w:val="24"/>
          <w:szCs w:val="32"/>
        </w:rPr>
        <w:t>说明：</w:t>
      </w:r>
    </w:p>
    <w:p>
      <w:pPr>
        <w:numPr>
          <w:ilvl w:val="0"/>
          <w:numId w:val="1"/>
        </w:numPr>
        <w:spacing w:line="360" w:lineRule="auto"/>
        <w:rPr>
          <w:rFonts w:hint="eastAsia" w:ascii="宋体" w:hAnsi="宋体" w:eastAsia="宋体" w:cs="宋体"/>
          <w:b/>
          <w:bCs/>
          <w:sz w:val="24"/>
          <w:szCs w:val="32"/>
        </w:rPr>
      </w:pPr>
      <w:r>
        <w:rPr>
          <w:rFonts w:hint="eastAsia" w:ascii="宋体" w:hAnsi="宋体" w:eastAsia="宋体" w:cs="宋体"/>
          <w:b/>
          <w:bCs/>
          <w:sz w:val="24"/>
          <w:szCs w:val="32"/>
        </w:rPr>
        <w:t>本项目最高限价</w:t>
      </w:r>
      <w:r>
        <w:rPr>
          <w:rFonts w:hint="eastAsia" w:ascii="宋体" w:hAnsi="宋体" w:eastAsia="宋体" w:cs="宋体"/>
          <w:b/>
          <w:bCs/>
          <w:sz w:val="24"/>
          <w:szCs w:val="32"/>
          <w:highlight w:val="none"/>
        </w:rPr>
        <w:t>为</w:t>
      </w:r>
      <w:r>
        <w:rPr>
          <w:rFonts w:hint="eastAsia" w:ascii="宋体" w:hAnsi="宋体" w:eastAsia="宋体" w:cs="宋体"/>
          <w:b/>
          <w:bCs/>
          <w:sz w:val="24"/>
          <w:szCs w:val="32"/>
          <w:highlight w:val="none"/>
          <w:lang w:eastAsia="zh-CN"/>
        </w:rPr>
        <w:t>综合总单价</w:t>
      </w:r>
      <w:r>
        <w:rPr>
          <w:rFonts w:hint="eastAsia" w:ascii="宋体" w:hAnsi="宋体" w:eastAsia="宋体" w:cs="宋体"/>
          <w:b/>
          <w:bCs/>
          <w:sz w:val="24"/>
          <w:szCs w:val="32"/>
          <w:highlight w:val="none"/>
          <w:u w:val="single"/>
          <w:lang w:val="en-US" w:eastAsia="zh-CN"/>
        </w:rPr>
        <w:t xml:space="preserve">164 </w:t>
      </w:r>
      <w:r>
        <w:rPr>
          <w:rFonts w:hint="eastAsia" w:ascii="宋体" w:hAnsi="宋体" w:eastAsia="宋体" w:cs="宋体"/>
          <w:b/>
          <w:bCs/>
          <w:sz w:val="24"/>
          <w:szCs w:val="32"/>
          <w:u w:val="none"/>
        </w:rPr>
        <w:t>元</w:t>
      </w:r>
      <w:r>
        <w:rPr>
          <w:rFonts w:hint="eastAsia" w:ascii="宋体" w:hAnsi="宋体" w:eastAsia="宋体" w:cs="宋体"/>
          <w:b/>
          <w:bCs/>
          <w:sz w:val="24"/>
          <w:szCs w:val="32"/>
          <w:u w:val="none"/>
          <w:lang w:val="en-US" w:eastAsia="zh-CN"/>
        </w:rPr>
        <w:t>/吨</w:t>
      </w:r>
      <w:r>
        <w:rPr>
          <w:rFonts w:hint="eastAsia" w:ascii="宋体" w:hAnsi="宋体" w:eastAsia="宋体" w:cs="宋体"/>
          <w:b/>
          <w:bCs/>
          <w:sz w:val="24"/>
          <w:szCs w:val="32"/>
        </w:rPr>
        <w:t>，报价超过最高限价的为无效报价。</w:t>
      </w:r>
    </w:p>
    <w:tbl>
      <w:tblPr>
        <w:tblStyle w:val="8"/>
        <w:tblpPr w:leftFromText="180" w:rightFromText="180" w:vertAnchor="text" w:horzAnchor="page" w:tblpX="2323" w:tblpY="324"/>
        <w:tblOverlap w:val="never"/>
        <w:tblW w:w="7705" w:type="dxa"/>
        <w:tblInd w:w="0" w:type="dxa"/>
        <w:tblLayout w:type="fixed"/>
        <w:tblCellMar>
          <w:top w:w="0" w:type="dxa"/>
          <w:left w:w="108" w:type="dxa"/>
          <w:bottom w:w="0" w:type="dxa"/>
          <w:right w:w="108" w:type="dxa"/>
        </w:tblCellMar>
      </w:tblPr>
      <w:tblGrid>
        <w:gridCol w:w="769"/>
        <w:gridCol w:w="2232"/>
        <w:gridCol w:w="2820"/>
        <w:gridCol w:w="1884"/>
      </w:tblGrid>
      <w:tr>
        <w:tblPrEx>
          <w:tblCellMar>
            <w:top w:w="0" w:type="dxa"/>
            <w:left w:w="108" w:type="dxa"/>
            <w:bottom w:w="0" w:type="dxa"/>
            <w:right w:w="108" w:type="dxa"/>
          </w:tblCellMar>
        </w:tblPrEx>
        <w:trPr>
          <w:trHeight w:val="492" w:hRule="atLeast"/>
        </w:trPr>
        <w:tc>
          <w:tcPr>
            <w:tcW w:w="76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kern w:val="0"/>
                <w:sz w:val="22"/>
                <w:szCs w:val="22"/>
              </w:rPr>
            </w:pPr>
            <w:r>
              <w:rPr>
                <w:rFonts w:hint="eastAsia" w:ascii="宋体" w:hAnsi="宋体" w:cs="宋体"/>
                <w:b/>
                <w:kern w:val="0"/>
                <w:sz w:val="22"/>
                <w:szCs w:val="22"/>
              </w:rPr>
              <w:t>序号</w:t>
            </w:r>
          </w:p>
        </w:tc>
        <w:tc>
          <w:tcPr>
            <w:tcW w:w="223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kern w:val="0"/>
                <w:sz w:val="22"/>
                <w:szCs w:val="22"/>
              </w:rPr>
            </w:pPr>
            <w:r>
              <w:rPr>
                <w:rFonts w:hint="eastAsia" w:ascii="宋体" w:hAnsi="宋体" w:cs="宋体"/>
                <w:b/>
                <w:kern w:val="0"/>
                <w:sz w:val="22"/>
                <w:szCs w:val="22"/>
              </w:rPr>
              <w:t>服务内容</w:t>
            </w:r>
          </w:p>
        </w:tc>
        <w:tc>
          <w:tcPr>
            <w:tcW w:w="282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kern w:val="0"/>
                <w:sz w:val="22"/>
                <w:szCs w:val="22"/>
              </w:rPr>
            </w:pPr>
            <w:r>
              <w:rPr>
                <w:rFonts w:hint="eastAsia" w:ascii="宋体" w:hAnsi="宋体" w:cs="宋体"/>
                <w:b/>
                <w:kern w:val="0"/>
                <w:sz w:val="22"/>
                <w:szCs w:val="22"/>
                <w:lang w:eastAsia="zh-CN"/>
              </w:rPr>
              <w:t>运输距离</w:t>
            </w:r>
            <w:r>
              <w:rPr>
                <w:rFonts w:hint="eastAsia" w:ascii="宋体" w:hAnsi="宋体" w:cs="宋体"/>
                <w:b/>
                <w:kern w:val="0"/>
                <w:sz w:val="22"/>
                <w:szCs w:val="22"/>
                <w:lang w:val="en-US" w:eastAsia="zh-CN"/>
              </w:rPr>
              <w:t>/范围(公里)</w:t>
            </w:r>
          </w:p>
        </w:tc>
        <w:tc>
          <w:tcPr>
            <w:tcW w:w="188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kern w:val="0"/>
                <w:sz w:val="22"/>
                <w:szCs w:val="22"/>
              </w:rPr>
            </w:pPr>
            <w:r>
              <w:rPr>
                <w:rFonts w:hint="eastAsia" w:ascii="宋体" w:hAnsi="宋体" w:cs="宋体"/>
                <w:b/>
                <w:kern w:val="0"/>
                <w:sz w:val="22"/>
                <w:szCs w:val="22"/>
              </w:rPr>
              <w:t>综合单价</w:t>
            </w:r>
          </w:p>
          <w:p>
            <w:pPr>
              <w:widowControl/>
              <w:jc w:val="center"/>
              <w:rPr>
                <w:rFonts w:ascii="宋体" w:hAnsi="宋体" w:cs="宋体"/>
                <w:b/>
                <w:kern w:val="0"/>
                <w:sz w:val="22"/>
                <w:szCs w:val="22"/>
              </w:rPr>
            </w:pPr>
            <w:r>
              <w:rPr>
                <w:rFonts w:hint="eastAsia" w:ascii="宋体" w:hAnsi="宋体" w:cs="宋体"/>
                <w:b/>
                <w:kern w:val="0"/>
                <w:sz w:val="22"/>
                <w:szCs w:val="22"/>
              </w:rPr>
              <w:t>（</w:t>
            </w:r>
            <w:r>
              <w:rPr>
                <w:rFonts w:hint="eastAsia" w:ascii="宋体" w:hAnsi="宋体" w:cs="宋体"/>
                <w:b/>
                <w:kern w:val="0"/>
                <w:sz w:val="22"/>
                <w:szCs w:val="22"/>
                <w:lang w:val="en-US" w:eastAsia="zh-CN"/>
              </w:rPr>
              <w:t>人民币/</w:t>
            </w:r>
            <w:r>
              <w:rPr>
                <w:rFonts w:hint="eastAsia" w:ascii="宋体" w:hAnsi="宋体" w:cs="宋体"/>
                <w:b/>
                <w:kern w:val="0"/>
                <w:sz w:val="22"/>
                <w:szCs w:val="22"/>
              </w:rPr>
              <w:t>元/吨）</w:t>
            </w:r>
          </w:p>
        </w:tc>
      </w:tr>
      <w:tr>
        <w:tblPrEx>
          <w:tblCellMar>
            <w:top w:w="0" w:type="dxa"/>
            <w:left w:w="108" w:type="dxa"/>
            <w:bottom w:w="0" w:type="dxa"/>
            <w:right w:w="108" w:type="dxa"/>
          </w:tblCellMar>
        </w:tblPrEx>
        <w:trPr>
          <w:trHeight w:val="650" w:hRule="atLeast"/>
        </w:trPr>
        <w:tc>
          <w:tcPr>
            <w:tcW w:w="769"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2232"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eastAsia="宋体" w:cs="黑体"/>
                <w:color w:val="auto"/>
                <w:sz w:val="22"/>
                <w:szCs w:val="22"/>
                <w:vertAlign w:val="baseline"/>
                <w:lang w:eastAsia="zh-CN"/>
              </w:rPr>
              <w:t>渣土装卸</w:t>
            </w:r>
            <w:r>
              <w:rPr>
                <w:rFonts w:hint="eastAsia" w:ascii="宋体" w:hAnsi="宋体" w:eastAsia="宋体" w:cs="黑体"/>
                <w:color w:val="auto"/>
                <w:sz w:val="22"/>
                <w:szCs w:val="22"/>
                <w:vertAlign w:val="baseline"/>
                <w:lang w:eastAsia="zh-CN"/>
              </w:rPr>
              <w:br w:type="textWrapping"/>
            </w:r>
            <w:r>
              <w:rPr>
                <w:rFonts w:hint="eastAsia" w:ascii="宋体" w:hAnsi="宋体" w:eastAsia="宋体" w:cs="黑体"/>
                <w:color w:val="auto"/>
                <w:sz w:val="22"/>
                <w:szCs w:val="22"/>
                <w:vertAlign w:val="baseline"/>
                <w:lang w:eastAsia="zh-CN"/>
              </w:rPr>
              <w:t>和运输</w:t>
            </w:r>
          </w:p>
        </w:tc>
        <w:tc>
          <w:tcPr>
            <w:tcW w:w="2820" w:type="dxa"/>
            <w:tcBorders>
              <w:top w:val="nil"/>
              <w:left w:val="nil"/>
              <w:bottom w:val="single" w:color="auto" w:sz="4" w:space="0"/>
              <w:right w:val="single" w:color="auto" w:sz="4" w:space="0"/>
            </w:tcBorders>
            <w:noWrap/>
            <w:vAlign w:val="center"/>
          </w:tcPr>
          <w:p>
            <w:pPr>
              <w:numPr>
                <w:ilvl w:val="0"/>
                <w:numId w:val="0"/>
              </w:numPr>
              <w:spacing w:line="360" w:lineRule="auto"/>
              <w:ind w:left="0" w:leftChars="0" w:firstLine="0" w:firstLineChars="0"/>
              <w:jc w:val="center"/>
              <w:rPr>
                <w:rFonts w:hint="default" w:ascii="宋体" w:hAnsi="宋体" w:cs="宋体" w:eastAsiaTheme="minorEastAsia"/>
                <w:kern w:val="0"/>
                <w:sz w:val="22"/>
                <w:szCs w:val="22"/>
                <w:lang w:val="en-US" w:eastAsia="zh-CN"/>
              </w:rPr>
            </w:pPr>
            <w:r>
              <w:rPr>
                <w:rFonts w:hint="eastAsia" w:ascii="宋体" w:hAnsi="宋体" w:eastAsia="宋体" w:cs="黑体"/>
                <w:color w:val="auto"/>
                <w:sz w:val="22"/>
                <w:szCs w:val="22"/>
                <w:vertAlign w:val="baseline"/>
                <w:lang w:val="en-US" w:eastAsia="zh-CN"/>
              </w:rPr>
              <w:t>0&lt;运输距离</w:t>
            </w:r>
            <w:r>
              <w:rPr>
                <w:rFonts w:hint="default" w:ascii="Arial" w:hAnsi="Arial" w:eastAsia="宋体" w:cs="Arial"/>
                <w:color w:val="auto"/>
                <w:sz w:val="22"/>
                <w:szCs w:val="22"/>
                <w:vertAlign w:val="baseline"/>
                <w:lang w:val="en-US" w:eastAsia="zh-CN"/>
              </w:rPr>
              <w:t>≤</w:t>
            </w:r>
            <w:r>
              <w:rPr>
                <w:rFonts w:hint="eastAsia" w:ascii="宋体" w:hAnsi="宋体" w:eastAsia="宋体" w:cs="黑体"/>
                <w:color w:val="auto"/>
                <w:sz w:val="22"/>
                <w:szCs w:val="22"/>
                <w:vertAlign w:val="baseline"/>
                <w:lang w:val="en-US" w:eastAsia="zh-CN"/>
              </w:rPr>
              <w:t>10</w:t>
            </w:r>
          </w:p>
        </w:tc>
        <w:tc>
          <w:tcPr>
            <w:tcW w:w="1884" w:type="dxa"/>
            <w:tcBorders>
              <w:top w:val="nil"/>
              <w:left w:val="nil"/>
              <w:bottom w:val="single" w:color="auto" w:sz="4" w:space="0"/>
              <w:right w:val="single" w:color="auto" w:sz="4" w:space="0"/>
            </w:tcBorders>
            <w:noWrap/>
            <w:vAlign w:val="center"/>
          </w:tcPr>
          <w:p>
            <w:pPr>
              <w:jc w:val="center"/>
              <w:rPr>
                <w:rFonts w:hint="default" w:ascii="宋体" w:hAnsi="宋体" w:cs="宋体" w:eastAsiaTheme="minorEastAsia"/>
                <w:sz w:val="22"/>
                <w:szCs w:val="22"/>
                <w:lang w:val="en-US" w:eastAsia="zh-CN"/>
              </w:rPr>
            </w:pPr>
            <w:r>
              <w:rPr>
                <w:rFonts w:hint="eastAsia" w:ascii="宋体" w:hAnsi="宋体" w:cs="宋体"/>
                <w:sz w:val="22"/>
                <w:szCs w:val="22"/>
                <w:lang w:val="en-US" w:eastAsia="zh-CN"/>
              </w:rPr>
              <w:t>14</w:t>
            </w:r>
          </w:p>
        </w:tc>
      </w:tr>
      <w:tr>
        <w:tblPrEx>
          <w:tblCellMar>
            <w:top w:w="0" w:type="dxa"/>
            <w:left w:w="108" w:type="dxa"/>
            <w:bottom w:w="0" w:type="dxa"/>
            <w:right w:w="108" w:type="dxa"/>
          </w:tblCellMar>
        </w:tblPrEx>
        <w:trPr>
          <w:trHeight w:val="650" w:hRule="atLeast"/>
        </w:trPr>
        <w:tc>
          <w:tcPr>
            <w:tcW w:w="76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2"/>
                <w:szCs w:val="22"/>
              </w:rPr>
            </w:pPr>
          </w:p>
        </w:tc>
        <w:tc>
          <w:tcPr>
            <w:tcW w:w="22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2820" w:type="dxa"/>
            <w:tcBorders>
              <w:top w:val="nil"/>
              <w:left w:val="nil"/>
              <w:bottom w:val="single" w:color="auto" w:sz="4" w:space="0"/>
              <w:right w:val="single" w:color="auto" w:sz="4" w:space="0"/>
            </w:tcBorders>
            <w:noWrap/>
            <w:vAlign w:val="center"/>
          </w:tcPr>
          <w:p>
            <w:pPr>
              <w:numPr>
                <w:ilvl w:val="0"/>
                <w:numId w:val="0"/>
              </w:numPr>
              <w:spacing w:line="360" w:lineRule="auto"/>
              <w:ind w:left="0" w:leftChars="0" w:firstLine="0" w:firstLineChars="0"/>
              <w:jc w:val="center"/>
              <w:rPr>
                <w:rFonts w:hint="eastAsia" w:ascii="宋体" w:hAnsi="宋体" w:cs="宋体" w:eastAsiaTheme="minorEastAsia"/>
                <w:kern w:val="0"/>
                <w:sz w:val="22"/>
                <w:szCs w:val="22"/>
                <w:lang w:eastAsia="zh-CN"/>
              </w:rPr>
            </w:pPr>
            <w:r>
              <w:rPr>
                <w:rFonts w:hint="eastAsia" w:ascii="宋体" w:hAnsi="宋体" w:eastAsia="宋体" w:cs="黑体"/>
                <w:color w:val="auto"/>
                <w:sz w:val="22"/>
                <w:szCs w:val="22"/>
                <w:vertAlign w:val="baseline"/>
                <w:lang w:val="en-US" w:eastAsia="zh-CN"/>
              </w:rPr>
              <w:t>10&lt;运输距离</w:t>
            </w:r>
            <w:r>
              <w:rPr>
                <w:rFonts w:hint="default" w:ascii="Arial" w:hAnsi="Arial" w:eastAsia="宋体" w:cs="Arial"/>
                <w:color w:val="auto"/>
                <w:sz w:val="22"/>
                <w:szCs w:val="22"/>
                <w:vertAlign w:val="baseline"/>
                <w:lang w:val="en-US" w:eastAsia="zh-CN"/>
              </w:rPr>
              <w:t>≤</w:t>
            </w:r>
            <w:r>
              <w:rPr>
                <w:rFonts w:hint="eastAsia" w:ascii="宋体" w:hAnsi="宋体" w:eastAsia="宋体" w:cs="黑体"/>
                <w:color w:val="auto"/>
                <w:sz w:val="22"/>
                <w:szCs w:val="22"/>
                <w:vertAlign w:val="baseline"/>
                <w:lang w:val="en-US" w:eastAsia="zh-CN"/>
              </w:rPr>
              <w:t>20</w:t>
            </w:r>
          </w:p>
        </w:tc>
        <w:tc>
          <w:tcPr>
            <w:tcW w:w="1884" w:type="dxa"/>
            <w:tcBorders>
              <w:top w:val="nil"/>
              <w:left w:val="nil"/>
              <w:bottom w:val="single" w:color="auto" w:sz="4" w:space="0"/>
              <w:right w:val="single" w:color="auto" w:sz="4" w:space="0"/>
            </w:tcBorders>
            <w:noWrap/>
            <w:vAlign w:val="center"/>
          </w:tcPr>
          <w:p>
            <w:pPr>
              <w:jc w:val="center"/>
              <w:rPr>
                <w:rFonts w:hint="default" w:ascii="宋体" w:hAnsi="宋体" w:cs="宋体" w:eastAsiaTheme="minorEastAsia"/>
                <w:sz w:val="22"/>
                <w:szCs w:val="22"/>
                <w:lang w:val="en-US" w:eastAsia="zh-CN"/>
              </w:rPr>
            </w:pPr>
            <w:r>
              <w:rPr>
                <w:rFonts w:hint="eastAsia" w:ascii="宋体" w:hAnsi="宋体" w:cs="宋体"/>
                <w:sz w:val="22"/>
                <w:szCs w:val="22"/>
                <w:lang w:val="en-US" w:eastAsia="zh-CN"/>
              </w:rPr>
              <w:t>22</w:t>
            </w:r>
          </w:p>
        </w:tc>
      </w:tr>
      <w:tr>
        <w:tblPrEx>
          <w:tblCellMar>
            <w:top w:w="0" w:type="dxa"/>
            <w:left w:w="108" w:type="dxa"/>
            <w:bottom w:w="0" w:type="dxa"/>
            <w:right w:w="108" w:type="dxa"/>
          </w:tblCellMar>
        </w:tblPrEx>
        <w:trPr>
          <w:trHeight w:val="650" w:hRule="atLeast"/>
        </w:trPr>
        <w:tc>
          <w:tcPr>
            <w:tcW w:w="76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2"/>
                <w:szCs w:val="22"/>
              </w:rPr>
            </w:pPr>
          </w:p>
        </w:tc>
        <w:tc>
          <w:tcPr>
            <w:tcW w:w="22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2820" w:type="dxa"/>
            <w:tcBorders>
              <w:top w:val="nil"/>
              <w:left w:val="nil"/>
              <w:bottom w:val="single" w:color="auto" w:sz="4" w:space="0"/>
              <w:right w:val="single" w:color="auto" w:sz="4" w:space="0"/>
            </w:tcBorders>
            <w:noWrap/>
            <w:vAlign w:val="center"/>
          </w:tcPr>
          <w:p>
            <w:pPr>
              <w:numPr>
                <w:ilvl w:val="0"/>
                <w:numId w:val="0"/>
              </w:numPr>
              <w:spacing w:line="360" w:lineRule="auto"/>
              <w:ind w:left="0" w:leftChars="0" w:firstLine="0" w:firstLineChars="0"/>
              <w:jc w:val="center"/>
              <w:rPr>
                <w:rFonts w:ascii="宋体" w:hAnsi="宋体" w:cs="宋体"/>
                <w:kern w:val="0"/>
                <w:sz w:val="22"/>
                <w:szCs w:val="22"/>
              </w:rPr>
            </w:pPr>
            <w:r>
              <w:rPr>
                <w:rFonts w:hint="eastAsia" w:ascii="宋体" w:hAnsi="宋体" w:eastAsia="宋体" w:cs="黑体"/>
                <w:color w:val="auto"/>
                <w:sz w:val="22"/>
                <w:szCs w:val="22"/>
                <w:vertAlign w:val="baseline"/>
                <w:lang w:val="en-US" w:eastAsia="zh-CN"/>
              </w:rPr>
              <w:t>20&lt;运输距离</w:t>
            </w:r>
            <w:r>
              <w:rPr>
                <w:rFonts w:hint="default" w:ascii="Arial" w:hAnsi="Arial" w:eastAsia="宋体" w:cs="Arial"/>
                <w:color w:val="auto"/>
                <w:sz w:val="22"/>
                <w:szCs w:val="22"/>
                <w:vertAlign w:val="baseline"/>
                <w:lang w:val="en-US" w:eastAsia="zh-CN"/>
              </w:rPr>
              <w:t>≤</w:t>
            </w:r>
            <w:r>
              <w:rPr>
                <w:rFonts w:hint="eastAsia" w:ascii="宋体" w:hAnsi="宋体" w:eastAsia="宋体" w:cs="黑体"/>
                <w:color w:val="auto"/>
                <w:sz w:val="22"/>
                <w:szCs w:val="22"/>
                <w:vertAlign w:val="baseline"/>
                <w:lang w:val="en-US" w:eastAsia="zh-CN"/>
              </w:rPr>
              <w:t>30</w:t>
            </w:r>
          </w:p>
        </w:tc>
        <w:tc>
          <w:tcPr>
            <w:tcW w:w="1884" w:type="dxa"/>
            <w:tcBorders>
              <w:top w:val="nil"/>
              <w:left w:val="nil"/>
              <w:bottom w:val="single" w:color="auto" w:sz="4" w:space="0"/>
              <w:right w:val="single" w:color="auto" w:sz="4" w:space="0"/>
            </w:tcBorders>
            <w:noWrap/>
            <w:vAlign w:val="center"/>
          </w:tcPr>
          <w:p>
            <w:pPr>
              <w:jc w:val="center"/>
              <w:rPr>
                <w:rFonts w:hint="default" w:ascii="宋体" w:hAnsi="宋体" w:cs="宋体" w:eastAsiaTheme="minorEastAsia"/>
                <w:sz w:val="22"/>
                <w:szCs w:val="22"/>
                <w:lang w:val="en-US" w:eastAsia="zh-CN"/>
              </w:rPr>
            </w:pPr>
            <w:r>
              <w:rPr>
                <w:rFonts w:hint="eastAsia" w:ascii="宋体" w:hAnsi="宋体" w:cs="宋体"/>
                <w:sz w:val="22"/>
                <w:szCs w:val="22"/>
                <w:lang w:val="en-US" w:eastAsia="zh-CN"/>
              </w:rPr>
              <w:t>30</w:t>
            </w:r>
          </w:p>
        </w:tc>
      </w:tr>
      <w:tr>
        <w:tblPrEx>
          <w:tblCellMar>
            <w:top w:w="0" w:type="dxa"/>
            <w:left w:w="108" w:type="dxa"/>
            <w:bottom w:w="0" w:type="dxa"/>
            <w:right w:w="108" w:type="dxa"/>
          </w:tblCellMar>
        </w:tblPrEx>
        <w:trPr>
          <w:trHeight w:val="650" w:hRule="atLeast"/>
        </w:trPr>
        <w:tc>
          <w:tcPr>
            <w:tcW w:w="76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22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2820" w:type="dxa"/>
            <w:tcBorders>
              <w:top w:val="nil"/>
              <w:left w:val="nil"/>
              <w:bottom w:val="single" w:color="auto" w:sz="4" w:space="0"/>
              <w:right w:val="single" w:color="auto" w:sz="4" w:space="0"/>
            </w:tcBorders>
            <w:noWrap/>
            <w:vAlign w:val="center"/>
          </w:tcPr>
          <w:p>
            <w:pPr>
              <w:numPr>
                <w:ilvl w:val="0"/>
                <w:numId w:val="0"/>
              </w:numPr>
              <w:spacing w:line="360" w:lineRule="auto"/>
              <w:ind w:left="0" w:leftChars="0" w:firstLine="0" w:firstLineChars="0"/>
              <w:jc w:val="center"/>
              <w:rPr>
                <w:rFonts w:ascii="宋体" w:hAnsi="宋体" w:cs="宋体"/>
                <w:kern w:val="0"/>
                <w:sz w:val="22"/>
                <w:szCs w:val="22"/>
              </w:rPr>
            </w:pPr>
            <w:r>
              <w:rPr>
                <w:rFonts w:hint="eastAsia" w:ascii="宋体" w:hAnsi="宋体" w:eastAsia="宋体" w:cs="黑体"/>
                <w:color w:val="auto"/>
                <w:sz w:val="22"/>
                <w:szCs w:val="22"/>
                <w:vertAlign w:val="baseline"/>
                <w:lang w:val="en-US" w:eastAsia="zh-CN"/>
              </w:rPr>
              <w:t>30&lt;运输距离</w:t>
            </w:r>
            <w:r>
              <w:rPr>
                <w:rFonts w:hint="default" w:ascii="Arial" w:hAnsi="Arial" w:eastAsia="宋体" w:cs="Arial"/>
                <w:color w:val="auto"/>
                <w:sz w:val="22"/>
                <w:szCs w:val="22"/>
                <w:vertAlign w:val="baseline"/>
                <w:lang w:val="en-US" w:eastAsia="zh-CN"/>
              </w:rPr>
              <w:t>≤</w:t>
            </w:r>
            <w:r>
              <w:rPr>
                <w:rFonts w:hint="eastAsia" w:ascii="宋体" w:hAnsi="宋体" w:eastAsia="宋体" w:cs="黑体"/>
                <w:color w:val="auto"/>
                <w:sz w:val="22"/>
                <w:szCs w:val="22"/>
                <w:vertAlign w:val="baseline"/>
                <w:lang w:val="en-US" w:eastAsia="zh-CN"/>
              </w:rPr>
              <w:t>40</w:t>
            </w:r>
          </w:p>
        </w:tc>
        <w:tc>
          <w:tcPr>
            <w:tcW w:w="1884" w:type="dxa"/>
            <w:tcBorders>
              <w:top w:val="nil"/>
              <w:left w:val="nil"/>
              <w:bottom w:val="single" w:color="auto" w:sz="4" w:space="0"/>
              <w:right w:val="single" w:color="auto" w:sz="4" w:space="0"/>
            </w:tcBorders>
            <w:noWrap/>
            <w:vAlign w:val="center"/>
          </w:tcPr>
          <w:p>
            <w:pPr>
              <w:jc w:val="center"/>
              <w:rPr>
                <w:rFonts w:hint="default" w:ascii="宋体" w:hAnsi="宋体" w:cs="宋体" w:eastAsiaTheme="minorEastAsia"/>
                <w:sz w:val="22"/>
                <w:szCs w:val="22"/>
                <w:lang w:val="en-US" w:eastAsia="zh-CN"/>
              </w:rPr>
            </w:pPr>
            <w:r>
              <w:rPr>
                <w:rFonts w:hint="eastAsia" w:ascii="宋体" w:hAnsi="宋体" w:cs="宋体"/>
                <w:sz w:val="22"/>
                <w:szCs w:val="22"/>
                <w:lang w:val="en-US" w:eastAsia="zh-CN"/>
              </w:rPr>
              <w:t>38</w:t>
            </w:r>
          </w:p>
        </w:tc>
      </w:tr>
      <w:tr>
        <w:tblPrEx>
          <w:tblCellMar>
            <w:top w:w="0" w:type="dxa"/>
            <w:left w:w="108" w:type="dxa"/>
            <w:bottom w:w="0" w:type="dxa"/>
            <w:right w:w="108" w:type="dxa"/>
          </w:tblCellMar>
        </w:tblPrEx>
        <w:trPr>
          <w:trHeight w:val="1274" w:hRule="atLeast"/>
        </w:trPr>
        <w:tc>
          <w:tcPr>
            <w:tcW w:w="76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2232" w:type="dxa"/>
            <w:tcBorders>
              <w:top w:val="single" w:color="auto" w:sz="4" w:space="0"/>
              <w:left w:val="single" w:color="auto" w:sz="4" w:space="0"/>
              <w:bottom w:val="single" w:color="auto" w:sz="4" w:space="0"/>
              <w:right w:val="single" w:color="auto" w:sz="4" w:space="0"/>
            </w:tcBorders>
            <w:noWrap/>
            <w:vAlign w:val="center"/>
          </w:tcPr>
          <w:p>
            <w:pPr>
              <w:numPr>
                <w:ilvl w:val="0"/>
                <w:numId w:val="0"/>
              </w:numPr>
              <w:spacing w:line="360" w:lineRule="auto"/>
              <w:ind w:left="0" w:leftChars="0" w:firstLine="0" w:firstLineChars="0"/>
              <w:jc w:val="center"/>
              <w:rPr>
                <w:rFonts w:ascii="宋体" w:hAnsi="宋体" w:cs="宋体"/>
                <w:kern w:val="0"/>
                <w:sz w:val="22"/>
                <w:szCs w:val="22"/>
              </w:rPr>
            </w:pPr>
            <w:r>
              <w:rPr>
                <w:rFonts w:hint="eastAsia" w:ascii="宋体" w:hAnsi="宋体" w:eastAsia="宋体" w:cs="黑体"/>
                <w:color w:val="auto"/>
                <w:sz w:val="22"/>
                <w:szCs w:val="22"/>
                <w:vertAlign w:val="baseline"/>
                <w:lang w:eastAsia="zh-CN"/>
              </w:rPr>
              <w:t>建筑（装修）综合垃圾装卸和运输</w:t>
            </w:r>
          </w:p>
        </w:tc>
        <w:tc>
          <w:tcPr>
            <w:tcW w:w="2820" w:type="dxa"/>
            <w:tcBorders>
              <w:top w:val="single" w:color="auto" w:sz="4" w:space="0"/>
              <w:left w:val="single" w:color="auto" w:sz="4" w:space="0"/>
              <w:bottom w:val="single" w:color="auto" w:sz="4" w:space="0"/>
              <w:right w:val="single" w:color="auto" w:sz="4" w:space="0"/>
            </w:tcBorders>
            <w:noWrap/>
            <w:vAlign w:val="center"/>
          </w:tcPr>
          <w:p>
            <w:pPr>
              <w:numPr>
                <w:ilvl w:val="0"/>
                <w:numId w:val="0"/>
              </w:numPr>
              <w:spacing w:line="360" w:lineRule="auto"/>
              <w:ind w:left="0" w:leftChars="0" w:firstLine="0" w:firstLineChars="0"/>
              <w:jc w:val="center"/>
              <w:rPr>
                <w:rFonts w:hint="default" w:ascii="宋体" w:hAnsi="宋体" w:cs="宋体" w:eastAsiaTheme="minorEastAsia"/>
                <w:kern w:val="0"/>
                <w:sz w:val="22"/>
                <w:szCs w:val="22"/>
                <w:lang w:val="en-US" w:eastAsia="zh-CN"/>
              </w:rPr>
            </w:pPr>
            <w:r>
              <w:rPr>
                <w:rFonts w:hint="default" w:asciiTheme="minorHAnsi" w:hAnsiTheme="minorHAnsi" w:eastAsiaTheme="minorEastAsia" w:cstheme="minorBidi"/>
                <w:kern w:val="2"/>
                <w:sz w:val="22"/>
                <w:szCs w:val="22"/>
                <w:lang w:val="en-US" w:eastAsia="zh-CN" w:bidi="ar-SA"/>
              </w:rPr>
              <w:t>启东</w:t>
            </w:r>
            <w:r>
              <w:rPr>
                <w:rFonts w:hint="eastAsia" w:cstheme="minorBidi"/>
                <w:kern w:val="2"/>
                <w:sz w:val="22"/>
                <w:szCs w:val="22"/>
                <w:lang w:val="en-US" w:eastAsia="zh-CN" w:bidi="ar-SA"/>
              </w:rPr>
              <w:t>市城区和全部乡镇的</w:t>
            </w:r>
            <w:r>
              <w:rPr>
                <w:rFonts w:hint="default" w:asciiTheme="minorHAnsi" w:hAnsiTheme="minorHAnsi" w:eastAsiaTheme="minorEastAsia" w:cstheme="minorBidi"/>
                <w:kern w:val="2"/>
                <w:sz w:val="22"/>
                <w:szCs w:val="22"/>
                <w:lang w:val="en-US" w:eastAsia="zh-CN" w:bidi="ar-SA"/>
              </w:rPr>
              <w:t>小区</w:t>
            </w:r>
            <w:r>
              <w:rPr>
                <w:rFonts w:hint="eastAsia" w:cstheme="minorBidi"/>
                <w:kern w:val="2"/>
                <w:sz w:val="22"/>
                <w:szCs w:val="22"/>
                <w:lang w:val="en-US" w:eastAsia="zh-CN" w:bidi="ar-SA"/>
              </w:rPr>
              <w:t>或</w:t>
            </w:r>
            <w:r>
              <w:rPr>
                <w:rFonts w:hint="default" w:asciiTheme="minorHAnsi" w:hAnsiTheme="minorHAnsi" w:eastAsiaTheme="minorEastAsia" w:cstheme="minorBidi"/>
                <w:kern w:val="2"/>
                <w:sz w:val="22"/>
                <w:szCs w:val="22"/>
                <w:lang w:val="en-US" w:eastAsia="zh-CN" w:bidi="ar-SA"/>
              </w:rPr>
              <w:t>地块</w:t>
            </w:r>
            <w:r>
              <w:rPr>
                <w:rFonts w:hint="eastAsia" w:cstheme="minorBidi"/>
                <w:kern w:val="2"/>
                <w:sz w:val="22"/>
                <w:szCs w:val="22"/>
                <w:lang w:val="en-US" w:eastAsia="zh-CN" w:bidi="ar-SA"/>
              </w:rPr>
              <w:t>至启东市循环经济产业园</w:t>
            </w:r>
          </w:p>
        </w:tc>
        <w:tc>
          <w:tcPr>
            <w:tcW w:w="1884"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cs="宋体" w:eastAsiaTheme="minorEastAsia"/>
                <w:sz w:val="22"/>
                <w:szCs w:val="22"/>
                <w:lang w:val="en-US" w:eastAsia="zh-CN"/>
              </w:rPr>
            </w:pPr>
            <w:r>
              <w:rPr>
                <w:rFonts w:hint="eastAsia" w:ascii="宋体" w:hAnsi="宋体" w:cs="宋体"/>
                <w:sz w:val="22"/>
                <w:szCs w:val="22"/>
                <w:lang w:val="en-US" w:eastAsia="zh-CN"/>
              </w:rPr>
              <w:t>60</w:t>
            </w:r>
          </w:p>
        </w:tc>
      </w:tr>
      <w:tr>
        <w:tblPrEx>
          <w:tblCellMar>
            <w:top w:w="0" w:type="dxa"/>
            <w:left w:w="108" w:type="dxa"/>
            <w:bottom w:w="0" w:type="dxa"/>
            <w:right w:w="108" w:type="dxa"/>
          </w:tblCellMar>
        </w:tblPrEx>
        <w:trPr>
          <w:trHeight w:val="676" w:hRule="atLeast"/>
        </w:trPr>
        <w:tc>
          <w:tcPr>
            <w:tcW w:w="3001"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cs="宋体"/>
                <w:kern w:val="0"/>
                <w:sz w:val="22"/>
                <w:szCs w:val="22"/>
                <w:lang w:val="en-US"/>
              </w:rPr>
            </w:pPr>
            <w:r>
              <w:rPr>
                <w:rFonts w:hint="eastAsia" w:ascii="宋体" w:hAnsi="宋体" w:cs="宋体"/>
                <w:kern w:val="0"/>
                <w:sz w:val="22"/>
                <w:szCs w:val="22"/>
                <w:lang w:val="en-US" w:eastAsia="zh-CN"/>
              </w:rPr>
              <w:t>合计</w:t>
            </w:r>
          </w:p>
        </w:tc>
        <w:tc>
          <w:tcPr>
            <w:tcW w:w="28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p>
        </w:tc>
        <w:tc>
          <w:tcPr>
            <w:tcW w:w="1884" w:type="dxa"/>
            <w:tcBorders>
              <w:top w:val="single" w:color="auto" w:sz="4" w:space="0"/>
              <w:left w:val="nil"/>
              <w:bottom w:val="single" w:color="auto" w:sz="4" w:space="0"/>
              <w:right w:val="single" w:color="auto" w:sz="4" w:space="0"/>
            </w:tcBorders>
            <w:noWrap/>
            <w:vAlign w:val="center"/>
          </w:tcPr>
          <w:p>
            <w:pPr>
              <w:jc w:val="center"/>
              <w:rPr>
                <w:rFonts w:hint="default" w:ascii="宋体" w:hAnsi="宋体" w:eastAsiaTheme="minorEastAsia"/>
                <w:sz w:val="22"/>
                <w:szCs w:val="22"/>
                <w:lang w:val="en-US" w:eastAsia="zh-CN"/>
              </w:rPr>
            </w:pPr>
            <w:r>
              <w:rPr>
                <w:rFonts w:hint="eastAsia" w:ascii="宋体" w:hAnsi="宋体"/>
                <w:sz w:val="22"/>
                <w:szCs w:val="22"/>
                <w:lang w:val="en-US" w:eastAsia="zh-CN"/>
              </w:rPr>
              <w:t>164</w:t>
            </w:r>
          </w:p>
        </w:tc>
      </w:tr>
    </w:tbl>
    <w:p>
      <w:pPr>
        <w:numPr>
          <w:ilvl w:val="0"/>
          <w:numId w:val="0"/>
        </w:numPr>
        <w:spacing w:line="360" w:lineRule="auto"/>
        <w:rPr>
          <w:rFonts w:hint="eastAsia"/>
          <w:sz w:val="24"/>
          <w:szCs w:val="32"/>
        </w:rPr>
      </w:pPr>
      <w:r>
        <w:rPr>
          <w:rFonts w:hint="eastAsia"/>
          <w:sz w:val="24"/>
          <w:szCs w:val="32"/>
          <w:lang w:val="en-US" w:eastAsia="zh-CN"/>
        </w:rPr>
        <w:t>二、</w:t>
      </w:r>
      <w:r>
        <w:rPr>
          <w:rFonts w:hint="eastAsia"/>
          <w:sz w:val="24"/>
          <w:szCs w:val="32"/>
        </w:rPr>
        <w:t>供应商资格要求：</w:t>
      </w:r>
    </w:p>
    <w:p>
      <w:pPr>
        <w:numPr>
          <w:ilvl w:val="0"/>
          <w:numId w:val="0"/>
        </w:numPr>
        <w:spacing w:line="360" w:lineRule="auto"/>
        <w:rPr>
          <w:rFonts w:hint="eastAsia"/>
          <w:sz w:val="24"/>
          <w:szCs w:val="32"/>
        </w:rPr>
      </w:pPr>
      <w:r>
        <w:rPr>
          <w:rFonts w:hint="eastAsia"/>
          <w:sz w:val="24"/>
          <w:szCs w:val="32"/>
        </w:rPr>
        <w:t>1、满足《政府采购法》第二十二条的相关规定；</w:t>
      </w:r>
    </w:p>
    <w:p>
      <w:pPr>
        <w:numPr>
          <w:ilvl w:val="0"/>
          <w:numId w:val="0"/>
        </w:numPr>
        <w:spacing w:line="360" w:lineRule="auto"/>
        <w:rPr>
          <w:rFonts w:hint="eastAsia"/>
          <w:sz w:val="24"/>
          <w:szCs w:val="32"/>
        </w:rPr>
      </w:pPr>
      <w:r>
        <w:rPr>
          <w:rFonts w:hint="eastAsia"/>
          <w:sz w:val="24"/>
          <w:szCs w:val="32"/>
        </w:rPr>
        <w:t>2、供应商具有合法的营业执照；</w:t>
      </w:r>
    </w:p>
    <w:p>
      <w:pPr>
        <w:numPr>
          <w:ilvl w:val="0"/>
          <w:numId w:val="0"/>
        </w:numPr>
        <w:spacing w:line="360" w:lineRule="auto"/>
        <w:rPr>
          <w:rFonts w:hint="eastAsia"/>
          <w:sz w:val="24"/>
          <w:szCs w:val="32"/>
        </w:rPr>
      </w:pPr>
      <w:r>
        <w:rPr>
          <w:rFonts w:hint="eastAsia"/>
          <w:sz w:val="24"/>
          <w:szCs w:val="32"/>
        </w:rPr>
        <w:t>3、供应商须具备道路</w:t>
      </w:r>
      <w:r>
        <w:rPr>
          <w:rFonts w:hint="eastAsia"/>
          <w:sz w:val="24"/>
          <w:szCs w:val="32"/>
          <w:highlight w:val="none"/>
        </w:rPr>
        <w:t>运输经营许可证</w:t>
      </w:r>
      <w:r>
        <w:rPr>
          <w:rFonts w:hint="eastAsia"/>
          <w:sz w:val="24"/>
          <w:szCs w:val="32"/>
          <w:highlight w:val="none"/>
          <w:lang w:eastAsia="zh-CN"/>
        </w:rPr>
        <w:t>且</w:t>
      </w:r>
      <w:r>
        <w:rPr>
          <w:rFonts w:hint="eastAsia"/>
          <w:sz w:val="24"/>
          <w:szCs w:val="32"/>
          <w:highlight w:val="none"/>
        </w:rPr>
        <w:t>取得启东市城市建筑垃圾运输处置资格证书</w:t>
      </w:r>
      <w:r>
        <w:rPr>
          <w:rFonts w:hint="eastAsia"/>
          <w:sz w:val="24"/>
          <w:szCs w:val="32"/>
          <w:highlight w:val="none"/>
          <w:lang w:eastAsia="zh-CN"/>
        </w:rPr>
        <w:t>【证书需在有效期内】</w:t>
      </w:r>
      <w:r>
        <w:rPr>
          <w:rFonts w:hint="eastAsia"/>
          <w:sz w:val="24"/>
          <w:szCs w:val="32"/>
          <w:highlight w:val="none"/>
        </w:rPr>
        <w:t>；</w:t>
      </w:r>
    </w:p>
    <w:p>
      <w:pPr>
        <w:numPr>
          <w:ilvl w:val="0"/>
          <w:numId w:val="0"/>
        </w:numPr>
        <w:spacing w:line="360" w:lineRule="auto"/>
        <w:rPr>
          <w:rFonts w:hint="eastAsia" w:eastAsiaTheme="minorEastAsia"/>
          <w:sz w:val="24"/>
          <w:szCs w:val="32"/>
          <w:lang w:eastAsia="zh-CN"/>
        </w:rPr>
      </w:pPr>
      <w:r>
        <w:rPr>
          <w:rFonts w:hint="eastAsia"/>
          <w:sz w:val="24"/>
          <w:szCs w:val="32"/>
        </w:rPr>
        <w:t>4、供应商具有符合标准的渣土运输车辆，车辆具备有效的行驶证；</w:t>
      </w:r>
    </w:p>
    <w:p>
      <w:pPr>
        <w:numPr>
          <w:ilvl w:val="0"/>
          <w:numId w:val="0"/>
        </w:numPr>
        <w:spacing w:line="360" w:lineRule="auto"/>
        <w:rPr>
          <w:rFonts w:hint="eastAsia"/>
          <w:sz w:val="24"/>
          <w:szCs w:val="32"/>
        </w:rPr>
      </w:pPr>
      <w:r>
        <w:rPr>
          <w:rFonts w:hint="eastAsia"/>
          <w:sz w:val="24"/>
          <w:szCs w:val="32"/>
        </w:rPr>
        <w:t>5、拟派驾驶员需持有效的驾驶证，具备相关经验；</w:t>
      </w:r>
    </w:p>
    <w:p>
      <w:pPr>
        <w:numPr>
          <w:ilvl w:val="0"/>
          <w:numId w:val="0"/>
        </w:numPr>
        <w:spacing w:line="360" w:lineRule="auto"/>
        <w:rPr>
          <w:rFonts w:hint="eastAsia"/>
          <w:sz w:val="24"/>
          <w:szCs w:val="32"/>
          <w:highlight w:val="none"/>
        </w:rPr>
      </w:pPr>
      <w:r>
        <w:rPr>
          <w:rFonts w:hint="eastAsia"/>
          <w:sz w:val="24"/>
          <w:szCs w:val="32"/>
        </w:rPr>
        <w:t>6、供应商财务状况良好，</w:t>
      </w:r>
      <w:r>
        <w:rPr>
          <w:rFonts w:hint="eastAsia"/>
          <w:sz w:val="24"/>
          <w:szCs w:val="32"/>
          <w:highlight w:val="none"/>
        </w:rPr>
        <w:t>提供202</w:t>
      </w:r>
      <w:r>
        <w:rPr>
          <w:rFonts w:hint="eastAsia"/>
          <w:sz w:val="24"/>
          <w:szCs w:val="32"/>
          <w:highlight w:val="none"/>
          <w:lang w:val="en-US" w:eastAsia="zh-CN"/>
        </w:rPr>
        <w:t>4</w:t>
      </w:r>
      <w:r>
        <w:rPr>
          <w:rFonts w:hint="eastAsia"/>
          <w:sz w:val="24"/>
          <w:szCs w:val="32"/>
          <w:highlight w:val="none"/>
        </w:rPr>
        <w:t>或202</w:t>
      </w:r>
      <w:r>
        <w:rPr>
          <w:rFonts w:hint="eastAsia"/>
          <w:sz w:val="24"/>
          <w:szCs w:val="32"/>
          <w:highlight w:val="none"/>
          <w:lang w:val="en-US" w:eastAsia="zh-CN"/>
        </w:rPr>
        <w:t>5</w:t>
      </w:r>
      <w:r>
        <w:rPr>
          <w:rFonts w:hint="eastAsia"/>
          <w:sz w:val="24"/>
          <w:szCs w:val="32"/>
          <w:highlight w:val="none"/>
        </w:rPr>
        <w:t>年度财务审计报告或开户银行资信证明；</w:t>
      </w:r>
    </w:p>
    <w:p>
      <w:pPr>
        <w:numPr>
          <w:ilvl w:val="0"/>
          <w:numId w:val="0"/>
        </w:numPr>
        <w:spacing w:line="360" w:lineRule="auto"/>
        <w:rPr>
          <w:rFonts w:hint="eastAsia"/>
          <w:sz w:val="24"/>
          <w:szCs w:val="32"/>
          <w:highlight w:val="none"/>
        </w:rPr>
      </w:pPr>
      <w:r>
        <w:rPr>
          <w:rFonts w:hint="eastAsia"/>
          <w:sz w:val="24"/>
          <w:szCs w:val="32"/>
        </w:rPr>
        <w:t>7、供应商自</w:t>
      </w:r>
      <w:r>
        <w:rPr>
          <w:rFonts w:hint="eastAsia"/>
          <w:sz w:val="24"/>
          <w:szCs w:val="32"/>
          <w:highlight w:val="none"/>
        </w:rPr>
        <w:t>202</w:t>
      </w:r>
      <w:r>
        <w:rPr>
          <w:rFonts w:hint="eastAsia"/>
          <w:sz w:val="24"/>
          <w:szCs w:val="32"/>
          <w:highlight w:val="none"/>
          <w:lang w:val="en-US" w:eastAsia="zh-CN"/>
        </w:rPr>
        <w:t>3</w:t>
      </w:r>
      <w:r>
        <w:rPr>
          <w:rFonts w:hint="eastAsia"/>
          <w:sz w:val="24"/>
          <w:szCs w:val="32"/>
          <w:highlight w:val="none"/>
        </w:rPr>
        <w:t>年1月1日</w:t>
      </w:r>
      <w:r>
        <w:rPr>
          <w:rFonts w:hint="eastAsia"/>
          <w:sz w:val="24"/>
          <w:szCs w:val="32"/>
        </w:rPr>
        <w:t>以来具有类似项目经验，提供过往案例</w:t>
      </w:r>
      <w:r>
        <w:rPr>
          <w:rFonts w:hint="eastAsia"/>
          <w:sz w:val="24"/>
          <w:szCs w:val="32"/>
          <w:highlight w:val="none"/>
          <w:lang w:eastAsia="zh-CN"/>
        </w:rPr>
        <w:t>【合同，发票，收付款凭证等缺一不可】</w:t>
      </w:r>
      <w:r>
        <w:rPr>
          <w:rFonts w:hint="eastAsia"/>
          <w:sz w:val="24"/>
          <w:szCs w:val="32"/>
          <w:highlight w:val="none"/>
        </w:rPr>
        <w:t>；</w:t>
      </w:r>
    </w:p>
    <w:p>
      <w:pPr>
        <w:numPr>
          <w:ilvl w:val="0"/>
          <w:numId w:val="0"/>
        </w:numPr>
        <w:spacing w:line="360" w:lineRule="auto"/>
        <w:rPr>
          <w:rFonts w:hint="eastAsia"/>
          <w:sz w:val="24"/>
          <w:szCs w:val="32"/>
        </w:rPr>
      </w:pPr>
      <w:r>
        <w:rPr>
          <w:rFonts w:hint="eastAsia"/>
          <w:sz w:val="24"/>
          <w:szCs w:val="32"/>
        </w:rPr>
        <w:t>8、供应商未被“信用中国”网站列入失信被执行人、重大税收违法案件当事人名单、政府采购严重失信行为记录名单【提供供应商通过“信用中国”下载的信用信息报告（</w:t>
      </w:r>
      <w:r>
        <w:rPr>
          <w:rFonts w:hint="eastAsia"/>
          <w:color w:val="FF0000"/>
          <w:sz w:val="24"/>
          <w:szCs w:val="32"/>
        </w:rPr>
        <w:t>报告生成日期为本项目开标时间前一个月内</w:t>
      </w:r>
      <w:r>
        <w:rPr>
          <w:rFonts w:hint="eastAsia"/>
          <w:sz w:val="24"/>
          <w:szCs w:val="32"/>
        </w:rPr>
        <w:t>）】。</w:t>
      </w:r>
    </w:p>
    <w:p>
      <w:pPr>
        <w:numPr>
          <w:ilvl w:val="0"/>
          <w:numId w:val="0"/>
        </w:numPr>
        <w:spacing w:line="360" w:lineRule="auto"/>
        <w:rPr>
          <w:rFonts w:hint="eastAsia"/>
          <w:sz w:val="24"/>
          <w:szCs w:val="32"/>
        </w:rPr>
      </w:pPr>
      <w:r>
        <w:rPr>
          <w:rFonts w:hint="eastAsia"/>
          <w:sz w:val="24"/>
          <w:szCs w:val="32"/>
        </w:rPr>
        <w:t>9、本项目不接受任何形式的联合体投标。</w:t>
      </w:r>
    </w:p>
    <w:p>
      <w:pPr>
        <w:numPr>
          <w:ilvl w:val="0"/>
          <w:numId w:val="0"/>
        </w:numPr>
        <w:spacing w:line="360" w:lineRule="auto"/>
        <w:rPr>
          <w:rFonts w:hint="eastAsia"/>
          <w:sz w:val="24"/>
          <w:szCs w:val="32"/>
        </w:rPr>
      </w:pPr>
      <w:r>
        <w:rPr>
          <w:rFonts w:hint="eastAsia"/>
          <w:sz w:val="24"/>
          <w:szCs w:val="32"/>
        </w:rPr>
        <w:t>三、 报价注意事项：</w:t>
      </w:r>
    </w:p>
    <w:p>
      <w:pPr>
        <w:numPr>
          <w:ilvl w:val="0"/>
          <w:numId w:val="0"/>
        </w:numPr>
        <w:spacing w:line="360" w:lineRule="auto"/>
        <w:rPr>
          <w:rFonts w:hint="eastAsia"/>
          <w:sz w:val="24"/>
          <w:szCs w:val="32"/>
        </w:rPr>
      </w:pPr>
      <w:r>
        <w:rPr>
          <w:rFonts w:hint="eastAsia"/>
          <w:sz w:val="24"/>
          <w:szCs w:val="32"/>
        </w:rPr>
        <w:t>1、供应商应按照本询价公告的要求编制报价文件，</w:t>
      </w:r>
      <w:r>
        <w:rPr>
          <w:rFonts w:hint="eastAsia"/>
          <w:sz w:val="24"/>
          <w:szCs w:val="32"/>
          <w:lang w:val="en-US" w:eastAsia="zh-CN"/>
        </w:rPr>
        <w:t>如未按要求编制，作废标</w:t>
      </w:r>
      <w:r>
        <w:rPr>
          <w:rFonts w:hint="eastAsia"/>
          <w:sz w:val="24"/>
          <w:szCs w:val="32"/>
        </w:rPr>
        <w:t>处理。本项目报价为响应及完成项目所需的全部费用，包含装车、运输、卸车、装车卸车地的便道平整、各小区地块装车的机械驳运、各种税费</w:t>
      </w:r>
      <w:r>
        <w:rPr>
          <w:rFonts w:hint="eastAsia"/>
          <w:b w:val="0"/>
          <w:bCs w:val="0"/>
          <w:color w:val="FF0000"/>
          <w:sz w:val="24"/>
          <w:szCs w:val="32"/>
          <w:lang w:val="en-US" w:eastAsia="zh-CN"/>
        </w:rPr>
        <w:t>（9%）</w:t>
      </w:r>
      <w:r>
        <w:rPr>
          <w:rFonts w:hint="eastAsia"/>
          <w:sz w:val="24"/>
          <w:szCs w:val="32"/>
        </w:rPr>
        <w:t>、人工、保险、劳保、加班费、福利、利润、管理费、招标代理费、安全管理、政策性文件规定及合同包含的所有风险、责任等项目相关一切费用。采购方不接受任何可选择的报价，请各供应商在报价时充分考虑各种因素，合同价在合同实施期间不因市场变化因素而变动。</w:t>
      </w:r>
    </w:p>
    <w:p>
      <w:pPr>
        <w:numPr>
          <w:ilvl w:val="0"/>
          <w:numId w:val="0"/>
        </w:numPr>
        <w:spacing w:line="360" w:lineRule="auto"/>
        <w:rPr>
          <w:rFonts w:hint="eastAsia"/>
          <w:sz w:val="24"/>
          <w:szCs w:val="32"/>
        </w:rPr>
      </w:pPr>
      <w:r>
        <w:rPr>
          <w:rFonts w:hint="eastAsia"/>
          <w:sz w:val="24"/>
          <w:szCs w:val="32"/>
          <w:lang w:val="en-US" w:eastAsia="zh-CN"/>
        </w:rPr>
        <w:t>2</w:t>
      </w:r>
      <w:r>
        <w:rPr>
          <w:rFonts w:hint="eastAsia"/>
          <w:sz w:val="24"/>
          <w:szCs w:val="32"/>
        </w:rPr>
        <w:t>、供应商应详细阅读询价文件的全部内容，供应商对询价文件有异议的，请在递交报价文件截止时间2日前以书面形式（加盖单位公章）递交至采购单位。</w:t>
      </w:r>
    </w:p>
    <w:p>
      <w:pPr>
        <w:numPr>
          <w:ilvl w:val="0"/>
          <w:numId w:val="0"/>
        </w:numPr>
        <w:spacing w:line="360" w:lineRule="auto"/>
        <w:rPr>
          <w:rFonts w:hint="eastAsia"/>
          <w:sz w:val="24"/>
          <w:szCs w:val="32"/>
        </w:rPr>
      </w:pPr>
      <w:r>
        <w:rPr>
          <w:rFonts w:hint="eastAsia"/>
          <w:sz w:val="24"/>
          <w:szCs w:val="32"/>
        </w:rPr>
        <w:t>有关技术及需求问题，请与采购单位联系。</w:t>
      </w:r>
    </w:p>
    <w:p>
      <w:pPr>
        <w:numPr>
          <w:ilvl w:val="0"/>
          <w:numId w:val="0"/>
        </w:numPr>
        <w:spacing w:line="360" w:lineRule="auto"/>
        <w:rPr>
          <w:rFonts w:hint="default"/>
          <w:sz w:val="24"/>
          <w:szCs w:val="32"/>
          <w:lang w:val="en-US"/>
        </w:rPr>
      </w:pPr>
      <w:r>
        <w:rPr>
          <w:rFonts w:hint="eastAsia"/>
          <w:sz w:val="24"/>
          <w:szCs w:val="32"/>
        </w:rPr>
        <w:t>采购单位：</w:t>
      </w:r>
      <w:r>
        <w:rPr>
          <w:rFonts w:hint="eastAsia"/>
          <w:sz w:val="24"/>
          <w:szCs w:val="32"/>
          <w:lang w:val="en-US" w:eastAsia="zh-CN"/>
        </w:rPr>
        <w:t>启东交投再生资源有限公司</w:t>
      </w:r>
    </w:p>
    <w:p>
      <w:pPr>
        <w:numPr>
          <w:ilvl w:val="0"/>
          <w:numId w:val="0"/>
        </w:numPr>
        <w:spacing w:line="360" w:lineRule="auto"/>
        <w:rPr>
          <w:rFonts w:hint="default" w:eastAsiaTheme="minorEastAsia"/>
          <w:sz w:val="24"/>
          <w:szCs w:val="32"/>
          <w:highlight w:val="none"/>
          <w:lang w:val="en-US" w:eastAsia="zh-CN"/>
        </w:rPr>
      </w:pPr>
      <w:r>
        <w:rPr>
          <w:rFonts w:hint="eastAsia"/>
          <w:sz w:val="24"/>
          <w:szCs w:val="32"/>
          <w:highlight w:val="none"/>
        </w:rPr>
        <w:t>联系人：</w:t>
      </w:r>
      <w:r>
        <w:rPr>
          <w:rFonts w:hint="eastAsia"/>
          <w:sz w:val="24"/>
          <w:szCs w:val="32"/>
          <w:highlight w:val="none"/>
          <w:lang w:val="en-US" w:eastAsia="zh-CN"/>
        </w:rPr>
        <w:t xml:space="preserve"> 潘先生</w:t>
      </w:r>
    </w:p>
    <w:p>
      <w:pPr>
        <w:numPr>
          <w:ilvl w:val="0"/>
          <w:numId w:val="0"/>
        </w:numPr>
        <w:spacing w:line="360" w:lineRule="auto"/>
        <w:rPr>
          <w:rFonts w:hint="default" w:eastAsiaTheme="minorEastAsia"/>
          <w:sz w:val="24"/>
          <w:szCs w:val="32"/>
          <w:highlight w:val="none"/>
          <w:lang w:val="en-US" w:eastAsia="zh-CN"/>
        </w:rPr>
      </w:pPr>
      <w:r>
        <w:rPr>
          <w:rFonts w:hint="eastAsia"/>
          <w:sz w:val="24"/>
          <w:szCs w:val="32"/>
        </w:rPr>
        <w:t>联系</w:t>
      </w:r>
      <w:r>
        <w:rPr>
          <w:rFonts w:hint="eastAsia"/>
          <w:sz w:val="24"/>
          <w:szCs w:val="32"/>
          <w:highlight w:val="none"/>
        </w:rPr>
        <w:t>电话：</w:t>
      </w:r>
      <w:r>
        <w:rPr>
          <w:rFonts w:hint="eastAsia"/>
          <w:sz w:val="24"/>
          <w:szCs w:val="32"/>
          <w:highlight w:val="none"/>
          <w:lang w:val="en-US" w:eastAsia="zh-CN"/>
        </w:rPr>
        <w:t>15996515458</w:t>
      </w:r>
    </w:p>
    <w:p>
      <w:pPr>
        <w:numPr>
          <w:ilvl w:val="0"/>
          <w:numId w:val="0"/>
        </w:numPr>
        <w:spacing w:line="360" w:lineRule="auto"/>
        <w:rPr>
          <w:rFonts w:hint="eastAsia"/>
          <w:sz w:val="24"/>
          <w:szCs w:val="32"/>
        </w:rPr>
      </w:pPr>
      <w:r>
        <w:rPr>
          <w:rFonts w:hint="eastAsia"/>
          <w:sz w:val="24"/>
          <w:szCs w:val="32"/>
          <w:lang w:val="en-US" w:eastAsia="zh-CN"/>
        </w:rPr>
        <w:t>5、</w:t>
      </w:r>
      <w:r>
        <w:rPr>
          <w:rFonts w:hint="eastAsia"/>
          <w:sz w:val="24"/>
          <w:szCs w:val="32"/>
        </w:rPr>
        <w:t>报价文件构成</w:t>
      </w:r>
    </w:p>
    <w:p>
      <w:pPr>
        <w:numPr>
          <w:ilvl w:val="0"/>
          <w:numId w:val="0"/>
        </w:numPr>
        <w:spacing w:line="360" w:lineRule="auto"/>
        <w:rPr>
          <w:rFonts w:hint="eastAsia"/>
          <w:sz w:val="24"/>
          <w:szCs w:val="32"/>
        </w:rPr>
      </w:pPr>
      <w:r>
        <w:rPr>
          <w:rFonts w:hint="eastAsia"/>
          <w:sz w:val="24"/>
          <w:szCs w:val="32"/>
          <w:lang w:val="en-US" w:eastAsia="zh-CN"/>
        </w:rPr>
        <w:t>（1）</w:t>
      </w:r>
      <w:r>
        <w:rPr>
          <w:rFonts w:hint="eastAsia"/>
          <w:sz w:val="24"/>
          <w:szCs w:val="32"/>
        </w:rPr>
        <w:t>法人代表授权委托书原件及被授权人身份证复印件（按附件1格式填写）；（2）法人身份证复印件；</w:t>
      </w:r>
    </w:p>
    <w:p>
      <w:pPr>
        <w:numPr>
          <w:ilvl w:val="0"/>
          <w:numId w:val="0"/>
        </w:numPr>
        <w:spacing w:line="360" w:lineRule="auto"/>
        <w:rPr>
          <w:rFonts w:hint="eastAsia"/>
          <w:sz w:val="24"/>
          <w:szCs w:val="32"/>
        </w:rPr>
      </w:pPr>
      <w:r>
        <w:rPr>
          <w:rFonts w:hint="eastAsia"/>
          <w:sz w:val="24"/>
          <w:szCs w:val="32"/>
        </w:rPr>
        <w:t>（3）营业执照复印件；</w:t>
      </w:r>
    </w:p>
    <w:p>
      <w:pPr>
        <w:numPr>
          <w:ilvl w:val="0"/>
          <w:numId w:val="0"/>
        </w:numPr>
        <w:spacing w:line="360" w:lineRule="auto"/>
        <w:rPr>
          <w:rFonts w:hint="eastAsia"/>
          <w:sz w:val="24"/>
          <w:szCs w:val="32"/>
          <w:lang w:eastAsia="zh-CN"/>
        </w:rPr>
      </w:pPr>
      <w:r>
        <w:rPr>
          <w:rFonts w:hint="eastAsia"/>
          <w:sz w:val="24"/>
          <w:szCs w:val="32"/>
          <w:lang w:eastAsia="zh-CN"/>
        </w:rPr>
        <w:t>（</w:t>
      </w:r>
      <w:r>
        <w:rPr>
          <w:rFonts w:hint="eastAsia"/>
          <w:sz w:val="24"/>
          <w:szCs w:val="32"/>
          <w:lang w:val="en-US" w:eastAsia="zh-CN"/>
        </w:rPr>
        <w:t>4</w:t>
      </w:r>
      <w:r>
        <w:rPr>
          <w:rFonts w:hint="eastAsia"/>
          <w:sz w:val="24"/>
          <w:szCs w:val="32"/>
          <w:lang w:eastAsia="zh-CN"/>
        </w:rPr>
        <w:t>）</w:t>
      </w:r>
      <w:r>
        <w:rPr>
          <w:rFonts w:hint="eastAsia"/>
          <w:sz w:val="24"/>
          <w:szCs w:val="32"/>
        </w:rPr>
        <w:t>道路运输经营许可证证书、启东市城市建筑垃圾运输处置资格证书、车辆行驶证、驾驶员驾驶证</w:t>
      </w:r>
      <w:r>
        <w:rPr>
          <w:rFonts w:hint="eastAsia"/>
          <w:sz w:val="24"/>
          <w:szCs w:val="32"/>
          <w:lang w:val="zh-CN"/>
        </w:rPr>
        <w:t>复印件；</w:t>
      </w:r>
    </w:p>
    <w:p>
      <w:pPr>
        <w:numPr>
          <w:ilvl w:val="0"/>
          <w:numId w:val="0"/>
        </w:numPr>
        <w:spacing w:line="360" w:lineRule="auto"/>
        <w:rPr>
          <w:rFonts w:hint="eastAsia"/>
          <w:sz w:val="24"/>
          <w:szCs w:val="32"/>
          <w:lang w:val="zh-CN"/>
        </w:rPr>
      </w:pPr>
      <w:r>
        <w:rPr>
          <w:rFonts w:hint="eastAsia"/>
          <w:sz w:val="24"/>
          <w:szCs w:val="32"/>
          <w:lang w:eastAsia="zh-CN"/>
        </w:rPr>
        <w:t>（</w:t>
      </w:r>
      <w:r>
        <w:rPr>
          <w:rFonts w:hint="eastAsia"/>
          <w:sz w:val="24"/>
          <w:szCs w:val="32"/>
          <w:lang w:val="en-US" w:eastAsia="zh-CN"/>
        </w:rPr>
        <w:t>5</w:t>
      </w:r>
      <w:r>
        <w:rPr>
          <w:rFonts w:hint="eastAsia"/>
          <w:sz w:val="24"/>
          <w:szCs w:val="32"/>
          <w:lang w:eastAsia="zh-CN"/>
        </w:rPr>
        <w:t>）</w:t>
      </w:r>
      <w:r>
        <w:rPr>
          <w:rFonts w:hint="eastAsia"/>
          <w:sz w:val="24"/>
          <w:szCs w:val="32"/>
        </w:rPr>
        <w:t>类似项目案例</w:t>
      </w:r>
      <w:r>
        <w:rPr>
          <w:rFonts w:hint="eastAsia"/>
          <w:sz w:val="24"/>
          <w:szCs w:val="32"/>
          <w:lang w:val="zh-CN"/>
        </w:rPr>
        <w:t>须提供合同、发票、</w:t>
      </w:r>
      <w:r>
        <w:rPr>
          <w:rFonts w:hint="eastAsia"/>
          <w:sz w:val="24"/>
          <w:szCs w:val="32"/>
          <w:highlight w:val="none"/>
          <w:lang w:eastAsia="zh-CN"/>
        </w:rPr>
        <w:t>收付款凭证</w:t>
      </w:r>
      <w:r>
        <w:rPr>
          <w:rFonts w:hint="eastAsia"/>
          <w:sz w:val="24"/>
          <w:szCs w:val="32"/>
          <w:lang w:val="zh-CN"/>
        </w:rPr>
        <w:t>等相关证明材料复印件；</w:t>
      </w:r>
    </w:p>
    <w:p>
      <w:pPr>
        <w:numPr>
          <w:ilvl w:val="0"/>
          <w:numId w:val="0"/>
        </w:numPr>
        <w:spacing w:line="360" w:lineRule="auto"/>
        <w:rPr>
          <w:rFonts w:hint="eastAsia" w:eastAsiaTheme="minorEastAsia"/>
          <w:lang w:eastAsia="zh-CN"/>
        </w:rPr>
      </w:pPr>
      <w:r>
        <w:rPr>
          <w:rFonts w:hint="eastAsia"/>
          <w:sz w:val="24"/>
          <w:szCs w:val="32"/>
          <w:lang w:val="zh-CN"/>
        </w:rPr>
        <w:t>（</w:t>
      </w:r>
      <w:r>
        <w:rPr>
          <w:rFonts w:hint="eastAsia"/>
          <w:sz w:val="24"/>
          <w:szCs w:val="32"/>
          <w:lang w:val="en-US" w:eastAsia="zh-CN"/>
        </w:rPr>
        <w:t>6</w:t>
      </w:r>
      <w:r>
        <w:rPr>
          <w:rFonts w:hint="eastAsia"/>
          <w:sz w:val="24"/>
          <w:szCs w:val="32"/>
          <w:lang w:val="zh-CN"/>
        </w:rPr>
        <w:t>）</w:t>
      </w:r>
      <w:r>
        <w:rPr>
          <w:rFonts w:hint="eastAsia"/>
          <w:sz w:val="24"/>
          <w:szCs w:val="32"/>
        </w:rPr>
        <w:t>提供202</w:t>
      </w:r>
      <w:r>
        <w:rPr>
          <w:rFonts w:hint="eastAsia"/>
          <w:sz w:val="24"/>
          <w:szCs w:val="32"/>
          <w:lang w:val="en-US" w:eastAsia="zh-CN"/>
        </w:rPr>
        <w:t>4</w:t>
      </w:r>
      <w:r>
        <w:rPr>
          <w:rFonts w:hint="eastAsia"/>
          <w:sz w:val="24"/>
          <w:szCs w:val="32"/>
        </w:rPr>
        <w:t>或202</w:t>
      </w:r>
      <w:r>
        <w:rPr>
          <w:rFonts w:hint="eastAsia"/>
          <w:sz w:val="24"/>
          <w:szCs w:val="32"/>
          <w:lang w:val="en-US" w:eastAsia="zh-CN"/>
        </w:rPr>
        <w:t>5</w:t>
      </w:r>
      <w:r>
        <w:rPr>
          <w:rFonts w:hint="eastAsia"/>
          <w:sz w:val="24"/>
          <w:szCs w:val="32"/>
        </w:rPr>
        <w:t>年度财务审计报告或开户银行资信证明</w:t>
      </w:r>
      <w:r>
        <w:rPr>
          <w:rFonts w:hint="eastAsia"/>
          <w:sz w:val="24"/>
          <w:szCs w:val="32"/>
          <w:lang w:val="en-US" w:eastAsia="zh-CN"/>
        </w:rPr>
        <w:t>复印件</w:t>
      </w:r>
      <w:r>
        <w:rPr>
          <w:rFonts w:hint="eastAsia"/>
          <w:sz w:val="24"/>
          <w:szCs w:val="32"/>
          <w:lang w:eastAsia="zh-CN"/>
        </w:rPr>
        <w:t>；</w:t>
      </w:r>
    </w:p>
    <w:p>
      <w:pPr>
        <w:numPr>
          <w:ilvl w:val="0"/>
          <w:numId w:val="0"/>
        </w:numPr>
        <w:spacing w:line="360" w:lineRule="auto"/>
        <w:rPr>
          <w:rFonts w:hint="eastAsia"/>
          <w:sz w:val="24"/>
          <w:szCs w:val="32"/>
        </w:rPr>
      </w:pPr>
      <w:r>
        <w:rPr>
          <w:rFonts w:hint="eastAsia"/>
          <w:sz w:val="24"/>
          <w:szCs w:val="32"/>
        </w:rPr>
        <w:t>（</w:t>
      </w:r>
      <w:r>
        <w:rPr>
          <w:rFonts w:hint="eastAsia"/>
          <w:sz w:val="24"/>
          <w:szCs w:val="32"/>
          <w:lang w:val="en-US" w:eastAsia="zh-CN"/>
        </w:rPr>
        <w:t>7</w:t>
      </w:r>
      <w:r>
        <w:rPr>
          <w:rFonts w:hint="eastAsia"/>
          <w:sz w:val="24"/>
          <w:szCs w:val="32"/>
        </w:rPr>
        <w:t>）诚信承诺函（按附件2格式填写）；</w:t>
      </w:r>
    </w:p>
    <w:p>
      <w:pPr>
        <w:numPr>
          <w:ilvl w:val="0"/>
          <w:numId w:val="0"/>
        </w:numPr>
        <w:spacing w:line="360" w:lineRule="auto"/>
        <w:rPr>
          <w:rFonts w:hint="eastAsia" w:eastAsiaTheme="minorEastAsia"/>
          <w:sz w:val="24"/>
          <w:szCs w:val="32"/>
          <w:lang w:eastAsia="zh-CN"/>
        </w:rPr>
      </w:pPr>
      <w:r>
        <w:rPr>
          <w:rFonts w:hint="eastAsia"/>
          <w:sz w:val="24"/>
          <w:szCs w:val="32"/>
        </w:rPr>
        <w:t>（</w:t>
      </w:r>
      <w:r>
        <w:rPr>
          <w:rFonts w:hint="eastAsia"/>
          <w:sz w:val="24"/>
          <w:szCs w:val="32"/>
          <w:lang w:val="en-US" w:eastAsia="zh-CN"/>
        </w:rPr>
        <w:t>8</w:t>
      </w:r>
      <w:r>
        <w:rPr>
          <w:rFonts w:hint="eastAsia"/>
          <w:sz w:val="24"/>
          <w:szCs w:val="32"/>
        </w:rPr>
        <w:t>）报价表（按附件</w:t>
      </w:r>
      <w:r>
        <w:rPr>
          <w:rFonts w:hint="eastAsia"/>
          <w:sz w:val="24"/>
          <w:szCs w:val="32"/>
          <w:lang w:val="en-US" w:eastAsia="zh-CN"/>
        </w:rPr>
        <w:t>3</w:t>
      </w:r>
      <w:r>
        <w:rPr>
          <w:rFonts w:hint="eastAsia"/>
          <w:sz w:val="24"/>
          <w:szCs w:val="32"/>
        </w:rPr>
        <w:t>格式填写）</w:t>
      </w:r>
      <w:r>
        <w:rPr>
          <w:rFonts w:hint="eastAsia"/>
          <w:sz w:val="24"/>
          <w:szCs w:val="32"/>
          <w:lang w:eastAsia="zh-CN"/>
        </w:rPr>
        <w:t>；</w:t>
      </w:r>
    </w:p>
    <w:p>
      <w:pPr>
        <w:numPr>
          <w:ilvl w:val="0"/>
          <w:numId w:val="0"/>
        </w:numPr>
        <w:spacing w:line="360" w:lineRule="auto"/>
        <w:rPr>
          <w:rFonts w:hint="eastAsia"/>
          <w:sz w:val="24"/>
          <w:szCs w:val="32"/>
        </w:rPr>
      </w:pPr>
      <w:r>
        <w:rPr>
          <w:rFonts w:hint="eastAsia"/>
          <w:sz w:val="24"/>
          <w:szCs w:val="32"/>
          <w:lang w:eastAsia="zh-CN"/>
        </w:rPr>
        <w:t>（</w:t>
      </w:r>
      <w:r>
        <w:rPr>
          <w:rFonts w:hint="eastAsia"/>
          <w:sz w:val="24"/>
          <w:szCs w:val="32"/>
          <w:lang w:val="en-US" w:eastAsia="zh-CN"/>
        </w:rPr>
        <w:t>9</w:t>
      </w:r>
      <w:r>
        <w:rPr>
          <w:rFonts w:hint="eastAsia"/>
          <w:sz w:val="24"/>
          <w:szCs w:val="32"/>
          <w:lang w:eastAsia="zh-CN"/>
        </w:rPr>
        <w:t>）</w:t>
      </w:r>
      <w:r>
        <w:rPr>
          <w:rFonts w:hint="eastAsia"/>
          <w:sz w:val="24"/>
          <w:szCs w:val="32"/>
          <w:lang w:val="zh-CN" w:eastAsia="zh-CN"/>
        </w:rPr>
        <w:t>供应商未被“信用中国”网站列入失信被执行人、重大税收违法案件当事人名单、政府采购严重失信行为记录名单【提供供应商通过“信用中国”下载的信用信息报告（报告生成日期为本项目开标时间前一个月内）】。</w:t>
      </w:r>
    </w:p>
    <w:p>
      <w:pPr>
        <w:numPr>
          <w:ilvl w:val="0"/>
          <w:numId w:val="0"/>
        </w:numPr>
        <w:spacing w:line="360" w:lineRule="auto"/>
        <w:rPr>
          <w:rFonts w:hint="eastAsia"/>
          <w:sz w:val="24"/>
          <w:szCs w:val="32"/>
        </w:rPr>
      </w:pPr>
      <w:r>
        <w:rPr>
          <w:rFonts w:hint="eastAsia"/>
          <w:sz w:val="24"/>
          <w:szCs w:val="32"/>
        </w:rPr>
        <w:t>有其他情况需要说明的，可附页说明。所有页面均须加盖单位公章，否则视为无效报价文件。</w:t>
      </w:r>
    </w:p>
    <w:p>
      <w:pPr>
        <w:numPr>
          <w:ilvl w:val="0"/>
          <w:numId w:val="0"/>
        </w:numPr>
        <w:spacing w:line="360" w:lineRule="auto"/>
        <w:rPr>
          <w:rFonts w:hint="eastAsia" w:eastAsiaTheme="minorEastAsia"/>
          <w:sz w:val="24"/>
          <w:szCs w:val="32"/>
          <w:lang w:eastAsia="zh-CN"/>
        </w:rPr>
      </w:pPr>
      <w:r>
        <w:rPr>
          <w:rFonts w:hint="eastAsia"/>
          <w:sz w:val="24"/>
          <w:szCs w:val="32"/>
        </w:rPr>
        <w:t>报价文件中必须包含上述要求提供的所有材料，否则以未实质性响应询价文件处理。报价文件须装订成册并密封，</w:t>
      </w:r>
      <w:r>
        <w:rPr>
          <w:rFonts w:hint="eastAsia"/>
          <w:color w:val="C00000"/>
          <w:sz w:val="24"/>
          <w:szCs w:val="32"/>
        </w:rPr>
        <w:t>密封袋上标明</w:t>
      </w:r>
      <w:r>
        <w:rPr>
          <w:rFonts w:hint="eastAsia"/>
          <w:sz w:val="24"/>
          <w:szCs w:val="32"/>
        </w:rPr>
        <w:t>：项目名称、报价单位名称，否则视为无效报价。不接受到付件</w:t>
      </w:r>
      <w:r>
        <w:rPr>
          <w:rFonts w:hint="eastAsia"/>
          <w:sz w:val="24"/>
          <w:szCs w:val="32"/>
          <w:lang w:eastAsia="zh-CN"/>
        </w:rPr>
        <w:t>。</w:t>
      </w:r>
    </w:p>
    <w:p>
      <w:pPr>
        <w:numPr>
          <w:ilvl w:val="0"/>
          <w:numId w:val="0"/>
        </w:numPr>
        <w:spacing w:line="360" w:lineRule="auto"/>
        <w:ind w:leftChars="0"/>
        <w:rPr>
          <w:rFonts w:hint="eastAsia"/>
          <w:sz w:val="24"/>
          <w:szCs w:val="32"/>
        </w:rPr>
      </w:pPr>
      <w:r>
        <w:rPr>
          <w:rFonts w:hint="eastAsia"/>
          <w:sz w:val="24"/>
          <w:szCs w:val="32"/>
          <w:lang w:val="en-US" w:eastAsia="zh-CN"/>
        </w:rPr>
        <w:t>6、</w:t>
      </w:r>
      <w:r>
        <w:rPr>
          <w:rFonts w:hint="eastAsia"/>
          <w:sz w:val="24"/>
          <w:szCs w:val="32"/>
        </w:rPr>
        <w:t>报价文件递交及开标时间</w:t>
      </w:r>
    </w:p>
    <w:p>
      <w:pPr>
        <w:numPr>
          <w:ilvl w:val="0"/>
          <w:numId w:val="0"/>
        </w:numPr>
        <w:spacing w:line="360" w:lineRule="auto"/>
        <w:rPr>
          <w:rFonts w:hint="eastAsia"/>
          <w:sz w:val="24"/>
          <w:szCs w:val="32"/>
        </w:rPr>
      </w:pPr>
      <w:r>
        <w:rPr>
          <w:rFonts w:hint="eastAsia"/>
          <w:sz w:val="24"/>
          <w:szCs w:val="32"/>
        </w:rPr>
        <w:t>报价文件请于</w:t>
      </w:r>
      <w:r>
        <w:rPr>
          <w:rFonts w:hint="eastAsia"/>
          <w:sz w:val="24"/>
          <w:szCs w:val="32"/>
          <w:u w:val="single"/>
          <w:lang w:val="en-US" w:eastAsia="zh-CN"/>
        </w:rPr>
        <w:t xml:space="preserve">  2026 </w:t>
      </w:r>
      <w:r>
        <w:rPr>
          <w:rFonts w:hint="eastAsia"/>
          <w:sz w:val="24"/>
          <w:szCs w:val="32"/>
        </w:rPr>
        <w:t>年</w:t>
      </w:r>
      <w:r>
        <w:rPr>
          <w:rFonts w:hint="eastAsia"/>
          <w:sz w:val="24"/>
          <w:szCs w:val="32"/>
          <w:u w:val="single"/>
          <w:lang w:val="en-US" w:eastAsia="zh-CN"/>
        </w:rPr>
        <w:t xml:space="preserve"> 3 </w:t>
      </w:r>
      <w:r>
        <w:rPr>
          <w:rFonts w:hint="eastAsia"/>
          <w:sz w:val="24"/>
          <w:szCs w:val="32"/>
        </w:rPr>
        <w:t>月</w:t>
      </w:r>
      <w:r>
        <w:rPr>
          <w:rFonts w:hint="eastAsia"/>
          <w:sz w:val="24"/>
          <w:szCs w:val="32"/>
          <w:u w:val="single"/>
          <w:lang w:val="en-US" w:eastAsia="zh-CN"/>
        </w:rPr>
        <w:t xml:space="preserve"> 20 </w:t>
      </w:r>
      <w:r>
        <w:rPr>
          <w:rFonts w:hint="eastAsia"/>
          <w:sz w:val="24"/>
          <w:szCs w:val="32"/>
        </w:rPr>
        <w:t>日</w:t>
      </w:r>
      <w:r>
        <w:rPr>
          <w:rFonts w:hint="eastAsia"/>
          <w:sz w:val="24"/>
          <w:szCs w:val="32"/>
          <w:lang w:val="en-US" w:eastAsia="zh-CN"/>
        </w:rPr>
        <w:t>下</w:t>
      </w:r>
      <w:r>
        <w:rPr>
          <w:rFonts w:hint="eastAsia"/>
          <w:sz w:val="24"/>
          <w:szCs w:val="32"/>
        </w:rPr>
        <w:t>午</w:t>
      </w:r>
      <w:r>
        <w:rPr>
          <w:rFonts w:hint="eastAsia"/>
          <w:sz w:val="24"/>
          <w:szCs w:val="32"/>
          <w:u w:val="single"/>
          <w:lang w:val="en-US" w:eastAsia="zh-CN"/>
        </w:rPr>
        <w:t xml:space="preserve"> 15:00 </w:t>
      </w:r>
      <w:r>
        <w:rPr>
          <w:rFonts w:hint="eastAsia"/>
          <w:color w:val="C00000"/>
          <w:sz w:val="24"/>
          <w:szCs w:val="32"/>
        </w:rPr>
        <w:t>截止前密封邮寄至江苏省</w:t>
      </w:r>
      <w:r>
        <w:rPr>
          <w:rFonts w:hint="eastAsia"/>
          <w:color w:val="C00000"/>
          <w:sz w:val="24"/>
          <w:szCs w:val="32"/>
          <w:lang w:eastAsia="zh-CN"/>
        </w:rPr>
        <w:t>启东市公园南路</w:t>
      </w:r>
      <w:r>
        <w:rPr>
          <w:rFonts w:hint="eastAsia"/>
          <w:color w:val="C00000"/>
          <w:sz w:val="24"/>
          <w:szCs w:val="32"/>
          <w:lang w:val="en-US" w:eastAsia="zh-CN"/>
        </w:rPr>
        <w:t>200号启晟大厦前台</w:t>
      </w:r>
      <w:r>
        <w:rPr>
          <w:rFonts w:hint="eastAsia"/>
          <w:color w:val="C00000"/>
          <w:sz w:val="24"/>
          <w:szCs w:val="32"/>
        </w:rPr>
        <w:t xml:space="preserve"> </w:t>
      </w:r>
      <w:r>
        <w:rPr>
          <w:rFonts w:hint="eastAsia"/>
          <w:sz w:val="24"/>
          <w:szCs w:val="32"/>
        </w:rPr>
        <w:t>(</w:t>
      </w:r>
      <w:r>
        <w:rPr>
          <w:rFonts w:hint="eastAsia"/>
          <w:sz w:val="24"/>
          <w:szCs w:val="32"/>
          <w:highlight w:val="none"/>
        </w:rPr>
        <w:t>收件人：</w:t>
      </w:r>
      <w:r>
        <w:rPr>
          <w:rFonts w:hint="eastAsia"/>
          <w:sz w:val="24"/>
          <w:szCs w:val="32"/>
          <w:highlight w:val="none"/>
          <w:lang w:val="en-US" w:eastAsia="zh-CN"/>
        </w:rPr>
        <w:t>王女士</w:t>
      </w:r>
      <w:r>
        <w:rPr>
          <w:rFonts w:hint="eastAsia"/>
          <w:sz w:val="24"/>
          <w:szCs w:val="32"/>
          <w:highlight w:val="none"/>
        </w:rPr>
        <w:t>，联系电话：</w:t>
      </w:r>
      <w:r>
        <w:rPr>
          <w:rFonts w:hint="eastAsia"/>
          <w:sz w:val="24"/>
          <w:szCs w:val="32"/>
          <w:highlight w:val="none"/>
          <w:lang w:val="en-US" w:eastAsia="zh-CN"/>
        </w:rPr>
        <w:t>0513-80920515</w:t>
      </w:r>
      <w:r>
        <w:rPr>
          <w:rFonts w:hint="eastAsia"/>
          <w:sz w:val="24"/>
          <w:szCs w:val="32"/>
        </w:rPr>
        <w:t>)。</w:t>
      </w:r>
    </w:p>
    <w:p>
      <w:pPr>
        <w:numPr>
          <w:ilvl w:val="0"/>
          <w:numId w:val="0"/>
        </w:numPr>
        <w:spacing w:line="360" w:lineRule="auto"/>
        <w:ind w:leftChars="0" w:firstLine="480" w:firstLineChars="200"/>
        <w:rPr>
          <w:rFonts w:hint="default" w:eastAsiaTheme="minorEastAsia"/>
          <w:sz w:val="24"/>
          <w:szCs w:val="32"/>
          <w:lang w:val="en-US" w:eastAsia="zh-CN"/>
        </w:rPr>
      </w:pPr>
      <w:r>
        <w:rPr>
          <w:rFonts w:hint="eastAsia"/>
          <w:sz w:val="24"/>
          <w:szCs w:val="32"/>
        </w:rPr>
        <w:t>开标时间：</w:t>
      </w:r>
      <w:r>
        <w:rPr>
          <w:rFonts w:hint="eastAsia"/>
          <w:sz w:val="24"/>
          <w:szCs w:val="32"/>
          <w:lang w:val="en-US" w:eastAsia="zh-CN"/>
        </w:rPr>
        <w:t>2026</w:t>
      </w:r>
      <w:r>
        <w:rPr>
          <w:rFonts w:hint="eastAsia"/>
          <w:sz w:val="24"/>
          <w:szCs w:val="32"/>
        </w:rPr>
        <w:t>年</w:t>
      </w:r>
      <w:r>
        <w:rPr>
          <w:rFonts w:hint="eastAsia"/>
          <w:sz w:val="24"/>
          <w:szCs w:val="32"/>
          <w:lang w:val="en-US" w:eastAsia="zh-CN"/>
        </w:rPr>
        <w:t xml:space="preserve"> 3</w:t>
      </w:r>
      <w:r>
        <w:rPr>
          <w:rFonts w:hint="eastAsia"/>
          <w:sz w:val="24"/>
          <w:szCs w:val="32"/>
        </w:rPr>
        <w:t>月</w:t>
      </w:r>
      <w:r>
        <w:rPr>
          <w:rFonts w:hint="eastAsia"/>
          <w:sz w:val="24"/>
          <w:szCs w:val="32"/>
          <w:lang w:val="en-US" w:eastAsia="zh-CN"/>
        </w:rPr>
        <w:t>20</w:t>
      </w:r>
      <w:r>
        <w:rPr>
          <w:rFonts w:hint="eastAsia"/>
          <w:sz w:val="24"/>
          <w:szCs w:val="32"/>
        </w:rPr>
        <w:t>日</w:t>
      </w:r>
      <w:r>
        <w:rPr>
          <w:rFonts w:hint="eastAsia"/>
          <w:sz w:val="24"/>
          <w:szCs w:val="32"/>
          <w:lang w:val="en-US" w:eastAsia="zh-CN"/>
        </w:rPr>
        <w:t xml:space="preserve"> 下</w:t>
      </w:r>
      <w:r>
        <w:rPr>
          <w:rFonts w:hint="eastAsia"/>
          <w:sz w:val="24"/>
          <w:szCs w:val="32"/>
        </w:rPr>
        <w:t>午</w:t>
      </w:r>
      <w:r>
        <w:rPr>
          <w:rFonts w:hint="eastAsia"/>
          <w:sz w:val="24"/>
          <w:szCs w:val="32"/>
          <w:lang w:val="en-US" w:eastAsia="zh-CN"/>
        </w:rPr>
        <w:t>15:00</w:t>
      </w:r>
    </w:p>
    <w:p>
      <w:pPr>
        <w:numPr>
          <w:ilvl w:val="0"/>
          <w:numId w:val="0"/>
        </w:numPr>
        <w:spacing w:line="360" w:lineRule="auto"/>
        <w:ind w:firstLine="480" w:firstLineChars="200"/>
        <w:rPr>
          <w:rFonts w:hint="eastAsia"/>
          <w:sz w:val="24"/>
          <w:szCs w:val="32"/>
        </w:rPr>
      </w:pPr>
      <w:r>
        <w:rPr>
          <w:rFonts w:hint="eastAsia"/>
          <w:sz w:val="24"/>
          <w:szCs w:val="32"/>
        </w:rPr>
        <w:t>开标地点：江苏</w:t>
      </w:r>
      <w:r>
        <w:rPr>
          <w:rFonts w:hint="eastAsia"/>
          <w:sz w:val="24"/>
          <w:szCs w:val="32"/>
          <w:lang w:eastAsia="zh-CN"/>
        </w:rPr>
        <w:t>启晟</w:t>
      </w:r>
      <w:r>
        <w:rPr>
          <w:rFonts w:hint="eastAsia"/>
          <w:sz w:val="24"/>
          <w:szCs w:val="32"/>
        </w:rPr>
        <w:t>集团有限公司</w:t>
      </w:r>
      <w:r>
        <w:rPr>
          <w:rFonts w:hint="eastAsia"/>
          <w:sz w:val="24"/>
          <w:szCs w:val="32"/>
          <w:lang w:eastAsia="zh-CN"/>
        </w:rPr>
        <w:t>集采中心</w:t>
      </w:r>
      <w:r>
        <w:rPr>
          <w:rFonts w:hint="eastAsia"/>
          <w:sz w:val="24"/>
          <w:szCs w:val="32"/>
        </w:rPr>
        <w:t>开标室</w:t>
      </w:r>
    </w:p>
    <w:p>
      <w:pPr>
        <w:numPr>
          <w:ilvl w:val="0"/>
          <w:numId w:val="0"/>
        </w:numPr>
        <w:spacing w:line="360" w:lineRule="auto"/>
        <w:ind w:leftChars="0" w:firstLine="480" w:firstLineChars="200"/>
        <w:rPr>
          <w:rFonts w:hint="eastAsia"/>
          <w:sz w:val="24"/>
          <w:szCs w:val="32"/>
        </w:rPr>
      </w:pPr>
      <w:r>
        <w:rPr>
          <w:rFonts w:hint="eastAsia"/>
          <w:sz w:val="24"/>
          <w:szCs w:val="32"/>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pPr>
        <w:numPr>
          <w:ilvl w:val="0"/>
          <w:numId w:val="0"/>
        </w:numPr>
        <w:spacing w:line="360" w:lineRule="auto"/>
        <w:ind w:leftChars="0"/>
        <w:rPr>
          <w:rFonts w:hint="eastAsia"/>
          <w:sz w:val="24"/>
          <w:szCs w:val="32"/>
        </w:rPr>
      </w:pPr>
      <w:r>
        <w:rPr>
          <w:rFonts w:hint="eastAsia"/>
          <w:sz w:val="24"/>
          <w:szCs w:val="32"/>
          <w:lang w:val="en-US" w:eastAsia="zh-CN"/>
        </w:rPr>
        <w:t>7、</w:t>
      </w:r>
      <w:r>
        <w:rPr>
          <w:rFonts w:hint="eastAsia"/>
          <w:sz w:val="24"/>
          <w:szCs w:val="32"/>
        </w:rPr>
        <w:t>报价保证金</w:t>
      </w:r>
      <w:r>
        <w:rPr>
          <w:rFonts w:hint="eastAsia"/>
          <w:sz w:val="24"/>
          <w:szCs w:val="32"/>
          <w:lang w:eastAsia="zh-CN"/>
        </w:rPr>
        <w:t>：</w:t>
      </w:r>
      <w:r>
        <w:rPr>
          <w:rFonts w:hint="eastAsia"/>
          <w:sz w:val="24"/>
          <w:szCs w:val="32"/>
        </w:rPr>
        <w:t>本项目不收取报价保证金。</w:t>
      </w:r>
    </w:p>
    <w:p>
      <w:pPr>
        <w:numPr>
          <w:ilvl w:val="0"/>
          <w:numId w:val="0"/>
        </w:numPr>
        <w:spacing w:line="360" w:lineRule="auto"/>
        <w:rPr>
          <w:rFonts w:hint="eastAsia"/>
          <w:sz w:val="24"/>
          <w:szCs w:val="32"/>
          <w:lang w:eastAsia="zh-CN"/>
        </w:rPr>
      </w:pPr>
      <w:r>
        <w:rPr>
          <w:rFonts w:hint="eastAsia"/>
          <w:sz w:val="24"/>
          <w:szCs w:val="32"/>
          <w:lang w:eastAsia="zh-CN"/>
        </w:rPr>
        <w:t>四、履约保证金</w:t>
      </w:r>
    </w:p>
    <w:p>
      <w:pPr>
        <w:numPr>
          <w:ilvl w:val="0"/>
          <w:numId w:val="0"/>
        </w:numPr>
        <w:spacing w:line="360" w:lineRule="auto"/>
        <w:rPr>
          <w:rFonts w:hint="eastAsia"/>
          <w:sz w:val="24"/>
          <w:szCs w:val="32"/>
        </w:rPr>
      </w:pPr>
      <w:r>
        <w:rPr>
          <w:rFonts w:hint="eastAsia" w:ascii="仿宋" w:hAnsi="仿宋" w:eastAsia="仿宋"/>
          <w:sz w:val="28"/>
          <w:szCs w:val="28"/>
        </w:rPr>
        <w:t>1.</w:t>
      </w:r>
      <w:r>
        <w:rPr>
          <w:rFonts w:hint="eastAsia"/>
          <w:sz w:val="24"/>
          <w:szCs w:val="32"/>
        </w:rPr>
        <w:t>本项目成交后的履约保证金为</w:t>
      </w:r>
      <w:r>
        <w:rPr>
          <w:rFonts w:hint="eastAsia"/>
          <w:color w:val="C00000"/>
          <w:sz w:val="24"/>
          <w:szCs w:val="32"/>
          <w:u w:val="single"/>
          <w:lang w:val="en-US" w:eastAsia="zh-CN"/>
        </w:rPr>
        <w:t>5</w:t>
      </w:r>
      <w:r>
        <w:rPr>
          <w:rFonts w:hint="eastAsia"/>
          <w:color w:val="C00000"/>
          <w:sz w:val="24"/>
          <w:szCs w:val="32"/>
          <w:u w:val="single"/>
        </w:rPr>
        <w:t>0000</w:t>
      </w:r>
      <w:r>
        <w:rPr>
          <w:rFonts w:hint="eastAsia"/>
          <w:sz w:val="24"/>
          <w:szCs w:val="32"/>
        </w:rPr>
        <w:t>元，成交供应商的履约保证金须在中标</w:t>
      </w:r>
      <w:r>
        <w:rPr>
          <w:rFonts w:hint="eastAsia"/>
          <w:sz w:val="24"/>
          <w:szCs w:val="32"/>
          <w:lang w:val="en-US" w:eastAsia="zh-CN"/>
        </w:rPr>
        <w:t>结果公示结束之日</w:t>
      </w:r>
      <w:r>
        <w:rPr>
          <w:rFonts w:hint="eastAsia"/>
          <w:sz w:val="24"/>
          <w:szCs w:val="32"/>
        </w:rPr>
        <w:t>起至合同签订前汇入采购单位账户（缴纳形式：银行转账或银行汇票或履约保函）。超期或未有协商，则视为自动放弃中标资格。</w:t>
      </w:r>
    </w:p>
    <w:p>
      <w:pPr>
        <w:numPr>
          <w:ilvl w:val="0"/>
          <w:numId w:val="0"/>
        </w:numPr>
        <w:spacing w:line="360" w:lineRule="auto"/>
        <w:rPr>
          <w:rFonts w:hint="eastAsia"/>
          <w:sz w:val="24"/>
          <w:szCs w:val="32"/>
        </w:rPr>
      </w:pPr>
      <w:r>
        <w:rPr>
          <w:rFonts w:hint="eastAsia"/>
          <w:sz w:val="24"/>
          <w:szCs w:val="32"/>
        </w:rPr>
        <w:t>2. 履约保证在本项目合同期满，且完成所有服务后一次性退还。</w:t>
      </w:r>
    </w:p>
    <w:p>
      <w:pPr>
        <w:numPr>
          <w:ilvl w:val="0"/>
          <w:numId w:val="0"/>
        </w:numPr>
        <w:spacing w:line="360" w:lineRule="auto"/>
        <w:rPr>
          <w:rFonts w:hint="eastAsia"/>
          <w:sz w:val="24"/>
          <w:szCs w:val="32"/>
        </w:rPr>
      </w:pPr>
      <w:r>
        <w:rPr>
          <w:rFonts w:hint="eastAsia"/>
          <w:sz w:val="24"/>
          <w:szCs w:val="32"/>
        </w:rPr>
        <w:t>3. 发生以下情况的，履约保证金不予退还或部分退还：</w:t>
      </w:r>
    </w:p>
    <w:p>
      <w:pPr>
        <w:numPr>
          <w:ilvl w:val="0"/>
          <w:numId w:val="0"/>
        </w:numPr>
        <w:spacing w:line="360" w:lineRule="auto"/>
        <w:ind w:firstLine="240" w:firstLineChars="100"/>
        <w:rPr>
          <w:rFonts w:hint="eastAsia"/>
          <w:sz w:val="24"/>
          <w:szCs w:val="32"/>
        </w:rPr>
      </w:pPr>
      <w:r>
        <w:rPr>
          <w:rFonts w:hint="eastAsia"/>
          <w:sz w:val="24"/>
          <w:szCs w:val="32"/>
        </w:rPr>
        <w:t>a. 签订合同后，成交供应商不履行合同义务的，采购单位有权全额扣除履约保证金，全额不予退还，同时采购单位亦有权终止合同，成交供应商还须承担相应的法律赔偿责任。</w:t>
      </w:r>
    </w:p>
    <w:p>
      <w:pPr>
        <w:numPr>
          <w:ilvl w:val="0"/>
          <w:numId w:val="0"/>
        </w:numPr>
        <w:spacing w:line="360" w:lineRule="auto"/>
        <w:ind w:firstLine="240" w:firstLineChars="100"/>
        <w:rPr>
          <w:rFonts w:hint="eastAsia"/>
          <w:sz w:val="24"/>
          <w:szCs w:val="32"/>
        </w:rPr>
      </w:pPr>
      <w:r>
        <w:rPr>
          <w:rFonts w:hint="eastAsia"/>
          <w:sz w:val="24"/>
          <w:szCs w:val="32"/>
        </w:rPr>
        <w:t>b. 成交供应商在履约过程中发生违约行为，给采购单位造成损失的，采购单位有权在成交供应商缴纳的履约保证金中予以扣款，以弥补采购单位经济损失，不足的部分成交供应商另外补齐。</w:t>
      </w:r>
    </w:p>
    <w:p>
      <w:pPr>
        <w:numPr>
          <w:ilvl w:val="0"/>
          <w:numId w:val="0"/>
        </w:numPr>
        <w:spacing w:line="360" w:lineRule="auto"/>
        <w:rPr>
          <w:rFonts w:hint="eastAsia"/>
          <w:sz w:val="24"/>
          <w:szCs w:val="32"/>
          <w:lang w:eastAsia="zh-CN"/>
        </w:rPr>
      </w:pPr>
      <w:r>
        <w:rPr>
          <w:rFonts w:hint="eastAsia"/>
          <w:sz w:val="24"/>
          <w:szCs w:val="32"/>
          <w:lang w:eastAsia="zh-CN"/>
        </w:rPr>
        <w:t>五、商务部分要求</w:t>
      </w:r>
    </w:p>
    <w:p>
      <w:pPr>
        <w:adjustRightInd w:val="0"/>
        <w:snapToGrid w:val="0"/>
        <w:spacing w:line="500" w:lineRule="exact"/>
        <w:rPr>
          <w:rFonts w:hint="eastAsia"/>
          <w:sz w:val="24"/>
          <w:szCs w:val="32"/>
          <w:highlight w:val="none"/>
          <w:lang w:val="en-US" w:eastAsia="zh-CN"/>
        </w:rPr>
      </w:pPr>
      <w:r>
        <w:rPr>
          <w:rFonts w:hint="eastAsia"/>
          <w:sz w:val="24"/>
          <w:szCs w:val="32"/>
          <w:highlight w:val="none"/>
          <w:lang w:val="en-US" w:eastAsia="zh-CN"/>
        </w:rPr>
        <w:t>1、施工要求：严格按照国家相关规范及采购人需求进行垃圾施工清理，所有渣土及垃圾运送至指定地点，沿途不得洒落滴漏。</w:t>
      </w:r>
    </w:p>
    <w:p>
      <w:pPr>
        <w:numPr>
          <w:ilvl w:val="0"/>
          <w:numId w:val="0"/>
        </w:numPr>
        <w:spacing w:line="360" w:lineRule="auto"/>
        <w:ind w:leftChars="0"/>
        <w:rPr>
          <w:rFonts w:hint="eastAsia"/>
          <w:color w:val="auto"/>
          <w:sz w:val="24"/>
          <w:szCs w:val="32"/>
          <w:highlight w:val="none"/>
        </w:rPr>
      </w:pPr>
      <w:r>
        <w:rPr>
          <w:rFonts w:hint="eastAsia"/>
          <w:sz w:val="24"/>
          <w:szCs w:val="32"/>
          <w:highlight w:val="none"/>
          <w:lang w:val="en-US" w:eastAsia="zh-CN"/>
        </w:rPr>
        <w:t>2、</w:t>
      </w:r>
      <w:r>
        <w:rPr>
          <w:rFonts w:hint="eastAsia"/>
          <w:sz w:val="24"/>
          <w:szCs w:val="32"/>
          <w:highlight w:val="none"/>
        </w:rPr>
        <w:t>服务</w:t>
      </w:r>
      <w:r>
        <w:rPr>
          <w:rFonts w:hint="eastAsia"/>
          <w:sz w:val="24"/>
          <w:szCs w:val="32"/>
          <w:highlight w:val="none"/>
          <w:lang w:eastAsia="zh-CN"/>
        </w:rPr>
        <w:t>期限</w:t>
      </w:r>
      <w:r>
        <w:rPr>
          <w:rFonts w:hint="eastAsia"/>
          <w:sz w:val="24"/>
          <w:szCs w:val="32"/>
          <w:highlight w:val="none"/>
        </w:rPr>
        <w:t>：</w:t>
      </w:r>
      <w:r>
        <w:rPr>
          <w:rFonts w:hint="eastAsia"/>
          <w:color w:val="auto"/>
          <w:sz w:val="24"/>
          <w:szCs w:val="32"/>
          <w:highlight w:val="none"/>
        </w:rPr>
        <w:t>根据《政府购买服务管理办法》第二十四条规定，本项目根据采购结果，采取一次招标</w:t>
      </w:r>
      <w:r>
        <w:rPr>
          <w:rFonts w:hint="eastAsia"/>
          <w:color w:val="auto"/>
          <w:sz w:val="24"/>
          <w:szCs w:val="32"/>
          <w:highlight w:val="none"/>
          <w:lang w:eastAsia="zh-CN"/>
        </w:rPr>
        <w:t>，</w:t>
      </w:r>
      <w:r>
        <w:rPr>
          <w:rFonts w:hint="eastAsia"/>
          <w:color w:val="auto"/>
          <w:sz w:val="24"/>
          <w:szCs w:val="32"/>
          <w:highlight w:val="none"/>
          <w:lang w:val="en-US" w:eastAsia="zh-CN"/>
        </w:rPr>
        <w:t>2</w:t>
      </w:r>
      <w:r>
        <w:rPr>
          <w:rFonts w:hint="eastAsia"/>
          <w:color w:val="auto"/>
          <w:sz w:val="24"/>
          <w:szCs w:val="32"/>
          <w:highlight w:val="none"/>
        </w:rPr>
        <w:t>年沿用。一年合同期满后，采购人未获得预算批复或因政策变化采购需求取消，则经采购人书面通知供应商后，合同到期终止不再续签，或受疫情等不可抗力的影响，次年预算压减，采购人也将根据新的预算重新采购，供应商自行承担相应风险。），服务期自合同签订之日起一年，实行一年一考核一续签合同的办法，采购人有权单方决定是否续签后一年度合同，除政策性调整(如最低工资等)外，合同金额不作改变。如果成交供应商没有达到合同所要求履行条件之一的，则采购人有权在委托期限内随时终止合同。</w:t>
      </w:r>
      <w:bookmarkStart w:id="0" w:name="_GoBack"/>
      <w:bookmarkEnd w:id="0"/>
    </w:p>
    <w:p>
      <w:pPr>
        <w:numPr>
          <w:ilvl w:val="0"/>
          <w:numId w:val="0"/>
        </w:numPr>
        <w:spacing w:line="360" w:lineRule="auto"/>
        <w:ind w:leftChars="0"/>
        <w:rPr>
          <w:rFonts w:hint="eastAsia"/>
          <w:color w:val="auto"/>
          <w:sz w:val="24"/>
          <w:szCs w:val="32"/>
          <w:highlight w:val="none"/>
        </w:rPr>
      </w:pPr>
      <w:r>
        <w:rPr>
          <w:rFonts w:hint="eastAsia"/>
          <w:color w:val="auto"/>
          <w:sz w:val="24"/>
          <w:szCs w:val="32"/>
          <w:highlight w:val="none"/>
          <w:lang w:val="en-US" w:eastAsia="zh-CN"/>
        </w:rPr>
        <w:t>3、</w:t>
      </w:r>
      <w:r>
        <w:rPr>
          <w:rFonts w:hint="eastAsia"/>
          <w:color w:val="auto"/>
          <w:sz w:val="24"/>
          <w:szCs w:val="32"/>
          <w:highlight w:val="none"/>
        </w:rPr>
        <w:t>采购人对成交供应商按照《启东交投再生资源有限公司第三方运输公司考核办法》进行考核，具体考核办法详见附件</w:t>
      </w:r>
      <w:r>
        <w:rPr>
          <w:rFonts w:hint="eastAsia"/>
          <w:color w:val="auto"/>
          <w:sz w:val="24"/>
          <w:szCs w:val="32"/>
          <w:highlight w:val="none"/>
          <w:lang w:val="en-US" w:eastAsia="zh-CN"/>
        </w:rPr>
        <w:t>4</w:t>
      </w:r>
      <w:r>
        <w:rPr>
          <w:rFonts w:hint="eastAsia"/>
          <w:color w:val="auto"/>
          <w:sz w:val="24"/>
          <w:szCs w:val="32"/>
          <w:highlight w:val="none"/>
        </w:rPr>
        <w:t>。</w:t>
      </w:r>
    </w:p>
    <w:p>
      <w:pPr>
        <w:numPr>
          <w:ilvl w:val="0"/>
          <w:numId w:val="0"/>
        </w:numPr>
        <w:spacing w:line="360" w:lineRule="auto"/>
        <w:ind w:leftChars="0"/>
        <w:rPr>
          <w:rFonts w:hint="eastAsia" w:eastAsiaTheme="minorEastAsia"/>
          <w:color w:val="auto"/>
          <w:sz w:val="24"/>
          <w:szCs w:val="32"/>
          <w:highlight w:val="yellow"/>
          <w:lang w:val="en-US" w:eastAsia="zh-CN"/>
        </w:rPr>
      </w:pPr>
      <w:r>
        <w:rPr>
          <w:rFonts w:hint="eastAsia"/>
          <w:color w:val="auto"/>
          <w:sz w:val="24"/>
          <w:szCs w:val="32"/>
          <w:highlight w:val="none"/>
          <w:lang w:val="en-US" w:eastAsia="zh-CN"/>
        </w:rPr>
        <w:t>4、成交供应商须严格按照合同配备车辆及人员，办理好各类保险，否则视为违约，采购人有权进行处罚或终止合同。</w:t>
      </w:r>
    </w:p>
    <w:p>
      <w:pPr>
        <w:numPr>
          <w:ilvl w:val="0"/>
          <w:numId w:val="0"/>
        </w:numPr>
        <w:spacing w:line="360" w:lineRule="auto"/>
        <w:ind w:leftChars="0"/>
        <w:rPr>
          <w:rFonts w:hint="eastAsia"/>
          <w:sz w:val="24"/>
          <w:szCs w:val="32"/>
          <w:highlight w:val="none"/>
        </w:rPr>
      </w:pPr>
      <w:r>
        <w:rPr>
          <w:rFonts w:hint="eastAsia"/>
          <w:sz w:val="24"/>
          <w:szCs w:val="32"/>
          <w:lang w:val="en-US" w:eastAsia="zh-CN"/>
        </w:rPr>
        <w:t>5、成交供应商</w:t>
      </w:r>
      <w:r>
        <w:rPr>
          <w:rFonts w:hint="eastAsia"/>
          <w:sz w:val="24"/>
          <w:szCs w:val="32"/>
          <w:highlight w:val="none"/>
        </w:rPr>
        <w:t>应服从采购单位的安全文明生产管理，投标人必须对其公司人员进行安全生产教育，以增强</w:t>
      </w:r>
      <w:r>
        <w:rPr>
          <w:rFonts w:hint="eastAsia"/>
          <w:sz w:val="24"/>
          <w:szCs w:val="32"/>
          <w:highlight w:val="none"/>
          <w:lang w:eastAsia="zh-CN"/>
        </w:rPr>
        <w:t>法治</w:t>
      </w:r>
      <w:r>
        <w:rPr>
          <w:rFonts w:hint="eastAsia"/>
          <w:sz w:val="24"/>
          <w:szCs w:val="32"/>
          <w:highlight w:val="none"/>
        </w:rPr>
        <w:t>观念和提高职工的安全文明意识及自我保护能力，自觉遵守采购单位的各项安全文明生产制度。在合同履行期间如发生人身伤亡等事故，由投标人承担全部责任和经济赔偿。</w:t>
      </w:r>
    </w:p>
    <w:p>
      <w:pPr>
        <w:numPr>
          <w:ilvl w:val="0"/>
          <w:numId w:val="0"/>
        </w:numPr>
        <w:spacing w:line="360" w:lineRule="auto"/>
        <w:ind w:left="0" w:leftChars="0" w:firstLine="0" w:firstLineChars="0"/>
        <w:rPr>
          <w:rFonts w:hint="eastAsia"/>
          <w:sz w:val="24"/>
          <w:szCs w:val="32"/>
        </w:rPr>
      </w:pPr>
      <w:r>
        <w:rPr>
          <w:rFonts w:hint="eastAsia" w:cstheme="minorBidi"/>
          <w:kern w:val="2"/>
          <w:sz w:val="24"/>
          <w:szCs w:val="32"/>
          <w:lang w:val="en-US" w:eastAsia="zh-CN" w:bidi="ar-SA"/>
        </w:rPr>
        <w:t>六</w:t>
      </w:r>
      <w:r>
        <w:rPr>
          <w:rFonts w:hint="eastAsia" w:asciiTheme="minorHAnsi" w:hAnsiTheme="minorHAnsi" w:eastAsiaTheme="minorEastAsia" w:cstheme="minorBidi"/>
          <w:kern w:val="2"/>
          <w:sz w:val="24"/>
          <w:szCs w:val="32"/>
          <w:lang w:val="en-US" w:eastAsia="zh-CN" w:bidi="ar-SA"/>
        </w:rPr>
        <w:t>、</w:t>
      </w:r>
      <w:r>
        <w:rPr>
          <w:rFonts w:hint="eastAsia"/>
          <w:sz w:val="24"/>
          <w:szCs w:val="32"/>
        </w:rPr>
        <w:t>合同的签订及注意事项：</w:t>
      </w:r>
    </w:p>
    <w:p>
      <w:pPr>
        <w:numPr>
          <w:ilvl w:val="0"/>
          <w:numId w:val="0"/>
        </w:numPr>
        <w:spacing w:line="360" w:lineRule="auto"/>
        <w:rPr>
          <w:rFonts w:hint="eastAsia"/>
          <w:b/>
          <w:bCs/>
          <w:sz w:val="24"/>
          <w:szCs w:val="32"/>
        </w:rPr>
      </w:pPr>
      <w:r>
        <w:rPr>
          <w:rFonts w:hint="eastAsia"/>
          <w:sz w:val="24"/>
          <w:szCs w:val="32"/>
          <w:lang w:val="en-US" w:eastAsia="zh-CN"/>
        </w:rPr>
        <w:t>1.</w:t>
      </w:r>
      <w:r>
        <w:rPr>
          <w:rFonts w:hint="eastAsia"/>
          <w:sz w:val="24"/>
          <w:szCs w:val="32"/>
        </w:rPr>
        <w:t>成交结果将在相关网站予以公布，公示期内对成交结果没有异议的，将确定成交候选人为成交供应商。成交供应商须在公示期满后与采购单位签订合同</w:t>
      </w:r>
      <w:r>
        <w:rPr>
          <w:rFonts w:hint="eastAsia"/>
          <w:b/>
          <w:bCs/>
          <w:sz w:val="24"/>
          <w:szCs w:val="32"/>
        </w:rPr>
        <w:t>。</w:t>
      </w:r>
    </w:p>
    <w:p>
      <w:pPr>
        <w:numPr>
          <w:ilvl w:val="0"/>
          <w:numId w:val="0"/>
        </w:numPr>
        <w:spacing w:line="360" w:lineRule="auto"/>
        <w:rPr>
          <w:rFonts w:hint="eastAsia"/>
          <w:sz w:val="24"/>
          <w:szCs w:val="32"/>
        </w:rPr>
      </w:pPr>
      <w:r>
        <w:rPr>
          <w:rFonts w:hint="eastAsia"/>
          <w:sz w:val="24"/>
          <w:szCs w:val="32"/>
        </w:rPr>
        <w:t>2.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pPr>
        <w:numPr>
          <w:ilvl w:val="0"/>
          <w:numId w:val="0"/>
        </w:numPr>
        <w:spacing w:line="360" w:lineRule="auto"/>
        <w:rPr>
          <w:rFonts w:hint="eastAsia"/>
          <w:sz w:val="24"/>
          <w:szCs w:val="32"/>
        </w:rPr>
      </w:pPr>
      <w:r>
        <w:rPr>
          <w:rFonts w:hint="eastAsia"/>
          <w:sz w:val="24"/>
          <w:szCs w:val="32"/>
          <w:lang w:val="en-US" w:eastAsia="zh-CN"/>
        </w:rPr>
        <w:t>3、如因不可抗力事件成交供应商不能履行合同的，应当在事件发生后15日内书面通知对方，以减轻可能给对方造成的损失，并应当在通知发出后15日内提供相关的证明;如致使合同提前终止，则费用按照实际服务天数支付清运费。</w:t>
      </w:r>
    </w:p>
    <w:p>
      <w:pPr>
        <w:numPr>
          <w:ilvl w:val="0"/>
          <w:numId w:val="0"/>
        </w:numPr>
        <w:spacing w:line="360" w:lineRule="auto"/>
        <w:ind w:left="0" w:leftChars="0" w:firstLine="0" w:firstLineChars="0"/>
        <w:rPr>
          <w:rFonts w:hint="eastAsia"/>
          <w:sz w:val="24"/>
          <w:szCs w:val="32"/>
          <w:highlight w:val="none"/>
        </w:rPr>
      </w:pPr>
      <w:r>
        <w:rPr>
          <w:rFonts w:hint="eastAsia"/>
          <w:sz w:val="24"/>
          <w:szCs w:val="32"/>
          <w:highlight w:val="none"/>
          <w:lang w:val="en-US" w:eastAsia="zh-CN"/>
        </w:rPr>
        <w:t>七、</w:t>
      </w:r>
      <w:r>
        <w:rPr>
          <w:rFonts w:hint="eastAsia"/>
          <w:sz w:val="24"/>
          <w:szCs w:val="32"/>
          <w:highlight w:val="none"/>
        </w:rPr>
        <w:t>成交原则</w:t>
      </w:r>
      <w:r>
        <w:rPr>
          <w:rFonts w:hint="eastAsia"/>
          <w:sz w:val="24"/>
          <w:szCs w:val="32"/>
          <w:highlight w:val="none"/>
          <w:lang w:eastAsia="zh-CN"/>
        </w:rPr>
        <w:t>：</w:t>
      </w:r>
      <w:r>
        <w:rPr>
          <w:rFonts w:hint="eastAsia"/>
          <w:sz w:val="24"/>
          <w:szCs w:val="32"/>
          <w:highlight w:val="none"/>
        </w:rPr>
        <w:t>符合采购需求，报价</w:t>
      </w:r>
      <w:r>
        <w:rPr>
          <w:rFonts w:hint="eastAsia"/>
          <w:sz w:val="24"/>
          <w:szCs w:val="32"/>
          <w:highlight w:val="none"/>
          <w:lang w:val="en-US" w:eastAsia="zh-CN"/>
        </w:rPr>
        <w:t>以综合总单价最低者中标（</w:t>
      </w:r>
      <w:r>
        <w:rPr>
          <w:rFonts w:hint="eastAsia"/>
          <w:color w:val="FF0000"/>
          <w:sz w:val="24"/>
          <w:szCs w:val="32"/>
          <w:highlight w:val="none"/>
          <w:lang w:val="en-US" w:eastAsia="zh-CN"/>
        </w:rPr>
        <w:t>备注：报价将被折算为统一费率，在结算中，均以各运输距离对应的分项单价最高限价乘以费率进行结算。</w:t>
      </w:r>
      <w:r>
        <w:rPr>
          <w:rFonts w:hint="eastAsia"/>
          <w:sz w:val="24"/>
          <w:szCs w:val="32"/>
          <w:highlight w:val="none"/>
          <w:lang w:val="en-US" w:eastAsia="zh-CN"/>
        </w:rPr>
        <w:t>）</w:t>
      </w:r>
      <w:r>
        <w:rPr>
          <w:rFonts w:hint="eastAsia"/>
          <w:sz w:val="24"/>
          <w:szCs w:val="32"/>
          <w:highlight w:val="none"/>
        </w:rPr>
        <w:t>；如有报价相同，则通过抽签确定成交候选人。</w:t>
      </w:r>
    </w:p>
    <w:p>
      <w:pPr>
        <w:numPr>
          <w:ilvl w:val="0"/>
          <w:numId w:val="0"/>
        </w:numPr>
        <w:spacing w:line="360" w:lineRule="auto"/>
        <w:ind w:left="0" w:leftChars="0" w:firstLine="0" w:firstLineChars="0"/>
        <w:rPr>
          <w:rFonts w:hint="eastAsia"/>
          <w:sz w:val="24"/>
          <w:szCs w:val="32"/>
          <w:highlight w:val="none"/>
        </w:rPr>
      </w:pPr>
      <w:r>
        <w:rPr>
          <w:rFonts w:hint="eastAsia"/>
          <w:sz w:val="24"/>
          <w:szCs w:val="32"/>
          <w:highlight w:val="none"/>
        </w:rPr>
        <w:t>投标单位需满三家。</w:t>
      </w:r>
    </w:p>
    <w:p>
      <w:pPr>
        <w:numPr>
          <w:ilvl w:val="0"/>
          <w:numId w:val="0"/>
        </w:numPr>
        <w:spacing w:line="360" w:lineRule="auto"/>
        <w:ind w:left="0" w:leftChars="0" w:firstLine="0" w:firstLineChars="0"/>
        <w:rPr>
          <w:rFonts w:hint="eastAsia"/>
          <w:sz w:val="24"/>
          <w:szCs w:val="32"/>
          <w:highlight w:val="none"/>
        </w:rPr>
      </w:pPr>
      <w:r>
        <w:rPr>
          <w:rFonts w:hint="eastAsia" w:cstheme="minorBidi"/>
          <w:kern w:val="2"/>
          <w:sz w:val="24"/>
          <w:szCs w:val="32"/>
          <w:lang w:val="en-US" w:eastAsia="zh-CN" w:bidi="ar-SA"/>
        </w:rPr>
        <w:t>八</w:t>
      </w:r>
      <w:r>
        <w:rPr>
          <w:rFonts w:hint="eastAsia" w:asciiTheme="minorHAnsi" w:hAnsiTheme="minorHAnsi" w:eastAsiaTheme="minorEastAsia" w:cstheme="minorBidi"/>
          <w:kern w:val="2"/>
          <w:sz w:val="24"/>
          <w:szCs w:val="32"/>
          <w:lang w:val="en-US" w:eastAsia="zh-CN" w:bidi="ar-SA"/>
        </w:rPr>
        <w:t>、</w:t>
      </w:r>
      <w:r>
        <w:rPr>
          <w:rFonts w:hint="eastAsia"/>
          <w:sz w:val="24"/>
          <w:szCs w:val="32"/>
          <w:highlight w:val="none"/>
        </w:rPr>
        <w:t>付款方式：按季度结算，成交供应商提交季度清运处置数量的完整档案资料，经采购人确认后，在下一季度的第三个月一次性付清。中标人未按时提供增值税发票的，采购人有权不予付款，且不承担任何逾期付款责任（包括但不限于违约金、逾期付款损失等）。</w:t>
      </w:r>
    </w:p>
    <w:p>
      <w:pPr>
        <w:numPr>
          <w:ilvl w:val="0"/>
          <w:numId w:val="0"/>
        </w:numPr>
        <w:spacing w:line="360" w:lineRule="auto"/>
        <w:ind w:left="5988" w:leftChars="2280" w:hanging="1200" w:hangingChars="500"/>
        <w:rPr>
          <w:rFonts w:hint="eastAsia"/>
          <w:sz w:val="24"/>
          <w:szCs w:val="32"/>
          <w:lang w:val="en-US" w:eastAsia="zh-CN"/>
        </w:rPr>
      </w:pPr>
    </w:p>
    <w:p>
      <w:pPr>
        <w:numPr>
          <w:ilvl w:val="0"/>
          <w:numId w:val="0"/>
        </w:numPr>
        <w:spacing w:line="360" w:lineRule="auto"/>
        <w:ind w:leftChars="0"/>
        <w:jc w:val="right"/>
        <w:rPr>
          <w:rFonts w:hint="eastAsia" w:eastAsiaTheme="minorEastAsia"/>
          <w:sz w:val="24"/>
          <w:szCs w:val="32"/>
          <w:lang w:val="en-US" w:eastAsia="zh-CN"/>
        </w:rPr>
      </w:pPr>
      <w:r>
        <w:rPr>
          <w:rFonts w:hint="eastAsia"/>
          <w:sz w:val="24"/>
          <w:szCs w:val="32"/>
          <w:lang w:eastAsia="zh-CN"/>
        </w:rPr>
        <w:t>启东交投再生资源有限公司</w:t>
      </w:r>
    </w:p>
    <w:p>
      <w:pPr>
        <w:numPr>
          <w:ilvl w:val="0"/>
          <w:numId w:val="0"/>
        </w:numPr>
        <w:spacing w:line="360" w:lineRule="auto"/>
        <w:ind w:leftChars="0"/>
        <w:jc w:val="right"/>
        <w:rPr>
          <w:rFonts w:hint="eastAsia"/>
          <w:sz w:val="24"/>
          <w:szCs w:val="32"/>
        </w:rPr>
      </w:pPr>
      <w:r>
        <w:rPr>
          <w:rFonts w:hint="eastAsia"/>
          <w:sz w:val="24"/>
          <w:szCs w:val="32"/>
          <w:lang w:val="en-US" w:eastAsia="zh-CN"/>
        </w:rPr>
        <w:t>2026</w:t>
      </w:r>
      <w:r>
        <w:rPr>
          <w:rFonts w:hint="eastAsia"/>
          <w:sz w:val="24"/>
          <w:szCs w:val="32"/>
        </w:rPr>
        <w:t>年</w:t>
      </w:r>
      <w:r>
        <w:rPr>
          <w:rFonts w:hint="eastAsia"/>
          <w:sz w:val="24"/>
          <w:szCs w:val="32"/>
          <w:lang w:val="en-US" w:eastAsia="zh-CN"/>
        </w:rPr>
        <w:t>3</w:t>
      </w:r>
      <w:r>
        <w:rPr>
          <w:rFonts w:hint="eastAsia"/>
          <w:sz w:val="24"/>
          <w:szCs w:val="32"/>
        </w:rPr>
        <w:t>月</w:t>
      </w:r>
      <w:r>
        <w:rPr>
          <w:rFonts w:hint="eastAsia"/>
          <w:sz w:val="24"/>
          <w:szCs w:val="32"/>
          <w:lang w:val="en-US" w:eastAsia="zh-CN"/>
        </w:rPr>
        <w:t>17</w:t>
      </w:r>
      <w:r>
        <w:rPr>
          <w:rFonts w:hint="eastAsia"/>
          <w:sz w:val="24"/>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C19D3D"/>
    <w:multiLevelType w:val="singleLevel"/>
    <w:tmpl w:val="2DC19D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00000000"/>
    <w:rsid w:val="000F5645"/>
    <w:rsid w:val="009A13B3"/>
    <w:rsid w:val="009C3AC1"/>
    <w:rsid w:val="01255120"/>
    <w:rsid w:val="01B91D0C"/>
    <w:rsid w:val="021358C1"/>
    <w:rsid w:val="023B4EB7"/>
    <w:rsid w:val="02443CCC"/>
    <w:rsid w:val="0259629F"/>
    <w:rsid w:val="02AF1CF7"/>
    <w:rsid w:val="032A1114"/>
    <w:rsid w:val="03A9588C"/>
    <w:rsid w:val="051C2CDE"/>
    <w:rsid w:val="05DE75CE"/>
    <w:rsid w:val="06316F29"/>
    <w:rsid w:val="063F6C84"/>
    <w:rsid w:val="06BC6527"/>
    <w:rsid w:val="06F62A12"/>
    <w:rsid w:val="07740BAF"/>
    <w:rsid w:val="07A5743E"/>
    <w:rsid w:val="07E8334B"/>
    <w:rsid w:val="08483E47"/>
    <w:rsid w:val="087D4F23"/>
    <w:rsid w:val="08A90D2D"/>
    <w:rsid w:val="08E27CA9"/>
    <w:rsid w:val="092D39A9"/>
    <w:rsid w:val="0A3367C8"/>
    <w:rsid w:val="0A726EFC"/>
    <w:rsid w:val="0A8F3F52"/>
    <w:rsid w:val="0B293A5F"/>
    <w:rsid w:val="0B521208"/>
    <w:rsid w:val="0B5374D4"/>
    <w:rsid w:val="0C1C1816"/>
    <w:rsid w:val="0CF87B8D"/>
    <w:rsid w:val="0D563CC5"/>
    <w:rsid w:val="0D9E714C"/>
    <w:rsid w:val="0F5F0397"/>
    <w:rsid w:val="0F72414B"/>
    <w:rsid w:val="0FF245EB"/>
    <w:rsid w:val="10BE2E9B"/>
    <w:rsid w:val="11062545"/>
    <w:rsid w:val="111D7BC2"/>
    <w:rsid w:val="11365128"/>
    <w:rsid w:val="118E39E8"/>
    <w:rsid w:val="11A96365"/>
    <w:rsid w:val="11D14925"/>
    <w:rsid w:val="11D566EF"/>
    <w:rsid w:val="12CA3D79"/>
    <w:rsid w:val="131C4174"/>
    <w:rsid w:val="13386C1E"/>
    <w:rsid w:val="13D749A0"/>
    <w:rsid w:val="150572EB"/>
    <w:rsid w:val="151F3B9D"/>
    <w:rsid w:val="15BC4BAA"/>
    <w:rsid w:val="16612BC4"/>
    <w:rsid w:val="173619DD"/>
    <w:rsid w:val="17E13435"/>
    <w:rsid w:val="17FB2C27"/>
    <w:rsid w:val="1801515E"/>
    <w:rsid w:val="18344781"/>
    <w:rsid w:val="18692F74"/>
    <w:rsid w:val="18CD4E3E"/>
    <w:rsid w:val="18E36DAA"/>
    <w:rsid w:val="18F27B86"/>
    <w:rsid w:val="192D09DB"/>
    <w:rsid w:val="19650358"/>
    <w:rsid w:val="1A141D7E"/>
    <w:rsid w:val="1A4779EE"/>
    <w:rsid w:val="1A82318C"/>
    <w:rsid w:val="1AC83294"/>
    <w:rsid w:val="1B276999"/>
    <w:rsid w:val="1B826FFA"/>
    <w:rsid w:val="1B974A15"/>
    <w:rsid w:val="1BD72652"/>
    <w:rsid w:val="1BEE6D2B"/>
    <w:rsid w:val="1C006A5E"/>
    <w:rsid w:val="1C876837"/>
    <w:rsid w:val="1CAD523D"/>
    <w:rsid w:val="1D1125A5"/>
    <w:rsid w:val="1D57445C"/>
    <w:rsid w:val="1D644543"/>
    <w:rsid w:val="1D660B43"/>
    <w:rsid w:val="1DA67191"/>
    <w:rsid w:val="1DDC7F2F"/>
    <w:rsid w:val="1DE859FC"/>
    <w:rsid w:val="1DEE330B"/>
    <w:rsid w:val="1DF55B17"/>
    <w:rsid w:val="1E2642CF"/>
    <w:rsid w:val="1E9F430C"/>
    <w:rsid w:val="1EDD4E34"/>
    <w:rsid w:val="1EE60E9C"/>
    <w:rsid w:val="1F0B3E19"/>
    <w:rsid w:val="1F151871"/>
    <w:rsid w:val="1FE13D1F"/>
    <w:rsid w:val="20736BFC"/>
    <w:rsid w:val="20992FDD"/>
    <w:rsid w:val="20B7497A"/>
    <w:rsid w:val="21B26104"/>
    <w:rsid w:val="22367DDE"/>
    <w:rsid w:val="229012E4"/>
    <w:rsid w:val="23001A0F"/>
    <w:rsid w:val="23025A6C"/>
    <w:rsid w:val="231C726F"/>
    <w:rsid w:val="23F549CE"/>
    <w:rsid w:val="247C5538"/>
    <w:rsid w:val="24CD1023"/>
    <w:rsid w:val="26282E39"/>
    <w:rsid w:val="266D01A2"/>
    <w:rsid w:val="26802C75"/>
    <w:rsid w:val="26881B2A"/>
    <w:rsid w:val="2737475D"/>
    <w:rsid w:val="27893DAB"/>
    <w:rsid w:val="27C4647B"/>
    <w:rsid w:val="27E775DD"/>
    <w:rsid w:val="28213457"/>
    <w:rsid w:val="28835D8C"/>
    <w:rsid w:val="290243D3"/>
    <w:rsid w:val="294947E5"/>
    <w:rsid w:val="295403E9"/>
    <w:rsid w:val="29C42E79"/>
    <w:rsid w:val="29C9048F"/>
    <w:rsid w:val="2A2800B3"/>
    <w:rsid w:val="2A464EF1"/>
    <w:rsid w:val="2A830F86"/>
    <w:rsid w:val="2AB6159E"/>
    <w:rsid w:val="2B086ABE"/>
    <w:rsid w:val="2B292C19"/>
    <w:rsid w:val="2B3C2EE3"/>
    <w:rsid w:val="2C624BCB"/>
    <w:rsid w:val="2C6D5CC7"/>
    <w:rsid w:val="2C884632"/>
    <w:rsid w:val="2CE04787"/>
    <w:rsid w:val="2CFE0572"/>
    <w:rsid w:val="2D751EAD"/>
    <w:rsid w:val="2D8B27CA"/>
    <w:rsid w:val="2E034EA9"/>
    <w:rsid w:val="2E1C04AA"/>
    <w:rsid w:val="2E2F6E21"/>
    <w:rsid w:val="2F177EEF"/>
    <w:rsid w:val="2F345783"/>
    <w:rsid w:val="2F9827FF"/>
    <w:rsid w:val="2F9C6646"/>
    <w:rsid w:val="2FF26DE6"/>
    <w:rsid w:val="2FF3270A"/>
    <w:rsid w:val="304F751B"/>
    <w:rsid w:val="30A05CC2"/>
    <w:rsid w:val="317A4765"/>
    <w:rsid w:val="31E6684E"/>
    <w:rsid w:val="323A2127"/>
    <w:rsid w:val="323C7C18"/>
    <w:rsid w:val="32A777DC"/>
    <w:rsid w:val="32B75C71"/>
    <w:rsid w:val="32D0288E"/>
    <w:rsid w:val="32EC3440"/>
    <w:rsid w:val="334C70D2"/>
    <w:rsid w:val="33CD5765"/>
    <w:rsid w:val="3504375D"/>
    <w:rsid w:val="35076310"/>
    <w:rsid w:val="351B1DBB"/>
    <w:rsid w:val="355235F1"/>
    <w:rsid w:val="35647C06"/>
    <w:rsid w:val="35BA60CE"/>
    <w:rsid w:val="35C02D69"/>
    <w:rsid w:val="35F50812"/>
    <w:rsid w:val="36323860"/>
    <w:rsid w:val="36721EAF"/>
    <w:rsid w:val="36A302BA"/>
    <w:rsid w:val="37B073FF"/>
    <w:rsid w:val="37B95EF8"/>
    <w:rsid w:val="380A6843"/>
    <w:rsid w:val="381E409C"/>
    <w:rsid w:val="383C3143"/>
    <w:rsid w:val="38425956"/>
    <w:rsid w:val="38481119"/>
    <w:rsid w:val="388F3420"/>
    <w:rsid w:val="38BE0282"/>
    <w:rsid w:val="38E01351"/>
    <w:rsid w:val="39000EEC"/>
    <w:rsid w:val="3A077E08"/>
    <w:rsid w:val="3B186779"/>
    <w:rsid w:val="3C8B3CCA"/>
    <w:rsid w:val="3CB14AF3"/>
    <w:rsid w:val="3CCA47F2"/>
    <w:rsid w:val="3CE93009"/>
    <w:rsid w:val="3D516CC2"/>
    <w:rsid w:val="3D7B490A"/>
    <w:rsid w:val="3E173A67"/>
    <w:rsid w:val="3E506F79"/>
    <w:rsid w:val="3E720C9E"/>
    <w:rsid w:val="3E952BDE"/>
    <w:rsid w:val="3EED47C8"/>
    <w:rsid w:val="3EF11C9C"/>
    <w:rsid w:val="3F173B72"/>
    <w:rsid w:val="3F2D1069"/>
    <w:rsid w:val="3FAA4467"/>
    <w:rsid w:val="4002682C"/>
    <w:rsid w:val="4044666A"/>
    <w:rsid w:val="405E7C9B"/>
    <w:rsid w:val="40896772"/>
    <w:rsid w:val="40C00CFA"/>
    <w:rsid w:val="40D95004"/>
    <w:rsid w:val="40F77B80"/>
    <w:rsid w:val="4116725D"/>
    <w:rsid w:val="419A5ED8"/>
    <w:rsid w:val="41D44C2D"/>
    <w:rsid w:val="42255366"/>
    <w:rsid w:val="42291FBB"/>
    <w:rsid w:val="42485A45"/>
    <w:rsid w:val="434150E2"/>
    <w:rsid w:val="43492BAA"/>
    <w:rsid w:val="435E5C94"/>
    <w:rsid w:val="43A74F98"/>
    <w:rsid w:val="44110F59"/>
    <w:rsid w:val="44F56F95"/>
    <w:rsid w:val="44F80080"/>
    <w:rsid w:val="44FE772F"/>
    <w:rsid w:val="453A6CD7"/>
    <w:rsid w:val="45406E1A"/>
    <w:rsid w:val="45C10B4B"/>
    <w:rsid w:val="45C269AF"/>
    <w:rsid w:val="45E32481"/>
    <w:rsid w:val="463B1ACF"/>
    <w:rsid w:val="467D5883"/>
    <w:rsid w:val="46E30305"/>
    <w:rsid w:val="47123691"/>
    <w:rsid w:val="47460F19"/>
    <w:rsid w:val="475D7142"/>
    <w:rsid w:val="47BD04C8"/>
    <w:rsid w:val="481935D8"/>
    <w:rsid w:val="483B0352"/>
    <w:rsid w:val="4840005F"/>
    <w:rsid w:val="487B2A53"/>
    <w:rsid w:val="49444CEF"/>
    <w:rsid w:val="499472C2"/>
    <w:rsid w:val="49DB2466"/>
    <w:rsid w:val="49DE7B2F"/>
    <w:rsid w:val="4A215B07"/>
    <w:rsid w:val="4A520EE6"/>
    <w:rsid w:val="4A8835F7"/>
    <w:rsid w:val="4A934C80"/>
    <w:rsid w:val="4AA246B9"/>
    <w:rsid w:val="4ABE5E18"/>
    <w:rsid w:val="4ADA5C6D"/>
    <w:rsid w:val="4B1D3871"/>
    <w:rsid w:val="4B5D32EE"/>
    <w:rsid w:val="4BDC5859"/>
    <w:rsid w:val="4C510646"/>
    <w:rsid w:val="4C95568F"/>
    <w:rsid w:val="4D427C05"/>
    <w:rsid w:val="4D7E765F"/>
    <w:rsid w:val="4D9825AC"/>
    <w:rsid w:val="4DD14002"/>
    <w:rsid w:val="4DF617F1"/>
    <w:rsid w:val="4E2B09F5"/>
    <w:rsid w:val="4EAA4484"/>
    <w:rsid w:val="4EDB0B4B"/>
    <w:rsid w:val="4EEF20CA"/>
    <w:rsid w:val="4F561F16"/>
    <w:rsid w:val="505A46D7"/>
    <w:rsid w:val="509222C8"/>
    <w:rsid w:val="50966A6E"/>
    <w:rsid w:val="50C01D3C"/>
    <w:rsid w:val="50C952B0"/>
    <w:rsid w:val="51B92B9B"/>
    <w:rsid w:val="534841FC"/>
    <w:rsid w:val="535A51E8"/>
    <w:rsid w:val="537A05DC"/>
    <w:rsid w:val="537A7B55"/>
    <w:rsid w:val="53AF2F7F"/>
    <w:rsid w:val="53E47AF0"/>
    <w:rsid w:val="542D7105"/>
    <w:rsid w:val="54CD44ED"/>
    <w:rsid w:val="55125361"/>
    <w:rsid w:val="551852B7"/>
    <w:rsid w:val="561B661D"/>
    <w:rsid w:val="562543F0"/>
    <w:rsid w:val="56E94A7A"/>
    <w:rsid w:val="57117B7D"/>
    <w:rsid w:val="575E22AF"/>
    <w:rsid w:val="576176AA"/>
    <w:rsid w:val="57683096"/>
    <w:rsid w:val="577E200A"/>
    <w:rsid w:val="57D936E4"/>
    <w:rsid w:val="584802C3"/>
    <w:rsid w:val="586631C9"/>
    <w:rsid w:val="588C0756"/>
    <w:rsid w:val="5899445B"/>
    <w:rsid w:val="589F0489"/>
    <w:rsid w:val="58AB3463"/>
    <w:rsid w:val="59897A48"/>
    <w:rsid w:val="5A0C7908"/>
    <w:rsid w:val="5A151778"/>
    <w:rsid w:val="5A1A070F"/>
    <w:rsid w:val="5A3E45D0"/>
    <w:rsid w:val="5A545511"/>
    <w:rsid w:val="5A843DDB"/>
    <w:rsid w:val="5ADD03C5"/>
    <w:rsid w:val="5B0261F6"/>
    <w:rsid w:val="5BD52437"/>
    <w:rsid w:val="5CD56B70"/>
    <w:rsid w:val="5CEA3EA6"/>
    <w:rsid w:val="5D137698"/>
    <w:rsid w:val="5D393E89"/>
    <w:rsid w:val="5D437F7D"/>
    <w:rsid w:val="5D866F60"/>
    <w:rsid w:val="5E0A6D81"/>
    <w:rsid w:val="5E1E5C6A"/>
    <w:rsid w:val="5E317DD6"/>
    <w:rsid w:val="5F5A335C"/>
    <w:rsid w:val="5F751D83"/>
    <w:rsid w:val="5FC5111D"/>
    <w:rsid w:val="602776E2"/>
    <w:rsid w:val="605D6A3B"/>
    <w:rsid w:val="61B0665D"/>
    <w:rsid w:val="624633C5"/>
    <w:rsid w:val="62EF5FBE"/>
    <w:rsid w:val="63C27722"/>
    <w:rsid w:val="642B176B"/>
    <w:rsid w:val="642B7805"/>
    <w:rsid w:val="64395C36"/>
    <w:rsid w:val="644D439C"/>
    <w:rsid w:val="64A42418"/>
    <w:rsid w:val="64FD1A9D"/>
    <w:rsid w:val="655273D3"/>
    <w:rsid w:val="65702482"/>
    <w:rsid w:val="65F4293E"/>
    <w:rsid w:val="65F8742B"/>
    <w:rsid w:val="66341F75"/>
    <w:rsid w:val="66391F1D"/>
    <w:rsid w:val="663C37BC"/>
    <w:rsid w:val="66730787"/>
    <w:rsid w:val="668D2F14"/>
    <w:rsid w:val="668F2A3A"/>
    <w:rsid w:val="66996E60"/>
    <w:rsid w:val="669A4364"/>
    <w:rsid w:val="67544B35"/>
    <w:rsid w:val="6781290C"/>
    <w:rsid w:val="6790162E"/>
    <w:rsid w:val="67990800"/>
    <w:rsid w:val="67BC2E06"/>
    <w:rsid w:val="67E031C8"/>
    <w:rsid w:val="681A7646"/>
    <w:rsid w:val="689A7DBD"/>
    <w:rsid w:val="68B36AE8"/>
    <w:rsid w:val="6958628D"/>
    <w:rsid w:val="69AA3132"/>
    <w:rsid w:val="69DF498D"/>
    <w:rsid w:val="69E0751C"/>
    <w:rsid w:val="6BB65DBE"/>
    <w:rsid w:val="6BEF6752"/>
    <w:rsid w:val="6C2801D8"/>
    <w:rsid w:val="6D5B6C1D"/>
    <w:rsid w:val="6DC9627D"/>
    <w:rsid w:val="6E276AFF"/>
    <w:rsid w:val="6EA932E8"/>
    <w:rsid w:val="6FB97C2B"/>
    <w:rsid w:val="702368EB"/>
    <w:rsid w:val="70302CA2"/>
    <w:rsid w:val="704343AA"/>
    <w:rsid w:val="70671D7D"/>
    <w:rsid w:val="707463BA"/>
    <w:rsid w:val="70F84783"/>
    <w:rsid w:val="71685DAD"/>
    <w:rsid w:val="71950224"/>
    <w:rsid w:val="71F152B8"/>
    <w:rsid w:val="72176391"/>
    <w:rsid w:val="721B6FB3"/>
    <w:rsid w:val="72EC6569"/>
    <w:rsid w:val="735955DB"/>
    <w:rsid w:val="73833CD3"/>
    <w:rsid w:val="73851C29"/>
    <w:rsid w:val="73B175F5"/>
    <w:rsid w:val="73E607BC"/>
    <w:rsid w:val="74281823"/>
    <w:rsid w:val="74E724EC"/>
    <w:rsid w:val="760F2C9B"/>
    <w:rsid w:val="766C66AD"/>
    <w:rsid w:val="769C7C7E"/>
    <w:rsid w:val="76AF7FDA"/>
    <w:rsid w:val="76DF5D07"/>
    <w:rsid w:val="7718792D"/>
    <w:rsid w:val="77696B00"/>
    <w:rsid w:val="777032C5"/>
    <w:rsid w:val="779401E3"/>
    <w:rsid w:val="779C67B0"/>
    <w:rsid w:val="77BA0F87"/>
    <w:rsid w:val="7801383D"/>
    <w:rsid w:val="7820118F"/>
    <w:rsid w:val="783C3A4B"/>
    <w:rsid w:val="78B10039"/>
    <w:rsid w:val="78D67BCB"/>
    <w:rsid w:val="78DD2BDC"/>
    <w:rsid w:val="79192C60"/>
    <w:rsid w:val="797A667D"/>
    <w:rsid w:val="7A0A0C5A"/>
    <w:rsid w:val="7A290590"/>
    <w:rsid w:val="7A2C6DAC"/>
    <w:rsid w:val="7A460C55"/>
    <w:rsid w:val="7A8C48BA"/>
    <w:rsid w:val="7AA0785F"/>
    <w:rsid w:val="7ABD5D84"/>
    <w:rsid w:val="7AFD57B8"/>
    <w:rsid w:val="7B3D7962"/>
    <w:rsid w:val="7B5755F7"/>
    <w:rsid w:val="7B713AB0"/>
    <w:rsid w:val="7B737828"/>
    <w:rsid w:val="7C2C0D6F"/>
    <w:rsid w:val="7C3E29B8"/>
    <w:rsid w:val="7C5B09E8"/>
    <w:rsid w:val="7CF14EA8"/>
    <w:rsid w:val="7D014423"/>
    <w:rsid w:val="7D796C4C"/>
    <w:rsid w:val="7DB65895"/>
    <w:rsid w:val="7E030AED"/>
    <w:rsid w:val="7F211154"/>
    <w:rsid w:val="7F405C73"/>
    <w:rsid w:val="7F425A2A"/>
    <w:rsid w:val="7F6736F6"/>
    <w:rsid w:val="7F875650"/>
    <w:rsid w:val="7FDA1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adjustRightInd w:val="0"/>
      <w:spacing w:before="100" w:beforeAutospacing="1" w:after="60" w:line="360" w:lineRule="atLeast"/>
      <w:ind w:left="72" w:leftChars="30" w:right="30" w:rightChars="30"/>
      <w:jc w:val="center"/>
      <w:textAlignment w:val="baseline"/>
    </w:pPr>
  </w:style>
  <w:style w:type="paragraph" w:styleId="4">
    <w:name w:val="Body Text Indent"/>
    <w:basedOn w:val="1"/>
    <w:next w:val="5"/>
    <w:qFormat/>
    <w:uiPriority w:val="0"/>
    <w:pPr>
      <w:spacing w:after="120"/>
      <w:ind w:left="420" w:leftChars="200"/>
    </w:pPr>
  </w:style>
  <w:style w:type="paragraph" w:styleId="5">
    <w:name w:val="envelope return"/>
    <w:basedOn w:val="1"/>
    <w:unhideWhenUsed/>
    <w:qFormat/>
    <w:uiPriority w:val="99"/>
    <w:pPr>
      <w:snapToGrid w:val="0"/>
    </w:pPr>
    <w:rPr>
      <w:rFonts w:ascii="Arial" w:hAnsi="Arial"/>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unhideWhenUsed/>
    <w:qFormat/>
    <w:uiPriority w:val="99"/>
    <w:pPr>
      <w:ind w:firstLine="420" w:firstLineChars="200"/>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FollowedHyperlink"/>
    <w:basedOn w:val="10"/>
    <w:autoRedefine/>
    <w:qFormat/>
    <w:uiPriority w:val="0"/>
    <w:rPr>
      <w:color w:val="800080"/>
      <w:u w:val="none"/>
    </w:rPr>
  </w:style>
  <w:style w:type="character" w:styleId="13">
    <w:name w:val="HTML Definition"/>
    <w:basedOn w:val="10"/>
    <w:autoRedefine/>
    <w:qFormat/>
    <w:uiPriority w:val="0"/>
  </w:style>
  <w:style w:type="character" w:styleId="14">
    <w:name w:val="HTML Typewriter"/>
    <w:basedOn w:val="10"/>
    <w:autoRedefine/>
    <w:qFormat/>
    <w:uiPriority w:val="0"/>
    <w:rPr>
      <w:rFonts w:hint="default" w:ascii="monospace" w:hAnsi="monospace" w:eastAsia="monospace" w:cs="monospace"/>
      <w:sz w:val="20"/>
    </w:rPr>
  </w:style>
  <w:style w:type="character" w:styleId="15">
    <w:name w:val="HTML Acronym"/>
    <w:basedOn w:val="10"/>
    <w:autoRedefine/>
    <w:qFormat/>
    <w:uiPriority w:val="0"/>
  </w:style>
  <w:style w:type="character" w:styleId="16">
    <w:name w:val="HTML Variable"/>
    <w:basedOn w:val="10"/>
    <w:autoRedefine/>
    <w:qFormat/>
    <w:uiPriority w:val="0"/>
  </w:style>
  <w:style w:type="character" w:styleId="17">
    <w:name w:val="Hyperlink"/>
    <w:basedOn w:val="10"/>
    <w:autoRedefine/>
    <w:qFormat/>
    <w:uiPriority w:val="0"/>
    <w:rPr>
      <w:color w:val="0000FF"/>
      <w:u w:val="none"/>
    </w:rPr>
  </w:style>
  <w:style w:type="character" w:styleId="18">
    <w:name w:val="HTML Code"/>
    <w:basedOn w:val="10"/>
    <w:autoRedefine/>
    <w:qFormat/>
    <w:uiPriority w:val="0"/>
    <w:rPr>
      <w:rFonts w:hint="default" w:ascii="monospace" w:hAnsi="monospace" w:eastAsia="monospace" w:cs="monospace"/>
      <w:sz w:val="20"/>
    </w:rPr>
  </w:style>
  <w:style w:type="character" w:styleId="19">
    <w:name w:val="HTML Cite"/>
    <w:basedOn w:val="10"/>
    <w:autoRedefine/>
    <w:qFormat/>
    <w:uiPriority w:val="0"/>
  </w:style>
  <w:style w:type="character" w:styleId="20">
    <w:name w:val="HTML Keyboard"/>
    <w:basedOn w:val="10"/>
    <w:autoRedefine/>
    <w:qFormat/>
    <w:uiPriority w:val="0"/>
    <w:rPr>
      <w:rFonts w:hint="default" w:ascii="monospace" w:hAnsi="monospace" w:eastAsia="monospace" w:cs="monospace"/>
      <w:sz w:val="20"/>
    </w:rPr>
  </w:style>
  <w:style w:type="character" w:styleId="21">
    <w:name w:val="HTML Sample"/>
    <w:basedOn w:val="10"/>
    <w:autoRedefine/>
    <w:qFormat/>
    <w:uiPriority w:val="0"/>
    <w:rPr>
      <w:rFonts w:ascii="monospace" w:hAnsi="monospace" w:eastAsia="monospace" w:cs="monospace"/>
    </w:rPr>
  </w:style>
  <w:style w:type="character" w:customStyle="1" w:styleId="22">
    <w:name w:val="layui-this"/>
    <w:basedOn w:val="10"/>
    <w:autoRedefine/>
    <w:qFormat/>
    <w:uiPriority w:val="0"/>
    <w:rPr>
      <w:bdr w:val="single" w:color="EEEEEE" w:sz="6" w:space="0"/>
      <w:shd w:val="clear" w:fill="FFFFFF"/>
    </w:rPr>
  </w:style>
  <w:style w:type="character" w:customStyle="1" w:styleId="23">
    <w:name w:val="first-child"/>
    <w:basedOn w:val="10"/>
    <w:autoRedefine/>
    <w:qFormat/>
    <w:uiPriority w:val="0"/>
  </w:style>
  <w:style w:type="character" w:customStyle="1" w:styleId="24">
    <w:name w:val="hover3"/>
    <w:basedOn w:val="10"/>
    <w:autoRedefine/>
    <w:qFormat/>
    <w:uiPriority w:val="0"/>
    <w:rPr>
      <w:color w:val="5FB878"/>
    </w:rPr>
  </w:style>
  <w:style w:type="character" w:customStyle="1" w:styleId="25">
    <w:name w:val="hover4"/>
    <w:basedOn w:val="10"/>
    <w:autoRedefine/>
    <w:qFormat/>
    <w:uiPriority w:val="0"/>
    <w:rPr>
      <w:color w:val="5FB878"/>
    </w:rPr>
  </w:style>
  <w:style w:type="character" w:customStyle="1" w:styleId="26">
    <w:name w:val="hover5"/>
    <w:basedOn w:val="10"/>
    <w:autoRedefine/>
    <w:qFormat/>
    <w:uiPriority w:val="0"/>
    <w:rPr>
      <w:color w:va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3056</Words>
  <Characters>3153</Characters>
  <Lines>0</Lines>
  <Paragraphs>0</Paragraphs>
  <TotalTime>7</TotalTime>
  <ScaleCrop>false</ScaleCrop>
  <LinksUpToDate>false</LinksUpToDate>
  <CharactersWithSpaces>3174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微微</cp:lastModifiedBy>
  <dcterms:modified xsi:type="dcterms:W3CDTF">2026-03-17T09:00:33Z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443FF6227B424A3FB0D3610B0860080A_13</vt:lpwstr>
  </property>
</Properties>
</file>