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</w:rPr>
        <w:t>启东市201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</w:rPr>
        <w:t>年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44"/>
          <w:szCs w:val="44"/>
        </w:rPr>
        <w:t>国民经济和社会发展统计公报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83" w:firstLineChars="200"/>
        <w:jc w:val="center"/>
        <w:textAlignment w:val="auto"/>
        <w:rPr>
          <w:rFonts w:hint="eastAsia" w:ascii="黑体" w:hAnsi="宋体" w:eastAsia="黑体"/>
          <w:b/>
          <w:color w:val="auto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color w:val="auto"/>
          <w:kern w:val="0"/>
          <w:sz w:val="28"/>
          <w:szCs w:val="28"/>
        </w:rPr>
        <w:t>启东市统计局     国家统计局启东调查队</w:t>
      </w:r>
    </w:p>
    <w:p>
      <w:pPr>
        <w:adjustRightInd w:val="0"/>
        <w:snapToGrid w:val="0"/>
        <w:spacing w:line="480" w:lineRule="exact"/>
        <w:ind w:firstLine="643" w:firstLineChars="200"/>
        <w:jc w:val="center"/>
        <w:rPr>
          <w:rFonts w:hint="eastAsia" w:ascii="仿宋_GB2312" w:hAnsi="宋体" w:eastAsia="仿宋_GB2312"/>
          <w:b/>
          <w:color w:val="auto"/>
          <w:sz w:val="48"/>
          <w:szCs w:val="48"/>
        </w:rPr>
      </w:pPr>
      <w:r>
        <w:rPr>
          <w:rFonts w:hint="eastAsia" w:eastAsia="仿宋_GB2312"/>
          <w:b/>
          <w:bCs/>
          <w:snapToGrid w:val="0"/>
          <w:color w:val="auto"/>
          <w:kern w:val="0"/>
          <w:sz w:val="32"/>
          <w:szCs w:val="32"/>
        </w:rPr>
        <w:t xml:space="preserve">              </w:t>
      </w:r>
      <w:r>
        <w:rPr>
          <w:rFonts w:ascii="仿宋_GB2312" w:hAnsi="宋体" w:eastAsia="仿宋_GB2312"/>
          <w:b/>
          <w:color w:val="auto"/>
          <w:sz w:val="48"/>
          <w:szCs w:val="48"/>
        </w:rPr>
        <w:tab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480" w:firstLineChars="200"/>
        <w:jc w:val="both"/>
        <w:textAlignment w:val="auto"/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eastAsia="zh-CN"/>
        </w:rPr>
        <w:t>201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eastAsia="zh-CN"/>
        </w:rPr>
        <w:t>年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</w:rPr>
        <w:t>，全市上下紧紧围绕高水平全面建成小康社会的目标，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eastAsia="zh-CN"/>
        </w:rPr>
        <w:t>牢牢把握稳中求进工作总基调，深入贯彻新发展理念，以供给侧结构性改革为主线，以项目建设为主抓手，聚力创新、聚焦富民，统筹推进稳增长、促改革、调结构、惠民生、优生态、防风险等各项工作，全市经济社会运行平稳、综合实力显著增强，民生福祉日益改善，高水平全面建成小康社会取得新进展，高质量发展迈出新步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一、综合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jc w:val="both"/>
        <w:textAlignment w:val="auto"/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南通统计局反馈初步核算结果，2019年全市实现地区生产总值1157.55亿元，按可比价计算，比上年增长5.5%。其中，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zh-CN" w:eastAsia="zh-CN" w:bidi="ar-SA"/>
        </w:rPr>
        <w:t>第一产业增加值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79.64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zh-CN" w:eastAsia="zh-CN" w:bidi="ar-SA"/>
        </w:rPr>
        <w:t>亿元，增长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2.6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zh-CN" w:eastAsia="zh-CN" w:bidi="ar-SA"/>
        </w:rPr>
        <w:t>%；第二产业增加值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581.29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zh-CN" w:eastAsia="zh-CN" w:bidi="ar-SA"/>
        </w:rPr>
        <w:t>亿元，增长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7.1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zh-CN" w:eastAsia="zh-CN" w:bidi="ar-SA"/>
        </w:rPr>
        <w:t>%；第三产业增加值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496.62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zh-CN" w:eastAsia="zh-CN" w:bidi="ar-SA"/>
        </w:rPr>
        <w:t>亿元，增长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4.1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zh-CN" w:eastAsia="zh-CN" w:bidi="ar-SA"/>
        </w:rPr>
        <w:t>%。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三次产业比为6.9:50.2:42.9。人均地区生产总值达到121879元，按2019年平均汇率计算，人均地区生产总值为17669美元。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jc w:val="left"/>
        <w:textAlignment w:val="auto"/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zh-CN" w:eastAsia="zh-CN" w:bidi="ar-SA"/>
        </w:rPr>
        <w:t>全年新增城镇就业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9927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zh-CN" w:eastAsia="zh-CN" w:bidi="ar-SA"/>
        </w:rPr>
        <w:t>人、新增转移农村劳动力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4020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zh-CN" w:eastAsia="zh-CN" w:bidi="ar-SA"/>
        </w:rPr>
        <w:t>人、促进城镇失业人员再就业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3650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zh-CN" w:eastAsia="zh-CN" w:bidi="ar-SA"/>
        </w:rPr>
        <w:t>人，城镇登记失业率控制在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2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zh-CN" w:eastAsia="zh-CN" w:bidi="ar-SA"/>
        </w:rPr>
        <w:t>%以内。</w:t>
      </w:r>
      <w:r>
        <w:rPr>
          <w:rFonts w:hint="eastAsia" w:ascii="方正书宋_GBK" w:hAnsi="方正书宋_GBK" w:eastAsia="方正书宋_GBK" w:cs="方正书宋_GBK"/>
          <w:snapToGrid w:val="0"/>
          <w:color w:val="auto"/>
          <w:kern w:val="0"/>
          <w:sz w:val="24"/>
          <w:szCs w:val="24"/>
          <w:highlight w:val="none"/>
          <w:lang w:val="en-US" w:eastAsia="zh-CN" w:bidi="ar-SA"/>
        </w:rPr>
        <w:t>全市工商登记各类企业33091家，其中国有及集体控股企业4104家、外商投资企业1261家、私营企业25762家。当年新登记各类企业3006家，新增个体工商户7246家。年末从业人员66.03万人，其中，第一产业14.80万人，第二产业29.09万人，第三产业22.14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jc w:val="left"/>
        <w:textAlignment w:val="auto"/>
        <w:rPr>
          <w:rFonts w:hint="eastAsia" w:ascii="方正书宋_GBK" w:hAnsi="方正书宋_GBK" w:eastAsia="方正书宋_GBK" w:cs="方正书宋_GBK"/>
          <w:snapToGrid w:val="0"/>
          <w:kern w:val="0"/>
          <w:sz w:val="24"/>
          <w:szCs w:val="24"/>
          <w:highlight w:val="none"/>
          <w:lang w:val="zh-CN"/>
        </w:rPr>
      </w:pPr>
      <w:r>
        <w:rPr>
          <w:rFonts w:hint="eastAsia" w:ascii="方正书宋_GBK" w:hAnsi="方正书宋_GBK" w:eastAsia="方正书宋_GBK" w:cs="方正书宋_GBK"/>
          <w:snapToGrid w:val="0"/>
          <w:kern w:val="0"/>
          <w:sz w:val="24"/>
          <w:szCs w:val="24"/>
          <w:highlight w:val="none"/>
          <w:lang w:val="zh-CN"/>
        </w:rPr>
        <w:t>全市居民消费价格指数103.3%，物价总水平比上年上涨3.3%，其中，服务项目价格上涨</w:t>
      </w:r>
      <w:r>
        <w:rPr>
          <w:rFonts w:hint="eastAsia" w:ascii="方正书宋_GBK" w:hAnsi="方正书宋_GBK" w:eastAsia="方正书宋_GBK" w:cs="方正书宋_GBK"/>
          <w:snapToGrid w:val="0"/>
          <w:kern w:val="0"/>
          <w:sz w:val="24"/>
          <w:szCs w:val="24"/>
          <w:highlight w:val="none"/>
        </w:rPr>
        <w:t>0.4</w:t>
      </w:r>
      <w:r>
        <w:rPr>
          <w:rFonts w:hint="eastAsia" w:ascii="方正书宋_GBK" w:hAnsi="方正书宋_GBK" w:eastAsia="方正书宋_GBK" w:cs="方正书宋_GBK"/>
          <w:snapToGrid w:val="0"/>
          <w:kern w:val="0"/>
          <w:sz w:val="24"/>
          <w:szCs w:val="24"/>
          <w:highlight w:val="none"/>
          <w:lang w:val="zh-CN"/>
        </w:rPr>
        <w:t>%，消费品价格上涨</w:t>
      </w:r>
      <w:r>
        <w:rPr>
          <w:rFonts w:hint="eastAsia" w:ascii="方正书宋_GBK" w:hAnsi="方正书宋_GBK" w:eastAsia="方正书宋_GBK" w:cs="方正书宋_GBK"/>
          <w:snapToGrid w:val="0"/>
          <w:kern w:val="0"/>
          <w:sz w:val="24"/>
          <w:szCs w:val="24"/>
          <w:highlight w:val="none"/>
        </w:rPr>
        <w:t>4.9</w:t>
      </w:r>
      <w:r>
        <w:rPr>
          <w:rFonts w:hint="eastAsia" w:ascii="方正书宋_GBK" w:hAnsi="方正书宋_GBK" w:eastAsia="方正书宋_GBK" w:cs="方正书宋_GBK"/>
          <w:snapToGrid w:val="0"/>
          <w:kern w:val="0"/>
          <w:sz w:val="24"/>
          <w:szCs w:val="24"/>
          <w:highlight w:val="none"/>
          <w:lang w:val="zh-CN"/>
        </w:rPr>
        <w:t>%。八大类消费品及服务项目价格呈全面上涨态势。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22"/>
          <w:szCs w:val="22"/>
          <w:highlight w:val="none"/>
          <w:shd w:val="clear" w:color="auto" w:fill="FFFFFF"/>
        </w:rPr>
        <w:t xml:space="preserve"> 2019年居民消费价格比上年涨跌幅度</w:t>
      </w:r>
    </w:p>
    <w:tbl>
      <w:tblPr>
        <w:tblStyle w:val="6"/>
        <w:tblpPr w:leftFromText="180" w:rightFromText="180" w:vertAnchor="text" w:horzAnchor="page" w:tblpX="3266" w:tblpY="121"/>
        <w:tblOverlap w:val="never"/>
        <w:tblW w:w="567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3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8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 w:line="24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指     标</w:t>
            </w:r>
          </w:p>
        </w:tc>
        <w:tc>
          <w:tcPr>
            <w:tcW w:w="28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 w:line="240" w:lineRule="atLeas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比上年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  <w:lang w:eastAsia="zh-CN"/>
              </w:rPr>
              <w:t>涨跌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9" w:hRule="exac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3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食品烟酒类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300" w:firstLine="210" w:firstLineChars="1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其中：粮食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09" w:leftChars="290" w:firstLine="840" w:firstLineChars="4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畜肉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09" w:leftChars="290" w:firstLine="840" w:firstLineChars="4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3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衣着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3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3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生活用品及服务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3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交通和通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3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教育文化和娱乐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3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医疗保健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0" w:leftChars="3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其他用品和服务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7.3</w:t>
            </w:r>
          </w:p>
          <w:p>
            <w:pPr>
              <w:bidi w:val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-1.2</w:t>
            </w:r>
          </w:p>
          <w:p>
            <w:pPr>
              <w:bidi w:val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27.8</w:t>
            </w:r>
          </w:p>
          <w:p>
            <w:pPr>
              <w:bidi w:val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-1.2</w:t>
            </w:r>
          </w:p>
          <w:p>
            <w:pPr>
              <w:bidi w:val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5.4</w:t>
            </w:r>
          </w:p>
          <w:p>
            <w:pPr>
              <w:bidi w:val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0.3</w:t>
            </w:r>
          </w:p>
          <w:p>
            <w:pPr>
              <w:bidi w:val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2.6</w:t>
            </w:r>
          </w:p>
          <w:p>
            <w:pPr>
              <w:bidi w:val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1.7</w:t>
            </w:r>
          </w:p>
          <w:p>
            <w:pPr>
              <w:bidi w:val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0.8</w:t>
            </w:r>
          </w:p>
          <w:p>
            <w:pPr>
              <w:bidi w:val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1.6</w:t>
            </w:r>
          </w:p>
          <w:p>
            <w:pPr>
              <w:bidi w:val="0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highlight w:val="none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center"/>
        <w:textAlignment w:val="auto"/>
        <w:outlineLvl w:val="9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二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、人口、人民生活和社会保障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年末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全市户籍总人口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110.35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万人，其中，城区（汇龙镇和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eastAsia="zh-CN"/>
        </w:rPr>
        <w:t>启东经济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开发区）人口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27.47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万人。全年出生人口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5507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人，出生率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4.99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‰，出生婴儿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eastAsia="zh-CN"/>
        </w:rPr>
        <w:t>男女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性别比为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101：100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；死亡人口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9640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人，死亡率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8.74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‰，人口自然增长率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-3.75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‰。年末常住人口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94.95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万人，城镇化率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61.12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22"/>
          <w:szCs w:val="2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22"/>
          <w:szCs w:val="22"/>
          <w:highlight w:val="none"/>
          <w:shd w:val="clear" w:fill="FFFFFF"/>
          <w:lang w:val="en-US" w:eastAsia="zh-CN"/>
        </w:rPr>
        <w:t xml:space="preserve">   2019年户籍人口主要构成情况</w:t>
      </w:r>
    </w:p>
    <w:tbl>
      <w:tblPr>
        <w:tblStyle w:val="6"/>
        <w:tblpPr w:leftFromText="180" w:rightFromText="180" w:vertAnchor="text" w:horzAnchor="page" w:tblpX="2522" w:tblpY="182"/>
        <w:tblW w:w="0" w:type="auto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2383"/>
        <w:gridCol w:w="2388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388" w:type="dxa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      标</w:t>
            </w:r>
          </w:p>
        </w:tc>
        <w:tc>
          <w:tcPr>
            <w:tcW w:w="2383" w:type="dxa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年末数（人）</w:t>
            </w:r>
          </w:p>
        </w:tc>
        <w:tc>
          <w:tcPr>
            <w:tcW w:w="2388" w:type="dxa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比重（%）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88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全市总人口</w:t>
            </w:r>
          </w:p>
        </w:tc>
        <w:tc>
          <w:tcPr>
            <w:tcW w:w="2383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1103521</w:t>
            </w:r>
          </w:p>
        </w:tc>
        <w:tc>
          <w:tcPr>
            <w:tcW w:w="2388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735" w:right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#城镇人口</w:t>
            </w:r>
          </w:p>
        </w:tc>
        <w:tc>
          <w:tcPr>
            <w:tcW w:w="23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610038</w:t>
            </w:r>
          </w:p>
        </w:tc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735" w:right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55.3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乡村人口</w:t>
            </w:r>
          </w:p>
        </w:tc>
        <w:tc>
          <w:tcPr>
            <w:tcW w:w="23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493483</w:t>
            </w:r>
          </w:p>
        </w:tc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735" w:right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#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男性人口</w:t>
            </w:r>
          </w:p>
        </w:tc>
        <w:tc>
          <w:tcPr>
            <w:tcW w:w="23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539207</w:t>
            </w:r>
          </w:p>
        </w:tc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735" w:right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女性人口</w:t>
            </w:r>
          </w:p>
        </w:tc>
        <w:tc>
          <w:tcPr>
            <w:tcW w:w="23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564314</w:t>
            </w:r>
          </w:p>
        </w:tc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735" w:right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0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0" w:rightChars="0" w:firstLine="63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#18岁以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下</w:t>
            </w:r>
          </w:p>
        </w:tc>
        <w:tc>
          <w:tcPr>
            <w:tcW w:w="23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119528</w:t>
            </w:r>
          </w:p>
        </w:tc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735" w:right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" w:leftChars="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18-34岁</w:t>
            </w:r>
          </w:p>
        </w:tc>
        <w:tc>
          <w:tcPr>
            <w:tcW w:w="23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198231</w:t>
            </w:r>
          </w:p>
        </w:tc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735" w:right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3" w:leftChars="3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35-59岁</w:t>
            </w:r>
          </w:p>
        </w:tc>
        <w:tc>
          <w:tcPr>
            <w:tcW w:w="23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432368</w:t>
            </w:r>
          </w:p>
        </w:tc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735" w:right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39.2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84" w:leftChars="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60岁以上</w:t>
            </w:r>
          </w:p>
        </w:tc>
        <w:tc>
          <w:tcPr>
            <w:tcW w:w="23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353394</w:t>
            </w:r>
          </w:p>
        </w:tc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735" w:right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tabs>
                <w:tab w:val="left" w:pos="630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#出生人口</w:t>
            </w:r>
          </w:p>
        </w:tc>
        <w:tc>
          <w:tcPr>
            <w:tcW w:w="23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5507</w:t>
            </w:r>
          </w:p>
        </w:tc>
        <w:tc>
          <w:tcPr>
            <w:tcW w:w="238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735" w:right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88" w:type="dxa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#死亡人口</w:t>
            </w:r>
          </w:p>
        </w:tc>
        <w:tc>
          <w:tcPr>
            <w:tcW w:w="2383" w:type="dxa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630" w:rightChars="3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9640</w:t>
            </w:r>
          </w:p>
        </w:tc>
        <w:tc>
          <w:tcPr>
            <w:tcW w:w="2388" w:type="dxa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735" w:rightChars="3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zh-CN"/>
        </w:rPr>
      </w:pP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</w:pP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  <w:t>全年居民人均可支配收入37825元，增长8.8%。按常住地分，城镇居民人均可支配收入47982元，增长8.4%；农村居民人均可支配收入25714元，增长8.6%。城乡居民收入比（以农村为1）为1.8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  <w:t>：1。全市居民人均生活消费支出26768元，增长5.6%。按常住地分，城镇居民人均生活消费支出34295元，增长4.7%；农村居民人均生活消费支出17794元，增长6.7%。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</w:pP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  <w:t>年末，全市城镇居民人均住房面积49.8平方米，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农村居民人均住房面积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  <w:t>63.1平方米。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 w:cs="微软雅黑"/>
          <w:color w:val="auto"/>
          <w:spacing w:val="8"/>
          <w:sz w:val="22"/>
          <w:szCs w:val="22"/>
          <w:highlight w:val="none"/>
          <w:shd w:val="clear" w:color="auto" w:fill="FFFFFF"/>
        </w:rPr>
      </w:pPr>
      <w:r>
        <w:drawing>
          <wp:inline distT="0" distB="0" distL="114300" distR="114300">
            <wp:extent cx="4362450" cy="2011045"/>
            <wp:effectExtent l="0" t="0" r="0" b="8255"/>
            <wp:docPr id="8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 w:cs="微软雅黑"/>
          <w:b/>
          <w:bCs/>
          <w:color w:val="auto"/>
          <w:spacing w:val="8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8"/>
          <w:sz w:val="22"/>
          <w:szCs w:val="22"/>
          <w:highlight w:val="none"/>
          <w:shd w:val="clear" w:color="auto" w:fill="FFFFFF"/>
        </w:rPr>
        <w:t xml:space="preserve"> 2019年居民收支构成</w:t>
      </w:r>
    </w:p>
    <w:tbl>
      <w:tblPr>
        <w:tblStyle w:val="6"/>
        <w:tblpPr w:leftFromText="180" w:rightFromText="180" w:vertAnchor="text" w:horzAnchor="page" w:tblpX="2189" w:tblpY="118"/>
        <w:tblOverlap w:val="never"/>
        <w:tblW w:w="815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6"/>
        <w:gridCol w:w="995"/>
        <w:gridCol w:w="869"/>
        <w:gridCol w:w="995"/>
        <w:gridCol w:w="869"/>
        <w:gridCol w:w="995"/>
        <w:gridCol w:w="86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  <w:highlight w:val="none"/>
                <w:lang w:eastAsia="zh-CN"/>
              </w:rPr>
              <w:t>指标名称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全体居民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城镇居民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农村居民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指标值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增长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（%）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指标值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增长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（%）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指标值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（元）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增长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人均可支配收入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37825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47982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25714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 w:firstLine="226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工资性收入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24653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30581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17585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 w:firstLine="226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经营净收入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5607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6997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3949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 w:firstLine="226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财产净收入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3057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4755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1033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 w:firstLine="226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转移净收入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4508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5649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3147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人均生活消费支出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26768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5.6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34295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4.7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17794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 w:firstLine="226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食品烟酒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7770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2.4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9899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1.6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5231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 w:firstLine="226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衣着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2316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6.5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3114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5.6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1364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 w:firstLine="226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居住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4297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5696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7.0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2629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 w:firstLine="226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生活用品及服务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1569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7.0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1955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6.9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1109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6.0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 w:firstLine="226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交通通信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3793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8.4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4666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2753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 w:firstLine="226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教育文化娱乐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4926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5.4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6289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4.0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3301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 w:firstLine="226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医疗保健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1670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2149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1099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12.1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271" w:leftChars="129" w:firstLine="226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1"/>
                <w:szCs w:val="21"/>
                <w:highlight w:val="none"/>
              </w:rPr>
              <w:t>其他用品和服务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427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4.0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527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3.1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26" w:rightChars="6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308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5" w:rightChars="5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年末，全市企业职工养老保险参保人数15.73万人，增长6%；城乡基本医疗保险参保人数101.27万人，（其中职工基本医疗保险参保人数21.66万人，居民基本医疗保险参保人数79.61万人），增长1%；城镇职工失业保险参保人数10.8万人，增长1.9%。养老、医疗、失业三大保险综合覆盖率达98%。企业退休人员月均养老金2332元，增长6.5%；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 w:eastAsia="zh-CN"/>
        </w:rPr>
        <w:t>基础养老金标准提高至每人每月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148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 w:eastAsia="zh-CN"/>
        </w:rPr>
        <w:t>元，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城乡低保标准由每人每月640元提高至670元；城镇三无人员供养标准从每人每月1660元提高到1795 元；农村五保供养标准从每人每月 844元提高到925元，全年累计发放保障金6152.86万元。年末，全市拥有各类养老床位数10943张，全年发行福利彩票1.25亿元。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三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、农业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en-US" w:eastAsia="zh-CN"/>
        </w:rPr>
        <w:t>全市实现农林牧渔业总产值159.23亿元，增长6.4%。其中，农业产值47.17亿元，增长1%；林业产值0.59亿元，增长2.8%；牧业产值12.58亿元，增长13.7%；渔业产值79.13亿元，增长6.9%；农林牧渔服务业产值19.76亿元，增长14.8%。 全年粮食种植面积120.78万亩，下降0.9%；粮食总产32.63万吨，增长1.7%。其中夏粮产量9.45万吨，下降2.1%；秋粮产量23.18万吨，增长3.3%。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420" w:firstLineChars="200"/>
        <w:textAlignment w:val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39370</wp:posOffset>
            </wp:positionV>
            <wp:extent cx="4170045" cy="2243455"/>
            <wp:effectExtent l="0" t="0" r="1905" b="4445"/>
            <wp:wrapNone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zh-CN" w:eastAsia="zh-CN"/>
        </w:rPr>
      </w:pPr>
      <w:r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zh-CN" w:eastAsia="zh-CN"/>
        </w:rPr>
        <w:t>全年新增新型合作社28家、省级示范家庭农场3家、南通市级以上农业龙头企业4家。全年新增高标准农田</w:t>
      </w:r>
      <w:r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en-US" w:eastAsia="en-US"/>
        </w:rPr>
        <w:t>9.03</w:t>
      </w:r>
      <w:r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zh-CN" w:eastAsia="zh-CN"/>
        </w:rPr>
        <w:t>万亩，新建扩建规模农业项目108个，完成投入</w:t>
      </w:r>
      <w:r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en-US" w:eastAsia="zh-CN"/>
        </w:rPr>
        <w:t>25.59</w:t>
      </w:r>
      <w:r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zh-CN" w:eastAsia="zh-CN"/>
        </w:rPr>
        <w:t>亿元。建设省绿色优质农产品基地20个，获评国家农产品地理标志 6个，培育省级“一村一品一店”示范村6个、省级农业信息化示范基地4个。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3079" w:firstLineChars="13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22"/>
          <w:szCs w:val="22"/>
          <w:highlight w:val="none"/>
          <w:shd w:val="clear" w:fill="FFFFFF"/>
        </w:rPr>
        <w:t xml:space="preserve"> 主要农副产品产量</w:t>
      </w:r>
    </w:p>
    <w:tbl>
      <w:tblPr>
        <w:tblStyle w:val="6"/>
        <w:tblW w:w="6979" w:type="dxa"/>
        <w:tblInd w:w="9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1374"/>
        <w:gridCol w:w="1743"/>
        <w:gridCol w:w="1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产品名称</w:t>
            </w:r>
          </w:p>
        </w:tc>
        <w:tc>
          <w:tcPr>
            <w:tcW w:w="13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计量单位</w:t>
            </w:r>
          </w:p>
        </w:tc>
        <w:tc>
          <w:tcPr>
            <w:tcW w:w="17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产量</w:t>
            </w:r>
          </w:p>
        </w:tc>
        <w:tc>
          <w:tcPr>
            <w:tcW w:w="19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比上年增长(%)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0" w:leftChars="20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粮食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万吨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420" w:right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32.63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586" w:rightChars="279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0" w:leftChars="20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棉花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万吨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420" w:right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0.1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586" w:rightChars="279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-27.8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0" w:leftChars="20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油料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万吨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420" w:right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5.49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586" w:rightChars="279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0" w:leftChars="20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生猪存栏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万头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420" w:right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11.02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586" w:rightChars="279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0" w:leftChars="20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生猪出栏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万头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420" w:right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25.6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586" w:rightChars="279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-13.8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0" w:leftChars="20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羊存栏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万只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420" w:right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31.25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586" w:rightChars="279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0" w:leftChars="20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羊出栏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万只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420" w:right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45.98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586" w:rightChars="279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0" w:leftChars="20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家禽存栏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万羽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420" w:right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328.5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586" w:rightChars="279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0" w:leftChars="20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家禽出栏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万羽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420" w:right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1114.34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586" w:rightChars="279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-17.8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0" w:leftChars="20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肉类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万吨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420" w:right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4.42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586" w:rightChars="279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-18.2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0" w:leftChars="20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禽蛋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万吨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420" w:right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1.81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586" w:rightChars="279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9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0" w:leftChars="200" w:right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水产品</w:t>
            </w:r>
          </w:p>
        </w:tc>
        <w:tc>
          <w:tcPr>
            <w:tcW w:w="137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8"/>
                <w:sz w:val="21"/>
                <w:szCs w:val="21"/>
                <w:highlight w:val="none"/>
              </w:rPr>
              <w:t>万吨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420" w:right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30.45</w:t>
            </w:r>
          </w:p>
        </w:tc>
        <w:tc>
          <w:tcPr>
            <w:tcW w:w="1954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586" w:rightChars="279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-15.0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四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、工业和建筑业</w:t>
      </w:r>
    </w:p>
    <w:p>
      <w:pPr>
        <w:pStyle w:val="8"/>
        <w:spacing w:line="520" w:lineRule="exact"/>
        <w:ind w:left="0" w:leftChars="0" w:firstLine="480" w:firstLineChars="200"/>
        <w:rPr>
          <w:rFonts w:hint="eastAsia" w:ascii="方正书宋_GBK" w:hAnsi="方正书宋_GBK" w:eastAsia="方正书宋_GBK" w:cs="方正书宋_GBK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方正书宋_GBK" w:hAnsi="方正书宋_GBK" w:eastAsia="方正书宋_GBK" w:cs="方正书宋_GBK"/>
          <w:kern w:val="2"/>
          <w:sz w:val="24"/>
          <w:szCs w:val="24"/>
          <w:highlight w:val="none"/>
          <w:lang w:val="en-US" w:eastAsia="zh-CN" w:bidi="ar-SA"/>
        </w:rPr>
        <w:t>全市深入实施“1521”工业大企业培育计划，全年新培育亿元级工业企业22家，10亿元、20亿元、50亿元级工业企业各1家，新增规模以上工业企业77家。全年实现工业应税销售1140亿元，增长</w:t>
      </w:r>
      <w:r>
        <w:rPr>
          <w:rFonts w:hint="eastAsia" w:ascii="方正书宋_GBK" w:hAnsi="方正书宋_GBK" w:eastAsia="方正书宋_GBK" w:cs="方正书宋_GBK"/>
          <w:kern w:val="2"/>
          <w:sz w:val="24"/>
          <w:szCs w:val="24"/>
          <w:highlight w:val="none"/>
          <w:lang w:val="en-US" w:eastAsia="en-US" w:bidi="ar-SA"/>
        </w:rPr>
        <w:t>13%</w:t>
      </w:r>
      <w:r>
        <w:rPr>
          <w:rFonts w:hint="eastAsia" w:ascii="方正书宋_GBK" w:hAnsi="方正书宋_GBK" w:eastAsia="方正书宋_GBK" w:cs="方正书宋_GBK"/>
          <w:kern w:val="2"/>
          <w:sz w:val="24"/>
          <w:szCs w:val="24"/>
          <w:highlight w:val="none"/>
          <w:lang w:val="en-US" w:eastAsia="zh-CN" w:bidi="ar-SA"/>
        </w:rPr>
        <w:t>；规模工业增加值增长4.3%。工业百强企业实现亩均销售212万元，亩均税收</w:t>
      </w:r>
      <w:r>
        <w:rPr>
          <w:rFonts w:hint="eastAsia" w:ascii="方正书宋_GBK" w:hAnsi="方正书宋_GBK" w:eastAsia="方正书宋_GBK" w:cs="方正书宋_GBK"/>
          <w:kern w:val="2"/>
          <w:sz w:val="24"/>
          <w:szCs w:val="24"/>
          <w:highlight w:val="none"/>
          <w:lang w:val="en-US" w:eastAsia="en-US" w:bidi="ar-SA"/>
        </w:rPr>
        <w:t>7.6</w:t>
      </w:r>
      <w:r>
        <w:rPr>
          <w:rFonts w:hint="eastAsia" w:ascii="方正书宋_GBK" w:hAnsi="方正书宋_GBK" w:eastAsia="方正书宋_GBK" w:cs="方正书宋_GBK"/>
          <w:kern w:val="2"/>
          <w:sz w:val="24"/>
          <w:szCs w:val="24"/>
          <w:highlight w:val="none"/>
          <w:lang w:val="en-US" w:eastAsia="zh-CN" w:bidi="ar-SA"/>
        </w:rPr>
        <w:t>万元。每度电产生的工业应税销售达48元，保持历史较高水平。</w:t>
      </w:r>
    </w:p>
    <w:p>
      <w:pPr>
        <w:pStyle w:val="8"/>
        <w:spacing w:line="520" w:lineRule="exact"/>
        <w:ind w:left="0" w:leftChars="0" w:firstLine="480" w:firstLineChars="200"/>
        <w:rPr>
          <w:rFonts w:hint="default" w:ascii="方正书宋_GBK" w:hAnsi="方正书宋_GBK" w:eastAsia="方正书宋_GBK" w:cs="方正书宋_GBK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方正书宋_GBK" w:hAnsi="方正书宋_GBK" w:eastAsia="方正书宋_GBK" w:cs="方正书宋_GBK"/>
          <w:kern w:val="2"/>
          <w:sz w:val="24"/>
          <w:szCs w:val="24"/>
          <w:highlight w:val="none"/>
          <w:lang w:val="en-US" w:eastAsia="zh-CN" w:bidi="ar-SA"/>
        </w:rPr>
        <w:t>全年实现建筑业总产值1203.83亿元，比上年增长17%。全年荣获“鲁班奖”6个、“国优奖”1个、“詹天佑奖”3个。全年房屋建筑施工面积9367.4万平方米，增长12.5%，其中新开工面积3336.4万平方米，增长4.9%；房屋竣工面积1967万平方米，下降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/>
          <w:sz w:val="24"/>
          <w:szCs w:val="24"/>
          <w:highlight w:val="none"/>
        </w:rPr>
        <w:t>五、固定资产投资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eastAsia="zh-CN"/>
        </w:rPr>
        <w:t>全市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  <w:t>固定资产投资额增长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7.2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  <w:t>%，其中，工业投资增长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6.1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  <w:t>%；服务业投资增长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8.4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  <w:t>%。服务业投资占全社会固定资产投资的比重达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43.3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  <w:t>%，比上年提升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0.5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  <w:t>个百分点。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全年新开工亿元以上产业项目99个，其中10亿元以上项目15个；新竣工亿元以上产业项目113个。4个省级重大项目完成投资25亿元，22个南通市级重大项目完成投资120亿元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六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、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国内贸易和旅游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zh-CN" w:eastAsia="zh-CN"/>
        </w:rPr>
      </w:pP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全年社会消费品零售总额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397.45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亿元，比上年增长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5.4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%。分行业看，批发业零售总额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14.8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亿元，增长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5.4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%；零售业零售总额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346.2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亿元，增长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5.4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%；住宿业零售总额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2.1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亿元，增长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5.4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%；餐饮业零售总额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34.4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亿元，增长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5.4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%。分城乡看，城镇消费品零售总额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277.23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亿元，增长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5.4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%；乡村消费品零售总额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120.22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亿元，增长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5.4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%。限额以上批发零售企业零售总额中，粮油</w:t>
      </w:r>
      <w:r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zh-CN" w:eastAsia="zh-CN"/>
        </w:rPr>
        <w:t>食品类增长</w:t>
      </w:r>
      <w:r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en-US" w:eastAsia="zh-CN"/>
        </w:rPr>
        <w:t>9%、饮料类增长3.1%、烟酒类增长4.6%、金银珠宝类下降6.1%、日用品类下降1.3%、家用电器和音像器材类下降9.3%、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石油及制品类增长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4%、汽车类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zh-CN" w:eastAsia="zh-CN"/>
        </w:rPr>
        <w:t>下降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5.1%</w:t>
      </w:r>
      <w:r>
        <w:rPr>
          <w:rFonts w:hint="eastAsia" w:ascii="方正书宋_GBK" w:hAnsi="方正书宋_GBK" w:eastAsia="方正书宋_GBK" w:cs="方正书宋_GBK"/>
          <w:b w:val="0"/>
          <w:bCs/>
          <w:color w:val="auto"/>
          <w:sz w:val="24"/>
          <w:szCs w:val="24"/>
          <w:highlight w:val="none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zh-CN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-300990</wp:posOffset>
            </wp:positionV>
            <wp:extent cx="4458335" cy="2323465"/>
            <wp:effectExtent l="0" t="0" r="18415" b="635"/>
            <wp:wrapNone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zh-CN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20" w:lineRule="exact"/>
        <w:ind w:firstLine="640"/>
        <w:jc w:val="both"/>
        <w:textAlignment w:val="auto"/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20" w:lineRule="exact"/>
        <w:ind w:left="0" w:leftChars="0" w:firstLine="480" w:firstLineChars="200"/>
        <w:jc w:val="both"/>
        <w:textAlignment w:val="auto"/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年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eastAsia="zh-CN"/>
        </w:rPr>
        <w:t>末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，全市共有省级旅游度假区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家、国家3A景区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 xml:space="preserve">3 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家、2A景区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家，省星级乡村旅游区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家，星级宾馆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家，旅行社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家。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全年累计接待游客580.39万人次，实现旅游总收入77.2亿元。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七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、开放型经济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方正书宋_GBK" w:hAnsi="方正书宋_GBK" w:eastAsia="方正书宋_GBK" w:cs="方正书宋_GBK"/>
          <w:bCs/>
          <w:kern w:val="2"/>
          <w:sz w:val="24"/>
          <w:szCs w:val="24"/>
          <w:highlight w:val="none"/>
          <w:lang w:val="en-US" w:eastAsia="zh-CN" w:bidi="ar-SA"/>
        </w:rPr>
        <w:t>全年实现进出口总额249.53亿元，比上年增长28.2%。其中出口总额191.03亿元，增长25.8%；进口总额58.50亿元，增长36.8%。年末与我市建立进出口贸易关系的国家和地区147个，全市有进出口业绩的企业424家，增长9.8%。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方正书宋_GBK" w:hAnsi="方正书宋_GBK" w:eastAsia="方正书宋_GBK" w:cs="方正书宋_GBK"/>
          <w:bCs/>
          <w:kern w:val="2"/>
          <w:sz w:val="24"/>
          <w:szCs w:val="24"/>
          <w:highlight w:val="none"/>
          <w:lang w:val="en-US" w:eastAsia="zh-CN" w:bidi="ar-SA"/>
        </w:rPr>
        <w:t xml:space="preserve">全年累计新批外商投资企业27家，增资扩股企业7家，实际利用外资3.04亿美元。全市累计总投资超3000万美元的重大外资项目20个。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方正书宋_GBK" w:hAnsi="方正书宋_GBK" w:eastAsia="方正书宋_GBK" w:cs="方正书宋_GBK"/>
          <w:bCs/>
          <w:kern w:val="2"/>
          <w:sz w:val="24"/>
          <w:szCs w:val="24"/>
          <w:highlight w:val="none"/>
          <w:lang w:val="en-US" w:eastAsia="zh-CN" w:bidi="ar-SA"/>
        </w:rPr>
        <w:t>全年新批境外投资企业4家，中方协议投资额4505万美元，新签对外承包劳务合同额23330万美元，增长377.3%；完成对外承包劳务营业额6993万美元，增长176.3%。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八、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交通运输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和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邮电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</w:pP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年末，全市公路总里程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3609.09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公里，其中高速公路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62.75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公里。全年公路货运量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673.34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万吨，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eastAsia="zh-CN"/>
        </w:rPr>
        <w:t>增长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4.1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%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eastAsia="zh-CN"/>
        </w:rPr>
        <w:t>；公路客运量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1254.5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eastAsia="zh-CN"/>
        </w:rPr>
        <w:t>万人次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，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eastAsia="zh-CN"/>
        </w:rPr>
        <w:t>增长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6.7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%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eastAsia="zh-CN"/>
        </w:rPr>
        <w:t>。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宁启铁路启东段运营优化，每天开行启东至南京4.5对、启东至南通1.5对，启东至洛阳1对，全年实现铁路客运量54.75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eastAsia="zh-CN"/>
        </w:rPr>
        <w:t>万人次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。年末全市汽车保有量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21.48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万辆、私家车拥有量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20.16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万辆，分别比上年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zh-CN"/>
        </w:rPr>
        <w:t>增长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7.5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%和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2.5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全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eastAsia="zh-CN"/>
        </w:rPr>
        <w:t>年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实现邮政业务收入2.29亿元，比上年增长7.5%，其中快递业务收入增长81.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</w:rPr>
        <w:t>%。全年通信业务收入9.61亿元，增长5.2%。年末全市拥有固定电话用户17.2万户、移动电话用户103.7万户、年末互联网用户77.9万户，其中宽带网用户38.65万户。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 w:val="0"/>
          <w:bCs w:val="0"/>
          <w:color w:val="auto"/>
          <w:sz w:val="24"/>
          <w:szCs w:val="24"/>
          <w:highlight w:val="none"/>
          <w:lang w:val="en-US" w:eastAsia="zh-CN"/>
        </w:rPr>
        <w:t>2019</w:t>
      </w:r>
      <w:r>
        <w:rPr>
          <w:rFonts w:hint="eastAsia" w:ascii="方正书宋_GBK" w:hAnsi="方正书宋_GBK" w:eastAsia="方正书宋_GBK" w:cs="方正书宋_GBK"/>
          <w:b w:val="0"/>
          <w:bCs w:val="0"/>
          <w:color w:val="auto"/>
          <w:sz w:val="24"/>
          <w:szCs w:val="24"/>
          <w:highlight w:val="none"/>
          <w:lang w:eastAsia="zh-CN"/>
        </w:rPr>
        <w:t>年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  <w:t>全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eastAsia="zh-CN"/>
        </w:rPr>
        <w:t>社会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  <w:t>用电量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39.91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  <w:t>亿千瓦时，比上年增长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5.8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  <w:t>%，其中第一产业用电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0.55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  <w:t>亿千瓦时，增长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0.4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  <w:t>%；第二产业用电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24.92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  <w:t>亿千瓦时，增长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5.5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  <w:t>%；第三产业用电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5.62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  <w:t>亿千瓦时，增长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  <w:t>%。城乡居民生活用电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8.82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  <w:t>亿千瓦时，增长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3.8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九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、财政和金融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eastAsia="zh-CN"/>
        </w:rPr>
        <w:t>在减税降费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12.37亿元的情况下，全市</w:t>
      </w:r>
      <w:r>
        <w:rPr>
          <w:rFonts w:hint="eastAsia" w:ascii="方正书宋_GBK" w:hAnsi="方正书宋_GBK" w:eastAsia="方正书宋_GBK" w:cs="方正书宋_GBK"/>
          <w:b w:val="0"/>
          <w:bCs w:val="0"/>
          <w:color w:val="auto"/>
          <w:sz w:val="24"/>
          <w:szCs w:val="24"/>
          <w:highlight w:val="none"/>
          <w:lang w:val="en-US" w:eastAsia="zh-CN"/>
        </w:rPr>
        <w:t>完成一般公共预算收入70.65亿元，其中税收收入56.54亿元，税占比为80%。主要税种中，增值税23.28亿元、企业所得税7.93亿元、个人所得税2.65亿元、契税5.76亿元。全年一般公共预算支出101.81亿元，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eastAsia="zh-CN"/>
        </w:rPr>
        <w:t>其中</w:t>
      </w:r>
      <w:r>
        <w:rPr>
          <w:rFonts w:hint="eastAsia" w:ascii="方正书宋_GBK" w:hAnsi="方正书宋_GBK" w:eastAsia="方正书宋_GBK" w:cs="方正书宋_GBK"/>
          <w:b w:val="0"/>
          <w:bCs w:val="0"/>
          <w:color w:val="auto"/>
          <w:sz w:val="24"/>
          <w:szCs w:val="24"/>
          <w:highlight w:val="none"/>
          <w:lang w:val="en-US" w:eastAsia="zh-CN"/>
        </w:rPr>
        <w:t>民生支出76.46亿元，占一般公共预算支出的比重达75.1%。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55245</wp:posOffset>
            </wp:positionV>
            <wp:extent cx="4294505" cy="2188210"/>
            <wp:effectExtent l="0" t="0" r="10795" b="2540"/>
            <wp:wrapNone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zh-CN"/>
        </w:rPr>
      </w:pP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zh-CN"/>
        </w:rPr>
        <w:t>年末，全市银行业金融机构各项存款余额1524.87亿元，比上年末增长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zh-CN"/>
        </w:rPr>
        <w:t>%。其中住户存款余额985.71亿元，增长12.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zh-CN"/>
        </w:rPr>
        <w:t>%。全市银行业金融机构贷款余额1045.30亿元，增长10.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zh-CN"/>
        </w:rPr>
        <w:t>%。从贷款期限看，短期贷款余额389.90亿元，增长14.5%；中长期贷款余额606.89亿元，增长6.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zh-CN"/>
        </w:rPr>
        <w:t>%。从贷款类别看，消费贷款281.60亿元，增长17.4%；经营贷款349.67亿元，增长15.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zh-CN"/>
        </w:rPr>
        <w:t>%；制造业贷款113.16亿元，增长0.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方正书宋_GBK" w:hAnsi="方正书宋_GBK" w:eastAsia="方正书宋_GBK" w:cs="方正书宋_GBK"/>
          <w:color w:val="auto"/>
          <w:sz w:val="24"/>
          <w:szCs w:val="24"/>
          <w:highlight w:val="none"/>
          <w:lang w:val="zh-CN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</w:pPr>
      <w:r>
        <w:rPr>
          <w:rFonts w:hint="eastAsia" w:ascii="方正书宋_GBK" w:hAnsi="方正书宋_GBK" w:eastAsia="方正书宋_GBK" w:cs="方正书宋_GBK"/>
          <w:sz w:val="24"/>
          <w:szCs w:val="24"/>
          <w:highlight w:val="none"/>
          <w:lang w:val="en-US" w:eastAsia="zh-CN"/>
        </w:rPr>
        <w:t>全市新增上市公司和“新三板”挂牌公司各1家，资本市场累计募集资金8.97亿元。年末，全市4家境内外上市公司总股本 29.49亿股，市值210.99亿元。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center"/>
        <w:textAlignment w:val="auto"/>
        <w:outlineLvl w:val="9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十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、科技和教育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全年专利申请量3131件，PCT专利申请量14件，万人发明专利拥有量26.45件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全年引进各类高层次创新创业人才350多名，新增入选省“双创团队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”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2个、“双创人才”9名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eastAsia="zh-CN"/>
        </w:rPr>
        <w:t>、“双创博士”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6名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。新认定高新技术企业64家，实施产学研合作项目110个，入选省重点研发项目2个，新增省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eastAsia="zh-CN"/>
        </w:rPr>
        <w:t>级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企业技术中心2家、南通企业工程技术研究中心10家。高新技术产业产值占规模工业产值的比重达52.7%，全社会研发投入占地区生产总值比重达2.43%。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全市拥有中等职业教育学校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所，在校学生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3990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人；普通高中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所，在校学生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9992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人；普通初中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所，在校学生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19088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人；小学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49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所，在校学生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39243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人；特殊教育学校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所，在校学生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237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人；各级各类幼儿园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76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所，在园儿童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18185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人。建成“南通市智慧校园”8所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eastAsia="zh-CN"/>
        </w:rPr>
        <w:t>，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教育现代化建设监测综合得分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88.74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分，比上年度提高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0.43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分。义务教育学校标准化达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标率95.7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%，比上年提升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45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个百分点。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center"/>
        <w:textAlignment w:val="auto"/>
        <w:outlineLvl w:val="9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十一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、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文化、卫生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和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体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 w:eastAsia="zh-CN"/>
        </w:rPr>
      </w:pP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年末全市拥有文化馆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个，公共图书馆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个，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24小时城市书房4个，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图书总藏量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187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万多册。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全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年共送戏下村80场，开展戏曲进校园、民俗项目展览进校园活动各20场，送电影近3000场，送书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34000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册，送培训20场次。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全年开展各类文化主题活动32场次，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zh-CN"/>
        </w:rPr>
        <w:t>举办各种人文讲座17场，主题书画摄影展12场，阅读推广活动近100场。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全年200多篇文学作品发表于国内知名期刊，其中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eastAsia="zh-CN"/>
        </w:rPr>
        <w:t>中短篇小说集《何人归来仍少年》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获省优秀版权作品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eastAsia="zh-CN"/>
        </w:rPr>
        <w:t>三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等奖。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年末全市拥有医疗卫生机构425家，执业（助理）医师2306人、注册护士2411人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每千人拥有卫技人员5.13人、每千人拥有床位数4.25张。公共卫生服务全面实施，人均基本公共卫生服务项目补助提高到90元。全市标准化儿童预防接种门诊建成率100%，61周岁以上老年人免费健康体检率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eastAsia="zh-CN"/>
        </w:rPr>
        <w:t>达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88.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%，数字化儿童保健门诊标准化覆盖率达81.8%，省级示范村卫生室覆盖率16.4%。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全市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拥有各类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体育社团39个，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全年举办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“共乐东疆”群众性体育活动37项。成功举办中国森林旅游节国际“铁人三项赛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eastAsia="zh-CN"/>
        </w:rPr>
        <w:t>”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等系列活动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/>
        </w:rPr>
        <w:t>场次。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年末，全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市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eastAsia="zh-CN"/>
        </w:rPr>
        <w:t>拥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有社会体育指导员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3489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人。其中，一级指导员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146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eastAsia="zh-CN"/>
        </w:rPr>
        <w:t>、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二级指导员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427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eastAsia="zh-CN"/>
        </w:rPr>
        <w:t>、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三级指导员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2916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人。培养三级裁判员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人，晋升二级裁判员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53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人，一级裁判员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人。全年在南通市级以上比赛中共获奖牌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42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十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  <w:lang w:eastAsia="zh-CN"/>
        </w:rPr>
        <w:t>二</w:t>
      </w:r>
      <w:r>
        <w:rPr>
          <w:rFonts w:hint="eastAsia" w:ascii="方正书宋_GBK" w:hAnsi="方正书宋_GBK" w:eastAsia="方正书宋_GBK" w:cs="方正书宋_GBK"/>
          <w:b/>
          <w:color w:val="auto"/>
          <w:kern w:val="0"/>
          <w:sz w:val="24"/>
          <w:szCs w:val="24"/>
          <w:highlight w:val="none"/>
        </w:rPr>
        <w:t>、城市建设和生态环境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2019年，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宁启铁路启东段营运不断优化，洋吕铁路完成工可评审，海启高速正式通车，吕四港10万吨级进港主航道满足通航条件。国道345启东段加快建设，丁仓港路北延、天江公路北段主体完工，志坪公路合作互通段竣工通车。提档升级农村公路30公里，改造危桥50座。区域供水港东路段管道更换完工，中线进城段进场施工。110千伏合兴输变电工程竣工投运。新增优化公交线路11条，新建改造公交站点107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2019年中心城区建成区面积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34.5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平方公里。城市道路总长257.72公里，道路总面积557.42万平方米。城市景观不断美化，新增城市小游园6个，新增城市绿地60万平方米。建成区绿地率39.5%、绿化覆盖率42.4%；城区燃气气化率和用户普及率均达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100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%；用水普及率达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100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%；城市污水集中处理率达93.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方正书宋_GBK" w:hAnsi="方正书宋_GBK" w:eastAsia="方正书宋_GBK" w:cs="方正书宋_GBK"/>
          <w:bCs/>
          <w:color w:val="auto"/>
          <w:sz w:val="24"/>
          <w:szCs w:val="24"/>
          <w:highlight w:val="none"/>
        </w:rPr>
        <w:t>%。智慧停车系统投入使用，新建智能立体停车场2个，新建改建公共停车泊位超4000个。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</w:pP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  <w:lang w:val="en-US" w:eastAsia="zh-CN"/>
        </w:rPr>
        <w:t>生态管控成效彰显，空气质量全省领先。全年整治“散乱污”企业264家，关闭退出化工企业18家，提标改造污水处理厂3个，建设污水管网30公里，整治城区黑臭河道15条、农村黑臭水体766条。省考以上断面水质优III类比例达100%, 2个入海河流断面水质达到国家考核要求，水环境质量达监测史上最好水平。</w:t>
      </w:r>
      <w:r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  <w:t>新增成片造林5367亩，建成省级村庄绿化示范村10个。新增南通市级美丽宜居村庄12个、省级农村人居环境整治综合示范村18个，南阳镇元祥村人居环境被农业农村部作为先进典型介绍。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方正书宋_GBK" w:hAnsi="方正书宋_GBK" w:eastAsia="方正书宋_GBK" w:cs="方正书宋_GBK"/>
          <w:bCs/>
          <w:sz w:val="24"/>
          <w:szCs w:val="24"/>
          <w:highlight w:val="none"/>
        </w:rPr>
      </w:pPr>
    </w:p>
    <w:p>
      <w:pPr>
        <w:pStyle w:val="5"/>
        <w:spacing w:line="300" w:lineRule="exact"/>
        <w:ind w:firstLine="480" w:firstLineChars="200"/>
        <w:jc w:val="both"/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>注: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 xml:space="preserve"> </w:t>
      </w:r>
    </w:p>
    <w:p>
      <w:pPr>
        <w:pStyle w:val="5"/>
        <w:spacing w:line="300" w:lineRule="exact"/>
        <w:ind w:firstLine="480" w:firstLineChars="200"/>
        <w:jc w:val="both"/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 xml:space="preserve"> 1、公报中发布的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eastAsia="zh-CN"/>
        </w:rPr>
        <w:t>201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eastAsia="zh-CN"/>
        </w:rPr>
        <w:t>年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数据为初步统计数。部分数据因四舍五入的原因，存在着与分项合计不等的情况。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2、地区生产总值及其分类项目增长速度按可比价计算，为实际增长速度；其他指标除特别说明外，按现价计算，为名义增长速度。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、高新技术产业产值根据江苏省科技厅和江苏省统计局联合下发的《关于发布&lt;江苏省高新技术产业统计分类目录&gt;（201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修订版）的通知》（苏科高[201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]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/>
        </w:rPr>
        <w:t>86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号）进行统计。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、规模以上工业统计范围为年主营业务收入2000万元及以上的工业企业。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、固定资产投资统计范围为计划总投资500万元及以上建设项目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、社会消费品零售总额统计中限额以上单位是指年主营业务收入2000万元及以上的批发业企业（单位）、500万元及以上的零售业企业（单位）、200万元及以上的住宿和餐饮业企业（单位）。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48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、本公报中，就业、创业、农业、建筑、旅游、开放型经济、交通、邮电、财政、金融、教育、科技、文化、卫生、体育、人口、社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eastAsia="zh-CN"/>
        </w:rPr>
        <w:t>会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保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eastAsia="zh-CN"/>
        </w:rPr>
        <w:t>障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、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eastAsia="zh-CN"/>
        </w:rPr>
        <w:t>城市建设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、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  <w:lang w:eastAsia="zh-CN"/>
        </w:rPr>
        <w:t>生态环境</w:t>
      </w:r>
      <w:r>
        <w:rPr>
          <w:rFonts w:hint="eastAsia" w:ascii="楷体_GB2312" w:hAnsi="楷体_GB2312" w:eastAsia="楷体_GB2312" w:cs="楷体_GB2312"/>
          <w:color w:val="auto"/>
          <w:kern w:val="2"/>
          <w:sz w:val="24"/>
          <w:szCs w:val="24"/>
        </w:rPr>
        <w:t>等相关数据均来源于部门提供。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2649E"/>
    <w:rsid w:val="015573A3"/>
    <w:rsid w:val="04C51ED5"/>
    <w:rsid w:val="066B3ACB"/>
    <w:rsid w:val="06773BEF"/>
    <w:rsid w:val="07FE2190"/>
    <w:rsid w:val="0C06508F"/>
    <w:rsid w:val="103359BA"/>
    <w:rsid w:val="138766D1"/>
    <w:rsid w:val="13C55EEC"/>
    <w:rsid w:val="14EC2E42"/>
    <w:rsid w:val="167A03B4"/>
    <w:rsid w:val="17D940FB"/>
    <w:rsid w:val="1D6162B3"/>
    <w:rsid w:val="1D9B0111"/>
    <w:rsid w:val="1EF90E81"/>
    <w:rsid w:val="1F640781"/>
    <w:rsid w:val="20202134"/>
    <w:rsid w:val="20B62F21"/>
    <w:rsid w:val="22243D52"/>
    <w:rsid w:val="234A1A1B"/>
    <w:rsid w:val="28387AF3"/>
    <w:rsid w:val="28B60611"/>
    <w:rsid w:val="29ED3284"/>
    <w:rsid w:val="2A543BCF"/>
    <w:rsid w:val="2E015C88"/>
    <w:rsid w:val="2E6A7E07"/>
    <w:rsid w:val="31614F58"/>
    <w:rsid w:val="31A61AA3"/>
    <w:rsid w:val="31DD5C83"/>
    <w:rsid w:val="32B34BEE"/>
    <w:rsid w:val="336D77AF"/>
    <w:rsid w:val="36C8128A"/>
    <w:rsid w:val="37913AF9"/>
    <w:rsid w:val="37E47D9C"/>
    <w:rsid w:val="3B022110"/>
    <w:rsid w:val="3B417860"/>
    <w:rsid w:val="3E3B06CF"/>
    <w:rsid w:val="417A4F3B"/>
    <w:rsid w:val="438A490E"/>
    <w:rsid w:val="44711BC4"/>
    <w:rsid w:val="47D5409A"/>
    <w:rsid w:val="47F54570"/>
    <w:rsid w:val="482F544B"/>
    <w:rsid w:val="49D443BC"/>
    <w:rsid w:val="4E53333D"/>
    <w:rsid w:val="4EB1786F"/>
    <w:rsid w:val="50877A81"/>
    <w:rsid w:val="50A0157E"/>
    <w:rsid w:val="522546E2"/>
    <w:rsid w:val="569A3B0E"/>
    <w:rsid w:val="59F60148"/>
    <w:rsid w:val="5ABA32D6"/>
    <w:rsid w:val="5AFD5754"/>
    <w:rsid w:val="5C9161B8"/>
    <w:rsid w:val="5FA002BF"/>
    <w:rsid w:val="620F1120"/>
    <w:rsid w:val="63BD76C1"/>
    <w:rsid w:val="63DB4AEE"/>
    <w:rsid w:val="6828578D"/>
    <w:rsid w:val="6CEC07B2"/>
    <w:rsid w:val="6D5D547A"/>
    <w:rsid w:val="6FAF70AF"/>
    <w:rsid w:val="72572BE8"/>
    <w:rsid w:val="72C53404"/>
    <w:rsid w:val="73A34D4F"/>
    <w:rsid w:val="766608DA"/>
    <w:rsid w:val="7877332B"/>
    <w:rsid w:val="787921E1"/>
    <w:rsid w:val="78B677C2"/>
    <w:rsid w:val="7BB05A36"/>
    <w:rsid w:val="7CC76601"/>
    <w:rsid w:val="7E8F660B"/>
    <w:rsid w:val="7EF25CE7"/>
    <w:rsid w:val="7F276DCE"/>
    <w:rsid w:val="7FCD1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161874"/>
      <w:kern w:val="0"/>
      <w:sz w:val="24"/>
    </w:rPr>
  </w:style>
  <w:style w:type="paragraph" w:customStyle="1" w:styleId="8">
    <w:name w:val="正文文本1"/>
    <w:basedOn w:val="1"/>
    <w:link w:val="9"/>
    <w:unhideWhenUsed/>
    <w:qFormat/>
    <w:uiPriority w:val="99"/>
    <w:pPr>
      <w:spacing w:beforeLines="0" w:afterLines="0" w:line="437" w:lineRule="auto"/>
      <w:ind w:firstLine="400"/>
    </w:pPr>
    <w:rPr>
      <w:rFonts w:hint="eastAsia" w:ascii="宋体" w:hAnsi="宋体" w:eastAsia="宋体"/>
      <w:sz w:val="28"/>
      <w:lang w:val="zh-CN" w:eastAsia="zh-CN"/>
    </w:rPr>
  </w:style>
  <w:style w:type="character" w:customStyle="1" w:styleId="9">
    <w:name w:val="正文文本_"/>
    <w:basedOn w:val="7"/>
    <w:link w:val="8"/>
    <w:unhideWhenUsed/>
    <w:qFormat/>
    <w:uiPriority w:val="99"/>
    <w:rPr>
      <w:rFonts w:hint="eastAsia" w:ascii="宋体" w:hAnsi="宋体" w:eastAsia="宋体"/>
      <w:sz w:val="2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844;&#25253;&#22270;&#34920;xls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My%20RTX%20Files\&#38470;&#23159;\&#20844;&#25253;&#22270;&#34920;xlsx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My%20RTX%20Files\&#38470;&#23159;\&#20844;&#25253;&#22270;&#34920;xlsx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ocuments\My%20RTX%20Files\&#38470;&#23159;\&#20844;&#25253;&#22270;&#34920;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050"/>
              <a:t>2015-2019</a:t>
            </a:r>
            <a:r>
              <a:rPr lang="zh-CN" altLang="en-US" sz="1050"/>
              <a:t>年城乡居民人均可支配收入</a:t>
            </a:r>
            <a:endParaRPr lang="zh-CN" altLang="en-US" sz="105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[公报图表xlsx.xlsx]Sheet1!$A$26</c:f>
              <c:strCache>
                <c:ptCount val="1"/>
                <c:pt idx="0">
                  <c:v>城镇居民人均可支配收入(元)</c:v>
                </c:pt>
              </c:strCache>
            </c:strRef>
          </c:tx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[公报图表xlsx.xlsx]Sheet1!$B$24:$F$25</c:f>
              <c:multiLvlStrCache>
                <c:ptCount val="5"/>
                <c:lvl>
                  <c:pt idx="0" c:formatCode="@">
                    <c:v>2015年</c:v>
                  </c:pt>
                  <c:pt idx="1" c:formatCode="@">
                    <c:v>2016年</c:v>
                  </c:pt>
                  <c:pt idx="2" c:formatCode="@">
                    <c:v>2017年</c:v>
                  </c:pt>
                  <c:pt idx="3" c:formatCode="@">
                    <c:v>2018年</c:v>
                  </c:pt>
                  <c:pt idx="4" c:formatCode="@">
                    <c:v>2019年</c:v>
                  </c:pt>
                </c:lvl>
                <c:lvl/>
              </c:multiLvlStrCache>
            </c:multiLvlStrRef>
          </c:cat>
          <c:val>
            <c:numRef>
              <c:f>[公报图表xlsx.xlsx]Sheet1!$B$26:$F$26</c:f>
              <c:numCache>
                <c:formatCode>0</c:formatCode>
                <c:ptCount val="5"/>
                <c:pt idx="0">
                  <c:v>34566</c:v>
                </c:pt>
                <c:pt idx="1">
                  <c:v>37390</c:v>
                </c:pt>
                <c:pt idx="2">
                  <c:v>40759</c:v>
                </c:pt>
                <c:pt idx="3">
                  <c:v>44248</c:v>
                </c:pt>
                <c:pt idx="4">
                  <c:v>47982</c:v>
                </c:pt>
              </c:numCache>
            </c:numRef>
          </c:val>
        </c:ser>
        <c:ser>
          <c:idx val="1"/>
          <c:order val="1"/>
          <c:tx>
            <c:strRef>
              <c:f>[公报图表xlsx.xlsx]Sheet1!$A$27</c:f>
              <c:strCache>
                <c:ptCount val="1"/>
                <c:pt idx="0">
                  <c:v>农村居民人均可支配收入(元)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0432900432900433"/>
                  <c:y val="-0.0041482300884955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216450216450216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865800865800866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108225108225108"/>
                  <c:y val="-0.0041482300884955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649350649350649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[公报图表xlsx.xlsx]Sheet1!$B$24:$F$25</c:f>
              <c:multiLvlStrCache>
                <c:ptCount val="5"/>
                <c:lvl>
                  <c:pt idx="0" c:formatCode="@">
                    <c:v>2015年</c:v>
                  </c:pt>
                  <c:pt idx="1" c:formatCode="@">
                    <c:v>2016年</c:v>
                  </c:pt>
                  <c:pt idx="2" c:formatCode="@">
                    <c:v>2017年</c:v>
                  </c:pt>
                  <c:pt idx="3" c:formatCode="@">
                    <c:v>2018年</c:v>
                  </c:pt>
                  <c:pt idx="4" c:formatCode="@">
                    <c:v>2019年</c:v>
                  </c:pt>
                </c:lvl>
                <c:lvl/>
              </c:multiLvlStrCache>
            </c:multiLvlStrRef>
          </c:cat>
          <c:val>
            <c:numRef>
              <c:f>[公报图表xlsx.xlsx]Sheet1!$B$27:$F$27</c:f>
              <c:numCache>
                <c:formatCode>0_ </c:formatCode>
                <c:ptCount val="5"/>
                <c:pt idx="0">
                  <c:v>18287</c:v>
                </c:pt>
                <c:pt idx="1">
                  <c:v>19875</c:v>
                </c:pt>
                <c:pt idx="2">
                  <c:v>21691</c:v>
                </c:pt>
                <c:pt idx="3">
                  <c:v>23687</c:v>
                </c:pt>
                <c:pt idx="4">
                  <c:v>25714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overlap val="-25"/>
        <c:axId val="191731968"/>
        <c:axId val="191737856"/>
      </c:barChart>
      <c:catAx>
        <c:axId val="191731968"/>
        <c:scaling>
          <c:orientation val="minMax"/>
        </c:scaling>
        <c:delete val="0"/>
        <c:axPos val="b"/>
        <c:majorTickMark val="in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91737856"/>
        <c:crosses val="autoZero"/>
        <c:auto val="1"/>
        <c:lblAlgn val="ctr"/>
        <c:lblOffset val="100"/>
        <c:noMultiLvlLbl val="0"/>
      </c:catAx>
      <c:valAx>
        <c:axId val="191737856"/>
        <c:scaling>
          <c:orientation val="minMax"/>
        </c:scaling>
        <c:delete val="0"/>
        <c:axPos val="l"/>
        <c:numFmt formatCode="0" sourceLinked="1"/>
        <c:majorTickMark val="in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91731968"/>
        <c:crosses val="autoZero"/>
        <c:crossBetween val="between"/>
        <c:majorUnit val="10000"/>
      </c:valAx>
    </c:plotArea>
    <c:legend>
      <c:legendPos val="b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6350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050"/>
              <a:t>2015-2019</a:t>
            </a:r>
            <a:r>
              <a:rPr lang="zh-CN" altLang="en-US" sz="1050"/>
              <a:t>年粮食产量</a:t>
            </a:r>
            <a:endParaRPr lang="zh-CN" altLang="en-US" sz="105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[公报图表xlsx.xlsx]Sheet1!$A$12</c:f>
              <c:strCache>
                <c:ptCount val="1"/>
                <c:pt idx="0">
                  <c:v>粮食产量（万吨）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[公报图表xlsx.xlsx]Sheet1!$B$10:$F$11</c:f>
              <c:multiLvlStrCache>
                <c:ptCount val="5"/>
                <c:lvl>
                  <c:pt idx="0" c:formatCode="@">
                    <c:v>2015年</c:v>
                  </c:pt>
                  <c:pt idx="1" c:formatCode="@">
                    <c:v>2016年</c:v>
                  </c:pt>
                  <c:pt idx="2" c:formatCode="@">
                    <c:v>2017年</c:v>
                  </c:pt>
                  <c:pt idx="3" c:formatCode="@">
                    <c:v>2018年</c:v>
                  </c:pt>
                  <c:pt idx="4" c:formatCode="@">
                    <c:v>2019年</c:v>
                  </c:pt>
                </c:lvl>
                <c:lvl/>
              </c:multiLvlStrCache>
            </c:multiLvlStrRef>
          </c:cat>
          <c:val>
            <c:numRef>
              <c:f>[公报图表xlsx.xlsx]Sheet1!$B$12:$F$12</c:f>
              <c:numCache>
                <c:formatCode>0.00_ </c:formatCode>
                <c:ptCount val="5"/>
                <c:pt idx="0">
                  <c:v>26.29</c:v>
                </c:pt>
                <c:pt idx="1">
                  <c:v>26.14</c:v>
                </c:pt>
                <c:pt idx="2">
                  <c:v>27.81</c:v>
                </c:pt>
                <c:pt idx="3">
                  <c:v>32.1</c:v>
                </c:pt>
                <c:pt idx="4">
                  <c:v>32.63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465344"/>
        <c:axId val="189466880"/>
      </c:barChart>
      <c:lineChart>
        <c:grouping val="standard"/>
        <c:varyColors val="0"/>
        <c:ser>
          <c:idx val="1"/>
          <c:order val="1"/>
          <c:tx>
            <c:strRef>
              <c:f>[公报图表xlsx.xlsx]Sheet1!$A$13</c:f>
              <c:strCache>
                <c:ptCount val="1"/>
                <c:pt idx="0">
                  <c:v>增幅（%）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[公报图表xlsx.xlsx]Sheet1!$B$10:$F$11</c:f>
              <c:multiLvlStrCache>
                <c:ptCount val="5"/>
                <c:lvl>
                  <c:pt idx="0" c:formatCode="@">
                    <c:v>2015年</c:v>
                  </c:pt>
                  <c:pt idx="1" c:formatCode="@">
                    <c:v>2016年</c:v>
                  </c:pt>
                  <c:pt idx="2" c:formatCode="@">
                    <c:v>2017年</c:v>
                  </c:pt>
                  <c:pt idx="3" c:formatCode="@">
                    <c:v>2018年</c:v>
                  </c:pt>
                  <c:pt idx="4" c:formatCode="@">
                    <c:v>2019年</c:v>
                  </c:pt>
                </c:lvl>
                <c:lvl/>
              </c:multiLvlStrCache>
            </c:multiLvlStrRef>
          </c:cat>
          <c:val>
            <c:numRef>
              <c:f>[公报图表xlsx.xlsx]Sheet1!$B$13:$F$13</c:f>
              <c:numCache>
                <c:formatCode>0.0</c:formatCode>
                <c:ptCount val="5"/>
                <c:pt idx="0">
                  <c:v>5.2</c:v>
                </c:pt>
                <c:pt idx="1">
                  <c:v>-0.6</c:v>
                </c:pt>
                <c:pt idx="2">
                  <c:v>6.4</c:v>
                </c:pt>
                <c:pt idx="3">
                  <c:v>2</c:v>
                </c:pt>
                <c:pt idx="4">
                  <c:v>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579392"/>
        <c:axId val="313404416"/>
      </c:lineChart>
      <c:catAx>
        <c:axId val="189465344"/>
        <c:scaling>
          <c:orientation val="minMax"/>
        </c:scaling>
        <c:delete val="0"/>
        <c:axPos val="b"/>
        <c:majorTickMark val="in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9466880"/>
        <c:crosses val="autoZero"/>
        <c:auto val="1"/>
        <c:lblAlgn val="ctr"/>
        <c:lblOffset val="100"/>
        <c:noMultiLvlLbl val="0"/>
      </c:catAx>
      <c:valAx>
        <c:axId val="189466880"/>
        <c:scaling>
          <c:orientation val="minMax"/>
          <c:min val="0"/>
        </c:scaling>
        <c:delete val="0"/>
        <c:axPos val="l"/>
        <c:numFmt formatCode="0_ " sourceLinked="0"/>
        <c:majorTickMark val="in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9465344"/>
        <c:crosses val="autoZero"/>
        <c:crossBetween val="between"/>
      </c:valAx>
      <c:catAx>
        <c:axId val="313579392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13404416"/>
        <c:crosses val="autoZero"/>
        <c:auto val="1"/>
        <c:lblAlgn val="ctr"/>
        <c:lblOffset val="100"/>
        <c:noMultiLvlLbl val="0"/>
      </c:catAx>
      <c:valAx>
        <c:axId val="313404416"/>
        <c:scaling>
          <c:orientation val="minMax"/>
          <c:max val="15"/>
          <c:min val="-25"/>
        </c:scaling>
        <c:delete val="0"/>
        <c:axPos val="r"/>
        <c:numFmt formatCode="0.0" sourceLinked="1"/>
        <c:majorTickMark val="none"/>
        <c:minorTickMark val="none"/>
        <c:tickLblPos val="none"/>
        <c:spPr>
          <a:noFill/>
          <a:ln w="6350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1357939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6350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050"/>
              <a:t>2015-2019</a:t>
            </a:r>
            <a:r>
              <a:rPr lang="zh-CN" altLang="en-US" sz="1050"/>
              <a:t>年社会消费品零售总额</a:t>
            </a:r>
            <a:endParaRPr lang="zh-CN" altLang="en-US" sz="105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[公报图表xlsx.xlsx]Sheet1!$A$17</c:f>
              <c:strCache>
                <c:ptCount val="1"/>
                <c:pt idx="0">
                  <c:v>社会消费品零售总额（亿元）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.00826446280991736"/>
                  <c:y val="0.08176862507571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[公报图表xlsx.xlsx]Sheet1!$B$15:$F$16</c:f>
              <c:multiLvlStrCache>
                <c:ptCount val="5"/>
                <c:lvl>
                  <c:pt idx="0" c:formatCode="@">
                    <c:v>2015年</c:v>
                  </c:pt>
                  <c:pt idx="1" c:formatCode="@">
                    <c:v>2016年</c:v>
                  </c:pt>
                  <c:pt idx="2" c:formatCode="@">
                    <c:v>2017年</c:v>
                  </c:pt>
                  <c:pt idx="3" c:formatCode="@">
                    <c:v>2018年</c:v>
                  </c:pt>
                  <c:pt idx="4" c:formatCode="@">
                    <c:v>2019年</c:v>
                  </c:pt>
                </c:lvl>
                <c:lvl/>
              </c:multiLvlStrCache>
            </c:multiLvlStrRef>
          </c:cat>
          <c:val>
            <c:numRef>
              <c:f>[公报图表xlsx.xlsx]Sheet1!$B$17:$F$17</c:f>
              <c:numCache>
                <c:formatCode>0.00_ </c:formatCode>
                <c:ptCount val="5"/>
                <c:pt idx="0">
                  <c:v>293.06</c:v>
                </c:pt>
                <c:pt idx="1">
                  <c:v>324.57</c:v>
                </c:pt>
                <c:pt idx="2">
                  <c:v>352.97</c:v>
                </c:pt>
                <c:pt idx="3">
                  <c:v>376.94</c:v>
                </c:pt>
                <c:pt idx="4">
                  <c:v>397.45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216640"/>
        <c:axId val="191320832"/>
      </c:barChart>
      <c:lineChart>
        <c:grouping val="standard"/>
        <c:varyColors val="0"/>
        <c:ser>
          <c:idx val="1"/>
          <c:order val="1"/>
          <c:tx>
            <c:strRef>
              <c:f>[公报图表xlsx.xlsx]Sheet1!$A$18</c:f>
              <c:strCache>
                <c:ptCount val="1"/>
                <c:pt idx="0">
                  <c:v>增幅（%）</c:v>
                </c:pt>
              </c:strCache>
            </c:strRef>
          </c:tx>
          <c:dLbls>
            <c:dLbl>
              <c:idx val="4"/>
              <c:layout>
                <c:manualLayout>
                  <c:x val="0.00206611570247934"/>
                  <c:y val="0.018170805572380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[公报图表xlsx.xlsx]Sheet1!$B$15:$F$16</c:f>
              <c:multiLvlStrCache>
                <c:ptCount val="5"/>
                <c:lvl>
                  <c:pt idx="0" c:formatCode="@">
                    <c:v>2015年</c:v>
                  </c:pt>
                  <c:pt idx="1" c:formatCode="@">
                    <c:v>2016年</c:v>
                  </c:pt>
                  <c:pt idx="2" c:formatCode="@">
                    <c:v>2017年</c:v>
                  </c:pt>
                  <c:pt idx="3" c:formatCode="@">
                    <c:v>2018年</c:v>
                  </c:pt>
                  <c:pt idx="4" c:formatCode="@">
                    <c:v>2019年</c:v>
                  </c:pt>
                </c:lvl>
                <c:lvl/>
              </c:multiLvlStrCache>
            </c:multiLvlStrRef>
          </c:cat>
          <c:val>
            <c:numRef>
              <c:f>[公报图表xlsx.xlsx]Sheet1!$B$18:$F$18</c:f>
              <c:numCache>
                <c:formatCode>0.0</c:formatCode>
                <c:ptCount val="5"/>
                <c:pt idx="0">
                  <c:v>10</c:v>
                </c:pt>
                <c:pt idx="1">
                  <c:v>10.8</c:v>
                </c:pt>
                <c:pt idx="2">
                  <c:v>8.8</c:v>
                </c:pt>
                <c:pt idx="3">
                  <c:v>9</c:v>
                </c:pt>
                <c:pt idx="4">
                  <c:v>5.4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3738752"/>
        <c:axId val="192117760"/>
      </c:lineChart>
      <c:catAx>
        <c:axId val="191216640"/>
        <c:scaling>
          <c:orientation val="minMax"/>
        </c:scaling>
        <c:delete val="0"/>
        <c:axPos val="b"/>
        <c:majorTickMark val="in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91320832"/>
        <c:crosses val="autoZero"/>
        <c:auto val="1"/>
        <c:lblAlgn val="ctr"/>
        <c:lblOffset val="100"/>
        <c:noMultiLvlLbl val="0"/>
      </c:catAx>
      <c:valAx>
        <c:axId val="191320832"/>
        <c:scaling>
          <c:orientation val="minMax"/>
        </c:scaling>
        <c:delete val="0"/>
        <c:axPos val="l"/>
        <c:numFmt formatCode="0_ " sourceLinked="0"/>
        <c:majorTickMark val="in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91216640"/>
        <c:crosses val="autoZero"/>
        <c:crossBetween val="between"/>
      </c:valAx>
      <c:catAx>
        <c:axId val="313738752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92117760"/>
        <c:crosses val="autoZero"/>
        <c:auto val="1"/>
        <c:lblAlgn val="ctr"/>
        <c:lblOffset val="100"/>
        <c:noMultiLvlLbl val="0"/>
      </c:catAx>
      <c:valAx>
        <c:axId val="192117760"/>
        <c:scaling>
          <c:orientation val="minMax"/>
        </c:scaling>
        <c:delete val="0"/>
        <c:axPos val="r"/>
        <c:numFmt formatCode="0.0" sourceLinked="1"/>
        <c:majorTickMark val="none"/>
        <c:minorTickMark val="none"/>
        <c:tickLblPos val="none"/>
        <c:spPr>
          <a:ln w="6350" cap="flat" cmpd="sng" algn="ctr">
            <a:noFill/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1373875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6350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050"/>
              <a:t>2015-2019</a:t>
            </a:r>
            <a:r>
              <a:rPr lang="zh-CN" altLang="en-US" sz="1050"/>
              <a:t>年一般公共预算收入</a:t>
            </a:r>
            <a:endParaRPr lang="zh-CN" altLang="en-US" sz="105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[公报图表xlsx.xlsx]Sheet1!$A$22</c:f>
              <c:strCache>
                <c:ptCount val="1"/>
                <c:pt idx="0">
                  <c:v>一般公共预算收入(亿元)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multiLvlStrRef>
              <c:f>[公报图表xlsx.xlsx]Sheet1!$B$20:$F$21</c:f>
              <c:multiLvlStrCache>
                <c:ptCount val="5"/>
                <c:lvl>
                  <c:pt idx="0" c:formatCode="@">
                    <c:v>2015年</c:v>
                  </c:pt>
                  <c:pt idx="1" c:formatCode="@">
                    <c:v>2016年</c:v>
                  </c:pt>
                  <c:pt idx="2" c:formatCode="@">
                    <c:v>2017年</c:v>
                  </c:pt>
                  <c:pt idx="3" c:formatCode="@">
                    <c:v>2018年</c:v>
                  </c:pt>
                  <c:pt idx="4" c:formatCode="@">
                    <c:v>2019年</c:v>
                  </c:pt>
                </c:lvl>
                <c:lvl/>
              </c:multiLvlStrCache>
            </c:multiLvlStrRef>
          </c:cat>
          <c:val>
            <c:numRef>
              <c:f>[公报图表xlsx.xlsx]Sheet1!$B$22:$F$22</c:f>
              <c:numCache>
                <c:formatCode>0.00_ </c:formatCode>
                <c:ptCount val="5"/>
                <c:pt idx="0">
                  <c:v>76.86</c:v>
                </c:pt>
                <c:pt idx="1">
                  <c:v>71.03</c:v>
                </c:pt>
                <c:pt idx="2">
                  <c:v>71.13</c:v>
                </c:pt>
                <c:pt idx="3">
                  <c:v>72.31</c:v>
                </c:pt>
                <c:pt idx="4">
                  <c:v>70.65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09824"/>
        <c:axId val="191767680"/>
      </c:barChart>
      <c:catAx>
        <c:axId val="190909824"/>
        <c:scaling>
          <c:orientation val="minMax"/>
        </c:scaling>
        <c:delete val="0"/>
        <c:axPos val="b"/>
        <c:majorTickMark val="in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91767680"/>
        <c:crosses val="autoZero"/>
        <c:auto val="1"/>
        <c:lblAlgn val="ctr"/>
        <c:lblOffset val="100"/>
        <c:noMultiLvlLbl val="0"/>
      </c:catAx>
      <c:valAx>
        <c:axId val="191767680"/>
        <c:scaling>
          <c:orientation val="minMax"/>
          <c:max val="100"/>
          <c:min val="0"/>
        </c:scaling>
        <c:delete val="0"/>
        <c:axPos val="l"/>
        <c:numFmt formatCode="0_ " sourceLinked="0"/>
        <c:majorTickMark val="in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90909824"/>
        <c:crosses val="autoZero"/>
        <c:crossBetween val="between"/>
        <c:majorUnit val="20"/>
      </c:valAx>
    </c:plotArea>
    <c:plotVisOnly val="1"/>
    <c:dispBlanksAs val="gap"/>
    <c:showDLblsOverMax val="0"/>
  </c:chart>
  <c:spPr>
    <a:ln w="6350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2020-01-19T09:05:00Z</dcterms:created>
  <dc:creator>深海</dc:creator>
  <cp:lastModifiedBy>Administrator</cp:lastModifiedBy>
  <cp:lastPrinted>2020-03-26T01:37:00Z</cp:lastPrinted>
  <dcterms:modified xsi:type="dcterms:W3CDTF">2020-03-30T01:17:38Z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