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南政发〔20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镇政府</w:t>
      </w:r>
      <w:r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关于成立南阳镇公墓区域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推行文明安全祭扫工作领导小组及相关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8"/>
          <w:rFonts w:ascii="仿宋" w:hAnsi="仿宋" w:eastAsia="仿宋"/>
          <w:b/>
          <w:sz w:val="44"/>
          <w:szCs w:val="44"/>
        </w:rPr>
      </w:pPr>
      <w:r>
        <w:rPr>
          <w:rStyle w:val="8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工作职责的通知</w:t>
      </w:r>
    </w:p>
    <w:p>
      <w:pPr>
        <w:spacing w:line="520" w:lineRule="exact"/>
        <w:ind w:firstLine="600"/>
        <w:jc w:val="center"/>
        <w:rPr>
          <w:rStyle w:val="8"/>
          <w:rFonts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/>
        <w:jc w:val="left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镇机关各局、办、中心、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各村（居）</w:t>
      </w:r>
      <w:r>
        <w:rPr>
          <w:rStyle w:val="8"/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为巩固提升全国文明城市创建工作成果，不断优化镇村环境，弘扬时代新风，保障社会公共安全，依据《国务院殡葬管理条例》、《江苏省殡葬管理办法》，以及中央、省、南通市和启东市关于推进殡葬改革的有关规定，结合冬春季疫情防控工作要求，决定继续在南阳镇公墓区域推行文明安全祭扫</w:t>
      </w:r>
      <w:r>
        <w:rPr>
          <w:rStyle w:val="8"/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Style w:val="8"/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Style w:val="8"/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建立南阳镇公墓区域推行文明安全祭扫工作领导小组，组成人员如下</w:t>
      </w:r>
      <w:r>
        <w:rPr>
          <w:rStyle w:val="8"/>
          <w:rFonts w:ascii="仿宋_GB2312" w:hAnsi="仿宋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组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长：陆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健</w:t>
      </w:r>
      <w:bookmarkStart w:id="0" w:name="_GoBack"/>
      <w:bookmarkEnd w:id="0"/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="640" w:firstLineChars="200"/>
        <w:jc w:val="left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副组长：蒋林健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朱晓玮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倪忠兵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="640" w:firstLineChars="200"/>
        <w:jc w:val="left"/>
        <w:textAlignment w:val="auto"/>
        <w:rPr>
          <w:rStyle w:val="8"/>
          <w:rFonts w:hint="eastAsia"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成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员：陈卫华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吴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杰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沈风华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沈石东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黄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="640" w:firstLineChars="200"/>
        <w:jc w:val="left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    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潘垠皞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施</w:t>
      </w:r>
      <w:r>
        <w:rPr>
          <w:rStyle w:val="8"/>
          <w:rFonts w:hint="eastAsia" w:ascii="仿宋_GB2312" w:hAnsi="仿宋" w:eastAsia="仿宋_GB2312"/>
          <w:sz w:val="32"/>
          <w:szCs w:val="32"/>
          <w:lang w:eastAsia="zh-CN"/>
        </w:rPr>
        <w:t>东</w:t>
      </w:r>
      <w:r>
        <w:rPr>
          <w:rStyle w:val="8"/>
          <w:rFonts w:hint="eastAsia" w:ascii="仿宋_GB2312" w:hAnsi="仿宋" w:eastAsia="仿宋_GB2312"/>
          <w:sz w:val="32"/>
          <w:szCs w:val="32"/>
        </w:rPr>
        <w:t>辉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王凯杰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t>陈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惠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陈曙光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2878" w:leftChars="304" w:hanging="2240" w:hangingChars="700"/>
        <w:jc w:val="left"/>
        <w:textAlignment w:val="auto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ascii="仿宋_GB2312" w:hAnsi="仿宋" w:eastAsia="仿宋_GB2312"/>
          <w:sz w:val="32"/>
          <w:szCs w:val="32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t>黄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琳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</w:t>
      </w:r>
      <w:r>
        <w:rPr>
          <w:rStyle w:val="8"/>
          <w:rFonts w:hint="default" w:ascii="仿宋_GB2312" w:hAnsi="仿宋" w:eastAsia="仿宋_GB2312"/>
          <w:sz w:val="32"/>
          <w:szCs w:val="32"/>
          <w:lang w:val="en-US"/>
        </w:rPr>
        <w:t xml:space="preserve"> </w:t>
      </w:r>
      <w:r>
        <w:rPr>
          <w:rStyle w:val="8"/>
          <w:rFonts w:hint="eastAsia" w:ascii="仿宋_GB2312" w:hAnsi="仿宋" w:eastAsia="仿宋_GB2312"/>
          <w:sz w:val="32"/>
          <w:szCs w:val="32"/>
        </w:rPr>
        <w:t>朱江华</w:t>
      </w:r>
      <w:r>
        <w:rPr>
          <w:rStyle w:val="8"/>
          <w:rFonts w:ascii="仿宋_GB2312" w:hAnsi="仿宋" w:eastAsia="仿宋_GB2312"/>
          <w:sz w:val="32"/>
          <w:szCs w:val="32"/>
        </w:rPr>
        <w:t xml:space="preserve">  </w:t>
      </w:r>
      <w:r>
        <w:rPr>
          <w:rStyle w:val="8"/>
          <w:rFonts w:hint="eastAsia" w:ascii="仿宋_GB2312" w:hAnsi="仿宋" w:eastAsia="仿宋_GB2312"/>
          <w:sz w:val="32"/>
          <w:szCs w:val="32"/>
        </w:rPr>
        <w:t>蒋允如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Style w:val="8"/>
          <w:rFonts w:ascii="仿宋_GB2312" w:hAnsi="华文仿宋" w:eastAsia="仿宋_GB2312"/>
          <w:sz w:val="32"/>
          <w:szCs w:val="32"/>
        </w:rPr>
      </w:pPr>
      <w:r>
        <w:rPr>
          <w:rStyle w:val="8"/>
          <w:rFonts w:hint="eastAsia" w:ascii="仿宋_GB2312" w:hAnsi="华文仿宋" w:eastAsia="仿宋_GB2312"/>
          <w:sz w:val="32"/>
          <w:szCs w:val="32"/>
        </w:rPr>
        <w:t>领导组下设办公室，主任由倪忠兵兼任、副主任施瑾、成员黄佳慧、</w:t>
      </w:r>
      <w:r>
        <w:rPr>
          <w:rFonts w:hint="eastAsia" w:ascii="仿宋_GB2312" w:eastAsia="仿宋_GB2312"/>
          <w:sz w:val="32"/>
          <w:szCs w:val="32"/>
        </w:rPr>
        <w:t>邢端丹、周静波、季汤滟、严琳琳、驻村（居）干部及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各村（居）民政协管员</w:t>
      </w:r>
      <w:r>
        <w:rPr>
          <w:rStyle w:val="8"/>
          <w:rFonts w:hint="eastAsia" w:ascii="仿宋_GB2312" w:hAnsi="华文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全镇公墓区域在传统集中祭扫期间全面禁止燃放烟花鞭炮；室内公墓、封闭管理公墓，集中祭扫期间全面倡导不焚烧纸钱、冥币。农历辛丑年除夕期间的禁止燃烧鞭炮，不焚烧纸钱、冥币时间：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-11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日。以后集中祭扫期间具体禁止时间由各村（居）委会根据实际情况确定并公布。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党群工作局</w:t>
      </w:r>
      <w:r>
        <w:rPr>
          <w:rFonts w:hint="eastAsia" w:ascii="仿宋_GB2312" w:hAnsi="楷体" w:eastAsia="仿宋_GB2312" w:cs="楷体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做好集中整治行动的组织协调、宣传发动工作。利用各种媒体和传播手段发布通告，深入宣传殡葬法规政策，普及科学知识，倡导文明节俭、生态环保、移风易俗的祭扫新风尚。要求全镇党员干部以身作则，自觉带头文明低碳祭扫。自觉抵制陈规陋俗和封建迷信活动，主动采用敬献鲜花、植树绿化、踏青遥祭、经典诵读等方式缅怀先烈、先贤、先人，弘扬慎终追远、爱国爱家等优秀传统文化，不得在公墓等公共场所焚烧祭品和燃放鞭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农业农村和社会事业局</w:t>
      </w:r>
      <w:r>
        <w:rPr>
          <w:rFonts w:hint="eastAsia" w:ascii="仿宋_GB2312" w:hAnsi="楷体" w:eastAsia="仿宋_GB2312" w:cs="楷体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对全镇公墓安全管理承担主体责任。组织指导各村（居）有序推进公墓区域燃放鞭炮、焚烧纸钱的集中整治行动。配合宣传部门做好文明祭扫的宣传引导工作；指导有条件公墓开展鲜花换纸钱等活动。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（三）南阳派出所（交警、治安）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各村（居）共同做好集中祭扫活动期间安全维稳工作，做好不听劝阻人员的教育处理，依法从严查处在集中整治行动中妨碍公共秩序、危害公共安全、寻衅滋事、殴打执法人员的行为；组织人员指挥交通，对重点路段要采取管制、限行、绕行等措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（四）镇应急管理局：督促指导各村（居）、相关部门做好应对安全突发事故的工作预案。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（五）</w:t>
      </w:r>
      <w:r>
        <w:rPr>
          <w:rFonts w:hint="eastAsia" w:ascii="仿宋_GB2312" w:hAnsi="楷体_GB2312" w:eastAsia="仿宋_GB2312" w:cs="楷体_GB2312"/>
          <w:sz w:val="32"/>
          <w:szCs w:val="32"/>
        </w:rPr>
        <w:t>综合行政执法局</w:t>
      </w:r>
      <w:r>
        <w:rPr>
          <w:rFonts w:hint="eastAsia" w:ascii="仿宋_GB2312" w:hAnsi="楷体" w:eastAsia="仿宋_GB2312" w:cs="楷体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负责摊贩管理工作，每个集中祭扫期间提前做好辖区内占道、超门窗经营的管理工作。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（六）市管局南阳分局：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负责对全镇纸钱、纸扎等封建迷信丧葬用品生产、销售经营者进行整治，配合城管部门做好占道、超门窗展示、销售祭扫用品管理工作。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（七）各村（居）：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统筹村（居）委会做好集中祭扫期间禁止燃放鞭炮、焚烧纸钱的工作，具体要求：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组建工作班子，确定整治点位（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日晚前）。各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eastAsia="仿宋_GB2312"/>
          <w:sz w:val="32"/>
          <w:szCs w:val="32"/>
        </w:rPr>
        <w:t>都要组建工作班子，深入调研，慎重确定整治点位，要充分考虑民情风俗和群众需求愿望，形成切实可行的工作方案。鉴于冬春季疫情防控工作的需要，除夕、元宵、清明等传统集中祭扫应当错峰分时有序进行。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充分宣传发动，形成社会共识（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日前）。各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eastAsia="仿宋_GB2312"/>
          <w:sz w:val="32"/>
          <w:szCs w:val="32"/>
        </w:rPr>
        <w:t>首先要结合疫情防控工作，开好一次由党员、村民代表、志愿者等参加的动员会，推动形成禁放鞭炮、禁烧纸钱的思想共识；其次要通过张贴通告、发放告知单，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eastAsia="仿宋_GB2312"/>
          <w:sz w:val="32"/>
          <w:szCs w:val="32"/>
        </w:rPr>
        <w:t>公众号、网格微信群宣传、有限广播通知等各种途径，尽早把集中祭扫期间禁放鞭炮、禁烧纸钱的公墓点位、具体要求宣传通知到每家每户，并通过属地村民宣传传达到辖区外的有关近亲属。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整体协同联动，增强工作合力。各条线工作人员各负其职，协调联动。在除夕、元宵、清明等传统集中祭扫期间，各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eastAsia="仿宋_GB2312"/>
          <w:sz w:val="32"/>
          <w:szCs w:val="32"/>
        </w:rPr>
        <w:t>要因地制宜，通过提前集中采购鲜花，成本价售卖等方式，为村（居）民文明祭扫做好配套服务；在集中祭扫期间，要安排足够数量的志愿者轮班值守，做好车辆疏导、鲜花代售和文明祭扫劝导等志愿服务工作。对携带纸钱祭扫的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eastAsia="仿宋_GB2312"/>
          <w:sz w:val="32"/>
          <w:szCs w:val="32"/>
        </w:rPr>
        <w:t>民要在说服劝导的基础上妥善做好集中焚烧等处置工作。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784" w:firstLineChars="2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（一）要强化组织领导。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除夕、元宵、清明节是</w:t>
      </w:r>
      <w:r>
        <w:rPr>
          <w:rFonts w:hint="eastAsia" w:ascii="仿宋_GB2312" w:eastAsia="仿宋_GB2312"/>
          <w:sz w:val="32"/>
          <w:szCs w:val="32"/>
        </w:rPr>
        <w:t>村（居）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民集中上坟祭奠的高峰，各相关单位要高度重视，加强领导，科学分工，严密部署，形成齐抓共管、协同作战的工作局面，确保移风易俗、文明祭扫的各项任务得到落实。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（二）要加强督查考核。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党群工作局要牵头协调相关部门，围绕治理重点，加强联合执法和对村（居）的指导、督办、考核。根据整治情况列入年终文明城市创建考核。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（三）要搞好宣传报道。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教育党员干部带头遵守国家的有关规定，发挥模范带头作用，大力在全社会营造安全文明祭扫的良好氛围。充分利用广播、社区板报、标语、微信公众号等多种形式，以《国务院殡葬管理条例》、《江苏省殡葬管理办法》、中办、国办《关于党员干部带头推动殡葬改革的意见》等文件为主要内容，广泛开展宣传教育，增强广大</w:t>
      </w:r>
      <w:r>
        <w:rPr>
          <w:rFonts w:hint="eastAsia" w:ascii="仿宋_GB2312" w:eastAsia="仿宋_GB2312"/>
          <w:sz w:val="32"/>
          <w:szCs w:val="32"/>
        </w:rPr>
        <w:t>村（居）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群众抵制丧葬陋俗的自觉性。及时宣传集中行动进展情况和取得的成效，宣传行动中涌现出的新人新事新风尚。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附件：全镇禁放鞭炮、禁烧纸钱公墓点位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启东市南阳镇人民政府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tbl>
      <w:tblPr>
        <w:tblStyle w:val="4"/>
        <w:tblW w:w="8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61"/>
        <w:gridCol w:w="6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全镇禁放鞭炮、禁烧纸钱公墓点位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南阳镇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秉章村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秉章村公墓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秉章村安息堂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富兴村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富兴村公墓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富兴村骨灰堂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耕南村骨灰堂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光明村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光明村公墓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光明村骨灰堂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合丰村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合丰村公墓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合丰村骨灰堂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红星村公墓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红星村骨灰堂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汇城角村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汇城角村公墓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汇城角村骨灰堂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聚阳村公墓1处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聚阳村公墓2处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聚阳村骨灰堂1处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聚阳村骨灰堂2处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康乐村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康乐村公墓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康乐村骨灰堂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乐庭村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乐庭村公墓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乐庭村骨灰堂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永兴村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永兴村公墓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永兴村骨灰堂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永兴村骨灰堂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良仁村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良仁村公墓1处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良仁村公墓2处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良仁村骨灰堂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南兴村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南兴村公墓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南兴村骨灰堂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启兴村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启兴村骨灰堂1处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启兴村骨灰堂2处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启兴村公墓1处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启兴村公墓2处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武陵村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武陵村公墓1处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武陵村公墓2处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武陵村骨灰堂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曦阳村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曦阳村公墓1处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曦阳村公墓2处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曦阳村骨灰堂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永和村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永和村公墓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永和村骨灰堂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元庆村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元庆村公墓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元庆村骨灰堂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悦兴村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悦兴村公墓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悦兴村骨灰堂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正谊村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正谊村公墓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正谊村骨灰堂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佐鹤村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佐鹤村公墓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佐鹤村骨灰堂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新河村公墓、骨灰堂1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新河村公墓、骨灰堂2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新河村公墓、骨灰堂3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新河村公墓、骨灰堂4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南阳村公墓、骨灰堂1处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南阳村公墓、骨灰堂2处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小塘沙村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小塘沙村公墓、骨灰堂1处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小塘沙村公墓、骨灰堂2处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北清河村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北清河村公墓、骨灰堂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北清河村（原洪流村）公墓、骨灰堂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元祥村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元祥村公墓1处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元祥村公墓2处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元祥村公墓3处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东昌镇村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东昌镇村公墓、骨灰堂1处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东昌镇村公墓、骨灰堂2处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启东市南阳镇人民政府办公室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798"/>
    <w:rsid w:val="00030038"/>
    <w:rsid w:val="000832AF"/>
    <w:rsid w:val="000C01AE"/>
    <w:rsid w:val="001306C7"/>
    <w:rsid w:val="00220AD1"/>
    <w:rsid w:val="003A507D"/>
    <w:rsid w:val="003B0807"/>
    <w:rsid w:val="003E330F"/>
    <w:rsid w:val="005F0A16"/>
    <w:rsid w:val="00682B8A"/>
    <w:rsid w:val="00685428"/>
    <w:rsid w:val="006F229B"/>
    <w:rsid w:val="00760647"/>
    <w:rsid w:val="00771657"/>
    <w:rsid w:val="007D0317"/>
    <w:rsid w:val="007D58E6"/>
    <w:rsid w:val="00802E3D"/>
    <w:rsid w:val="008B7A38"/>
    <w:rsid w:val="008E7046"/>
    <w:rsid w:val="00A00B41"/>
    <w:rsid w:val="00B21B97"/>
    <w:rsid w:val="00C34449"/>
    <w:rsid w:val="00C36EC7"/>
    <w:rsid w:val="00C45967"/>
    <w:rsid w:val="00CF0798"/>
    <w:rsid w:val="00D61EBB"/>
    <w:rsid w:val="00D933DB"/>
    <w:rsid w:val="00DB25A2"/>
    <w:rsid w:val="00E03343"/>
    <w:rsid w:val="00E67945"/>
    <w:rsid w:val="00F60CB4"/>
    <w:rsid w:val="00F70EC0"/>
    <w:rsid w:val="00FA17C8"/>
    <w:rsid w:val="00FE31A4"/>
    <w:rsid w:val="05124765"/>
    <w:rsid w:val="068634E5"/>
    <w:rsid w:val="15255A03"/>
    <w:rsid w:val="3B205F92"/>
    <w:rsid w:val="4139398E"/>
    <w:rsid w:val="4E266F71"/>
    <w:rsid w:val="4FCD7209"/>
    <w:rsid w:val="51B35672"/>
    <w:rsid w:val="55EC4F15"/>
    <w:rsid w:val="60964C35"/>
    <w:rsid w:val="63995EE5"/>
    <w:rsid w:val="6F8A5D77"/>
    <w:rsid w:val="6F937C51"/>
    <w:rsid w:val="73922ACC"/>
    <w:rsid w:val="76973FDC"/>
    <w:rsid w:val="7E6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468</Words>
  <Characters>2673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2019-12-03T07:27:00Z</dcterms:created>
  <dc:creator>user</dc:creator>
  <cp:lastModifiedBy>Administrator</cp:lastModifiedBy>
  <cp:lastPrinted>2021-01-20T02:34:00Z</cp:lastPrinted>
  <dcterms:modified xsi:type="dcterms:W3CDTF">2021-01-20T04:56:41Z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