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2206A">
      <w:pPr>
        <w:keepNext w:val="0"/>
        <w:keepLines w:val="0"/>
        <w:pageBreakBefore w:val="0"/>
        <w:widowControl w:val="0"/>
        <w:kinsoku/>
        <w:wordWrap/>
        <w:overflowPunct/>
        <w:topLinePunct w:val="0"/>
        <w:autoSpaceDE/>
        <w:autoSpaceDN/>
        <w:bidi w:val="0"/>
        <w:adjustRightInd/>
        <w:snapToGrid/>
        <w:spacing w:line="360" w:lineRule="auto"/>
        <w:ind w:right="0" w:firstLine="594" w:firstLineChars="200"/>
        <w:jc w:val="center"/>
        <w:textAlignment w:val="auto"/>
        <w:rPr>
          <w:rFonts w:hint="eastAsia" w:ascii="宋体" w:hAnsi="宋体" w:eastAsia="宋体" w:cs="宋体"/>
          <w:b/>
          <w:bCs/>
          <w:spacing w:val="-2"/>
          <w:sz w:val="30"/>
          <w:szCs w:val="30"/>
          <w:highlight w:val="none"/>
          <w:lang w:eastAsia="en-US"/>
        </w:rPr>
      </w:pPr>
      <w:r>
        <w:rPr>
          <w:rFonts w:hint="eastAsia" w:ascii="宋体" w:hAnsi="宋体" w:eastAsia="宋体" w:cs="宋体"/>
          <w:b/>
          <w:bCs/>
          <w:spacing w:val="-2"/>
          <w:sz w:val="30"/>
          <w:szCs w:val="30"/>
          <w:highlight w:val="none"/>
          <w:lang w:eastAsia="en-US"/>
        </w:rPr>
        <w:t>启东市南阳镇富兴村2026年一事一议财政奖补</w:t>
      </w:r>
    </w:p>
    <w:p w14:paraId="7768B755">
      <w:pPr>
        <w:keepNext w:val="0"/>
        <w:keepLines w:val="0"/>
        <w:pageBreakBefore w:val="0"/>
        <w:widowControl w:val="0"/>
        <w:kinsoku/>
        <w:wordWrap/>
        <w:overflowPunct/>
        <w:topLinePunct w:val="0"/>
        <w:autoSpaceDE/>
        <w:autoSpaceDN/>
        <w:bidi w:val="0"/>
        <w:adjustRightInd/>
        <w:snapToGrid/>
        <w:spacing w:line="360" w:lineRule="auto"/>
        <w:ind w:right="0" w:firstLine="594" w:firstLineChars="200"/>
        <w:jc w:val="center"/>
        <w:textAlignment w:val="auto"/>
        <w:rPr>
          <w:rFonts w:hint="eastAsia" w:ascii="宋体" w:hAnsi="宋体" w:eastAsia="宋体" w:cs="宋体"/>
          <w:b/>
          <w:bCs/>
          <w:spacing w:val="-2"/>
          <w:sz w:val="30"/>
          <w:szCs w:val="30"/>
          <w:highlight w:val="none"/>
          <w:lang w:eastAsia="zh-CN"/>
        </w:rPr>
      </w:pPr>
      <w:r>
        <w:rPr>
          <w:rFonts w:hint="eastAsia" w:ascii="宋体" w:hAnsi="宋体" w:eastAsia="宋体" w:cs="宋体"/>
          <w:b/>
          <w:bCs/>
          <w:spacing w:val="-2"/>
          <w:sz w:val="30"/>
          <w:szCs w:val="30"/>
          <w:highlight w:val="none"/>
          <w:lang w:eastAsia="en-US"/>
        </w:rPr>
        <w:t>（太阳能光伏路灯采购与安</w:t>
      </w:r>
      <w:r>
        <w:rPr>
          <w:rFonts w:hint="eastAsia" w:ascii="宋体" w:hAnsi="宋体" w:eastAsia="宋体" w:cs="宋体"/>
          <w:b/>
          <w:bCs/>
          <w:spacing w:val="-2"/>
          <w:sz w:val="30"/>
          <w:szCs w:val="30"/>
          <w:highlight w:val="none"/>
          <w:lang w:val="en-US" w:eastAsia="zh-CN"/>
        </w:rPr>
        <w:t>装</w:t>
      </w:r>
      <w:r>
        <w:rPr>
          <w:rFonts w:hint="eastAsia" w:ascii="宋体" w:hAnsi="宋体" w:eastAsia="宋体" w:cs="宋体"/>
          <w:b/>
          <w:bCs/>
          <w:spacing w:val="-2"/>
          <w:sz w:val="30"/>
          <w:szCs w:val="30"/>
          <w:highlight w:val="none"/>
          <w:lang w:eastAsia="en-US"/>
        </w:rPr>
        <w:t>）项目市场询价公告</w:t>
      </w:r>
      <w:r>
        <w:rPr>
          <w:rFonts w:hint="eastAsia" w:ascii="宋体" w:hAnsi="宋体" w:eastAsia="宋体" w:cs="宋体"/>
          <w:b/>
          <w:bCs/>
          <w:spacing w:val="-2"/>
          <w:sz w:val="30"/>
          <w:szCs w:val="30"/>
          <w:highlight w:val="none"/>
          <w:lang w:eastAsia="zh-CN"/>
        </w:rPr>
        <w:t>（</w:t>
      </w:r>
      <w:r>
        <w:rPr>
          <w:rFonts w:hint="eastAsia" w:ascii="宋体" w:hAnsi="宋体" w:eastAsia="宋体" w:cs="宋体"/>
          <w:b/>
          <w:bCs/>
          <w:spacing w:val="-2"/>
          <w:sz w:val="30"/>
          <w:szCs w:val="30"/>
          <w:highlight w:val="none"/>
          <w:lang w:val="en-US" w:eastAsia="zh-CN"/>
        </w:rPr>
        <w:t>四次</w:t>
      </w:r>
      <w:r>
        <w:rPr>
          <w:rFonts w:hint="eastAsia" w:ascii="宋体" w:hAnsi="宋体" w:eastAsia="宋体" w:cs="宋体"/>
          <w:b/>
          <w:bCs/>
          <w:spacing w:val="-2"/>
          <w:sz w:val="30"/>
          <w:szCs w:val="30"/>
          <w:highlight w:val="none"/>
          <w:lang w:eastAsia="zh-CN"/>
        </w:rPr>
        <w:t>）</w:t>
      </w:r>
    </w:p>
    <w:p w14:paraId="2AF4235B">
      <w:pPr>
        <w:keepNext w:val="0"/>
        <w:keepLines w:val="0"/>
        <w:pageBreakBefore w:val="0"/>
        <w:widowControl w:val="0"/>
        <w:kinsoku/>
        <w:wordWrap/>
        <w:overflowPunct/>
        <w:topLinePunct w:val="0"/>
        <w:autoSpaceDE/>
        <w:autoSpaceDN/>
        <w:bidi w:val="0"/>
        <w:adjustRightInd/>
        <w:snapToGrid/>
        <w:spacing w:line="360" w:lineRule="auto"/>
        <w:ind w:right="0" w:firstLine="472" w:firstLineChars="200"/>
        <w:jc w:val="both"/>
        <w:textAlignment w:val="auto"/>
        <w:rPr>
          <w:rFonts w:hint="eastAsia" w:ascii="宋体" w:hAnsi="宋体" w:eastAsia="宋体" w:cs="宋体"/>
          <w:spacing w:val="-2"/>
          <w:sz w:val="24"/>
          <w:szCs w:val="24"/>
          <w:highlight w:val="none"/>
          <w:lang w:eastAsia="en-US"/>
        </w:rPr>
      </w:pPr>
      <w:r>
        <w:rPr>
          <w:rFonts w:hint="eastAsia" w:ascii="宋体" w:hAnsi="宋体" w:eastAsia="宋体" w:cs="宋体"/>
          <w:spacing w:val="-2"/>
          <w:sz w:val="24"/>
          <w:szCs w:val="24"/>
          <w:highlight w:val="none"/>
          <w:lang w:eastAsia="en-US"/>
        </w:rPr>
        <w:t>启东市南阳镇富兴村2026年一事一议财政奖补（太阳能光伏路灯采购与安</w:t>
      </w:r>
      <w:r>
        <w:rPr>
          <w:rFonts w:hint="eastAsia" w:ascii="宋体" w:hAnsi="宋体" w:eastAsia="宋体" w:cs="宋体"/>
          <w:spacing w:val="-2"/>
          <w:sz w:val="24"/>
          <w:szCs w:val="24"/>
          <w:highlight w:val="none"/>
          <w:lang w:val="en-US" w:eastAsia="zh-CN"/>
        </w:rPr>
        <w:t>装</w:t>
      </w:r>
      <w:r>
        <w:rPr>
          <w:rFonts w:hint="eastAsia" w:ascii="宋体" w:hAnsi="宋体" w:eastAsia="宋体" w:cs="宋体"/>
          <w:spacing w:val="-2"/>
          <w:sz w:val="24"/>
          <w:szCs w:val="24"/>
          <w:highlight w:val="none"/>
          <w:lang w:eastAsia="en-US"/>
        </w:rPr>
        <w:t>）项目即将实施</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eastAsia="en-US"/>
        </w:rPr>
        <w:t>现就启东市南阳镇富兴村2026年一事一议财政奖补（太阳能光伏路灯采购与安</w:t>
      </w:r>
      <w:r>
        <w:rPr>
          <w:rFonts w:hint="eastAsia" w:ascii="宋体" w:hAnsi="宋体" w:eastAsia="宋体" w:cs="宋体"/>
          <w:spacing w:val="-2"/>
          <w:sz w:val="24"/>
          <w:szCs w:val="24"/>
          <w:highlight w:val="none"/>
          <w:lang w:val="en-US" w:eastAsia="zh-CN"/>
        </w:rPr>
        <w:t>装</w:t>
      </w:r>
      <w:r>
        <w:rPr>
          <w:rFonts w:hint="eastAsia" w:ascii="宋体" w:hAnsi="宋体" w:eastAsia="宋体" w:cs="宋体"/>
          <w:spacing w:val="-2"/>
          <w:sz w:val="24"/>
          <w:szCs w:val="24"/>
          <w:highlight w:val="none"/>
          <w:lang w:eastAsia="en-US"/>
        </w:rPr>
        <w:t>）</w:t>
      </w:r>
      <w:r>
        <w:rPr>
          <w:rFonts w:hint="eastAsia" w:ascii="宋体" w:hAnsi="宋体" w:eastAsia="宋体" w:cs="宋体"/>
          <w:spacing w:val="-2"/>
          <w:sz w:val="24"/>
          <w:szCs w:val="24"/>
          <w:highlight w:val="none"/>
          <w:lang w:eastAsia="zh-CN"/>
        </w:rPr>
        <w:t>项目</w:t>
      </w:r>
      <w:r>
        <w:rPr>
          <w:rFonts w:hint="eastAsia" w:ascii="宋体" w:hAnsi="宋体" w:eastAsia="宋体" w:cs="宋体"/>
          <w:spacing w:val="-2"/>
          <w:sz w:val="24"/>
          <w:szCs w:val="24"/>
          <w:highlight w:val="none"/>
          <w:lang w:eastAsia="en-US"/>
        </w:rPr>
        <w:t>进行市场询价调研。</w:t>
      </w:r>
    </w:p>
    <w:p w14:paraId="79515244">
      <w:pPr>
        <w:keepNext w:val="0"/>
        <w:keepLines w:val="0"/>
        <w:pageBreakBefore w:val="0"/>
        <w:widowControl w:val="0"/>
        <w:kinsoku/>
        <w:wordWrap/>
        <w:overflowPunct/>
        <w:topLinePunct w:val="0"/>
        <w:autoSpaceDE/>
        <w:autoSpaceDN/>
        <w:bidi w:val="0"/>
        <w:adjustRightInd/>
        <w:snapToGrid/>
        <w:spacing w:line="360" w:lineRule="auto"/>
        <w:ind w:right="0" w:firstLine="472" w:firstLineChars="200"/>
        <w:jc w:val="both"/>
        <w:textAlignment w:val="auto"/>
        <w:rPr>
          <w:rFonts w:ascii="宋体" w:hAnsi="宋体" w:eastAsia="宋体" w:cs="宋体"/>
          <w:sz w:val="24"/>
          <w:szCs w:val="24"/>
          <w:highlight w:val="none"/>
        </w:rPr>
      </w:pPr>
      <w:r>
        <w:rPr>
          <w:rFonts w:ascii="宋体" w:hAnsi="宋体" w:eastAsia="宋体" w:cs="宋体"/>
          <w:spacing w:val="-2"/>
          <w:sz w:val="24"/>
          <w:szCs w:val="24"/>
          <w:highlight w:val="none"/>
        </w:rPr>
        <w:t>一、采购需求：</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175"/>
        <w:gridCol w:w="6417"/>
        <w:gridCol w:w="787"/>
        <w:gridCol w:w="916"/>
      </w:tblGrid>
      <w:tr w14:paraId="5ED2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33" w:type="pct"/>
            <w:shd w:val="clear" w:color="auto" w:fill="auto"/>
            <w:vAlign w:val="center"/>
          </w:tcPr>
          <w:p w14:paraId="0C3C4978">
            <w:pPr>
              <w:pStyle w:val="8"/>
              <w:spacing w:before="62" w:line="229" w:lineRule="auto"/>
              <w:jc w:val="center"/>
              <w:rPr>
                <w:rFonts w:hint="eastAsia" w:ascii="Arial" w:hAnsi="Arial" w:eastAsia="宋体" w:cs="Arial"/>
                <w:b/>
                <w:bCs/>
                <w:spacing w:val="6"/>
                <w:kern w:val="2"/>
                <w:sz w:val="19"/>
                <w:szCs w:val="19"/>
                <w:highlight w:val="none"/>
                <w:lang w:val="en-US" w:eastAsia="en-US" w:bidi="ar-SA"/>
              </w:rPr>
            </w:pPr>
            <w:r>
              <w:rPr>
                <w:rFonts w:hint="eastAsia"/>
                <w:b/>
                <w:bCs/>
                <w:spacing w:val="6"/>
                <w:sz w:val="19"/>
                <w:szCs w:val="19"/>
                <w:highlight w:val="none"/>
                <w:lang w:val="en-US" w:eastAsia="zh-CN"/>
              </w:rPr>
              <w:t>序号</w:t>
            </w:r>
          </w:p>
        </w:tc>
        <w:tc>
          <w:tcPr>
            <w:tcW w:w="590" w:type="pct"/>
            <w:shd w:val="clear" w:color="auto" w:fill="auto"/>
            <w:vAlign w:val="center"/>
          </w:tcPr>
          <w:p w14:paraId="0A579F75">
            <w:pPr>
              <w:pStyle w:val="8"/>
              <w:spacing w:before="62" w:line="229" w:lineRule="auto"/>
              <w:jc w:val="center"/>
              <w:rPr>
                <w:rFonts w:hint="default" w:ascii="Arial" w:hAnsi="Arial" w:eastAsia="宋体" w:cs="Arial"/>
                <w:b/>
                <w:bCs/>
                <w:spacing w:val="6"/>
                <w:kern w:val="2"/>
                <w:sz w:val="19"/>
                <w:szCs w:val="19"/>
                <w:highlight w:val="none"/>
                <w:lang w:val="en-US" w:eastAsia="en-US" w:bidi="ar-SA"/>
              </w:rPr>
            </w:pPr>
            <w:r>
              <w:rPr>
                <w:rFonts w:hint="eastAsia"/>
                <w:b/>
                <w:bCs/>
                <w:spacing w:val="6"/>
                <w:sz w:val="19"/>
                <w:szCs w:val="19"/>
                <w:highlight w:val="none"/>
                <w:lang w:val="en-US" w:eastAsia="zh-CN"/>
              </w:rPr>
              <w:t>材料名称</w:t>
            </w:r>
          </w:p>
        </w:tc>
        <w:tc>
          <w:tcPr>
            <w:tcW w:w="3222" w:type="pct"/>
            <w:shd w:val="clear" w:color="auto" w:fill="auto"/>
            <w:vAlign w:val="center"/>
          </w:tcPr>
          <w:p w14:paraId="54537AF7">
            <w:pPr>
              <w:pStyle w:val="8"/>
              <w:spacing w:before="62" w:line="229" w:lineRule="auto"/>
              <w:jc w:val="center"/>
              <w:rPr>
                <w:rFonts w:ascii="Arial" w:hAnsi="Arial" w:eastAsia="Arial" w:cs="Arial"/>
                <w:b/>
                <w:bCs/>
                <w:spacing w:val="6"/>
                <w:kern w:val="2"/>
                <w:sz w:val="19"/>
                <w:szCs w:val="19"/>
                <w:highlight w:val="none"/>
                <w:lang w:val="en-US" w:eastAsia="en-US" w:bidi="ar-SA"/>
              </w:rPr>
            </w:pPr>
            <w:r>
              <w:rPr>
                <w:b/>
                <w:bCs/>
                <w:spacing w:val="6"/>
                <w:sz w:val="19"/>
                <w:szCs w:val="19"/>
                <w:highlight w:val="none"/>
              </w:rPr>
              <w:t>规格</w:t>
            </w:r>
          </w:p>
        </w:tc>
        <w:tc>
          <w:tcPr>
            <w:tcW w:w="395" w:type="pct"/>
            <w:shd w:val="clear" w:color="auto" w:fill="auto"/>
            <w:vAlign w:val="center"/>
          </w:tcPr>
          <w:p w14:paraId="3CFF08CB">
            <w:pPr>
              <w:pStyle w:val="8"/>
              <w:spacing w:before="62" w:line="229" w:lineRule="auto"/>
              <w:jc w:val="center"/>
              <w:rPr>
                <w:rFonts w:hint="eastAsia" w:ascii="Arial" w:hAnsi="Arial" w:eastAsia="宋体" w:cs="Arial"/>
                <w:b/>
                <w:bCs/>
                <w:spacing w:val="6"/>
                <w:kern w:val="2"/>
                <w:sz w:val="19"/>
                <w:szCs w:val="19"/>
                <w:highlight w:val="none"/>
                <w:lang w:val="en-US" w:eastAsia="en-US" w:bidi="ar-SA"/>
              </w:rPr>
            </w:pPr>
            <w:r>
              <w:rPr>
                <w:rFonts w:hint="eastAsia"/>
                <w:b/>
                <w:bCs/>
                <w:spacing w:val="6"/>
                <w:sz w:val="19"/>
                <w:szCs w:val="19"/>
                <w:highlight w:val="none"/>
                <w:lang w:val="en-US" w:eastAsia="zh-CN"/>
              </w:rPr>
              <w:t>单位</w:t>
            </w:r>
          </w:p>
        </w:tc>
        <w:tc>
          <w:tcPr>
            <w:tcW w:w="457" w:type="pct"/>
            <w:shd w:val="clear" w:color="auto" w:fill="auto"/>
            <w:vAlign w:val="center"/>
          </w:tcPr>
          <w:p w14:paraId="1E3D9876">
            <w:pPr>
              <w:pStyle w:val="8"/>
              <w:spacing w:before="62" w:line="229" w:lineRule="auto"/>
              <w:jc w:val="center"/>
              <w:rPr>
                <w:rFonts w:ascii="Arial" w:hAnsi="Arial" w:eastAsia="Arial" w:cs="Arial"/>
                <w:b/>
                <w:bCs/>
                <w:spacing w:val="6"/>
                <w:kern w:val="2"/>
                <w:sz w:val="19"/>
                <w:szCs w:val="19"/>
                <w:highlight w:val="none"/>
                <w:lang w:val="en-US" w:eastAsia="en-US" w:bidi="ar-SA"/>
              </w:rPr>
            </w:pPr>
            <w:r>
              <w:rPr>
                <w:b/>
                <w:bCs/>
                <w:spacing w:val="6"/>
                <w:sz w:val="19"/>
                <w:szCs w:val="19"/>
                <w:highlight w:val="none"/>
              </w:rPr>
              <w:t>数量</w:t>
            </w:r>
          </w:p>
        </w:tc>
      </w:tr>
      <w:tr w14:paraId="0441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663" w:type="dxa"/>
            <w:shd w:val="clear" w:color="auto" w:fill="auto"/>
            <w:vAlign w:val="center"/>
          </w:tcPr>
          <w:p w14:paraId="4734732A">
            <w:pPr>
              <w:pStyle w:val="8"/>
              <w:spacing w:before="62" w:line="229" w:lineRule="auto"/>
              <w:jc w:val="center"/>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1</w:t>
            </w:r>
          </w:p>
        </w:tc>
        <w:tc>
          <w:tcPr>
            <w:tcW w:w="1175" w:type="dxa"/>
            <w:shd w:val="clear" w:color="auto" w:fill="auto"/>
            <w:vAlign w:val="center"/>
          </w:tcPr>
          <w:p w14:paraId="457F9E62">
            <w:pPr>
              <w:pStyle w:val="8"/>
              <w:spacing w:before="62" w:line="229" w:lineRule="auto"/>
              <w:jc w:val="cente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拆除</w:t>
            </w:r>
          </w:p>
        </w:tc>
        <w:tc>
          <w:tcPr>
            <w:tcW w:w="6417" w:type="dxa"/>
            <w:shd w:val="clear" w:color="auto" w:fill="auto"/>
            <w:vAlign w:val="center"/>
          </w:tcPr>
          <w:p w14:paraId="070ADDF1">
            <w:pPr>
              <w:widowControl/>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1、原有</w:t>
            </w:r>
            <w:r>
              <w:rPr>
                <w:rFonts w:hint="eastAsia" w:ascii="宋体" w:hAnsi="宋体" w:eastAsia="宋体" w:cs="宋体"/>
                <w:b w:val="0"/>
                <w:bCs w:val="0"/>
                <w:spacing w:val="6"/>
                <w:sz w:val="24"/>
                <w:szCs w:val="24"/>
                <w:highlight w:val="none"/>
                <w:lang w:val="en-US" w:eastAsia="zh-CN"/>
              </w:rPr>
              <w:t>325</w:t>
            </w:r>
            <w:r>
              <w:rPr>
                <w:rFonts w:hint="eastAsia" w:ascii="宋体" w:hAnsi="宋体" w:eastAsia="宋体" w:cs="宋体"/>
                <w:i w:val="0"/>
                <w:iCs w:val="0"/>
                <w:caps w:val="0"/>
                <w:color w:val="333333"/>
                <w:spacing w:val="0"/>
                <w:sz w:val="24"/>
                <w:szCs w:val="24"/>
                <w:highlight w:val="none"/>
                <w:shd w:val="clear" w:fill="FFFFFF"/>
                <w:lang w:val="en-US" w:eastAsia="zh-CN"/>
              </w:rPr>
              <w:t>盏</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路灯及配线等附件全部拆除（具体以采购单位要求为准）。</w:t>
            </w:r>
          </w:p>
          <w:p w14:paraId="2787A72B">
            <w:pPr>
              <w:widowControl/>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2、拆除后按采购单位要求在指定位置堆放整齐。</w:t>
            </w:r>
          </w:p>
          <w:p w14:paraId="02A2804A">
            <w:pPr>
              <w:pStyle w:val="8"/>
              <w:numPr>
                <w:ilvl w:val="0"/>
                <w:numId w:val="0"/>
              </w:numPr>
              <w:spacing w:before="62" w:line="229"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3、拆除的灯及配线等附件全部归采购单位所有。</w:t>
            </w:r>
          </w:p>
        </w:tc>
        <w:tc>
          <w:tcPr>
            <w:tcW w:w="787" w:type="dxa"/>
            <w:shd w:val="clear" w:color="auto" w:fill="auto"/>
            <w:vAlign w:val="center"/>
          </w:tcPr>
          <w:p w14:paraId="4D159E39">
            <w:pPr>
              <w:pStyle w:val="8"/>
              <w:spacing w:before="62" w:line="229" w:lineRule="auto"/>
              <w:jc w:val="center"/>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盏</w:t>
            </w:r>
          </w:p>
        </w:tc>
        <w:tc>
          <w:tcPr>
            <w:tcW w:w="916" w:type="dxa"/>
            <w:shd w:val="clear" w:color="auto" w:fill="auto"/>
            <w:vAlign w:val="center"/>
          </w:tcPr>
          <w:p w14:paraId="0B6177C8">
            <w:pPr>
              <w:pStyle w:val="8"/>
              <w:spacing w:before="62" w:line="229" w:lineRule="auto"/>
              <w:jc w:val="center"/>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325</w:t>
            </w:r>
          </w:p>
        </w:tc>
      </w:tr>
      <w:tr w14:paraId="015C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9" w:hRule="atLeast"/>
        </w:trPr>
        <w:tc>
          <w:tcPr>
            <w:tcW w:w="333" w:type="pct"/>
            <w:shd w:val="clear" w:color="auto" w:fill="auto"/>
            <w:vAlign w:val="center"/>
          </w:tcPr>
          <w:p w14:paraId="14362740">
            <w:pPr>
              <w:pStyle w:val="8"/>
              <w:spacing w:before="62" w:line="229" w:lineRule="auto"/>
              <w:jc w:val="center"/>
              <w:rPr>
                <w:rFonts w:hint="eastAsia" w:ascii="宋体" w:hAnsi="宋体" w:eastAsia="宋体" w:cs="宋体"/>
                <w:b/>
                <w:bCs/>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2</w:t>
            </w:r>
          </w:p>
        </w:tc>
        <w:tc>
          <w:tcPr>
            <w:tcW w:w="590" w:type="pct"/>
            <w:shd w:val="clear" w:color="auto" w:fill="auto"/>
            <w:vAlign w:val="center"/>
          </w:tcPr>
          <w:p w14:paraId="270123A1">
            <w:pPr>
              <w:pStyle w:val="8"/>
              <w:spacing w:before="62" w:line="229" w:lineRule="auto"/>
              <w:jc w:val="center"/>
              <w:rPr>
                <w:rFonts w:hint="eastAsia" w:ascii="宋体" w:hAnsi="宋体" w:eastAsia="宋体" w:cs="宋体"/>
                <w:b/>
                <w:bCs/>
                <w:spacing w:val="6"/>
                <w:sz w:val="24"/>
                <w:szCs w:val="24"/>
                <w:highlight w:val="none"/>
                <w:lang w:val="en-US" w:eastAsia="zh-CN"/>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借杆太阳能路灯</w:t>
            </w:r>
          </w:p>
        </w:tc>
        <w:tc>
          <w:tcPr>
            <w:tcW w:w="3222" w:type="pct"/>
            <w:shd w:val="clear" w:color="auto" w:fill="auto"/>
            <w:vAlign w:val="center"/>
          </w:tcPr>
          <w:p w14:paraId="7E9AE1F8">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功率：</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60W(±5%）</w:t>
            </w:r>
          </w:p>
          <w:p w14:paraId="27C7CB3B">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光效：</w:t>
            </w:r>
            <w:r>
              <w:rPr>
                <w:rFonts w:hint="eastAsia" w:ascii="宋体" w:hAnsi="宋体" w:eastAsia="宋体" w:cs="宋体"/>
                <w:color w:val="auto"/>
                <w:sz w:val="24"/>
                <w:szCs w:val="24"/>
                <w:highlight w:val="none"/>
              </w:rPr>
              <w:t>整灯光效≥1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0Lm/W</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p>
          <w:p w14:paraId="0D93A4E9">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色温：</w:t>
            </w:r>
            <w:r>
              <w:rPr>
                <w:rFonts w:hint="eastAsia" w:ascii="宋体" w:hAnsi="宋体" w:eastAsia="宋体" w:cs="宋体"/>
                <w:color w:val="auto"/>
                <w:sz w:val="24"/>
                <w:szCs w:val="24"/>
                <w:highlight w:val="none"/>
                <w:lang w:val="en-US" w:eastAsia="zh-CN"/>
              </w:rPr>
              <w:t>5700</w:t>
            </w:r>
            <w:r>
              <w:rPr>
                <w:rFonts w:hint="eastAsia" w:ascii="宋体" w:hAnsi="宋体" w:eastAsia="宋体" w:cs="宋体"/>
                <w:color w:val="auto"/>
                <w:sz w:val="24"/>
                <w:szCs w:val="24"/>
                <w:highlight w:val="none"/>
              </w:rPr>
              <w:t>K</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±100K</w:t>
            </w:r>
            <w:r>
              <w:rPr>
                <w:rFonts w:hint="eastAsia" w:ascii="宋体" w:hAnsi="宋体" w:eastAsia="宋体" w:cs="宋体"/>
                <w:color w:val="auto"/>
                <w:sz w:val="24"/>
                <w:szCs w:val="24"/>
                <w:highlight w:val="none"/>
                <w:lang w:eastAsia="zh-CN"/>
              </w:rPr>
              <w:t>）</w:t>
            </w:r>
          </w:p>
          <w:p w14:paraId="696DBF06">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显色指数：</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≥80</w:t>
            </w:r>
          </w:p>
          <w:p w14:paraId="76BD2A8D">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功率因数≥0.90</w:t>
            </w:r>
          </w:p>
          <w:p w14:paraId="3FF0902E">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▲灯具尺寸</w:t>
            </w:r>
            <w:r>
              <w:rPr>
                <w:rFonts w:hint="eastAsia" w:ascii="宋体" w:hAnsi="宋体" w:eastAsia="宋体" w:cs="宋体"/>
                <w:i w:val="0"/>
                <w:iCs w:val="0"/>
                <w:caps w:val="0"/>
                <w:color w:val="333333"/>
                <w:spacing w:val="0"/>
                <w:sz w:val="24"/>
                <w:szCs w:val="24"/>
                <w:highlight w:val="none"/>
                <w:shd w:val="clear" w:fill="FFFFFF"/>
                <w:lang w:eastAsia="zh-CN"/>
              </w:rPr>
              <w:t>：560*220*74（ mm）（尺寸允许偏差范围±5%）</w:t>
            </w:r>
          </w:p>
          <w:p w14:paraId="10D759B9">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防护等级：防护等级≥IP65，符合GB7000.203(GB7000.1)</w:t>
            </w:r>
          </w:p>
          <w:p w14:paraId="1CD874A0">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灯体材质：灯具外壳整体一次全铝压铸成型减少结构固定，提高散热效率。灯具外壳需经过防腐喷塑处理，紧固件采用不锈钢高强度耐腐蚀材料 。</w:t>
            </w:r>
          </w:p>
          <w:p w14:paraId="338AE877">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太阳能组件：太阳能板功率100W（±5%），多晶硅板，转换率＞18%，多时段控制，可变功率，内置控制装置，具有过充过放及防护功能，平均寿命≥10年。锂电池50AH（±5%），寿命≥10年，亮灯时间大于等于12小时。</w:t>
            </w:r>
          </w:p>
          <w:p w14:paraId="2BE6A51B">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灯具光学角度要求：</w:t>
            </w:r>
            <w:r>
              <w:rPr>
                <w:rFonts w:hint="eastAsia" w:ascii="宋体" w:hAnsi="宋体" w:eastAsia="宋体" w:cs="宋体"/>
                <w:color w:val="auto"/>
                <w:sz w:val="24"/>
                <w:szCs w:val="24"/>
                <w:highlight w:val="none"/>
              </w:rPr>
              <w:t>透镜为PC材料</w:t>
            </w:r>
            <w:r>
              <w:rPr>
                <w:rFonts w:hint="eastAsia" w:ascii="宋体" w:hAnsi="宋体" w:eastAsia="宋体" w:cs="宋体"/>
                <w:color w:val="auto"/>
                <w:sz w:val="24"/>
                <w:szCs w:val="24"/>
                <w:highlight w:val="none"/>
                <w:lang w:val="en-US" w:eastAsia="zh-CN"/>
              </w:rPr>
              <w:t>加玻璃，</w:t>
            </w:r>
            <w:r>
              <w:rPr>
                <w:rFonts w:hint="eastAsia" w:ascii="宋体" w:hAnsi="宋体" w:eastAsia="宋体" w:cs="宋体"/>
                <w:color w:val="auto"/>
                <w:sz w:val="24"/>
                <w:szCs w:val="24"/>
                <w:highlight w:val="none"/>
              </w:rPr>
              <w:t>稳定性好，折射率高</w:t>
            </w:r>
          </w:p>
          <w:p w14:paraId="2C7DF59F">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挑臂：壁厚≥2mm，壁长1.2m，材质为热镀锌镀锌钢。底部焊接固定底座；整体热镀锌，静电喷塑防腐处理，含抱箍、配件等</w:t>
            </w:r>
          </w:p>
          <w:p w14:paraId="50EAD93A">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rPr>
              <w:t>防坠要求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路灯灯具上要有防坠链，且不能破坏灯具的密封性能，并能大幅降低灯头部分在外力作用时坠落导致的事故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所提供的检测报告中的灯具照片应体现</w:t>
            </w:r>
            <w:r>
              <w:rPr>
                <w:rFonts w:hint="eastAsia" w:ascii="宋体" w:hAnsi="宋体" w:eastAsia="宋体" w:cs="宋体"/>
                <w:color w:val="auto"/>
                <w:sz w:val="24"/>
                <w:szCs w:val="24"/>
                <w:highlight w:val="none"/>
                <w:lang w:eastAsia="zh-CN"/>
              </w:rPr>
              <w:t>）</w:t>
            </w:r>
          </w:p>
          <w:p w14:paraId="1BBCDA46">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color w:val="auto"/>
                <w:sz w:val="24"/>
                <w:szCs w:val="24"/>
                <w:highlight w:val="none"/>
                <w:lang w:val="en-US" w:eastAsia="zh-CN"/>
              </w:rPr>
              <w:t>外观、安装及维护要求：外观应选择抗强风流线型外观设计</w:t>
            </w:r>
          </w:p>
        </w:tc>
        <w:tc>
          <w:tcPr>
            <w:tcW w:w="395" w:type="pct"/>
            <w:shd w:val="clear" w:color="auto" w:fill="auto"/>
            <w:vAlign w:val="center"/>
          </w:tcPr>
          <w:p w14:paraId="3B13E4A9">
            <w:pPr>
              <w:pStyle w:val="8"/>
              <w:spacing w:before="62" w:line="229" w:lineRule="auto"/>
              <w:jc w:val="center"/>
              <w:rPr>
                <w:rFonts w:hint="eastAsia" w:ascii="宋体" w:hAnsi="宋体" w:eastAsia="宋体" w:cs="宋体"/>
                <w:b/>
                <w:bCs/>
                <w:spacing w:val="6"/>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盏</w:t>
            </w:r>
          </w:p>
        </w:tc>
        <w:tc>
          <w:tcPr>
            <w:tcW w:w="457" w:type="pct"/>
            <w:shd w:val="clear" w:color="auto" w:fill="auto"/>
            <w:vAlign w:val="center"/>
          </w:tcPr>
          <w:p w14:paraId="72391A8F">
            <w:pPr>
              <w:pStyle w:val="8"/>
              <w:spacing w:before="62" w:line="229" w:lineRule="auto"/>
              <w:jc w:val="center"/>
              <w:rPr>
                <w:rFonts w:hint="eastAsia" w:ascii="宋体" w:hAnsi="宋体" w:eastAsia="宋体" w:cs="宋体"/>
                <w:b/>
                <w:bCs/>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325</w:t>
            </w:r>
          </w:p>
        </w:tc>
      </w:tr>
      <w:tr w14:paraId="38B8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5000" w:type="pct"/>
            <w:gridSpan w:val="5"/>
            <w:shd w:val="clear" w:color="auto" w:fill="auto"/>
            <w:vAlign w:val="center"/>
          </w:tcPr>
          <w:p w14:paraId="0529A09B">
            <w:pPr>
              <w:pStyle w:val="2"/>
              <w:numPr>
                <w:ilvl w:val="0"/>
                <w:numId w:val="0"/>
              </w:numPr>
              <w:ind w:leftChars="0"/>
              <w:jc w:val="left"/>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备注：1、上述带“▲”为主要规格参数，投标时须提供国家电光源质量监督检验中心或国家电光源质量检验检测中心出具的样品灯具检测报告复印件并加盖投标单位公章【检测报告的封面必须带有CMA及CNAS标志、有电子版报告的二维码、内页附有灯具照片及外形尺寸】,灯具的外观与样品图要求的外观一致，且报告中参数指标涵盖采购要求。</w:t>
            </w:r>
          </w:p>
          <w:p w14:paraId="68446D82">
            <w:pPr>
              <w:pStyle w:val="2"/>
              <w:numPr>
                <w:ilvl w:val="0"/>
                <w:numId w:val="0"/>
              </w:numPr>
              <w:ind w:leftChars="0"/>
              <w:jc w:val="left"/>
              <w:rPr>
                <w:rFonts w:hint="eastAsia" w:ascii="宋体" w:hAnsi="宋体" w:eastAsia="宋体" w:cs="宋体"/>
                <w:i w:val="0"/>
                <w:iCs w:val="0"/>
                <w:caps w:val="0"/>
                <w:color w:val="333333"/>
                <w:spacing w:val="0"/>
                <w:kern w:val="2"/>
                <w:sz w:val="24"/>
                <w:szCs w:val="24"/>
                <w:highlight w:val="none"/>
                <w:shd w:val="clear" w:fill="FFFFFF"/>
                <w:lang w:val="en-US" w:eastAsia="zh-CN" w:bidi="ar-SA"/>
              </w:rPr>
            </w:pPr>
            <w:r>
              <w:rPr>
                <w:rFonts w:hint="eastAsia" w:cs="宋体"/>
                <w:i w:val="0"/>
                <w:iCs w:val="0"/>
                <w:caps w:val="0"/>
                <w:color w:val="333333"/>
                <w:spacing w:val="0"/>
                <w:sz w:val="24"/>
                <w:szCs w:val="24"/>
                <w:highlight w:val="none"/>
                <w:shd w:val="clear" w:fill="FFFFFF"/>
                <w:lang w:val="en-US" w:eastAsia="zh-CN"/>
              </w:rPr>
              <w:t>2、</w:t>
            </w:r>
            <w:r>
              <w:rPr>
                <w:rFonts w:hint="eastAsia" w:ascii="宋体" w:hAnsi="宋体" w:eastAsia="宋体" w:cs="宋体"/>
                <w:i w:val="0"/>
                <w:iCs w:val="0"/>
                <w:caps w:val="0"/>
                <w:color w:val="333333"/>
                <w:spacing w:val="0"/>
                <w:sz w:val="24"/>
                <w:szCs w:val="24"/>
                <w:highlight w:val="none"/>
                <w:shd w:val="clear" w:fill="FFFFFF"/>
                <w:lang w:val="en-US" w:eastAsia="zh-CN"/>
              </w:rPr>
              <w:t>请供应商实地考察现场，综合考虑各种因素后报价。</w:t>
            </w:r>
          </w:p>
        </w:tc>
      </w:tr>
    </w:tbl>
    <w:p w14:paraId="6DD0D293">
      <w:pPr>
        <w:rPr>
          <w:rFonts w:hint="eastAsia" w:ascii="宋体" w:hAnsi="宋体" w:eastAsia="宋体" w:cs="宋体"/>
          <w:spacing w:val="-2"/>
          <w:kern w:val="2"/>
          <w:sz w:val="24"/>
          <w:szCs w:val="24"/>
          <w:highlight w:val="none"/>
          <w:lang w:val="en-US" w:eastAsia="zh-CN" w:bidi="ar-SA"/>
        </w:rPr>
      </w:pPr>
    </w:p>
    <w:p w14:paraId="5B25F65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二、报价供应商的要求：</w:t>
      </w:r>
    </w:p>
    <w:p w14:paraId="31B272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 xml:space="preserve">1.满足《中华人民共和国政府采购法》第二十二条规定 </w:t>
      </w:r>
    </w:p>
    <w:p w14:paraId="4813551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2.具有有效的营业执照</w:t>
      </w:r>
    </w:p>
    <w:p w14:paraId="5AAA67F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三、约定事项</w:t>
      </w:r>
    </w:p>
    <w:p w14:paraId="67D8A63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1.质保要求：项目要求整体质保二年，本项目所有货物必须提供二年上门服务及全免费质保等售后服务。</w:t>
      </w:r>
    </w:p>
    <w:p w14:paraId="575760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2.售后服务要求：在二年免费保修期内，成交供应商在接到用户单位电话维修通知后，供应商到达现场不超过2小时，一般质量问题在3小时内负责修复，确保不影响用户单位实际使用。12 小时内不能排除故障的，在24小时内提供备用设备供用户方使用。质保期内，同一商品、同一质量问题连续两次维修仍无法 正常使用，成交供应商应无条件给予全套更新，更换后的部件质保期自更换之日起重新计算。</w:t>
      </w:r>
    </w:p>
    <w:p w14:paraId="589747B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3.供货安装周期与货物验收：签订合同之日起60日历天内完成安装。</w:t>
      </w:r>
    </w:p>
    <w:p w14:paraId="4F03B3C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4.参与报价的单位需将</w:t>
      </w:r>
      <w:r>
        <w:rPr>
          <w:rFonts w:hint="eastAsia" w:cs="宋体"/>
          <w:spacing w:val="-2"/>
          <w:kern w:val="2"/>
          <w:sz w:val="24"/>
          <w:szCs w:val="24"/>
          <w:highlight w:val="none"/>
          <w:lang w:val="en-US" w:eastAsia="zh-CN" w:bidi="ar-SA"/>
        </w:rPr>
        <w:t>盖章好的</w:t>
      </w:r>
      <w:r>
        <w:rPr>
          <w:rFonts w:hint="eastAsia" w:ascii="宋体" w:hAnsi="宋体" w:eastAsia="宋体" w:cs="宋体"/>
          <w:spacing w:val="-2"/>
          <w:kern w:val="2"/>
          <w:sz w:val="24"/>
          <w:szCs w:val="24"/>
          <w:highlight w:val="none"/>
          <w:lang w:val="en-US" w:eastAsia="zh-CN" w:bidi="ar-SA"/>
        </w:rPr>
        <w:t>法人营业执照复印件、市场询价表于2026年</w:t>
      </w:r>
      <w:r>
        <w:rPr>
          <w:rFonts w:hint="eastAsia" w:cs="宋体"/>
          <w:spacing w:val="-2"/>
          <w:kern w:val="2"/>
          <w:sz w:val="24"/>
          <w:szCs w:val="24"/>
          <w:highlight w:val="none"/>
          <w:lang w:val="en-US" w:eastAsia="zh-CN" w:bidi="ar-SA"/>
        </w:rPr>
        <w:t>4</w:t>
      </w:r>
      <w:r>
        <w:rPr>
          <w:rFonts w:hint="eastAsia" w:ascii="宋体" w:hAnsi="宋体" w:eastAsia="宋体" w:cs="宋体"/>
          <w:spacing w:val="-2"/>
          <w:kern w:val="2"/>
          <w:sz w:val="24"/>
          <w:szCs w:val="24"/>
          <w:highlight w:val="none"/>
          <w:lang w:val="en-US" w:eastAsia="zh-CN" w:bidi="ar-SA"/>
        </w:rPr>
        <w:t>月</w:t>
      </w:r>
      <w:r>
        <w:rPr>
          <w:rFonts w:hint="eastAsia" w:cs="宋体"/>
          <w:spacing w:val="-2"/>
          <w:kern w:val="2"/>
          <w:sz w:val="24"/>
          <w:szCs w:val="24"/>
          <w:highlight w:val="none"/>
          <w:lang w:val="en-US" w:eastAsia="zh-CN" w:bidi="ar-SA"/>
        </w:rPr>
        <w:t>9</w:t>
      </w:r>
      <w:r>
        <w:rPr>
          <w:rFonts w:hint="eastAsia" w:ascii="宋体" w:hAnsi="宋体" w:eastAsia="宋体" w:cs="宋体"/>
          <w:spacing w:val="-2"/>
          <w:kern w:val="2"/>
          <w:sz w:val="24"/>
          <w:szCs w:val="24"/>
          <w:highlight w:val="none"/>
          <w:lang w:val="en-US" w:eastAsia="zh-CN" w:bidi="ar-SA"/>
        </w:rPr>
        <w:t>日17:00前，送或寄或发送电子邮件，联系地址：启东市南苑路国动产业园18号楼802室，联系人：张沈瑜，联系电话：0513-83255526，邮箱：ntyinkai@163.com。</w:t>
      </w:r>
    </w:p>
    <w:p w14:paraId="27EBFB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5.拟定支付方式及期限：合同签订后，货物运送到采购方指定地点安装完成，</w:t>
      </w:r>
      <w:r>
        <w:rPr>
          <w:rFonts w:hint="eastAsia" w:ascii="宋体" w:hAnsi="宋体" w:eastAsia="宋体" w:cs="宋体"/>
          <w:spacing w:val="-2"/>
          <w:kern w:val="2"/>
          <w:sz w:val="24"/>
          <w:szCs w:val="24"/>
          <w:highlight w:val="none"/>
          <w:lang w:val="en-US" w:eastAsia="en-US" w:bidi="ar-SA"/>
        </w:rPr>
        <w:t>凭启东市市场监督管理局合格的检测报告或有效的证明文件作为付款依据。货物验收合格后</w:t>
      </w:r>
      <w:r>
        <w:rPr>
          <w:rFonts w:hint="eastAsia"/>
          <w:spacing w:val="4"/>
          <w:highlight w:val="none"/>
          <w:lang w:val="en-US" w:eastAsia="zh-CN"/>
        </w:rPr>
        <w:t>且出具审计报告</w:t>
      </w:r>
      <w:r>
        <w:rPr>
          <w:rFonts w:hint="eastAsia" w:ascii="宋体" w:hAnsi="宋体" w:eastAsia="宋体" w:cs="宋体"/>
          <w:spacing w:val="-2"/>
          <w:kern w:val="2"/>
          <w:sz w:val="24"/>
          <w:szCs w:val="24"/>
          <w:highlight w:val="none"/>
          <w:lang w:val="en-US" w:eastAsia="en-US" w:bidi="ar-SA"/>
        </w:rPr>
        <w:t>后一个月内</w:t>
      </w:r>
      <w:r>
        <w:rPr>
          <w:rFonts w:hint="eastAsia" w:ascii="宋体" w:hAnsi="宋体" w:eastAsia="宋体" w:cs="宋体"/>
          <w:spacing w:val="-2"/>
          <w:kern w:val="2"/>
          <w:sz w:val="24"/>
          <w:szCs w:val="24"/>
          <w:highlight w:val="none"/>
          <w:lang w:val="en-US" w:eastAsia="zh-CN" w:bidi="ar-SA"/>
        </w:rPr>
        <w:t>付合同价款90%，余款待质保期（二年，从验收合格之日算起）满时提供使用单位出具的无质量问题后付清（不计利息）。</w:t>
      </w:r>
    </w:p>
    <w:p w14:paraId="3F95453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6.其他：⑴请报价单位认真核算、如实报价，如发现虚假报价的，报上级主管部门；⑵本次报价仅作为市场调研用，因此价格仅供参考；⑶本次调研询价不接收质疑函，只接收对本项目的建议。</w:t>
      </w:r>
    </w:p>
    <w:p w14:paraId="3F873FCF">
      <w:pPr>
        <w:pStyle w:val="2"/>
        <w:rPr>
          <w:rFonts w:hint="eastAsia" w:ascii="宋体" w:hAnsi="宋体" w:eastAsia="宋体" w:cs="宋体"/>
          <w:snapToGrid w:val="0"/>
          <w:color w:val="000000"/>
          <w:spacing w:val="-2"/>
          <w:kern w:val="0"/>
          <w:sz w:val="24"/>
          <w:szCs w:val="24"/>
          <w:highlight w:val="none"/>
          <w:lang w:val="en-US" w:eastAsia="zh-CN" w:bidi="ar-SA"/>
        </w:rPr>
      </w:pPr>
    </w:p>
    <w:p w14:paraId="266F7B2B">
      <w:pPr>
        <w:pStyle w:val="2"/>
        <w:spacing w:before="78" w:line="230" w:lineRule="auto"/>
        <w:ind w:left="6354" w:right="81" w:hanging="1860"/>
        <w:jc w:val="right"/>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 xml:space="preserve">启东市南阳镇富兴村股份经济合作社 </w:t>
      </w:r>
    </w:p>
    <w:p w14:paraId="6A55E225">
      <w:pPr>
        <w:pStyle w:val="2"/>
        <w:spacing w:before="78" w:line="230" w:lineRule="auto"/>
        <w:ind w:left="6354" w:right="81" w:hanging="1860"/>
        <w:jc w:val="right"/>
        <w:rPr>
          <w:rFonts w:hint="eastAsia" w:ascii="宋体" w:hAnsi="宋体" w:eastAsia="宋体" w:cs="宋体"/>
          <w:snapToGrid w:val="0"/>
          <w:color w:val="000000"/>
          <w:spacing w:val="-2"/>
          <w:kern w:val="0"/>
          <w:sz w:val="24"/>
          <w:szCs w:val="24"/>
          <w:highlight w:val="none"/>
          <w:lang w:val="en-US" w:eastAsia="zh-CN" w:bidi="ar-SA"/>
        </w:rPr>
      </w:pPr>
    </w:p>
    <w:p w14:paraId="1E4451B4">
      <w:pPr>
        <w:pStyle w:val="2"/>
        <w:spacing w:before="78" w:line="230" w:lineRule="auto"/>
        <w:ind w:left="6354" w:right="81" w:hanging="1860"/>
        <w:jc w:val="right"/>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202</w:t>
      </w:r>
      <w:r>
        <w:rPr>
          <w:rFonts w:hint="eastAsia" w:cs="宋体"/>
          <w:snapToGrid w:val="0"/>
          <w:color w:val="000000"/>
          <w:spacing w:val="-2"/>
          <w:kern w:val="0"/>
          <w:sz w:val="24"/>
          <w:szCs w:val="24"/>
          <w:highlight w:val="none"/>
          <w:lang w:val="en-US" w:eastAsia="zh-CN" w:bidi="ar-SA"/>
        </w:rPr>
        <w:t>6</w:t>
      </w:r>
      <w:r>
        <w:rPr>
          <w:rFonts w:hint="eastAsia" w:ascii="宋体" w:hAnsi="宋体" w:eastAsia="宋体" w:cs="宋体"/>
          <w:snapToGrid w:val="0"/>
          <w:color w:val="000000"/>
          <w:spacing w:val="-2"/>
          <w:kern w:val="0"/>
          <w:sz w:val="24"/>
          <w:szCs w:val="24"/>
          <w:highlight w:val="none"/>
          <w:lang w:val="en-US" w:eastAsia="zh-CN" w:bidi="ar-SA"/>
        </w:rPr>
        <w:t>年</w:t>
      </w:r>
      <w:r>
        <w:rPr>
          <w:rFonts w:hint="eastAsia" w:cs="宋体"/>
          <w:snapToGrid w:val="0"/>
          <w:color w:val="000000"/>
          <w:spacing w:val="-2"/>
          <w:kern w:val="0"/>
          <w:sz w:val="24"/>
          <w:szCs w:val="24"/>
          <w:highlight w:val="none"/>
          <w:lang w:val="en-US" w:eastAsia="zh-CN" w:bidi="ar-SA"/>
        </w:rPr>
        <w:t>4</w:t>
      </w:r>
      <w:r>
        <w:rPr>
          <w:rFonts w:hint="eastAsia" w:ascii="宋体" w:hAnsi="宋体" w:eastAsia="宋体" w:cs="宋体"/>
          <w:snapToGrid w:val="0"/>
          <w:color w:val="000000"/>
          <w:spacing w:val="-2"/>
          <w:kern w:val="0"/>
          <w:sz w:val="24"/>
          <w:szCs w:val="24"/>
          <w:highlight w:val="none"/>
          <w:lang w:val="en-US" w:eastAsia="zh-CN" w:bidi="ar-SA"/>
        </w:rPr>
        <w:t>月</w:t>
      </w:r>
      <w:r>
        <w:rPr>
          <w:rFonts w:hint="eastAsia" w:cs="宋体"/>
          <w:snapToGrid w:val="0"/>
          <w:color w:val="000000"/>
          <w:spacing w:val="-2"/>
          <w:kern w:val="0"/>
          <w:sz w:val="24"/>
          <w:szCs w:val="24"/>
          <w:highlight w:val="none"/>
          <w:lang w:val="en-US" w:eastAsia="zh-CN" w:bidi="ar-SA"/>
        </w:rPr>
        <w:t>3</w:t>
      </w:r>
      <w:r>
        <w:rPr>
          <w:rFonts w:hint="eastAsia" w:ascii="宋体" w:hAnsi="宋体" w:eastAsia="宋体" w:cs="宋体"/>
          <w:snapToGrid w:val="0"/>
          <w:color w:val="000000"/>
          <w:spacing w:val="-2"/>
          <w:kern w:val="0"/>
          <w:sz w:val="24"/>
          <w:szCs w:val="24"/>
          <w:highlight w:val="none"/>
          <w:lang w:val="en-US" w:eastAsia="zh-CN" w:bidi="ar-SA"/>
        </w:rPr>
        <w:t>日</w:t>
      </w:r>
    </w:p>
    <w:p w14:paraId="51692CB4">
      <w:pPr>
        <w:spacing w:line="230" w:lineRule="auto"/>
        <w:rPr>
          <w:rFonts w:hint="eastAsia" w:ascii="宋体" w:hAnsi="宋体" w:eastAsia="宋体" w:cs="宋体"/>
          <w:snapToGrid w:val="0"/>
          <w:color w:val="000000"/>
          <w:spacing w:val="-2"/>
          <w:kern w:val="0"/>
          <w:sz w:val="24"/>
          <w:szCs w:val="24"/>
          <w:highlight w:val="none"/>
          <w:lang w:val="en-US" w:eastAsia="zh-CN" w:bidi="ar-SA"/>
        </w:rPr>
        <w:sectPr>
          <w:pgSz w:w="11906" w:h="16839"/>
          <w:pgMar w:top="1020" w:right="1080" w:bottom="1020" w:left="1080" w:header="0" w:footer="1212" w:gutter="0"/>
          <w:cols w:space="720" w:num="1"/>
        </w:sectPr>
      </w:pPr>
    </w:p>
    <w:p w14:paraId="04974916">
      <w:pPr>
        <w:jc w:val="center"/>
        <w:rPr>
          <w:rFonts w:hint="default" w:ascii="宋体" w:hAnsi="宋体" w:eastAsia="宋体" w:cs="宋体"/>
          <w:spacing w:val="-1"/>
          <w:sz w:val="28"/>
          <w:szCs w:val="28"/>
          <w:highlight w:val="none"/>
          <w:lang w:val="en-US" w:eastAsia="zh-CN"/>
        </w:rPr>
      </w:pPr>
      <w:r>
        <w:rPr>
          <w:rFonts w:hint="eastAsia" w:ascii="宋体" w:hAnsi="宋体" w:eastAsia="宋体" w:cs="宋体"/>
          <w:snapToGrid w:val="0"/>
          <w:color w:val="000000"/>
          <w:spacing w:val="-1"/>
          <w:kern w:val="0"/>
          <w:sz w:val="30"/>
          <w:szCs w:val="30"/>
          <w:highlight w:val="none"/>
          <w:lang w:eastAsia="en-US"/>
        </w:rPr>
        <w:t>启东市南阳镇富兴村2026年一事一议财政奖补（太阳能光伏路灯采购与安</w:t>
      </w:r>
      <w:r>
        <w:rPr>
          <w:rFonts w:hint="eastAsia" w:ascii="宋体" w:hAnsi="宋体" w:eastAsia="宋体" w:cs="宋体"/>
          <w:snapToGrid w:val="0"/>
          <w:color w:val="000000"/>
          <w:spacing w:val="-1"/>
          <w:kern w:val="0"/>
          <w:sz w:val="30"/>
          <w:szCs w:val="30"/>
          <w:highlight w:val="none"/>
          <w:lang w:val="en-US" w:eastAsia="zh-CN"/>
        </w:rPr>
        <w:t>装</w:t>
      </w:r>
      <w:r>
        <w:rPr>
          <w:rFonts w:hint="eastAsia" w:ascii="宋体" w:hAnsi="宋体" w:eastAsia="宋体" w:cs="宋体"/>
          <w:snapToGrid w:val="0"/>
          <w:color w:val="000000"/>
          <w:spacing w:val="-1"/>
          <w:kern w:val="0"/>
          <w:sz w:val="30"/>
          <w:szCs w:val="30"/>
          <w:highlight w:val="none"/>
          <w:lang w:eastAsia="en-US"/>
        </w:rPr>
        <w:t>）项目</w:t>
      </w:r>
      <w:r>
        <w:rPr>
          <w:rFonts w:hint="eastAsia" w:ascii="宋体" w:hAnsi="宋体" w:eastAsia="宋体" w:cs="宋体"/>
          <w:spacing w:val="-1"/>
          <w:sz w:val="28"/>
          <w:szCs w:val="28"/>
          <w:highlight w:val="none"/>
          <w:lang w:val="en-US" w:eastAsia="zh-CN"/>
        </w:rPr>
        <w:t>报价表</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352"/>
        <w:gridCol w:w="7668"/>
        <w:gridCol w:w="930"/>
        <w:gridCol w:w="1244"/>
        <w:gridCol w:w="1080"/>
        <w:gridCol w:w="1114"/>
      </w:tblGrid>
      <w:tr w14:paraId="5686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 w:type="pct"/>
            <w:vAlign w:val="center"/>
          </w:tcPr>
          <w:p w14:paraId="5B220344">
            <w:pPr>
              <w:widowControl/>
              <w:jc w:val="center"/>
              <w:textAlignment w:val="center"/>
              <w:rPr>
                <w:rFonts w:ascii="宋体" w:hAnsi="宋体" w:eastAsia="宋体" w:cs="宋体"/>
                <w:sz w:val="28"/>
                <w:szCs w:val="28"/>
                <w:highlight w:val="none"/>
                <w:vertAlign w:val="baseline"/>
              </w:rPr>
            </w:pPr>
            <w:r>
              <w:rPr>
                <w:rFonts w:hint="eastAsia" w:asciiTheme="minorEastAsia" w:hAnsiTheme="minorEastAsia" w:eastAsiaTheme="minorEastAsia" w:cstheme="minorEastAsia"/>
                <w:b/>
                <w:bCs/>
                <w:color w:val="000000"/>
                <w:kern w:val="0"/>
                <w:sz w:val="20"/>
                <w:szCs w:val="20"/>
                <w:highlight w:val="none"/>
                <w:lang w:bidi="ar"/>
              </w:rPr>
              <w:t>序号</w:t>
            </w:r>
          </w:p>
        </w:tc>
        <w:tc>
          <w:tcPr>
            <w:tcW w:w="477" w:type="pct"/>
            <w:vAlign w:val="center"/>
          </w:tcPr>
          <w:p w14:paraId="1FAD20C9">
            <w:pPr>
              <w:widowControl/>
              <w:jc w:val="center"/>
              <w:textAlignment w:val="center"/>
              <w:rPr>
                <w:rFonts w:ascii="宋体" w:hAnsi="宋体" w:eastAsia="宋体" w:cs="宋体"/>
                <w:sz w:val="28"/>
                <w:szCs w:val="28"/>
                <w:highlight w:val="none"/>
                <w:vertAlign w:val="baseline"/>
              </w:rPr>
            </w:pPr>
            <w:r>
              <w:rPr>
                <w:rFonts w:hint="eastAsia" w:asciiTheme="minorEastAsia" w:hAnsiTheme="minorEastAsia" w:eastAsiaTheme="minorEastAsia" w:cstheme="minorEastAsia"/>
                <w:b/>
                <w:bCs/>
                <w:color w:val="000000"/>
                <w:kern w:val="0"/>
                <w:sz w:val="20"/>
                <w:szCs w:val="20"/>
                <w:highlight w:val="none"/>
                <w:lang w:bidi="ar"/>
              </w:rPr>
              <w:t>设备名称</w:t>
            </w:r>
          </w:p>
        </w:tc>
        <w:tc>
          <w:tcPr>
            <w:tcW w:w="2705" w:type="pct"/>
            <w:vAlign w:val="center"/>
          </w:tcPr>
          <w:p w14:paraId="16C6BA91">
            <w:pPr>
              <w:widowControl/>
              <w:jc w:val="center"/>
              <w:textAlignment w:val="center"/>
              <w:rPr>
                <w:rFonts w:ascii="宋体" w:hAnsi="宋体" w:eastAsia="宋体" w:cs="宋体"/>
                <w:sz w:val="28"/>
                <w:szCs w:val="28"/>
                <w:highlight w:val="none"/>
                <w:vertAlign w:val="baseline"/>
              </w:rPr>
            </w:pPr>
            <w:r>
              <w:rPr>
                <w:rFonts w:hint="eastAsia" w:asciiTheme="minorEastAsia" w:hAnsiTheme="minorEastAsia" w:eastAsiaTheme="minorEastAsia" w:cstheme="minorEastAsia"/>
                <w:b/>
                <w:bCs/>
                <w:color w:val="000000"/>
                <w:kern w:val="0"/>
                <w:sz w:val="20"/>
                <w:szCs w:val="20"/>
                <w:highlight w:val="none"/>
                <w:lang w:bidi="ar"/>
              </w:rPr>
              <w:t>技术参数</w:t>
            </w:r>
          </w:p>
        </w:tc>
        <w:tc>
          <w:tcPr>
            <w:tcW w:w="328" w:type="pct"/>
            <w:vAlign w:val="center"/>
          </w:tcPr>
          <w:p w14:paraId="1EAD04AD">
            <w:pPr>
              <w:widowControl/>
              <w:jc w:val="center"/>
              <w:textAlignment w:val="center"/>
              <w:rPr>
                <w:rFonts w:ascii="宋体" w:hAnsi="宋体" w:eastAsia="宋体" w:cs="宋体"/>
                <w:sz w:val="28"/>
                <w:szCs w:val="28"/>
                <w:highlight w:val="none"/>
                <w:vertAlign w:val="baseline"/>
              </w:rPr>
            </w:pPr>
            <w:r>
              <w:rPr>
                <w:rFonts w:hint="eastAsia" w:asciiTheme="minorEastAsia" w:hAnsiTheme="minorEastAsia" w:eastAsiaTheme="minorEastAsia" w:cstheme="minorEastAsia"/>
                <w:b/>
                <w:bCs/>
                <w:color w:val="000000"/>
                <w:kern w:val="0"/>
                <w:sz w:val="20"/>
                <w:szCs w:val="20"/>
                <w:highlight w:val="none"/>
                <w:lang w:bidi="ar"/>
              </w:rPr>
              <w:t>单位</w:t>
            </w:r>
          </w:p>
        </w:tc>
        <w:tc>
          <w:tcPr>
            <w:tcW w:w="439" w:type="pct"/>
            <w:vAlign w:val="center"/>
          </w:tcPr>
          <w:p w14:paraId="41CF8AEF">
            <w:pPr>
              <w:widowControl/>
              <w:jc w:val="center"/>
              <w:textAlignment w:val="center"/>
              <w:rPr>
                <w:rFonts w:ascii="宋体" w:hAnsi="宋体" w:eastAsia="宋体" w:cs="宋体"/>
                <w:sz w:val="28"/>
                <w:szCs w:val="28"/>
                <w:highlight w:val="none"/>
                <w:vertAlign w:val="baseline"/>
              </w:rPr>
            </w:pPr>
            <w:r>
              <w:rPr>
                <w:rFonts w:hint="eastAsia" w:asciiTheme="minorEastAsia" w:hAnsiTheme="minorEastAsia" w:eastAsiaTheme="minorEastAsia" w:cstheme="minorEastAsia"/>
                <w:b/>
                <w:bCs/>
                <w:color w:val="000000"/>
                <w:kern w:val="0"/>
                <w:sz w:val="20"/>
                <w:szCs w:val="20"/>
                <w:highlight w:val="none"/>
                <w:lang w:bidi="ar"/>
              </w:rPr>
              <w:t>数量</w:t>
            </w:r>
          </w:p>
        </w:tc>
        <w:tc>
          <w:tcPr>
            <w:tcW w:w="381" w:type="pct"/>
            <w:vAlign w:val="center"/>
          </w:tcPr>
          <w:p w14:paraId="4C192A43">
            <w:pPr>
              <w:widowControl/>
              <w:jc w:val="center"/>
              <w:textAlignment w:val="center"/>
              <w:rPr>
                <w:rFonts w:hint="default" w:ascii="宋体" w:hAnsi="宋体" w:eastAsia="宋体" w:cs="宋体"/>
                <w:sz w:val="28"/>
                <w:szCs w:val="28"/>
                <w:highlight w:val="none"/>
                <w:vertAlign w:val="baseline"/>
                <w:lang w:val="en-US"/>
              </w:rPr>
            </w:pPr>
            <w:r>
              <w:rPr>
                <w:rFonts w:hint="eastAsia" w:asciiTheme="minorEastAsia" w:hAnsiTheme="minorEastAsia" w:eastAsiaTheme="minorEastAsia" w:cstheme="minorEastAsia"/>
                <w:b/>
                <w:bCs/>
                <w:color w:val="000000"/>
                <w:kern w:val="0"/>
                <w:sz w:val="20"/>
                <w:szCs w:val="20"/>
                <w:highlight w:val="none"/>
                <w:lang w:val="en-US" w:eastAsia="zh-CN" w:bidi="ar"/>
              </w:rPr>
              <w:t>单价</w:t>
            </w:r>
            <w:r>
              <w:rPr>
                <w:rFonts w:hint="eastAsia" w:asciiTheme="minorEastAsia" w:hAnsiTheme="minorEastAsia" w:cstheme="minorEastAsia"/>
                <w:b/>
                <w:bCs/>
                <w:color w:val="000000"/>
                <w:kern w:val="0"/>
                <w:sz w:val="20"/>
                <w:szCs w:val="20"/>
                <w:highlight w:val="none"/>
                <w:lang w:val="en-US" w:eastAsia="zh-CN" w:bidi="ar"/>
              </w:rPr>
              <w:t>（元）</w:t>
            </w:r>
          </w:p>
        </w:tc>
        <w:tc>
          <w:tcPr>
            <w:tcW w:w="393" w:type="pct"/>
            <w:vAlign w:val="center"/>
          </w:tcPr>
          <w:p w14:paraId="232DCA4C">
            <w:pPr>
              <w:widowControl/>
              <w:jc w:val="center"/>
              <w:textAlignment w:val="center"/>
              <w:rPr>
                <w:rFonts w:hint="default" w:ascii="宋体" w:hAnsi="宋体" w:eastAsia="宋体" w:cs="宋体"/>
                <w:sz w:val="28"/>
                <w:szCs w:val="28"/>
                <w:highlight w:val="none"/>
                <w:vertAlign w:val="baseline"/>
                <w:lang w:val="en-US"/>
              </w:rPr>
            </w:pPr>
            <w:r>
              <w:rPr>
                <w:rFonts w:hint="eastAsia" w:asciiTheme="minorEastAsia" w:hAnsiTheme="minorEastAsia" w:eastAsiaTheme="minorEastAsia" w:cstheme="minorEastAsia"/>
                <w:b/>
                <w:bCs/>
                <w:color w:val="000000"/>
                <w:kern w:val="0"/>
                <w:sz w:val="20"/>
                <w:szCs w:val="20"/>
                <w:highlight w:val="none"/>
                <w:lang w:val="en-US" w:eastAsia="zh-CN" w:bidi="ar"/>
              </w:rPr>
              <w:t>合价</w:t>
            </w:r>
            <w:r>
              <w:rPr>
                <w:rFonts w:hint="eastAsia" w:asciiTheme="minorEastAsia" w:hAnsiTheme="minorEastAsia" w:cstheme="minorEastAsia"/>
                <w:b/>
                <w:bCs/>
                <w:color w:val="000000"/>
                <w:kern w:val="0"/>
                <w:sz w:val="20"/>
                <w:szCs w:val="20"/>
                <w:highlight w:val="none"/>
                <w:lang w:val="en-US" w:eastAsia="zh-CN" w:bidi="ar"/>
              </w:rPr>
              <w:t>（元）</w:t>
            </w:r>
          </w:p>
        </w:tc>
      </w:tr>
      <w:tr w14:paraId="1391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274" w:type="pct"/>
            <w:vAlign w:val="center"/>
          </w:tcPr>
          <w:p w14:paraId="517921FD">
            <w:pPr>
              <w:pStyle w:val="8"/>
              <w:spacing w:before="62" w:line="229" w:lineRule="auto"/>
              <w:jc w:val="center"/>
              <w:rPr>
                <w:rFonts w:hint="eastAsia" w:asciiTheme="minorEastAsia" w:hAnsiTheme="minorEastAsia" w:eastAsiaTheme="minorEastAsia" w:cstheme="minorEastAsia"/>
                <w:snapToGrid w:val="0"/>
                <w:color w:val="000000"/>
                <w:kern w:val="0"/>
                <w:sz w:val="20"/>
                <w:szCs w:val="20"/>
                <w:highlight w:val="none"/>
                <w:lang w:val="en-US" w:eastAsia="zh-CN"/>
              </w:rPr>
            </w:pPr>
            <w:r>
              <w:rPr>
                <w:rFonts w:hint="eastAsia" w:ascii="宋体" w:hAnsi="宋体" w:eastAsia="宋体" w:cs="宋体"/>
                <w:b w:val="0"/>
                <w:bCs w:val="0"/>
                <w:spacing w:val="6"/>
                <w:sz w:val="20"/>
                <w:szCs w:val="20"/>
                <w:highlight w:val="none"/>
                <w:lang w:val="en-US" w:eastAsia="zh-CN"/>
              </w:rPr>
              <w:t>1</w:t>
            </w:r>
          </w:p>
        </w:tc>
        <w:tc>
          <w:tcPr>
            <w:tcW w:w="477" w:type="pct"/>
            <w:vAlign w:val="center"/>
          </w:tcPr>
          <w:p w14:paraId="67D3DC46">
            <w:pPr>
              <w:pStyle w:val="8"/>
              <w:spacing w:before="62" w:line="229" w:lineRule="auto"/>
              <w:jc w:val="center"/>
              <w:rPr>
                <w:rFonts w:hint="default" w:asciiTheme="minorEastAsia" w:hAnsiTheme="minorEastAsia" w:eastAsiaTheme="minorEastAsia" w:cstheme="minorEastAsia"/>
                <w:snapToGrid w:val="0"/>
                <w:color w:val="000000"/>
                <w:kern w:val="0"/>
                <w:sz w:val="20"/>
                <w:szCs w:val="20"/>
                <w:highlight w:val="none"/>
                <w:lang w:val="en-US" w:eastAsia="zh-CN" w:bidi="ar-SA"/>
              </w:rPr>
            </w:pPr>
            <w:r>
              <w:rPr>
                <w:rFonts w:hint="eastAsia" w:ascii="宋体" w:hAnsi="宋体" w:eastAsia="宋体" w:cs="宋体"/>
                <w:i w:val="0"/>
                <w:iCs w:val="0"/>
                <w:caps w:val="0"/>
                <w:snapToGrid w:val="0"/>
                <w:color w:val="333333"/>
                <w:spacing w:val="0"/>
                <w:kern w:val="0"/>
                <w:sz w:val="20"/>
                <w:szCs w:val="20"/>
                <w:highlight w:val="none"/>
                <w:shd w:val="clear" w:fill="FFFFFF"/>
                <w:lang w:val="en-US" w:eastAsia="zh-CN" w:bidi="ar-SA"/>
              </w:rPr>
              <w:t>拆除</w:t>
            </w:r>
          </w:p>
        </w:tc>
        <w:tc>
          <w:tcPr>
            <w:tcW w:w="2705" w:type="pct"/>
            <w:vAlign w:val="center"/>
          </w:tcPr>
          <w:p w14:paraId="2AED9764">
            <w:pPr>
              <w:widowControl/>
              <w:jc w:val="left"/>
              <w:rPr>
                <w:rFonts w:hint="eastAsia" w:ascii="宋体" w:hAnsi="宋体" w:eastAsia="宋体" w:cs="宋体"/>
                <w:i w:val="0"/>
                <w:iCs w:val="0"/>
                <w:caps w:val="0"/>
                <w:snapToGrid w:val="0"/>
                <w:color w:val="333333"/>
                <w:spacing w:val="0"/>
                <w:kern w:val="0"/>
                <w:sz w:val="20"/>
                <w:szCs w:val="20"/>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0"/>
                <w:szCs w:val="20"/>
                <w:highlight w:val="none"/>
                <w:shd w:val="clear" w:fill="FFFFFF"/>
                <w:lang w:val="en-US" w:eastAsia="zh-CN" w:bidi="ar-SA"/>
              </w:rPr>
              <w:t>1、原有325盏路灯及配线等附件全部拆除（具体以采购单位要求为准）。</w:t>
            </w:r>
          </w:p>
          <w:p w14:paraId="55CF6480">
            <w:pPr>
              <w:widowControl/>
              <w:jc w:val="left"/>
              <w:rPr>
                <w:rFonts w:hint="eastAsia" w:ascii="宋体" w:hAnsi="宋体" w:eastAsia="宋体" w:cs="宋体"/>
                <w:i w:val="0"/>
                <w:iCs w:val="0"/>
                <w:caps w:val="0"/>
                <w:snapToGrid w:val="0"/>
                <w:color w:val="333333"/>
                <w:spacing w:val="0"/>
                <w:kern w:val="0"/>
                <w:sz w:val="20"/>
                <w:szCs w:val="20"/>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0"/>
                <w:szCs w:val="20"/>
                <w:highlight w:val="none"/>
                <w:shd w:val="clear" w:fill="FFFFFF"/>
                <w:lang w:val="en-US" w:eastAsia="zh-CN" w:bidi="ar-SA"/>
              </w:rPr>
              <w:t>2、拆除后按采购单位要求在指定位置堆放整齐。</w:t>
            </w:r>
          </w:p>
          <w:p w14:paraId="7F6800A2">
            <w:pPr>
              <w:pStyle w:val="8"/>
              <w:numPr>
                <w:ilvl w:val="0"/>
                <w:numId w:val="0"/>
              </w:numPr>
              <w:spacing w:before="62" w:line="229" w:lineRule="auto"/>
              <w:ind w:left="0" w:leftChars="0" w:firstLine="0" w:firstLineChars="0"/>
              <w:jc w:val="left"/>
              <w:rPr>
                <w:rFonts w:hint="eastAsia" w:asciiTheme="minorEastAsia" w:hAnsiTheme="minorEastAsia" w:eastAsiaTheme="minorEastAsia" w:cstheme="minorEastAsia"/>
                <w:snapToGrid w:val="0"/>
                <w:color w:val="000000"/>
                <w:kern w:val="0"/>
                <w:sz w:val="20"/>
                <w:szCs w:val="20"/>
                <w:highlight w:val="none"/>
                <w:lang w:val="en-US" w:eastAsia="zh-CN"/>
              </w:rPr>
            </w:pPr>
            <w:r>
              <w:rPr>
                <w:rFonts w:hint="eastAsia" w:ascii="宋体" w:hAnsi="宋体" w:eastAsia="宋体" w:cs="宋体"/>
                <w:i w:val="0"/>
                <w:iCs w:val="0"/>
                <w:caps w:val="0"/>
                <w:snapToGrid w:val="0"/>
                <w:color w:val="333333"/>
                <w:spacing w:val="0"/>
                <w:kern w:val="0"/>
                <w:sz w:val="20"/>
                <w:szCs w:val="20"/>
                <w:highlight w:val="none"/>
                <w:shd w:val="clear" w:fill="FFFFFF"/>
                <w:lang w:val="en-US" w:eastAsia="zh-CN" w:bidi="ar-SA"/>
              </w:rPr>
              <w:t>3、拆除的灯及配线等附件全部归采购单位所有。</w:t>
            </w:r>
          </w:p>
        </w:tc>
        <w:tc>
          <w:tcPr>
            <w:tcW w:w="930" w:type="dxa"/>
            <w:vAlign w:val="center"/>
          </w:tcPr>
          <w:p w14:paraId="2D96E2AC">
            <w:pPr>
              <w:pStyle w:val="8"/>
              <w:spacing w:before="62" w:line="229" w:lineRule="auto"/>
              <w:jc w:val="center"/>
              <w:rPr>
                <w:rFonts w:hint="eastAsia" w:asciiTheme="minorEastAsia" w:hAnsiTheme="minorEastAsia" w:eastAsiaTheme="minorEastAsia" w:cstheme="minorEastAsia"/>
                <w:snapToGrid w:val="0"/>
                <w:color w:val="000000"/>
                <w:kern w:val="0"/>
                <w:sz w:val="20"/>
                <w:szCs w:val="20"/>
                <w:highlight w:val="none"/>
                <w:lang w:val="en-US" w:eastAsia="zh-CN" w:bidi="ar-SA"/>
              </w:rPr>
            </w:pPr>
            <w:r>
              <w:rPr>
                <w:rFonts w:hint="eastAsia" w:ascii="宋体" w:hAnsi="宋体" w:eastAsia="宋体" w:cs="宋体"/>
                <w:i w:val="0"/>
                <w:iCs w:val="0"/>
                <w:caps w:val="0"/>
                <w:color w:val="333333"/>
                <w:spacing w:val="0"/>
                <w:sz w:val="20"/>
                <w:szCs w:val="20"/>
                <w:highlight w:val="none"/>
                <w:shd w:val="clear" w:fill="FFFFFF"/>
                <w:lang w:val="en-US" w:eastAsia="zh-CN"/>
              </w:rPr>
              <w:t>盏</w:t>
            </w:r>
          </w:p>
        </w:tc>
        <w:tc>
          <w:tcPr>
            <w:tcW w:w="1244" w:type="dxa"/>
            <w:vAlign w:val="center"/>
          </w:tcPr>
          <w:p w14:paraId="6A9EEA5A">
            <w:pPr>
              <w:pStyle w:val="8"/>
              <w:spacing w:before="62" w:line="229" w:lineRule="auto"/>
              <w:jc w:val="center"/>
              <w:rPr>
                <w:rFonts w:hint="eastAsia" w:asciiTheme="minorEastAsia" w:hAnsiTheme="minorEastAsia" w:eastAsiaTheme="minorEastAsia" w:cstheme="minorEastAsia"/>
                <w:snapToGrid w:val="0"/>
                <w:color w:val="000000"/>
                <w:kern w:val="0"/>
                <w:sz w:val="20"/>
                <w:szCs w:val="20"/>
                <w:highlight w:val="none"/>
                <w:lang w:val="en-US" w:eastAsia="zh-CN" w:bidi="ar-SA"/>
              </w:rPr>
            </w:pPr>
            <w:r>
              <w:rPr>
                <w:rFonts w:hint="eastAsia" w:ascii="宋体" w:hAnsi="宋体" w:eastAsia="宋体" w:cs="宋体"/>
                <w:i w:val="0"/>
                <w:iCs w:val="0"/>
                <w:caps w:val="0"/>
                <w:color w:val="333333"/>
                <w:spacing w:val="0"/>
                <w:sz w:val="20"/>
                <w:szCs w:val="20"/>
                <w:highlight w:val="none"/>
                <w:shd w:val="clear" w:fill="FFFFFF"/>
                <w:lang w:val="en-US" w:eastAsia="zh-CN"/>
              </w:rPr>
              <w:t>325</w:t>
            </w:r>
          </w:p>
        </w:tc>
        <w:tc>
          <w:tcPr>
            <w:tcW w:w="381" w:type="pct"/>
          </w:tcPr>
          <w:p w14:paraId="4220E9BB">
            <w:pPr>
              <w:tabs>
                <w:tab w:val="left" w:pos="7980"/>
              </w:tabs>
              <w:spacing w:before="57" w:line="399" w:lineRule="auto"/>
              <w:ind w:right="623"/>
              <w:jc w:val="center"/>
              <w:rPr>
                <w:rFonts w:ascii="宋体" w:hAnsi="宋体" w:eastAsia="宋体" w:cs="宋体"/>
                <w:sz w:val="28"/>
                <w:szCs w:val="28"/>
                <w:highlight w:val="none"/>
                <w:vertAlign w:val="baseline"/>
              </w:rPr>
            </w:pPr>
          </w:p>
        </w:tc>
        <w:tc>
          <w:tcPr>
            <w:tcW w:w="393" w:type="pct"/>
          </w:tcPr>
          <w:p w14:paraId="207F1E2E">
            <w:pPr>
              <w:tabs>
                <w:tab w:val="left" w:pos="7980"/>
              </w:tabs>
              <w:spacing w:before="57" w:line="399" w:lineRule="auto"/>
              <w:ind w:right="623"/>
              <w:jc w:val="center"/>
              <w:rPr>
                <w:rFonts w:ascii="宋体" w:hAnsi="宋体" w:eastAsia="宋体" w:cs="宋体"/>
                <w:sz w:val="28"/>
                <w:szCs w:val="28"/>
                <w:highlight w:val="none"/>
                <w:vertAlign w:val="baseline"/>
              </w:rPr>
            </w:pPr>
          </w:p>
        </w:tc>
      </w:tr>
      <w:tr w14:paraId="2D8C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4" w:hRule="atLeast"/>
        </w:trPr>
        <w:tc>
          <w:tcPr>
            <w:tcW w:w="274" w:type="pct"/>
            <w:vAlign w:val="center"/>
          </w:tcPr>
          <w:p w14:paraId="1B49F731">
            <w:pPr>
              <w:widowControl/>
              <w:kinsoku w:val="0"/>
              <w:autoSpaceDE w:val="0"/>
              <w:autoSpaceDN w:val="0"/>
              <w:adjustRightInd w:val="0"/>
              <w:snapToGrid w:val="0"/>
              <w:spacing w:line="240" w:lineRule="auto"/>
              <w:jc w:val="center"/>
              <w:textAlignment w:val="center"/>
              <w:rPr>
                <w:rFonts w:hint="eastAsia" w:ascii="宋体" w:hAnsi="宋体" w:eastAsia="宋体" w:cs="宋体"/>
                <w:sz w:val="28"/>
                <w:szCs w:val="28"/>
                <w:highlight w:val="none"/>
                <w:vertAlign w:val="baseline"/>
                <w:lang w:val="en-US" w:eastAsia="zh-CN"/>
              </w:rPr>
            </w:pPr>
            <w:r>
              <w:rPr>
                <w:rFonts w:hint="eastAsia" w:asciiTheme="minorEastAsia" w:hAnsiTheme="minorEastAsia" w:cstheme="minorEastAsia"/>
                <w:snapToGrid w:val="0"/>
                <w:color w:val="000000"/>
                <w:kern w:val="0"/>
                <w:sz w:val="20"/>
                <w:szCs w:val="20"/>
                <w:highlight w:val="none"/>
                <w:lang w:val="en-US" w:eastAsia="zh-CN"/>
              </w:rPr>
              <w:t>2</w:t>
            </w:r>
          </w:p>
        </w:tc>
        <w:tc>
          <w:tcPr>
            <w:tcW w:w="477" w:type="pct"/>
            <w:vAlign w:val="center"/>
          </w:tcPr>
          <w:p w14:paraId="60724F20">
            <w:pPr>
              <w:pStyle w:val="8"/>
              <w:numPr>
                <w:ilvl w:val="0"/>
                <w:numId w:val="0"/>
              </w:numPr>
              <w:spacing w:before="62" w:line="229" w:lineRule="auto"/>
              <w:jc w:val="left"/>
              <w:rPr>
                <w:rFonts w:hint="default" w:asciiTheme="minorEastAsia" w:hAnsiTheme="minorEastAsia" w:eastAsiaTheme="minorEastAsia" w:cstheme="minorEastAsia"/>
                <w:snapToGrid w:val="0"/>
                <w:color w:val="000000"/>
                <w:kern w:val="0"/>
                <w:sz w:val="20"/>
                <w:szCs w:val="20"/>
                <w:highlight w:val="none"/>
                <w:lang w:val="en-US" w:eastAsia="zh-CN" w:bidi="ar-SA"/>
              </w:rPr>
            </w:pPr>
            <w:r>
              <w:rPr>
                <w:rFonts w:hint="eastAsia" w:asciiTheme="minorEastAsia" w:hAnsiTheme="minorEastAsia" w:eastAsiaTheme="minorEastAsia" w:cstheme="minorEastAsia"/>
                <w:snapToGrid w:val="0"/>
                <w:color w:val="000000"/>
                <w:kern w:val="0"/>
                <w:sz w:val="20"/>
                <w:szCs w:val="20"/>
                <w:highlight w:val="none"/>
                <w:lang w:val="en-US" w:eastAsia="zh-CN" w:bidi="ar-SA"/>
              </w:rPr>
              <w:t>借杆</w:t>
            </w:r>
            <w:bookmarkStart w:id="0" w:name="_GoBack"/>
            <w:bookmarkEnd w:id="0"/>
            <w:r>
              <w:rPr>
                <w:rFonts w:hint="default" w:asciiTheme="minorEastAsia" w:hAnsiTheme="minorEastAsia" w:eastAsiaTheme="minorEastAsia" w:cstheme="minorEastAsia"/>
                <w:snapToGrid w:val="0"/>
                <w:color w:val="000000"/>
                <w:kern w:val="0"/>
                <w:sz w:val="20"/>
                <w:szCs w:val="20"/>
                <w:highlight w:val="none"/>
                <w:lang w:val="en-US" w:eastAsia="zh-CN" w:bidi="ar-SA"/>
              </w:rPr>
              <w:t>太阳能路灯</w:t>
            </w:r>
          </w:p>
        </w:tc>
        <w:tc>
          <w:tcPr>
            <w:tcW w:w="2705" w:type="pct"/>
          </w:tcPr>
          <w:p w14:paraId="72856FA1">
            <w:pPr>
              <w:widowControl/>
              <w:kinsoku w:val="0"/>
              <w:autoSpaceDE w:val="0"/>
              <w:autoSpaceDN w:val="0"/>
              <w:adjustRightInd w:val="0"/>
              <w:snapToGrid w:val="0"/>
              <w:spacing w:line="240" w:lineRule="auto"/>
              <w:jc w:val="left"/>
              <w:textAlignment w:val="center"/>
              <w:rPr>
                <w:rFonts w:hint="eastAsia" w:asciiTheme="minorEastAsia" w:hAnsiTheme="minorEastAsia" w:eastAsiaTheme="minorEastAsia" w:cstheme="minorEastAsia"/>
                <w:snapToGrid w:val="0"/>
                <w:color w:val="000000"/>
                <w:kern w:val="0"/>
                <w:sz w:val="20"/>
                <w:szCs w:val="20"/>
                <w:highlight w:val="none"/>
                <w:lang w:val="en-US" w:eastAsia="zh-CN"/>
              </w:rPr>
            </w:pPr>
            <w:r>
              <w:rPr>
                <w:rFonts w:hint="eastAsia" w:asciiTheme="minorEastAsia" w:hAnsiTheme="minorEastAsia" w:eastAsiaTheme="minorEastAsia" w:cstheme="minorEastAsia"/>
                <w:snapToGrid w:val="0"/>
                <w:color w:val="000000"/>
                <w:kern w:val="0"/>
                <w:sz w:val="20"/>
                <w:szCs w:val="20"/>
                <w:highlight w:val="none"/>
                <w:lang w:val="en-US" w:eastAsia="zh-CN"/>
              </w:rPr>
              <w:t>1、▲功率：60W(±5%）</w:t>
            </w:r>
          </w:p>
          <w:p w14:paraId="3CF371F8">
            <w:pPr>
              <w:widowControl/>
              <w:kinsoku w:val="0"/>
              <w:autoSpaceDE w:val="0"/>
              <w:autoSpaceDN w:val="0"/>
              <w:adjustRightInd w:val="0"/>
              <w:snapToGrid w:val="0"/>
              <w:spacing w:line="240" w:lineRule="auto"/>
              <w:jc w:val="left"/>
              <w:textAlignment w:val="center"/>
              <w:rPr>
                <w:rFonts w:hint="eastAsia" w:asciiTheme="minorEastAsia" w:hAnsiTheme="minorEastAsia" w:eastAsiaTheme="minorEastAsia" w:cstheme="minorEastAsia"/>
                <w:snapToGrid w:val="0"/>
                <w:color w:val="000000"/>
                <w:kern w:val="0"/>
                <w:sz w:val="20"/>
                <w:szCs w:val="20"/>
                <w:highlight w:val="none"/>
                <w:lang w:val="en-US" w:eastAsia="zh-CN"/>
              </w:rPr>
            </w:pPr>
            <w:r>
              <w:rPr>
                <w:rFonts w:hint="eastAsia" w:asciiTheme="minorEastAsia" w:hAnsiTheme="minorEastAsia" w:eastAsiaTheme="minorEastAsia" w:cstheme="minorEastAsia"/>
                <w:snapToGrid w:val="0"/>
                <w:color w:val="000000"/>
                <w:kern w:val="0"/>
                <w:sz w:val="20"/>
                <w:szCs w:val="20"/>
                <w:highlight w:val="none"/>
                <w:lang w:val="en-US" w:eastAsia="zh-CN"/>
              </w:rPr>
              <w:t>2、▲光效：整灯光效≥140Lm/W（±5%）</w:t>
            </w:r>
          </w:p>
          <w:p w14:paraId="4EC446FF">
            <w:pPr>
              <w:widowControl/>
              <w:kinsoku w:val="0"/>
              <w:autoSpaceDE w:val="0"/>
              <w:autoSpaceDN w:val="0"/>
              <w:adjustRightInd w:val="0"/>
              <w:snapToGrid w:val="0"/>
              <w:spacing w:line="240" w:lineRule="auto"/>
              <w:jc w:val="left"/>
              <w:textAlignment w:val="center"/>
              <w:rPr>
                <w:rFonts w:hint="eastAsia" w:asciiTheme="minorEastAsia" w:hAnsiTheme="minorEastAsia" w:eastAsiaTheme="minorEastAsia" w:cstheme="minorEastAsia"/>
                <w:snapToGrid w:val="0"/>
                <w:color w:val="000000"/>
                <w:kern w:val="0"/>
                <w:sz w:val="20"/>
                <w:szCs w:val="20"/>
                <w:highlight w:val="none"/>
                <w:lang w:val="en-US" w:eastAsia="zh-CN"/>
              </w:rPr>
            </w:pPr>
            <w:r>
              <w:rPr>
                <w:rFonts w:hint="eastAsia" w:asciiTheme="minorEastAsia" w:hAnsiTheme="minorEastAsia" w:eastAsiaTheme="minorEastAsia" w:cstheme="minorEastAsia"/>
                <w:snapToGrid w:val="0"/>
                <w:color w:val="000000"/>
                <w:kern w:val="0"/>
                <w:sz w:val="20"/>
                <w:szCs w:val="20"/>
                <w:highlight w:val="none"/>
                <w:lang w:val="en-US" w:eastAsia="zh-CN"/>
              </w:rPr>
              <w:t>3、▲色温：5700K（±100K）</w:t>
            </w:r>
          </w:p>
          <w:p w14:paraId="1BC96352">
            <w:pPr>
              <w:widowControl/>
              <w:kinsoku w:val="0"/>
              <w:autoSpaceDE w:val="0"/>
              <w:autoSpaceDN w:val="0"/>
              <w:adjustRightInd w:val="0"/>
              <w:snapToGrid w:val="0"/>
              <w:spacing w:line="240" w:lineRule="auto"/>
              <w:jc w:val="left"/>
              <w:textAlignment w:val="center"/>
              <w:rPr>
                <w:rFonts w:hint="eastAsia" w:asciiTheme="minorEastAsia" w:hAnsiTheme="minorEastAsia" w:eastAsiaTheme="minorEastAsia" w:cstheme="minorEastAsia"/>
                <w:snapToGrid w:val="0"/>
                <w:color w:val="000000"/>
                <w:kern w:val="0"/>
                <w:sz w:val="20"/>
                <w:szCs w:val="20"/>
                <w:highlight w:val="none"/>
                <w:lang w:val="en-US" w:eastAsia="zh-CN"/>
              </w:rPr>
            </w:pPr>
            <w:r>
              <w:rPr>
                <w:rFonts w:hint="eastAsia" w:asciiTheme="minorEastAsia" w:hAnsiTheme="minorEastAsia" w:eastAsiaTheme="minorEastAsia" w:cstheme="minorEastAsia"/>
                <w:snapToGrid w:val="0"/>
                <w:color w:val="000000"/>
                <w:kern w:val="0"/>
                <w:sz w:val="20"/>
                <w:szCs w:val="20"/>
                <w:highlight w:val="none"/>
                <w:lang w:val="en-US" w:eastAsia="zh-CN"/>
              </w:rPr>
              <w:t>4、▲显色指数：≥80</w:t>
            </w:r>
          </w:p>
          <w:p w14:paraId="4B3C3603">
            <w:pPr>
              <w:widowControl/>
              <w:kinsoku w:val="0"/>
              <w:autoSpaceDE w:val="0"/>
              <w:autoSpaceDN w:val="0"/>
              <w:adjustRightInd w:val="0"/>
              <w:snapToGrid w:val="0"/>
              <w:spacing w:line="240" w:lineRule="auto"/>
              <w:jc w:val="left"/>
              <w:textAlignment w:val="center"/>
              <w:rPr>
                <w:rFonts w:hint="eastAsia" w:asciiTheme="minorEastAsia" w:hAnsiTheme="minorEastAsia" w:eastAsiaTheme="minorEastAsia" w:cstheme="minorEastAsia"/>
                <w:snapToGrid w:val="0"/>
                <w:color w:val="000000"/>
                <w:kern w:val="0"/>
                <w:sz w:val="20"/>
                <w:szCs w:val="20"/>
                <w:highlight w:val="none"/>
                <w:lang w:val="en-US" w:eastAsia="zh-CN"/>
              </w:rPr>
            </w:pPr>
            <w:r>
              <w:rPr>
                <w:rFonts w:hint="eastAsia" w:asciiTheme="minorEastAsia" w:hAnsiTheme="minorEastAsia" w:eastAsiaTheme="minorEastAsia" w:cstheme="minorEastAsia"/>
                <w:snapToGrid w:val="0"/>
                <w:color w:val="000000"/>
                <w:kern w:val="0"/>
                <w:sz w:val="20"/>
                <w:szCs w:val="20"/>
                <w:highlight w:val="none"/>
                <w:lang w:val="en-US" w:eastAsia="zh-CN"/>
              </w:rPr>
              <w:t>5、▲功率因数≥0.90</w:t>
            </w:r>
          </w:p>
          <w:p w14:paraId="78AAD35B">
            <w:pPr>
              <w:widowControl/>
              <w:kinsoku w:val="0"/>
              <w:autoSpaceDE w:val="0"/>
              <w:autoSpaceDN w:val="0"/>
              <w:adjustRightInd w:val="0"/>
              <w:snapToGrid w:val="0"/>
              <w:spacing w:line="240" w:lineRule="auto"/>
              <w:jc w:val="left"/>
              <w:textAlignment w:val="center"/>
              <w:rPr>
                <w:rFonts w:hint="eastAsia" w:asciiTheme="minorEastAsia" w:hAnsiTheme="minorEastAsia" w:eastAsiaTheme="minorEastAsia" w:cstheme="minorEastAsia"/>
                <w:snapToGrid w:val="0"/>
                <w:color w:val="000000"/>
                <w:kern w:val="0"/>
                <w:sz w:val="20"/>
                <w:szCs w:val="20"/>
                <w:highlight w:val="none"/>
                <w:lang w:val="en-US" w:eastAsia="zh-CN"/>
              </w:rPr>
            </w:pPr>
            <w:r>
              <w:rPr>
                <w:rFonts w:hint="eastAsia" w:asciiTheme="minorEastAsia" w:hAnsiTheme="minorEastAsia" w:eastAsiaTheme="minorEastAsia" w:cstheme="minorEastAsia"/>
                <w:snapToGrid w:val="0"/>
                <w:color w:val="000000"/>
                <w:kern w:val="0"/>
                <w:sz w:val="20"/>
                <w:szCs w:val="20"/>
                <w:highlight w:val="none"/>
                <w:lang w:val="en-US" w:eastAsia="zh-CN"/>
              </w:rPr>
              <w:t>6、▲灯具尺寸：560*220*74（ mm）（尺寸允许偏差范围±5%）</w:t>
            </w:r>
          </w:p>
          <w:p w14:paraId="21678B31">
            <w:pPr>
              <w:widowControl/>
              <w:kinsoku w:val="0"/>
              <w:autoSpaceDE w:val="0"/>
              <w:autoSpaceDN w:val="0"/>
              <w:adjustRightInd w:val="0"/>
              <w:snapToGrid w:val="0"/>
              <w:spacing w:line="240" w:lineRule="auto"/>
              <w:jc w:val="left"/>
              <w:textAlignment w:val="center"/>
              <w:rPr>
                <w:rFonts w:hint="eastAsia" w:asciiTheme="minorEastAsia" w:hAnsiTheme="minorEastAsia" w:eastAsiaTheme="minorEastAsia" w:cstheme="minorEastAsia"/>
                <w:snapToGrid w:val="0"/>
                <w:color w:val="000000"/>
                <w:kern w:val="0"/>
                <w:sz w:val="20"/>
                <w:szCs w:val="20"/>
                <w:highlight w:val="none"/>
                <w:lang w:val="en-US" w:eastAsia="zh-CN"/>
              </w:rPr>
            </w:pPr>
            <w:r>
              <w:rPr>
                <w:rFonts w:hint="eastAsia" w:asciiTheme="minorEastAsia" w:hAnsiTheme="minorEastAsia" w:eastAsiaTheme="minorEastAsia" w:cstheme="minorEastAsia"/>
                <w:snapToGrid w:val="0"/>
                <w:color w:val="000000"/>
                <w:kern w:val="0"/>
                <w:sz w:val="20"/>
                <w:szCs w:val="20"/>
                <w:highlight w:val="none"/>
                <w:lang w:val="en-US" w:eastAsia="zh-CN"/>
              </w:rPr>
              <w:t>7、▲防护等级：防护等级≥IP65，符合GB7000.203(GB7000.1)</w:t>
            </w:r>
          </w:p>
          <w:p w14:paraId="5B118531">
            <w:pPr>
              <w:widowControl/>
              <w:kinsoku w:val="0"/>
              <w:autoSpaceDE w:val="0"/>
              <w:autoSpaceDN w:val="0"/>
              <w:adjustRightInd w:val="0"/>
              <w:snapToGrid w:val="0"/>
              <w:spacing w:line="240" w:lineRule="auto"/>
              <w:jc w:val="left"/>
              <w:textAlignment w:val="center"/>
              <w:rPr>
                <w:rFonts w:hint="eastAsia" w:asciiTheme="minorEastAsia" w:hAnsiTheme="minorEastAsia" w:eastAsiaTheme="minorEastAsia" w:cstheme="minorEastAsia"/>
                <w:snapToGrid w:val="0"/>
                <w:color w:val="000000"/>
                <w:kern w:val="0"/>
                <w:sz w:val="20"/>
                <w:szCs w:val="20"/>
                <w:highlight w:val="none"/>
                <w:lang w:val="en-US" w:eastAsia="zh-CN"/>
              </w:rPr>
            </w:pPr>
            <w:r>
              <w:rPr>
                <w:rFonts w:hint="eastAsia" w:asciiTheme="minorEastAsia" w:hAnsiTheme="minorEastAsia" w:eastAsiaTheme="minorEastAsia" w:cstheme="minorEastAsia"/>
                <w:snapToGrid w:val="0"/>
                <w:color w:val="000000"/>
                <w:kern w:val="0"/>
                <w:sz w:val="20"/>
                <w:szCs w:val="20"/>
                <w:highlight w:val="none"/>
                <w:lang w:val="en-US" w:eastAsia="zh-CN"/>
              </w:rPr>
              <w:t>8、灯体材质：灯具外壳整体一次全铝压铸成型减少结构固定，提高散热效率。灯具外壳需经过防腐喷塑处理，紧固件采用不锈钢高强度耐腐蚀材料 。</w:t>
            </w:r>
          </w:p>
          <w:p w14:paraId="74F0AC9B">
            <w:pPr>
              <w:widowControl/>
              <w:kinsoku w:val="0"/>
              <w:autoSpaceDE w:val="0"/>
              <w:autoSpaceDN w:val="0"/>
              <w:adjustRightInd w:val="0"/>
              <w:snapToGrid w:val="0"/>
              <w:spacing w:line="240" w:lineRule="auto"/>
              <w:jc w:val="left"/>
              <w:textAlignment w:val="center"/>
              <w:rPr>
                <w:rFonts w:hint="eastAsia" w:asciiTheme="minorEastAsia" w:hAnsiTheme="minorEastAsia" w:eastAsiaTheme="minorEastAsia" w:cstheme="minorEastAsia"/>
                <w:snapToGrid w:val="0"/>
                <w:color w:val="000000"/>
                <w:kern w:val="0"/>
                <w:sz w:val="20"/>
                <w:szCs w:val="20"/>
                <w:highlight w:val="none"/>
                <w:lang w:val="en-US" w:eastAsia="zh-CN"/>
              </w:rPr>
            </w:pPr>
            <w:r>
              <w:rPr>
                <w:rFonts w:hint="eastAsia" w:asciiTheme="minorEastAsia" w:hAnsiTheme="minorEastAsia" w:eastAsiaTheme="minorEastAsia" w:cstheme="minorEastAsia"/>
                <w:snapToGrid w:val="0"/>
                <w:color w:val="000000"/>
                <w:kern w:val="0"/>
                <w:sz w:val="20"/>
                <w:szCs w:val="20"/>
                <w:highlight w:val="none"/>
                <w:lang w:val="en-US" w:eastAsia="zh-CN"/>
              </w:rPr>
              <w:t>9、太阳能组件：太阳能板功率100W（±5%），多晶硅板，转换率＞18%，多时段控制，可变功率，内置控制装置，具有过充过放及防护功能，平均寿命≥10年。锂电池50AH（±5%），寿命≥10年，亮灯时间大于等于12小时。</w:t>
            </w:r>
          </w:p>
          <w:p w14:paraId="154363E7">
            <w:pPr>
              <w:widowControl/>
              <w:kinsoku w:val="0"/>
              <w:autoSpaceDE w:val="0"/>
              <w:autoSpaceDN w:val="0"/>
              <w:adjustRightInd w:val="0"/>
              <w:snapToGrid w:val="0"/>
              <w:spacing w:line="240" w:lineRule="auto"/>
              <w:jc w:val="left"/>
              <w:textAlignment w:val="center"/>
              <w:rPr>
                <w:rFonts w:hint="eastAsia" w:asciiTheme="minorEastAsia" w:hAnsiTheme="minorEastAsia" w:eastAsiaTheme="minorEastAsia" w:cstheme="minorEastAsia"/>
                <w:snapToGrid w:val="0"/>
                <w:color w:val="000000"/>
                <w:kern w:val="0"/>
                <w:sz w:val="20"/>
                <w:szCs w:val="20"/>
                <w:highlight w:val="none"/>
                <w:lang w:val="en-US" w:eastAsia="zh-CN"/>
              </w:rPr>
            </w:pPr>
            <w:r>
              <w:rPr>
                <w:rFonts w:hint="eastAsia" w:asciiTheme="minorEastAsia" w:hAnsiTheme="minorEastAsia" w:eastAsiaTheme="minorEastAsia" w:cstheme="minorEastAsia"/>
                <w:snapToGrid w:val="0"/>
                <w:color w:val="000000"/>
                <w:kern w:val="0"/>
                <w:sz w:val="20"/>
                <w:szCs w:val="20"/>
                <w:highlight w:val="none"/>
                <w:lang w:val="en-US" w:eastAsia="zh-CN"/>
              </w:rPr>
              <w:t>10、灯具光学角度要求：透镜为PC材料加玻璃，稳定性好，折射率高</w:t>
            </w:r>
          </w:p>
          <w:p w14:paraId="674A5567">
            <w:pPr>
              <w:widowControl/>
              <w:kinsoku w:val="0"/>
              <w:autoSpaceDE w:val="0"/>
              <w:autoSpaceDN w:val="0"/>
              <w:adjustRightInd w:val="0"/>
              <w:snapToGrid w:val="0"/>
              <w:spacing w:line="240" w:lineRule="auto"/>
              <w:jc w:val="left"/>
              <w:textAlignment w:val="center"/>
              <w:rPr>
                <w:rFonts w:hint="eastAsia" w:asciiTheme="minorEastAsia" w:hAnsiTheme="minorEastAsia" w:eastAsiaTheme="minorEastAsia" w:cstheme="minorEastAsia"/>
                <w:snapToGrid w:val="0"/>
                <w:color w:val="000000"/>
                <w:kern w:val="0"/>
                <w:sz w:val="20"/>
                <w:szCs w:val="20"/>
                <w:highlight w:val="none"/>
                <w:lang w:val="en-US" w:eastAsia="zh-CN"/>
              </w:rPr>
            </w:pPr>
            <w:r>
              <w:rPr>
                <w:rFonts w:hint="eastAsia" w:asciiTheme="minorEastAsia" w:hAnsiTheme="minorEastAsia" w:eastAsiaTheme="minorEastAsia" w:cstheme="minorEastAsia"/>
                <w:snapToGrid w:val="0"/>
                <w:color w:val="000000"/>
                <w:kern w:val="0"/>
                <w:sz w:val="20"/>
                <w:szCs w:val="20"/>
                <w:highlight w:val="none"/>
                <w:lang w:val="en-US" w:eastAsia="zh-CN"/>
              </w:rPr>
              <w:t>1</w:t>
            </w:r>
            <w:r>
              <w:rPr>
                <w:rFonts w:hint="eastAsia" w:asciiTheme="minorEastAsia" w:hAnsiTheme="minorEastAsia" w:cstheme="minorEastAsia"/>
                <w:snapToGrid w:val="0"/>
                <w:color w:val="000000"/>
                <w:kern w:val="0"/>
                <w:sz w:val="20"/>
                <w:szCs w:val="20"/>
                <w:highlight w:val="none"/>
                <w:lang w:val="en-US" w:eastAsia="zh-CN"/>
              </w:rPr>
              <w:t>1</w:t>
            </w:r>
            <w:r>
              <w:rPr>
                <w:rFonts w:hint="eastAsia" w:asciiTheme="minorEastAsia" w:hAnsiTheme="minorEastAsia" w:eastAsiaTheme="minorEastAsia" w:cstheme="minorEastAsia"/>
                <w:snapToGrid w:val="0"/>
                <w:color w:val="000000"/>
                <w:kern w:val="0"/>
                <w:sz w:val="20"/>
                <w:szCs w:val="20"/>
                <w:highlight w:val="none"/>
                <w:lang w:val="en-US" w:eastAsia="zh-CN"/>
              </w:rPr>
              <w:t>、挑臂：壁厚≥2mm，壁长1.2m，材质为热镀锌镀锌钢。底部焊接固定底座；整体热镀锌，静电喷塑防腐处理，含抱箍、配件等</w:t>
            </w:r>
          </w:p>
          <w:p w14:paraId="6BA5F919">
            <w:pPr>
              <w:widowControl/>
              <w:kinsoku w:val="0"/>
              <w:autoSpaceDE w:val="0"/>
              <w:autoSpaceDN w:val="0"/>
              <w:adjustRightInd w:val="0"/>
              <w:snapToGrid w:val="0"/>
              <w:spacing w:line="240" w:lineRule="auto"/>
              <w:jc w:val="left"/>
              <w:textAlignment w:val="center"/>
              <w:rPr>
                <w:rFonts w:hint="eastAsia" w:asciiTheme="minorEastAsia" w:hAnsiTheme="minorEastAsia" w:eastAsiaTheme="minorEastAsia" w:cstheme="minorEastAsia"/>
                <w:snapToGrid w:val="0"/>
                <w:color w:val="000000"/>
                <w:kern w:val="0"/>
                <w:sz w:val="20"/>
                <w:szCs w:val="20"/>
                <w:highlight w:val="none"/>
                <w:lang w:val="en-US" w:eastAsia="zh-CN"/>
              </w:rPr>
            </w:pPr>
            <w:r>
              <w:rPr>
                <w:rFonts w:hint="eastAsia" w:asciiTheme="minorEastAsia" w:hAnsiTheme="minorEastAsia" w:cstheme="minorEastAsia"/>
                <w:snapToGrid w:val="0"/>
                <w:color w:val="000000"/>
                <w:kern w:val="0"/>
                <w:sz w:val="20"/>
                <w:szCs w:val="20"/>
                <w:highlight w:val="none"/>
                <w:lang w:val="en-US" w:eastAsia="zh-CN"/>
              </w:rPr>
              <w:t>12、</w:t>
            </w:r>
            <w:r>
              <w:rPr>
                <w:rFonts w:hint="eastAsia" w:asciiTheme="minorEastAsia" w:hAnsiTheme="minorEastAsia" w:eastAsiaTheme="minorEastAsia" w:cstheme="minorEastAsia"/>
                <w:snapToGrid w:val="0"/>
                <w:color w:val="000000"/>
                <w:kern w:val="0"/>
                <w:sz w:val="20"/>
                <w:szCs w:val="20"/>
                <w:highlight w:val="none"/>
                <w:lang w:val="en-US" w:eastAsia="zh-CN"/>
              </w:rPr>
              <w:t>防坠要求：路灯灯具上要有防坠链，且不能破坏灯具的密封性能，并能大幅降低灯头部分在外力作用时坠落导致的事故（所提供的检测报告中的灯具照片应体现）</w:t>
            </w:r>
          </w:p>
          <w:p w14:paraId="78BC0850">
            <w:pPr>
              <w:widowControl/>
              <w:kinsoku w:val="0"/>
              <w:autoSpaceDE w:val="0"/>
              <w:autoSpaceDN w:val="0"/>
              <w:adjustRightInd w:val="0"/>
              <w:snapToGrid w:val="0"/>
              <w:spacing w:line="240" w:lineRule="auto"/>
              <w:jc w:val="left"/>
              <w:textAlignment w:val="center"/>
              <w:rPr>
                <w:rFonts w:hint="eastAsia" w:asciiTheme="minorEastAsia" w:hAnsiTheme="minorEastAsia" w:eastAsiaTheme="minorEastAsia" w:cstheme="minorEastAsia"/>
                <w:snapToGrid w:val="0"/>
                <w:color w:val="000000"/>
                <w:kern w:val="0"/>
                <w:sz w:val="20"/>
                <w:szCs w:val="20"/>
                <w:highlight w:val="none"/>
                <w:lang w:val="en-US" w:eastAsia="zh-CN" w:bidi="ar-SA"/>
              </w:rPr>
            </w:pPr>
            <w:r>
              <w:rPr>
                <w:rFonts w:hint="eastAsia" w:asciiTheme="minorEastAsia" w:hAnsiTheme="minorEastAsia" w:eastAsiaTheme="minorEastAsia" w:cstheme="minorEastAsia"/>
                <w:snapToGrid w:val="0"/>
                <w:color w:val="000000"/>
                <w:kern w:val="0"/>
                <w:sz w:val="20"/>
                <w:szCs w:val="20"/>
                <w:highlight w:val="none"/>
                <w:lang w:val="en-US" w:eastAsia="zh-CN"/>
              </w:rPr>
              <w:t>1</w:t>
            </w:r>
            <w:r>
              <w:rPr>
                <w:rFonts w:hint="eastAsia" w:asciiTheme="minorEastAsia" w:hAnsiTheme="minorEastAsia" w:cstheme="minorEastAsia"/>
                <w:snapToGrid w:val="0"/>
                <w:color w:val="000000"/>
                <w:kern w:val="0"/>
                <w:sz w:val="20"/>
                <w:szCs w:val="20"/>
                <w:highlight w:val="none"/>
                <w:lang w:val="en-US" w:eastAsia="zh-CN"/>
              </w:rPr>
              <w:t>3</w:t>
            </w:r>
            <w:r>
              <w:rPr>
                <w:rFonts w:hint="eastAsia" w:asciiTheme="minorEastAsia" w:hAnsiTheme="minorEastAsia" w:eastAsiaTheme="minorEastAsia" w:cstheme="minorEastAsia"/>
                <w:snapToGrid w:val="0"/>
                <w:color w:val="000000"/>
                <w:kern w:val="0"/>
                <w:sz w:val="20"/>
                <w:szCs w:val="20"/>
                <w:highlight w:val="none"/>
                <w:lang w:val="en-US" w:eastAsia="zh-CN"/>
              </w:rPr>
              <w:t>、外观、安装及维护要求：外观应选择抗强风流线型外观设计</w:t>
            </w:r>
          </w:p>
        </w:tc>
        <w:tc>
          <w:tcPr>
            <w:tcW w:w="328" w:type="pct"/>
            <w:vAlign w:val="center"/>
          </w:tcPr>
          <w:p w14:paraId="42F49910">
            <w:pPr>
              <w:pStyle w:val="8"/>
              <w:spacing w:before="62" w:line="229" w:lineRule="auto"/>
              <w:jc w:val="center"/>
              <w:rPr>
                <w:rFonts w:hint="default" w:ascii="宋体" w:hAnsi="宋体" w:eastAsia="宋体" w:cs="宋体"/>
                <w:i w:val="0"/>
                <w:iCs w:val="0"/>
                <w:caps w:val="0"/>
                <w:color w:val="333333"/>
                <w:spacing w:val="0"/>
                <w:sz w:val="20"/>
                <w:szCs w:val="20"/>
                <w:highlight w:val="none"/>
                <w:shd w:val="clear" w:fill="FFFFFF"/>
                <w:lang w:val="en-US" w:eastAsia="zh-CN"/>
              </w:rPr>
            </w:pPr>
            <w:r>
              <w:rPr>
                <w:rFonts w:hint="eastAsia" w:ascii="宋体" w:hAnsi="宋体" w:eastAsia="宋体" w:cs="宋体"/>
                <w:i w:val="0"/>
                <w:iCs w:val="0"/>
                <w:caps w:val="0"/>
                <w:color w:val="333333"/>
                <w:spacing w:val="0"/>
                <w:sz w:val="20"/>
                <w:szCs w:val="20"/>
                <w:highlight w:val="none"/>
                <w:shd w:val="clear" w:fill="FFFFFF"/>
                <w:lang w:val="en-US" w:eastAsia="zh-CN"/>
              </w:rPr>
              <w:t>盏</w:t>
            </w:r>
          </w:p>
        </w:tc>
        <w:tc>
          <w:tcPr>
            <w:tcW w:w="439" w:type="pct"/>
            <w:vAlign w:val="center"/>
          </w:tcPr>
          <w:p w14:paraId="076FAEAB">
            <w:pPr>
              <w:pStyle w:val="8"/>
              <w:spacing w:before="62" w:line="229" w:lineRule="auto"/>
              <w:jc w:val="center"/>
              <w:rPr>
                <w:rFonts w:hint="default" w:ascii="宋体" w:hAnsi="宋体" w:eastAsia="宋体" w:cs="宋体"/>
                <w:i w:val="0"/>
                <w:iCs w:val="0"/>
                <w:caps w:val="0"/>
                <w:color w:val="333333"/>
                <w:spacing w:val="0"/>
                <w:sz w:val="20"/>
                <w:szCs w:val="20"/>
                <w:highlight w:val="none"/>
                <w:shd w:val="clear" w:fill="FFFFFF"/>
                <w:lang w:val="en-US" w:eastAsia="zh-CN"/>
              </w:rPr>
            </w:pPr>
            <w:r>
              <w:rPr>
                <w:rFonts w:hint="eastAsia" w:ascii="宋体" w:hAnsi="宋体" w:eastAsia="宋体" w:cs="宋体"/>
                <w:i w:val="0"/>
                <w:iCs w:val="0"/>
                <w:caps w:val="0"/>
                <w:color w:val="333333"/>
                <w:spacing w:val="0"/>
                <w:sz w:val="20"/>
                <w:szCs w:val="20"/>
                <w:highlight w:val="none"/>
                <w:shd w:val="clear" w:fill="FFFFFF"/>
                <w:lang w:val="en-US" w:eastAsia="zh-CN"/>
              </w:rPr>
              <w:t>325</w:t>
            </w:r>
          </w:p>
        </w:tc>
        <w:tc>
          <w:tcPr>
            <w:tcW w:w="381" w:type="pct"/>
          </w:tcPr>
          <w:p w14:paraId="3FFADE2C">
            <w:pPr>
              <w:tabs>
                <w:tab w:val="left" w:pos="7980"/>
              </w:tabs>
              <w:spacing w:before="57" w:line="399" w:lineRule="auto"/>
              <w:ind w:right="623"/>
              <w:jc w:val="center"/>
              <w:rPr>
                <w:rFonts w:ascii="宋体" w:hAnsi="宋体" w:eastAsia="宋体" w:cs="宋体"/>
                <w:sz w:val="28"/>
                <w:szCs w:val="28"/>
                <w:highlight w:val="none"/>
                <w:vertAlign w:val="baseline"/>
              </w:rPr>
            </w:pPr>
          </w:p>
        </w:tc>
        <w:tc>
          <w:tcPr>
            <w:tcW w:w="393" w:type="pct"/>
          </w:tcPr>
          <w:p w14:paraId="6B22735D">
            <w:pPr>
              <w:tabs>
                <w:tab w:val="left" w:pos="7980"/>
              </w:tabs>
              <w:spacing w:before="57" w:line="399" w:lineRule="auto"/>
              <w:ind w:right="623"/>
              <w:jc w:val="center"/>
              <w:rPr>
                <w:rFonts w:ascii="宋体" w:hAnsi="宋体" w:eastAsia="宋体" w:cs="宋体"/>
                <w:sz w:val="28"/>
                <w:szCs w:val="28"/>
                <w:highlight w:val="none"/>
                <w:vertAlign w:val="baseline"/>
              </w:rPr>
            </w:pPr>
          </w:p>
        </w:tc>
      </w:tr>
    </w:tbl>
    <w:p w14:paraId="15BC96C3">
      <w:pPr>
        <w:widowControl/>
        <w:jc w:val="left"/>
        <w:textAlignment w:val="center"/>
        <w:rPr>
          <w:rFonts w:hint="eastAsia" w:asciiTheme="minorEastAsia" w:hAnsiTheme="minorEastAsia" w:eastAsiaTheme="minorEastAsia" w:cstheme="minorEastAsia"/>
          <w:color w:val="000000"/>
          <w:kern w:val="0"/>
          <w:sz w:val="24"/>
          <w:szCs w:val="24"/>
          <w:highlight w:val="none"/>
          <w:lang w:val="en-US" w:eastAsia="zh-CN" w:bidi="ar"/>
        </w:rPr>
      </w:pPr>
    </w:p>
    <w:p w14:paraId="7CB11048">
      <w:pPr>
        <w:widowControl/>
        <w:jc w:val="left"/>
        <w:textAlignment w:val="center"/>
        <w:rPr>
          <w:rFonts w:hint="eastAsia" w:asciiTheme="minorEastAsia" w:hAnsi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附营业执照</w:t>
      </w:r>
      <w:r>
        <w:rPr>
          <w:rFonts w:hint="eastAsia" w:asciiTheme="minorEastAsia" w:hAnsiTheme="minorEastAsia" w:cstheme="minorEastAsia"/>
          <w:color w:val="000000"/>
          <w:kern w:val="0"/>
          <w:sz w:val="24"/>
          <w:szCs w:val="24"/>
          <w:highlight w:val="none"/>
          <w:lang w:val="en-US" w:eastAsia="zh-CN" w:bidi="ar"/>
        </w:rPr>
        <w:t xml:space="preserve">    </w:t>
      </w:r>
    </w:p>
    <w:p w14:paraId="40AEF98E">
      <w:pPr>
        <w:widowControl/>
        <w:jc w:val="left"/>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 xml:space="preserve">                                                                          </w:t>
      </w:r>
      <w:r>
        <w:rPr>
          <w:rFonts w:hint="eastAsia" w:asciiTheme="minorEastAsia" w:hAnsiTheme="minorEastAsia" w:eastAsiaTheme="minorEastAsia" w:cstheme="minorEastAsia"/>
          <w:color w:val="000000"/>
          <w:kern w:val="0"/>
          <w:sz w:val="24"/>
          <w:szCs w:val="24"/>
          <w:highlight w:val="none"/>
          <w:lang w:val="en-US" w:eastAsia="zh-CN" w:bidi="ar"/>
        </w:rPr>
        <w:t>联系人：</w:t>
      </w:r>
      <w:r>
        <w:rPr>
          <w:rFonts w:hint="eastAsia" w:asciiTheme="minorEastAsia" w:hAnsiTheme="minorEastAsia" w:cstheme="minorEastAsia"/>
          <w:color w:val="000000"/>
          <w:kern w:val="0"/>
          <w:sz w:val="24"/>
          <w:szCs w:val="24"/>
          <w:highlight w:val="none"/>
          <w:lang w:val="en-US" w:eastAsia="zh-CN" w:bidi="ar"/>
        </w:rPr>
        <w:t xml:space="preserve">              </w:t>
      </w:r>
      <w:r>
        <w:rPr>
          <w:rFonts w:hint="eastAsia" w:asciiTheme="minorEastAsia" w:hAnsiTheme="minorEastAsia" w:eastAsiaTheme="minorEastAsia" w:cstheme="minorEastAsia"/>
          <w:color w:val="000000"/>
          <w:kern w:val="0"/>
          <w:sz w:val="24"/>
          <w:szCs w:val="24"/>
          <w:highlight w:val="none"/>
          <w:lang w:val="en-US" w:eastAsia="zh-CN" w:bidi="ar"/>
        </w:rPr>
        <w:t>联系电话：</w:t>
      </w:r>
    </w:p>
    <w:p w14:paraId="45986F12">
      <w:pPr>
        <w:widowControl/>
        <w:jc w:val="left"/>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报价单位：</w:t>
      </w:r>
    </w:p>
    <w:p w14:paraId="09675154">
      <w:pPr>
        <w:widowControl/>
        <w:jc w:val="left"/>
        <w:textAlignment w:val="center"/>
        <w:rPr>
          <w:rFonts w:hint="eastAsia"/>
          <w:highlight w:val="none"/>
          <w:lang w:val="en-US" w:eastAsia="zh-CN"/>
        </w:rPr>
      </w:pPr>
    </w:p>
    <w:p w14:paraId="6E13BB54">
      <w:pPr>
        <w:pStyle w:val="2"/>
        <w:rPr>
          <w:highlight w:val="none"/>
          <w:lang w:eastAsia="en-US"/>
        </w:rPr>
      </w:pPr>
      <w:r>
        <w:rPr>
          <w:rFonts w:hint="eastAsia" w:asciiTheme="minorEastAsia" w:hAnsiTheme="minorEastAsia" w:eastAsiaTheme="minorEastAsia" w:cstheme="minorEastAsia"/>
          <w:color w:val="000000"/>
          <w:kern w:val="0"/>
          <w:sz w:val="24"/>
          <w:szCs w:val="24"/>
          <w:highlight w:val="none"/>
          <w:lang w:val="en-US" w:eastAsia="zh-CN" w:bidi="ar"/>
        </w:rPr>
        <w:t>日期</w:t>
      </w:r>
      <w:r>
        <w:rPr>
          <w:rFonts w:hint="eastAsia" w:asciiTheme="minorEastAsia" w:hAnsiTheme="minorEastAsia" w:eastAsiaTheme="minorEastAsia" w:cstheme="minorEastAsia"/>
          <w:color w:val="000000"/>
          <w:kern w:val="0"/>
          <w:sz w:val="21"/>
          <w:szCs w:val="21"/>
          <w:highlight w:val="none"/>
          <w:lang w:val="en-US" w:eastAsia="zh-CN" w:bidi="ar"/>
        </w:rPr>
        <w:t>：</w:t>
      </w:r>
      <w:r>
        <w:rPr>
          <w:rFonts w:hint="eastAsia" w:asciiTheme="minorEastAsia" w:hAnsiTheme="minorEastAsia" w:cstheme="minorEastAsia"/>
          <w:color w:val="000000"/>
          <w:kern w:val="0"/>
          <w:sz w:val="21"/>
          <w:szCs w:val="21"/>
          <w:highlight w:val="none"/>
          <w:lang w:val="en-US" w:eastAsia="zh-CN" w:bidi="ar"/>
        </w:rPr>
        <w:t xml:space="preserve">                                                                                 </w:t>
      </w: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ew Baskerville">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10F88"/>
    <w:multiLevelType w:val="singleLevel"/>
    <w:tmpl w:val="14F10F8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81BD2"/>
    <w:rsid w:val="00715FD7"/>
    <w:rsid w:val="0BE475CA"/>
    <w:rsid w:val="0C407D61"/>
    <w:rsid w:val="0F44747F"/>
    <w:rsid w:val="1697334C"/>
    <w:rsid w:val="17E65B24"/>
    <w:rsid w:val="1B210BF7"/>
    <w:rsid w:val="1C80715D"/>
    <w:rsid w:val="1D06018B"/>
    <w:rsid w:val="22B4674A"/>
    <w:rsid w:val="25103428"/>
    <w:rsid w:val="27581BD2"/>
    <w:rsid w:val="2F127422"/>
    <w:rsid w:val="3009204F"/>
    <w:rsid w:val="329C73B4"/>
    <w:rsid w:val="32A37827"/>
    <w:rsid w:val="32CD6091"/>
    <w:rsid w:val="381979D3"/>
    <w:rsid w:val="3B4F4D66"/>
    <w:rsid w:val="3C666012"/>
    <w:rsid w:val="3F0C734A"/>
    <w:rsid w:val="45225520"/>
    <w:rsid w:val="469452B4"/>
    <w:rsid w:val="51472E8E"/>
    <w:rsid w:val="523227C6"/>
    <w:rsid w:val="5D625DC9"/>
    <w:rsid w:val="61F854E6"/>
    <w:rsid w:val="63020DE5"/>
    <w:rsid w:val="65D243D3"/>
    <w:rsid w:val="67DF4668"/>
    <w:rsid w:val="6AA12051"/>
    <w:rsid w:val="6D7C2E72"/>
    <w:rsid w:val="6D9934BA"/>
    <w:rsid w:val="73196BB0"/>
    <w:rsid w:val="73D62213"/>
    <w:rsid w:val="74CD40B2"/>
    <w:rsid w:val="784014A1"/>
    <w:rsid w:val="78526E6F"/>
    <w:rsid w:val="79070611"/>
    <w:rsid w:val="7C9F5482"/>
    <w:rsid w:val="7CC703AD"/>
    <w:rsid w:val="7F03523F"/>
    <w:rsid w:val="7F5A23C2"/>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4"/>
      <w:szCs w:val="24"/>
      <w:lang w:val="en-US" w:eastAsia="en-US" w:bidi="ar-SA"/>
    </w:rPr>
  </w:style>
  <w:style w:type="paragraph" w:styleId="3">
    <w:name w:val="Body Text First Indent"/>
    <w:basedOn w:val="2"/>
    <w:qFormat/>
    <w:uiPriority w:val="99"/>
    <w:pPr>
      <w:ind w:firstLine="420" w:firstLineChars="100"/>
    </w:pPr>
    <w:rPr>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New Baskerville" w:hAnsi="Times New Roman" w:eastAsia="New Baskerville" w:cs="New Baskerville"/>
      <w:color w:val="000000"/>
      <w:sz w:val="24"/>
      <w:szCs w:val="24"/>
      <w:lang w:val="en-US" w:eastAsia="zh-CN" w:bidi="ar-SA"/>
    </w:r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2097</Words>
  <Characters>2331</Characters>
  <Lines>0</Lines>
  <Paragraphs>0</Paragraphs>
  <TotalTime>7</TotalTime>
  <ScaleCrop>false</ScaleCrop>
  <LinksUpToDate>false</LinksUpToDate>
  <CharactersWithSpaces>2512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2026-02-05T01:40:00Z</dcterms:created>
  <dc:creator>小雨</dc:creator>
  <cp:lastModifiedBy>YM</cp:lastModifiedBy>
  <dcterms:modified xsi:type="dcterms:W3CDTF">2026-04-03T07:07:40Z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52CAC9E9020E4A6FAEF2F169AA96D5A6_11</vt:lpwstr>
  </property>
  <property fmtid="{D5CDD505-2E9C-101B-9397-08002B2CF9AE}" pid="4" name="KSOTemplateDocerSaveRecord">
    <vt:lpwstr>eyJoZGlkIjoiOTNmYmM1N2E2YWRlZjE1NDQ5ODFhZGY2ZDFhNjEwNzAiLCJ1c2VySWQiOiIyNjE0MjIzODMifQ==</vt:lpwstr>
  </property>
</Properties>
</file>