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启民发〔20</w:t>
      </w:r>
      <w:r>
        <w:rPr>
          <w:rFonts w:hint="eastAsia" w:ascii="仿宋" w:hAnsi="仿宋" w:eastAsia="仿宋"/>
          <w:sz w:val="32"/>
          <w:szCs w:val="32"/>
          <w:lang w:val="en-US" w:eastAsia="zh-CN"/>
        </w:rPr>
        <w:t>22</w:t>
      </w:r>
      <w:r>
        <w:rPr>
          <w:rFonts w:hint="eastAsia" w:ascii="仿宋" w:hAnsi="仿宋" w:eastAsia="仿宋"/>
          <w:sz w:val="32"/>
          <w:szCs w:val="32"/>
        </w:rPr>
        <w:t>〕</w:t>
      </w:r>
      <w:r>
        <w:rPr>
          <w:rFonts w:hint="eastAsia" w:ascii="仿宋" w:hAnsi="仿宋" w:eastAsia="仿宋"/>
          <w:sz w:val="32"/>
          <w:szCs w:val="32"/>
          <w:lang w:val="en-US" w:eastAsia="zh-CN"/>
        </w:rPr>
        <w:t>120</w:t>
      </w:r>
      <w:r>
        <w:rPr>
          <w:rFonts w:hint="eastAsia" w:ascii="仿宋" w:hAnsi="仿宋" w:eastAsia="仿宋"/>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 xml:space="preserve"> </w:t>
      </w:r>
    </w:p>
    <w:p>
      <w:pPr>
        <w:adjustRightInd w:val="0"/>
        <w:snapToGrid w:val="0"/>
        <w:spacing w:line="600" w:lineRule="exact"/>
        <w:jc w:val="center"/>
        <w:rPr>
          <w:rFonts w:hint="eastAsia" w:eastAsia="方正小标宋_GBK"/>
          <w:sz w:val="44"/>
          <w:szCs w:val="44"/>
          <w:lang w:eastAsia="zh-CN"/>
        </w:rPr>
      </w:pPr>
      <w:r>
        <w:rPr>
          <w:rFonts w:hint="eastAsia" w:eastAsia="方正小标宋_GBK"/>
          <w:sz w:val="44"/>
          <w:szCs w:val="44"/>
          <w:lang w:eastAsia="zh-CN"/>
        </w:rPr>
        <w:t>关于开展全市养老等社会服务机构安全</w:t>
      </w:r>
    </w:p>
    <w:p>
      <w:pPr>
        <w:adjustRightInd w:val="0"/>
        <w:snapToGrid w:val="0"/>
        <w:spacing w:line="600" w:lineRule="exact"/>
        <w:jc w:val="center"/>
        <w:rPr>
          <w:rFonts w:hint="eastAsia" w:eastAsia="方正小标宋_GBK"/>
          <w:sz w:val="44"/>
          <w:szCs w:val="44"/>
          <w:lang w:eastAsia="zh-CN"/>
        </w:rPr>
      </w:pPr>
      <w:r>
        <w:rPr>
          <w:rFonts w:hint="eastAsia" w:eastAsia="方正小标宋_GBK"/>
          <w:sz w:val="44"/>
          <w:szCs w:val="44"/>
          <w:lang w:eastAsia="zh-CN"/>
        </w:rPr>
        <w:t>生产百日攻坚行动的通知</w:t>
      </w:r>
    </w:p>
    <w:p>
      <w:pPr>
        <w:pStyle w:val="2"/>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eastAsia="仿宋_GB2312"/>
          <w:sz w:val="32"/>
          <w:szCs w:val="32"/>
          <w:lang w:val="en-US" w:eastAsia="zh-CN"/>
        </w:rPr>
      </w:pPr>
      <w:r>
        <w:rPr>
          <w:rFonts w:hint="eastAsia" w:eastAsia="仿宋_GB2312"/>
          <w:sz w:val="32"/>
          <w:szCs w:val="32"/>
          <w:lang w:val="en-US" w:eastAsia="zh-CN"/>
        </w:rPr>
        <w:t>各镇（园区、街道）民政部门、局直属单位和机关各科室：</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为进一步规范养老等社会服务机构安全生产管理，有效防范化解重大风险隐患，立足“查大问题、除大隐患、防大事故”，促进民政服务领域安全稳定，根据</w:t>
      </w:r>
      <w:r>
        <w:rPr>
          <w:rFonts w:hint="eastAsia" w:eastAsia="仿宋_GB2312" w:cstheme="minorBidi"/>
          <w:spacing w:val="-6"/>
          <w:kern w:val="2"/>
          <w:sz w:val="32"/>
          <w:szCs w:val="32"/>
          <w:lang w:val="en-US" w:eastAsia="zh-CN" w:bidi="ar-SA"/>
        </w:rPr>
        <w:t>南通市民政局</w:t>
      </w:r>
      <w:r>
        <w:rPr>
          <w:rFonts w:hint="eastAsia" w:eastAsia="仿宋_GB2312" w:asciiTheme="minorHAnsi" w:hAnsiTheme="minorHAnsi" w:cstheme="minorBidi"/>
          <w:spacing w:val="-6"/>
          <w:kern w:val="2"/>
          <w:sz w:val="32"/>
          <w:szCs w:val="32"/>
          <w:lang w:val="en-US" w:eastAsia="zh-CN" w:bidi="ar-SA"/>
        </w:rPr>
        <w:t>《关于开展全市养老等社会服务机构安全生产百日攻坚行动的通知》（</w:t>
      </w:r>
      <w:r>
        <w:rPr>
          <w:rFonts w:hint="eastAsia" w:eastAsia="仿宋_GB2312" w:cstheme="minorBidi"/>
          <w:spacing w:val="-6"/>
          <w:kern w:val="2"/>
          <w:sz w:val="32"/>
          <w:szCs w:val="32"/>
          <w:lang w:val="en-US" w:eastAsia="zh-CN" w:bidi="ar-SA"/>
        </w:rPr>
        <w:t>通民安</w:t>
      </w:r>
      <w:r>
        <w:rPr>
          <w:rFonts w:hint="default" w:eastAsia="仿宋_GB2312" w:asciiTheme="minorHAnsi" w:hAnsiTheme="minorHAnsi" w:cstheme="minorBidi"/>
          <w:spacing w:val="-6"/>
          <w:kern w:val="2"/>
          <w:sz w:val="32"/>
          <w:szCs w:val="32"/>
          <w:lang w:val="en-US" w:eastAsia="zh-CN" w:bidi="ar-SA"/>
        </w:rPr>
        <w:t>〔2022〕</w:t>
      </w:r>
      <w:r>
        <w:rPr>
          <w:rFonts w:hint="eastAsia" w:eastAsia="仿宋_GB2312" w:cstheme="minorBidi"/>
          <w:spacing w:val="-6"/>
          <w:kern w:val="2"/>
          <w:sz w:val="32"/>
          <w:szCs w:val="32"/>
          <w:lang w:val="en-US" w:eastAsia="zh-CN" w:bidi="ar-SA"/>
        </w:rPr>
        <w:t>55</w:t>
      </w:r>
      <w:r>
        <w:rPr>
          <w:rFonts w:hint="default" w:eastAsia="仿宋_GB2312" w:asciiTheme="minorHAnsi" w:hAnsiTheme="minorHAnsi" w:cstheme="minorBidi"/>
          <w:spacing w:val="-6"/>
          <w:kern w:val="2"/>
          <w:sz w:val="32"/>
          <w:szCs w:val="32"/>
          <w:lang w:val="en-US" w:eastAsia="zh-CN" w:bidi="ar-SA"/>
        </w:rPr>
        <w:t>号）</w:t>
      </w:r>
      <w:r>
        <w:rPr>
          <w:rFonts w:hint="eastAsia" w:eastAsia="仿宋_GB2312" w:cstheme="minorBidi"/>
          <w:spacing w:val="-6"/>
          <w:kern w:val="2"/>
          <w:sz w:val="32"/>
          <w:szCs w:val="32"/>
          <w:lang w:val="en-US" w:eastAsia="zh-CN" w:bidi="ar-SA"/>
        </w:rPr>
        <w:t>等要求</w:t>
      </w:r>
      <w:r>
        <w:rPr>
          <w:rFonts w:hint="default" w:eastAsia="仿宋_GB2312" w:asciiTheme="minorHAnsi" w:hAnsiTheme="minorHAnsi" w:cstheme="minorBidi"/>
          <w:spacing w:val="-6"/>
          <w:kern w:val="2"/>
          <w:sz w:val="32"/>
          <w:szCs w:val="32"/>
          <w:lang w:val="en-US" w:eastAsia="zh-CN" w:bidi="ar-SA"/>
        </w:rPr>
        <w:t>，决定</w:t>
      </w:r>
      <w:r>
        <w:rPr>
          <w:rFonts w:hint="eastAsia" w:eastAsia="仿宋_GB2312" w:asciiTheme="minorHAnsi" w:hAnsiTheme="minorHAnsi" w:cstheme="minorBidi"/>
          <w:spacing w:val="-6"/>
          <w:kern w:val="2"/>
          <w:sz w:val="32"/>
          <w:szCs w:val="32"/>
          <w:lang w:val="en-US" w:eastAsia="zh-CN" w:bidi="ar-SA"/>
        </w:rPr>
        <w:t>在全市养老等社会服务机构开展安全生产百日攻坚行动。现将重点整治事项通知如下：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一、自建房</w:t>
      </w:r>
    </w:p>
    <w:p>
      <w:pPr>
        <w:numPr>
          <w:ilvl w:val="0"/>
          <w:numId w:val="1"/>
        </w:numPr>
        <w:spacing w:line="580" w:lineRule="exact"/>
        <w:ind w:firstLine="616" w:firstLineChars="200"/>
        <w:jc w:val="both"/>
        <w:rPr>
          <w:rFonts w:hint="default"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居住用途改造为生产经营等公共用途的自建房，如将一般住房改为养老服务机构、殡葬服务场所、福利彩票销售点等。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rPr>
          <w:rFonts w:hint="default"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改建加层、野蛮装修、破坏主体或者承重结构的民政服务机构房屋建筑（含擅自加层、增设夹层、开挖地下空间，以及经营过程中改变承重结构的房屋）。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二、燃气</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16" w:firstLineChars="200"/>
        <w:jc w:val="both"/>
        <w:textAlignment w:val="auto"/>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未对养老服务机构、儿童福利机构、救助管理机构、殡葬服务机构、婚姻登记机构、福利彩票销售机构等人员密集场所开展燃气使用安全监督检查，用气单位（用气人）未签订合法供用气合同，落实逐月全面自查整改、自查情况公示等制度。</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16" w:firstLineChars="200"/>
        <w:jc w:val="both"/>
        <w:textAlignment w:val="auto"/>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使用瓶装液化气的民政服务机构未按时序要求完成“瓶改管、瓶改电、气改电”专项整治任务。仍使用管道燃气的民政服务机构未按要求安装燃气泄漏报警保护装置，报警信号未报送到消防控制室（值班室）。</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16" w:firstLineChars="200"/>
        <w:jc w:val="both"/>
        <w:textAlignment w:val="auto"/>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未针对低保对象、特困供养人员及政府购买养老服务人员等居民用户，及时更换户内不合格灶管阀产品。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三、消防</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1. 违规锁闭、封堵、占用、堵塞安全出口、疏散通道，楼道、楼梯间堆放易燃、可燃物品，外墙门窗设置影响逃生和灭火救援的金属栅栏、广告牌等障碍物；消防车通道未施划消防车通道标线、标志并设置警示牌，消防车通道被占用、堵塞等。</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2. 营业期间违规进行电焊、气焊、切割等明火作业；违规使用瓶装液化石油气；燃气管线、燃气用具的敷设、安装等不符合相关安全技术标准；电动自行车或其蓄电池违规在建筑内停放或充电。</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3. 使用聚氨酯泡沫等易燃可燃夹芯彩钢板搭建临时用房或进行功能分隔，装修装饰大量使用易燃可燃材料。</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4. 室内消火栓系统、自动灭火系统、火灾自动报警系统、机械防排烟系统等消防设施、器材以及消防安全标志未保持完好有效。</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5. 电缆井、管道井在每层楼板处未进行严密封堵，电缆井、管道井堆放杂物；防火卷帘下入放置障碍物；常闭式防火门未保持常闭。</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6. 未明确消防安全管理人员，未组织全员开展消防安全教育和培训，员工不能熟练掌握“一懂三会”（懂得所在场所火灾危险性、会报警、会逃生、会扑救初起火灾）。</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7.消防控制室未落实每班不少于2名持有职业资格证的人员24小时值班制度，值班人员不能熟练掌握应急处置程序要求。</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8. 未按规定设立符合标准的微型消防站；对场所进行现场拉动测试，志愿消防队员未能及时到场或不了解初起火灾处置流程及方法。</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民政系统安全生产百日攻坚行动自发文之日起。</w:t>
      </w:r>
      <w:r>
        <w:rPr>
          <w:rFonts w:hint="eastAsia" w:eastAsia="仿宋_GB2312"/>
          <w:sz w:val="32"/>
          <w:szCs w:val="32"/>
          <w:lang w:val="en-US" w:eastAsia="zh-CN"/>
        </w:rPr>
        <w:t>各镇（园区、街道）民政部门、机关各科室</w:t>
      </w:r>
      <w:r>
        <w:rPr>
          <w:rFonts w:hint="eastAsia" w:eastAsia="仿宋_GB2312" w:cstheme="minorBidi"/>
          <w:spacing w:val="-6"/>
          <w:kern w:val="2"/>
          <w:sz w:val="32"/>
          <w:szCs w:val="32"/>
          <w:lang w:val="en-US" w:eastAsia="zh-CN" w:bidi="ar-SA"/>
        </w:rPr>
        <w:t>和</w:t>
      </w:r>
      <w:r>
        <w:rPr>
          <w:rFonts w:hint="eastAsia" w:eastAsia="仿宋_GB2312" w:asciiTheme="minorHAnsi" w:hAnsiTheme="minorHAnsi" w:cstheme="minorBidi"/>
          <w:spacing w:val="-6"/>
          <w:kern w:val="2"/>
          <w:sz w:val="32"/>
          <w:szCs w:val="32"/>
          <w:lang w:val="en-US" w:eastAsia="zh-CN" w:bidi="ar-SA"/>
        </w:rPr>
        <w:t>各民政服务机构要进一步提高政治站位，把安全生产百日攻坚行动作为当前和今后一段时期的大事，抓紧抓实抓出成效。要将百日攻坚行动与专项整治、大检查相结合，坚持机构自查自纠与民政部门检查督查相结合，坚持排查整治与建章立制相结合，坚持压紧压实责任与细化实化措施相结合，坚持问题导向，聚焦整治事项，常态化开展执法检查，坚决防控大风险、整治大隐患、杜绝大事故。</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16" w:firstLineChars="200"/>
        <w:textAlignment w:val="auto"/>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安全生产百日攻坚行动期间，7月、8月、9月的月底前上报进展情况，10月14日上报安全生产百日攻坚工作总结。</w:t>
      </w:r>
    </w:p>
    <w:p>
      <w:pPr>
        <w:pStyle w:val="5"/>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eastAsia="仿宋_GB2312"/>
          <w:sz w:val="32"/>
          <w:szCs w:val="32"/>
          <w:lang w:val="en-US" w:eastAsia="zh-CN"/>
        </w:rPr>
        <w:t xml:space="preserve">各镇（园区、街道）民政部门报送至养老服务科，联系人：马红芋，联系电话：18932209031；局直属单位报送至社会事务科，联系人：袁煊，联系电话：83215871。 </w:t>
      </w:r>
      <w:r>
        <w:rPr>
          <w:rFonts w:hint="eastAsia" w:ascii="仿宋_GB2312" w:hAnsi="仿宋_GB2312" w:eastAsia="仿宋_GB2312" w:cs="仿宋_GB2312"/>
          <w:sz w:val="32"/>
          <w:szCs w:val="32"/>
          <w:lang w:val="en-US" w:eastAsia="zh-CN"/>
        </w:rPr>
        <w:t xml:space="preserve"> </w:t>
      </w:r>
    </w:p>
    <w:p>
      <w:pPr>
        <w:spacing w:line="580" w:lineRule="exact"/>
        <w:ind w:firstLine="640"/>
        <w:jc w:val="both"/>
        <w:rPr>
          <w:rFonts w:hint="eastAsia" w:eastAsia="仿宋_GB2312" w:asciiTheme="minorHAnsi" w:hAnsiTheme="minorHAnsi" w:cstheme="minorBidi"/>
          <w:spacing w:val="-6"/>
          <w:kern w:val="2"/>
          <w:sz w:val="32"/>
          <w:szCs w:val="32"/>
          <w:lang w:val="en-US" w:eastAsia="zh-CN" w:bidi="ar-SA"/>
        </w:rPr>
      </w:pPr>
      <w:r>
        <w:rPr>
          <w:rFonts w:hint="eastAsia" w:eastAsia="仿宋_GB2312" w:asciiTheme="minorHAnsi" w:hAnsiTheme="minorHAnsi" w:cstheme="minorBidi"/>
          <w:spacing w:val="-6"/>
          <w:kern w:val="2"/>
          <w:sz w:val="32"/>
          <w:szCs w:val="32"/>
          <w:lang w:val="en-US" w:eastAsia="zh-CN" w:bidi="ar-SA"/>
        </w:rPr>
        <w:t>附件：南通市民政系统安全生产百日攻坚统计表</w:t>
      </w:r>
    </w:p>
    <w:p>
      <w:pPr>
        <w:spacing w:line="580" w:lineRule="exact"/>
        <w:ind w:firstLine="640"/>
        <w:jc w:val="both"/>
        <w:rPr>
          <w:rFonts w:hint="eastAsia" w:ascii="Times New Roman" w:hAnsi="Times New Roman" w:eastAsia="方正仿宋_GBK" w:cs="Times New Roman"/>
          <w:sz w:val="32"/>
          <w:szCs w:val="32"/>
          <w:lang w:val="en-US" w:eastAsia="zh-CN"/>
        </w:rPr>
      </w:pPr>
    </w:p>
    <w:p>
      <w:pPr>
        <w:pStyle w:val="2"/>
        <w:rPr>
          <w:rFonts w:hint="eastAsia"/>
          <w:lang w:val="en-US" w:eastAsia="zh-CN"/>
        </w:rPr>
      </w:pPr>
    </w:p>
    <w:p>
      <w:pPr>
        <w:spacing w:line="580" w:lineRule="exact"/>
        <w:ind w:firstLine="640"/>
        <w:jc w:val="both"/>
        <w:rPr>
          <w:rFonts w:hint="eastAsia" w:ascii="Times New Roman" w:hAnsi="Times New Roman" w:eastAsia="方正仿宋_GBK" w:cs="Times New Roman"/>
          <w:sz w:val="32"/>
          <w:szCs w:val="32"/>
          <w:lang w:val="en-US" w:eastAsia="zh-CN"/>
        </w:rPr>
      </w:pPr>
    </w:p>
    <w:p>
      <w:pPr>
        <w:pStyle w:val="2"/>
        <w:rPr>
          <w:rFonts w:hint="eastAsia" w:ascii="Times New Roman" w:hAnsi="Times New Roman" w:eastAsia="方正仿宋_GBK" w:cs="Times New Roman"/>
          <w:sz w:val="32"/>
          <w:szCs w:val="32"/>
          <w:lang w:val="en-US" w:eastAsia="zh-CN"/>
        </w:rPr>
      </w:pPr>
    </w:p>
    <w:p>
      <w:pPr>
        <w:pStyle w:val="5"/>
        <w:rPr>
          <w:rFonts w:hint="eastAsia" w:ascii="Times New Roman" w:hAnsi="Times New Roman" w:eastAsia="方正仿宋_GBK" w:cs="Times New Roman"/>
          <w:sz w:val="32"/>
          <w:szCs w:val="32"/>
          <w:lang w:val="en-US" w:eastAsia="zh-CN"/>
        </w:rPr>
      </w:pPr>
    </w:p>
    <w:p>
      <w:pPr>
        <w:pStyle w:val="6"/>
        <w:rPr>
          <w:rFonts w:hint="eastAsia"/>
          <w:lang w:val="en-US" w:eastAsia="zh-CN"/>
        </w:rPr>
      </w:pPr>
    </w:p>
    <w:p>
      <w:pPr>
        <w:wordWrap w:val="0"/>
        <w:spacing w:line="580" w:lineRule="exact"/>
        <w:jc w:val="right"/>
        <w:rPr>
          <w:rFonts w:hint="default" w:ascii="仿宋_GB2312" w:hAnsi="仿宋_GB2312" w:eastAsia="仿宋_GB2312" w:cs="仿宋_GB2312"/>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仿宋_GB2312" w:hAnsi="仿宋_GB2312" w:eastAsia="仿宋_GB2312" w:cs="仿宋_GB2312"/>
          <w:sz w:val="32"/>
          <w:szCs w:val="32"/>
          <w:lang w:eastAsia="zh-CN"/>
        </w:rPr>
        <w:t>启东市民政局</w:t>
      </w:r>
      <w:r>
        <w:rPr>
          <w:rFonts w:hint="eastAsia" w:ascii="仿宋_GB2312" w:hAnsi="仿宋_GB2312" w:eastAsia="仿宋_GB2312" w:cs="仿宋_GB2312"/>
          <w:sz w:val="32"/>
          <w:szCs w:val="32"/>
          <w:lang w:val="en-US" w:eastAsia="zh-CN"/>
        </w:rPr>
        <w:t xml:space="preserve">  </w:t>
      </w:r>
    </w:p>
    <w:p>
      <w:pPr>
        <w:spacing w:line="580" w:lineRule="exact"/>
        <w:ind w:firstLine="640"/>
        <w:jc w:val="right"/>
        <w:rPr>
          <w:rFonts w:hint="eastAsia" w:ascii="方正黑体_GBK" w:hAnsi="方正黑体_GBK" w:eastAsia="方正黑体_GBK" w:cs="方正黑体_GBK"/>
          <w:sz w:val="32"/>
          <w:szCs w:val="32"/>
          <w:lang w:val="en-US" w:eastAsia="zh-CN"/>
        </w:rPr>
        <w:sectPr>
          <w:footerReference r:id="rId3" w:type="default"/>
          <w:pgSz w:w="11906" w:h="16838"/>
          <w:pgMar w:top="1984" w:right="1474" w:bottom="1701" w:left="1587" w:header="851" w:footer="1417" w:gutter="0"/>
          <w:pgNumType w:fmt="numberInDash"/>
          <w:cols w:space="0" w:num="1"/>
          <w:rtlGutter w:val="0"/>
          <w:docGrid w:type="lines" w:linePitch="312" w:charSpace="0"/>
        </w:sectPr>
      </w:pPr>
      <w:r>
        <w:rPr>
          <w:rFonts w:hint="eastAsia" w:ascii="仿宋_GB2312" w:hAnsi="仿宋_GB2312" w:eastAsia="仿宋_GB2312" w:cs="仿宋_GB2312"/>
          <w:sz w:val="32"/>
          <w:szCs w:val="32"/>
          <w:lang w:val="en-US" w:eastAsia="zh-CN"/>
        </w:rPr>
        <w:t>2022年7月14日</w:t>
      </w:r>
    </w:p>
    <w:p>
      <w:pPr>
        <w:spacing w:line="580" w:lineRule="exact"/>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tabs>
          <w:tab w:val="left" w:pos="334"/>
        </w:tabs>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启东市民政系统安全生产百日攻坚统计表</w:t>
      </w:r>
    </w:p>
    <w:p>
      <w:pPr>
        <w:keepNext w:val="0"/>
        <w:keepLines w:val="0"/>
        <w:pageBreakBefore w:val="0"/>
        <w:widowControl w:val="0"/>
        <w:tabs>
          <w:tab w:val="left" w:pos="334"/>
        </w:tabs>
        <w:kinsoku/>
        <w:wordWrap/>
        <w:overflowPunct/>
        <w:topLinePunct w:val="0"/>
        <w:autoSpaceDE/>
        <w:autoSpaceDN/>
        <w:bidi w:val="0"/>
        <w:adjustRightInd/>
        <w:snapToGrid/>
        <w:spacing w:line="240" w:lineRule="exact"/>
        <w:ind w:firstLine="641"/>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填报单位：（签字盖章）                                    填报日期：    年   月   日</w:t>
      </w:r>
    </w:p>
    <w:tbl>
      <w:tblPr>
        <w:tblStyle w:val="11"/>
        <w:tblpPr w:leftFromText="180" w:rightFromText="180" w:vertAnchor="text" w:horzAnchor="page" w:tblpX="1513" w:tblpY="494"/>
        <w:tblOverlap w:val="never"/>
        <w:tblW w:w="14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2"/>
        <w:gridCol w:w="2023"/>
        <w:gridCol w:w="2193"/>
        <w:gridCol w:w="1992"/>
        <w:gridCol w:w="2239"/>
        <w:gridCol w:w="213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9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检查机构数</w:t>
            </w:r>
          </w:p>
        </w:tc>
        <w:tc>
          <w:tcPr>
            <w:tcW w:w="421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自建房安全</w:t>
            </w:r>
          </w:p>
        </w:tc>
        <w:tc>
          <w:tcPr>
            <w:tcW w:w="423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燃气安全</w:t>
            </w:r>
          </w:p>
        </w:tc>
        <w:tc>
          <w:tcPr>
            <w:tcW w:w="433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消防安全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9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p>
        </w:tc>
        <w:tc>
          <w:tcPr>
            <w:tcW w:w="20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发现隐患数</w:t>
            </w:r>
          </w:p>
        </w:tc>
        <w:tc>
          <w:tcPr>
            <w:tcW w:w="219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完成整改数</w:t>
            </w:r>
          </w:p>
        </w:tc>
        <w:tc>
          <w:tcPr>
            <w:tcW w:w="19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发现隐患数</w:t>
            </w:r>
          </w:p>
        </w:tc>
        <w:tc>
          <w:tcPr>
            <w:tcW w:w="22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完成整改数</w:t>
            </w:r>
          </w:p>
        </w:tc>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发现隐患数</w:t>
            </w:r>
          </w:p>
        </w:tc>
        <w:tc>
          <w:tcPr>
            <w:tcW w:w="220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K" w:hAnsi="方正楷体_GBK" w:eastAsia="方正楷体_GBK" w:cs="方正楷体_GBK"/>
                <w:sz w:val="24"/>
                <w:szCs w:val="24"/>
                <w:vertAlign w:val="baseline"/>
                <w:lang w:val="en-US" w:eastAsia="zh-CN"/>
              </w:rPr>
            </w:pPr>
            <w:r>
              <w:rPr>
                <w:rFonts w:hint="eastAsia" w:ascii="方正楷体_GBK" w:hAnsi="方正楷体_GBK" w:eastAsia="方正楷体_GBK" w:cs="方正楷体_GBK"/>
                <w:sz w:val="24"/>
                <w:szCs w:val="24"/>
                <w:vertAlign w:val="baseline"/>
                <w:lang w:val="en-US" w:eastAsia="zh-CN"/>
              </w:rPr>
              <w:t>完成整改数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92" w:type="dxa"/>
            <w:vAlign w:val="center"/>
          </w:tcPr>
          <w:p>
            <w:pPr>
              <w:spacing w:line="580" w:lineRule="exact"/>
              <w:jc w:val="center"/>
              <w:rPr>
                <w:rFonts w:hint="eastAsia" w:ascii="方正楷体_GBK" w:hAnsi="方正楷体_GBK" w:eastAsia="方正楷体_GBK" w:cs="方正楷体_GBK"/>
                <w:sz w:val="24"/>
                <w:szCs w:val="24"/>
                <w:vertAlign w:val="baseline"/>
                <w:lang w:val="en-US" w:eastAsia="zh-CN"/>
              </w:rPr>
            </w:pPr>
          </w:p>
        </w:tc>
        <w:tc>
          <w:tcPr>
            <w:tcW w:w="2023" w:type="dxa"/>
            <w:vAlign w:val="center"/>
          </w:tcPr>
          <w:p>
            <w:pPr>
              <w:spacing w:line="580" w:lineRule="exact"/>
              <w:jc w:val="center"/>
              <w:rPr>
                <w:rFonts w:hint="eastAsia" w:ascii="方正楷体_GBK" w:hAnsi="方正楷体_GBK" w:eastAsia="方正楷体_GBK" w:cs="方正楷体_GBK"/>
                <w:sz w:val="24"/>
                <w:szCs w:val="24"/>
                <w:vertAlign w:val="baseline"/>
                <w:lang w:val="en-US" w:eastAsia="zh-CN"/>
              </w:rPr>
            </w:pPr>
          </w:p>
        </w:tc>
        <w:tc>
          <w:tcPr>
            <w:tcW w:w="2193" w:type="dxa"/>
            <w:vAlign w:val="center"/>
          </w:tcPr>
          <w:p>
            <w:pPr>
              <w:spacing w:line="580" w:lineRule="exact"/>
              <w:jc w:val="center"/>
              <w:rPr>
                <w:rFonts w:hint="eastAsia" w:ascii="方正楷体_GBK" w:hAnsi="方正楷体_GBK" w:eastAsia="方正楷体_GBK" w:cs="方正楷体_GBK"/>
                <w:sz w:val="24"/>
                <w:szCs w:val="24"/>
                <w:vertAlign w:val="baseline"/>
                <w:lang w:val="en-US" w:eastAsia="zh-CN"/>
              </w:rPr>
            </w:pPr>
          </w:p>
        </w:tc>
        <w:tc>
          <w:tcPr>
            <w:tcW w:w="1992" w:type="dxa"/>
            <w:vAlign w:val="center"/>
          </w:tcPr>
          <w:p>
            <w:pPr>
              <w:spacing w:line="580" w:lineRule="exact"/>
              <w:jc w:val="center"/>
              <w:rPr>
                <w:rFonts w:hint="eastAsia" w:ascii="方正楷体_GBK" w:hAnsi="方正楷体_GBK" w:eastAsia="方正楷体_GBK" w:cs="方正楷体_GBK"/>
                <w:sz w:val="24"/>
                <w:szCs w:val="24"/>
                <w:vertAlign w:val="baseline"/>
                <w:lang w:val="en-US" w:eastAsia="zh-CN"/>
              </w:rPr>
            </w:pPr>
          </w:p>
        </w:tc>
        <w:tc>
          <w:tcPr>
            <w:tcW w:w="2239" w:type="dxa"/>
            <w:vAlign w:val="center"/>
          </w:tcPr>
          <w:p>
            <w:pPr>
              <w:spacing w:line="580" w:lineRule="exact"/>
              <w:jc w:val="center"/>
              <w:rPr>
                <w:rFonts w:hint="eastAsia" w:ascii="方正楷体_GBK" w:hAnsi="方正楷体_GBK" w:eastAsia="方正楷体_GBK" w:cs="方正楷体_GBK"/>
                <w:sz w:val="24"/>
                <w:szCs w:val="24"/>
                <w:vertAlign w:val="baseline"/>
                <w:lang w:val="en-US" w:eastAsia="zh-CN"/>
              </w:rPr>
            </w:pPr>
          </w:p>
        </w:tc>
        <w:tc>
          <w:tcPr>
            <w:tcW w:w="2130" w:type="dxa"/>
            <w:vAlign w:val="center"/>
          </w:tcPr>
          <w:p>
            <w:pPr>
              <w:spacing w:line="580" w:lineRule="exact"/>
              <w:jc w:val="center"/>
              <w:rPr>
                <w:rFonts w:hint="eastAsia" w:ascii="方正楷体_GBK" w:hAnsi="方正楷体_GBK" w:eastAsia="方正楷体_GBK" w:cs="方正楷体_GBK"/>
                <w:sz w:val="24"/>
                <w:szCs w:val="24"/>
                <w:vertAlign w:val="baseline"/>
                <w:lang w:val="en-US" w:eastAsia="zh-CN"/>
              </w:rPr>
            </w:pPr>
          </w:p>
        </w:tc>
        <w:tc>
          <w:tcPr>
            <w:tcW w:w="2209" w:type="dxa"/>
            <w:vAlign w:val="center"/>
          </w:tcPr>
          <w:p>
            <w:pPr>
              <w:spacing w:line="580" w:lineRule="exact"/>
              <w:jc w:val="center"/>
              <w:rPr>
                <w:rFonts w:hint="eastAsia" w:ascii="方正楷体_GBK" w:hAnsi="方正楷体_GBK" w:eastAsia="方正楷体_GBK" w:cs="方正楷体_GBK"/>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92"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023"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193"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1992"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239"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130"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209"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692"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023"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193"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1992"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239"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130"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c>
          <w:tcPr>
            <w:tcW w:w="2209" w:type="dxa"/>
            <w:vAlign w:val="center"/>
          </w:tcPr>
          <w:p>
            <w:pPr>
              <w:spacing w:line="580" w:lineRule="exact"/>
              <w:jc w:val="center"/>
              <w:rPr>
                <w:rFonts w:hint="eastAsia" w:ascii="方正楷体_GBK" w:hAnsi="方正楷体_GBK" w:eastAsia="方正楷体_GBK" w:cs="方正楷体_GBK"/>
                <w:sz w:val="32"/>
                <w:szCs w:val="32"/>
                <w:vertAlign w:val="baseline"/>
                <w:lang w:val="en-US" w:eastAsia="zh-CN"/>
              </w:rPr>
            </w:pPr>
          </w:p>
        </w:tc>
      </w:tr>
    </w:tbl>
    <w:p>
      <w:pPr>
        <w:spacing w:line="580" w:lineRule="exact"/>
        <w:jc w:val="center"/>
        <w:rPr>
          <w:rFonts w:hint="default" w:ascii="方正黑体_GBK" w:hAnsi="方正黑体_GBK" w:eastAsia="方正黑体_GBK" w:cs="方正黑体_GBK"/>
          <w:sz w:val="11"/>
          <w:szCs w:val="11"/>
          <w:lang w:val="en-US" w:eastAsia="zh-CN"/>
        </w:rPr>
      </w:pPr>
    </w:p>
    <w:p>
      <w:pPr>
        <w:pStyle w:val="5"/>
        <w:ind w:left="0" w:leftChars="0" w:firstLine="0" w:firstLineChars="0"/>
        <w:rPr>
          <w:rFonts w:hint="default"/>
          <w:lang w:val="en-US" w:eastAsia="zh-CN"/>
        </w:rPr>
      </w:pPr>
    </w:p>
    <w:p>
      <w:pPr>
        <w:pStyle w:val="5"/>
        <w:rPr>
          <w:rFonts w:hint="default"/>
          <w:lang w:val="en-US" w:eastAsia="zh-CN"/>
        </w:rPr>
      </w:pPr>
    </w:p>
    <w:p>
      <w:pPr>
        <w:pStyle w:val="5"/>
        <w:ind w:left="0" w:leftChars="0" w:firstLine="0" w:firstLineChars="0"/>
        <w:rPr>
          <w:rFonts w:hint="default"/>
          <w:lang w:val="en-US" w:eastAsia="zh-CN"/>
        </w:rPr>
      </w:pPr>
    </w:p>
    <w:sectPr>
      <w:pgSz w:w="16838" w:h="11906" w:orient="landscape"/>
      <w:pgMar w:top="1587" w:right="1984" w:bottom="1474" w:left="181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F971F6"/>
    <w:multiLevelType w:val="singleLevel"/>
    <w:tmpl w:val="E3F971F6"/>
    <w:lvl w:ilvl="0" w:tentative="0">
      <w:start w:val="1"/>
      <w:numFmt w:val="decimal"/>
      <w:suff w:val="space"/>
      <w:lvlText w:val="%1."/>
      <w:lvlJc w:val="left"/>
    </w:lvl>
  </w:abstractNum>
  <w:abstractNum w:abstractNumId="1">
    <w:nsid w:val="4A77562D"/>
    <w:multiLevelType w:val="singleLevel"/>
    <w:tmpl w:val="4A77562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lZjliZWFlZjllNGU4ZjhmODE4Njc1MDM4MjRiYjQifQ=="/>
  </w:docVars>
  <w:rsids>
    <w:rsidRoot w:val="28C831FB"/>
    <w:rsid w:val="001A194C"/>
    <w:rsid w:val="02754B9D"/>
    <w:rsid w:val="03BA1A9E"/>
    <w:rsid w:val="04036EE5"/>
    <w:rsid w:val="04160396"/>
    <w:rsid w:val="05D35518"/>
    <w:rsid w:val="06963E6C"/>
    <w:rsid w:val="09736EBA"/>
    <w:rsid w:val="09CF5081"/>
    <w:rsid w:val="0C3D63BD"/>
    <w:rsid w:val="0CA373EB"/>
    <w:rsid w:val="0CDB733A"/>
    <w:rsid w:val="0E141C11"/>
    <w:rsid w:val="0EA10E27"/>
    <w:rsid w:val="10097DA3"/>
    <w:rsid w:val="10473157"/>
    <w:rsid w:val="11DD024B"/>
    <w:rsid w:val="175F2179"/>
    <w:rsid w:val="193052BC"/>
    <w:rsid w:val="1C184431"/>
    <w:rsid w:val="1C8513C5"/>
    <w:rsid w:val="1C8A485F"/>
    <w:rsid w:val="1DB96250"/>
    <w:rsid w:val="1E7159F1"/>
    <w:rsid w:val="23096FC7"/>
    <w:rsid w:val="23B57A7E"/>
    <w:rsid w:val="248113C6"/>
    <w:rsid w:val="24B77143"/>
    <w:rsid w:val="24F55F76"/>
    <w:rsid w:val="24F759AB"/>
    <w:rsid w:val="28C831FB"/>
    <w:rsid w:val="291D2265"/>
    <w:rsid w:val="2C16579E"/>
    <w:rsid w:val="2DD217B8"/>
    <w:rsid w:val="2E4F6E54"/>
    <w:rsid w:val="305D69EA"/>
    <w:rsid w:val="30C5043D"/>
    <w:rsid w:val="315E4FE9"/>
    <w:rsid w:val="32741C40"/>
    <w:rsid w:val="32D23173"/>
    <w:rsid w:val="339C618A"/>
    <w:rsid w:val="341336BD"/>
    <w:rsid w:val="364D565A"/>
    <w:rsid w:val="38021B5F"/>
    <w:rsid w:val="38B6393D"/>
    <w:rsid w:val="3A563E91"/>
    <w:rsid w:val="3B511ADF"/>
    <w:rsid w:val="3EE37DED"/>
    <w:rsid w:val="3F1F0BC4"/>
    <w:rsid w:val="3F2C5D6F"/>
    <w:rsid w:val="3F3E1E72"/>
    <w:rsid w:val="44E67F13"/>
    <w:rsid w:val="45405B78"/>
    <w:rsid w:val="47AB2CC0"/>
    <w:rsid w:val="480C7B3F"/>
    <w:rsid w:val="48502E50"/>
    <w:rsid w:val="495F3E22"/>
    <w:rsid w:val="4CA87909"/>
    <w:rsid w:val="4D6E47C1"/>
    <w:rsid w:val="4FFE1084"/>
    <w:rsid w:val="508628CC"/>
    <w:rsid w:val="518C6698"/>
    <w:rsid w:val="53341056"/>
    <w:rsid w:val="5545722B"/>
    <w:rsid w:val="59B0379B"/>
    <w:rsid w:val="59B9081A"/>
    <w:rsid w:val="5AB462DC"/>
    <w:rsid w:val="5BEF05B4"/>
    <w:rsid w:val="5C6645B1"/>
    <w:rsid w:val="5D755446"/>
    <w:rsid w:val="603E32C0"/>
    <w:rsid w:val="60B37665"/>
    <w:rsid w:val="613E1478"/>
    <w:rsid w:val="61D24827"/>
    <w:rsid w:val="62805827"/>
    <w:rsid w:val="628C5434"/>
    <w:rsid w:val="65583040"/>
    <w:rsid w:val="65DB18F7"/>
    <w:rsid w:val="671E0E08"/>
    <w:rsid w:val="68596984"/>
    <w:rsid w:val="68780458"/>
    <w:rsid w:val="68E86B28"/>
    <w:rsid w:val="697952E5"/>
    <w:rsid w:val="6AA6719E"/>
    <w:rsid w:val="6B871411"/>
    <w:rsid w:val="6D821C45"/>
    <w:rsid w:val="6FEC7F36"/>
    <w:rsid w:val="70BD5C81"/>
    <w:rsid w:val="71327C95"/>
    <w:rsid w:val="73913644"/>
    <w:rsid w:val="746D2BDE"/>
    <w:rsid w:val="7749153D"/>
    <w:rsid w:val="780444F0"/>
    <w:rsid w:val="7B980EE8"/>
    <w:rsid w:val="7BD50EF8"/>
    <w:rsid w:val="7D4D65A6"/>
    <w:rsid w:val="7D7276E2"/>
    <w:rsid w:val="7EA12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overflowPunct/>
      <w:autoSpaceDE/>
      <w:snapToGrid/>
      <w:spacing w:after="120" w:line="240" w:lineRule="auto"/>
      <w:ind w:left="420" w:leftChars="200" w:firstLine="420"/>
    </w:pPr>
    <w:rPr>
      <w:rFonts w:ascii="Calibri" w:hAnsi="Calibri" w:eastAsia="宋体"/>
      <w:sz w:val="21"/>
      <w:szCs w:val="24"/>
    </w:rPr>
  </w:style>
  <w:style w:type="paragraph" w:styleId="3">
    <w:name w:val="Body Text Indent"/>
    <w:basedOn w:val="1"/>
    <w:next w:val="4"/>
    <w:qFormat/>
    <w:uiPriority w:val="0"/>
    <w:pPr>
      <w:autoSpaceDE w:val="0"/>
      <w:spacing w:line="500" w:lineRule="exact"/>
      <w:ind w:firstLine="630"/>
    </w:pPr>
    <w:rPr>
      <w:rFonts w:ascii="仿宋_GB2312"/>
      <w:spacing w:val="-6"/>
    </w:rPr>
  </w:style>
  <w:style w:type="paragraph" w:styleId="4">
    <w:name w:val="Normal Indent"/>
    <w:basedOn w:val="1"/>
    <w:next w:val="1"/>
    <w:qFormat/>
    <w:uiPriority w:val="99"/>
    <w:pPr>
      <w:ind w:firstLine="420"/>
    </w:pPr>
  </w:style>
  <w:style w:type="paragraph" w:styleId="5">
    <w:name w:val="Body Text First Indent"/>
    <w:basedOn w:val="6"/>
    <w:next w:val="6"/>
    <w:qFormat/>
    <w:uiPriority w:val="0"/>
    <w:pPr>
      <w:ind w:firstLine="420" w:firstLineChars="100"/>
    </w:pPr>
    <w:rPr>
      <w:szCs w:val="24"/>
    </w:rPr>
  </w:style>
  <w:style w:type="paragraph" w:styleId="6">
    <w:name w:val="Body Text"/>
    <w:basedOn w:val="1"/>
    <w:next w:val="5"/>
    <w:qFormat/>
    <w:uiPriority w:val="0"/>
    <w:pPr>
      <w:overflowPunct/>
      <w:snapToGrid/>
      <w:spacing w:after="120" w:line="240" w:lineRule="auto"/>
      <w:ind w:firstLine="0" w:firstLineChars="0"/>
    </w:pPr>
    <w:rPr>
      <w:rFonts w:ascii="Calibri" w:hAnsi="Calibri" w:eastAsia="宋体"/>
      <w:sz w:val="21"/>
      <w:szCs w:val="2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3998</Words>
  <Characters>4055</Characters>
  <Lines>0</Lines>
  <Paragraphs>0</Paragraphs>
  <TotalTime>16</TotalTime>
  <ScaleCrop>false</ScaleCrop>
  <LinksUpToDate>false</LinksUpToDate>
  <CharactersWithSpaces>4070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2021-06-07T02:23:00Z</dcterms:created>
  <dc:creator>Administrator</dc:creator>
  <cp:lastModifiedBy>王英</cp:lastModifiedBy>
  <cp:lastPrinted>2022-07-13T08:52:00Z</cp:lastPrinted>
  <dcterms:modified xsi:type="dcterms:W3CDTF">2022-07-26T03:36:12Z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9404525567B34E32A79F4356BC0EDBDB</vt:lpwstr>
  </property>
  <property fmtid="{D5CDD505-2E9C-101B-9397-08002B2CF9AE}" pid="4" name="KSOSaveFontToCloudKey">
    <vt:lpwstr>783138467_cloud</vt:lpwstr>
  </property>
</Properties>
</file>