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horzAnchor="margin" w:tblpXSpec="center" w:tblpYSpec="top"/>
        <w:tblOverlap w:val="never"/>
        <w:tblW w:w="8844" w:type="dxa"/>
        <w:tblInd w:w="0" w:type="dxa"/>
        <w:tblLayout w:type="fixed"/>
        <w:tblCellMar>
          <w:top w:w="0" w:type="dxa"/>
          <w:left w:w="108" w:type="dxa"/>
          <w:bottom w:w="0" w:type="dxa"/>
          <w:right w:w="108" w:type="dxa"/>
        </w:tblCellMar>
      </w:tblPr>
      <w:tblGrid>
        <w:gridCol w:w="8844"/>
      </w:tblGrid>
      <w:tr>
        <w:tblPrEx>
          <w:tblCellMar>
            <w:top w:w="0" w:type="dxa"/>
            <w:left w:w="108" w:type="dxa"/>
            <w:bottom w:w="0" w:type="dxa"/>
            <w:right w:w="108" w:type="dxa"/>
          </w:tblCellMar>
        </w:tblPrEx>
        <w:tc>
          <w:tcPr>
            <w:tcW w:w="8844" w:type="dxa"/>
            <w:tcMar>
              <w:top w:w="0" w:type="dxa"/>
              <w:left w:w="0" w:type="dxa"/>
              <w:bottom w:w="0" w:type="dxa"/>
              <w:right w:w="0" w:type="dxa"/>
            </w:tcMar>
          </w:tcPr>
          <w:p>
            <w:pPr>
              <w:pStyle w:val="7"/>
              <w:spacing w:before="120" w:after="300" w:line="1300" w:lineRule="atLeast"/>
              <w:rPr>
                <w:rFonts w:ascii="Times New Roman" w:eastAsia="方正小标宋_GBK"/>
                <w:b w:val="0"/>
                <w:kern w:val="2"/>
                <w:sz w:val="130"/>
                <w:szCs w:val="130"/>
              </w:rPr>
            </w:pPr>
            <w:r>
              <w:rPr>
                <w:rFonts w:hint="eastAsia" w:ascii="Times New Roman" w:eastAsia="方正小标宋_GBK"/>
                <w:b w:val="0"/>
                <w:kern w:val="2"/>
                <w:sz w:val="130"/>
                <w:szCs w:val="130"/>
              </w:rPr>
              <w:t xml:space="preserve"> </w:t>
            </w:r>
          </w:p>
        </w:tc>
      </w:tr>
      <w:tr>
        <w:tblPrEx>
          <w:tblCellMar>
            <w:top w:w="0" w:type="dxa"/>
            <w:left w:w="108" w:type="dxa"/>
            <w:bottom w:w="0" w:type="dxa"/>
            <w:right w:w="108" w:type="dxa"/>
          </w:tblCellMar>
        </w:tblPrEx>
        <w:tc>
          <w:tcPr>
            <w:tcW w:w="8844" w:type="dxa"/>
            <w:tcMar>
              <w:top w:w="0" w:type="dxa"/>
              <w:left w:w="0" w:type="dxa"/>
              <w:bottom w:w="0" w:type="dxa"/>
              <w:right w:w="0" w:type="dxa"/>
            </w:tcMar>
          </w:tcPr>
          <w:p>
            <w:pPr>
              <w:tabs>
                <w:tab w:val="left" w:pos="8364"/>
              </w:tabs>
              <w:jc w:val="center"/>
              <w:rPr>
                <w:sz w:val="32"/>
                <w:szCs w:val="32"/>
              </w:rPr>
            </w:pPr>
            <w:r>
              <w:rPr>
                <w:rFonts w:hint="eastAsia" w:ascii="仿宋_GB2312" w:eastAsia="仿宋_GB2312"/>
                <w:sz w:val="32"/>
                <w:szCs w:val="32"/>
              </w:rPr>
              <w:t>启民发〔2022〕</w:t>
            </w:r>
            <w:r>
              <w:rPr>
                <w:rFonts w:hint="eastAsia" w:ascii="仿宋_GB2312" w:eastAsia="仿宋_GB2312"/>
                <w:sz w:val="32"/>
                <w:szCs w:val="32"/>
                <w:lang w:val="en-US" w:eastAsia="zh-CN"/>
              </w:rPr>
              <w:t>151</w:t>
            </w:r>
            <w:bookmarkStart w:id="0" w:name="_GoBack"/>
            <w:bookmarkEnd w:id="0"/>
            <w:r>
              <w:rPr>
                <w:rFonts w:hint="eastAsia" w:ascii="仿宋_GB2312" w:eastAsia="仿宋_GB2312"/>
                <w:sz w:val="32"/>
                <w:szCs w:val="32"/>
              </w:rPr>
              <w:t xml:space="preserve"> 号</w:t>
            </w:r>
          </w:p>
        </w:tc>
      </w:tr>
      <w:tr>
        <w:tblPrEx>
          <w:tblCellMar>
            <w:top w:w="0" w:type="dxa"/>
            <w:left w:w="108" w:type="dxa"/>
            <w:bottom w:w="0" w:type="dxa"/>
            <w:right w:w="108" w:type="dxa"/>
          </w:tblCellMar>
        </w:tblPrEx>
        <w:tc>
          <w:tcPr>
            <w:tcW w:w="8844" w:type="dxa"/>
            <w:tcMar>
              <w:top w:w="0" w:type="dxa"/>
              <w:left w:w="0" w:type="dxa"/>
              <w:bottom w:w="0" w:type="dxa"/>
              <w:right w:w="0" w:type="dxa"/>
            </w:tcMar>
          </w:tcPr>
          <w:p>
            <w:pPr>
              <w:pStyle w:val="8"/>
              <w:spacing w:after="840" w:line="100" w:lineRule="atLeast"/>
              <w:ind w:left="-57" w:right="-57"/>
              <w:rPr>
                <w:rFonts w:ascii="Times New Roman"/>
                <w:kern w:val="2"/>
              </w:rPr>
            </w:pPr>
          </w:p>
        </w:tc>
      </w:tr>
    </w:tbl>
    <w:p>
      <w:pPr>
        <w:spacing w:line="566" w:lineRule="exact"/>
        <w:jc w:val="center"/>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关于进一步加强困境儿童精准保障工作的通知</w:t>
      </w:r>
    </w:p>
    <w:p>
      <w:pPr>
        <w:spacing w:line="566" w:lineRule="exact"/>
        <w:jc w:val="center"/>
        <w:rPr>
          <w:rFonts w:ascii="Times New Roman" w:hAnsi="Times New Roman" w:eastAsia="方正小标宋_GBK" w:cs="Times New Roman"/>
          <w:color w:val="000000"/>
          <w:sz w:val="44"/>
          <w:szCs w:val="44"/>
        </w:rPr>
      </w:pPr>
    </w:p>
    <w:p>
      <w:pPr>
        <w:rPr>
          <w:rFonts w:ascii="仿宋" w:hAnsi="仿宋" w:eastAsia="仿宋"/>
          <w:sz w:val="32"/>
          <w:szCs w:val="32"/>
        </w:rPr>
      </w:pPr>
      <w:r>
        <w:rPr>
          <w:rFonts w:hint="eastAsia" w:ascii="仿宋" w:hAnsi="仿宋" w:eastAsia="仿宋"/>
          <w:sz w:val="32"/>
          <w:szCs w:val="32"/>
        </w:rPr>
        <w:t>各镇人民政府、园区管委会、街道办事处：</w:t>
      </w:r>
    </w:p>
    <w:p>
      <w:pPr>
        <w:widowControl/>
        <w:ind w:firstLine="640" w:firstLineChars="200"/>
        <w:jc w:val="left"/>
        <w:rPr>
          <w:rFonts w:ascii="仿宋" w:hAnsi="仿宋" w:eastAsia="仿宋"/>
          <w:sz w:val="32"/>
          <w:szCs w:val="32"/>
        </w:rPr>
      </w:pPr>
      <w:r>
        <w:rPr>
          <w:rFonts w:hint="eastAsia" w:ascii="仿宋" w:hAnsi="仿宋" w:eastAsia="仿宋"/>
          <w:sz w:val="32"/>
          <w:szCs w:val="32"/>
        </w:rPr>
        <w:t>为切实有效推进</w:t>
      </w:r>
      <w:r>
        <w:rPr>
          <w:rFonts w:hint="eastAsia" w:ascii="仿宋_GB2312" w:hAnsi="仿宋_GB2312" w:eastAsia="仿宋_GB2312" w:cs="仿宋_GB2312"/>
          <w:bCs/>
          <w:sz w:val="32"/>
          <w:szCs w:val="32"/>
        </w:rPr>
        <w:t>《关于做好困境儿童分类保障制度有关工作的通知》（启民发〔2018〕66号）、《关于贯彻落实进一步加强事实无人抚养儿童保障工作实施意见的通知》（启民发〔2020〕43号）政策落地</w:t>
      </w:r>
      <w:r>
        <w:rPr>
          <w:rFonts w:hint="eastAsia" w:ascii="仿宋" w:hAnsi="仿宋" w:eastAsia="仿宋"/>
          <w:sz w:val="32"/>
          <w:szCs w:val="32"/>
        </w:rPr>
        <w:t>，扎实做好我市困境儿童保障工作，现就加强困境儿童精准保障工作</w:t>
      </w:r>
      <w:r>
        <w:rPr>
          <w:rFonts w:ascii="仿宋" w:hAnsi="仿宋" w:eastAsia="仿宋"/>
          <w:sz w:val="32"/>
          <w:szCs w:val="32"/>
        </w:rPr>
        <w:t>通知如下：</w:t>
      </w:r>
    </w:p>
    <w:p>
      <w:pPr>
        <w:widowControl/>
        <w:numPr>
          <w:ilvl w:val="0"/>
          <w:numId w:val="1"/>
        </w:numPr>
        <w:ind w:firstLine="640" w:firstLineChars="200"/>
        <w:jc w:val="left"/>
        <w:rPr>
          <w:rFonts w:ascii="仿宋" w:hAnsi="仿宋" w:eastAsia="仿宋"/>
          <w:sz w:val="32"/>
          <w:szCs w:val="32"/>
        </w:rPr>
      </w:pPr>
      <w:r>
        <w:rPr>
          <w:rFonts w:hint="eastAsia" w:ascii="黑体" w:hAnsi="黑体" w:eastAsia="黑体" w:cs="黑体"/>
          <w:sz w:val="32"/>
          <w:szCs w:val="32"/>
        </w:rPr>
        <w:t>要高度重视。</w:t>
      </w:r>
      <w:r>
        <w:rPr>
          <w:rFonts w:hint="eastAsia" w:ascii="仿宋" w:hAnsi="仿宋" w:eastAsia="仿宋"/>
          <w:sz w:val="32"/>
          <w:szCs w:val="32"/>
        </w:rPr>
        <w:t>镇（街道、园区）</w:t>
      </w:r>
      <w:r>
        <w:rPr>
          <w:rFonts w:ascii="仿宋" w:hAnsi="仿宋" w:eastAsia="仿宋"/>
          <w:sz w:val="32"/>
          <w:szCs w:val="32"/>
        </w:rPr>
        <w:t>要高度重视</w:t>
      </w:r>
      <w:r>
        <w:rPr>
          <w:rFonts w:hint="eastAsia" w:ascii="仿宋" w:hAnsi="仿宋" w:eastAsia="仿宋"/>
          <w:sz w:val="32"/>
          <w:szCs w:val="32"/>
        </w:rPr>
        <w:t>困境</w:t>
      </w:r>
      <w:r>
        <w:rPr>
          <w:rFonts w:ascii="仿宋" w:hAnsi="仿宋" w:eastAsia="仿宋"/>
          <w:sz w:val="32"/>
          <w:szCs w:val="32"/>
        </w:rPr>
        <w:t>儿童精准保障工作，准确把握儿童福利有关文件精神，把好事做好、实事做实，真正把党的温暖送到每一名符合条件的孩子身上。</w:t>
      </w:r>
    </w:p>
    <w:p>
      <w:pPr>
        <w:widowControl/>
        <w:numPr>
          <w:ilvl w:val="0"/>
          <w:numId w:val="1"/>
        </w:numPr>
        <w:ind w:firstLine="640" w:firstLineChars="200"/>
        <w:jc w:val="left"/>
        <w:rPr>
          <w:rFonts w:ascii="仿宋" w:hAnsi="仿宋" w:eastAsia="仿宋"/>
          <w:sz w:val="32"/>
          <w:szCs w:val="32"/>
        </w:rPr>
      </w:pPr>
      <w:r>
        <w:rPr>
          <w:rFonts w:hint="eastAsia" w:ascii="黑体" w:hAnsi="黑体" w:eastAsia="黑体" w:cs="黑体"/>
          <w:sz w:val="32"/>
          <w:szCs w:val="32"/>
        </w:rPr>
        <w:t>要应保尽保。</w:t>
      </w:r>
      <w:r>
        <w:rPr>
          <w:rFonts w:ascii="仿宋" w:hAnsi="仿宋" w:eastAsia="仿宋"/>
          <w:sz w:val="32"/>
          <w:szCs w:val="32"/>
        </w:rPr>
        <w:t>进一步加大政策宣传力度，使社会各界广泛了解党和政府的爱民之心、惠民之举，帮助</w:t>
      </w:r>
      <w:r>
        <w:rPr>
          <w:rFonts w:hint="eastAsia" w:ascii="仿宋" w:hAnsi="仿宋" w:eastAsia="仿宋"/>
          <w:sz w:val="32"/>
          <w:szCs w:val="32"/>
        </w:rPr>
        <w:t>困境</w:t>
      </w:r>
      <w:r>
        <w:rPr>
          <w:rFonts w:ascii="仿宋" w:hAnsi="仿宋" w:eastAsia="仿宋"/>
          <w:sz w:val="32"/>
          <w:szCs w:val="32"/>
        </w:rPr>
        <w:t>儿童及其监护人准确知晓保障对象范围、补助标准和申请程序。加强基层工作人员使命感和责任感，积极参加工作培训，让儿童督导员、儿童主任了解政策、熟悉政策，主动帮助符合条件的儿童及家庭申请保障，做到应保尽保、不漏一人，坚决防止因保障不到位而引发问题。对于不符合条件的，要耐心做好政策解释，引导群众申请符合自身条件的相关保障政策或慈善帮扶资源。</w:t>
      </w:r>
    </w:p>
    <w:p>
      <w:pPr>
        <w:widowControl/>
        <w:numPr>
          <w:ilvl w:val="0"/>
          <w:numId w:val="1"/>
        </w:numPr>
        <w:ind w:firstLine="640" w:firstLineChars="200"/>
        <w:jc w:val="left"/>
        <w:rPr>
          <w:rFonts w:ascii="仿宋" w:hAnsi="仿宋" w:eastAsia="仿宋"/>
          <w:sz w:val="32"/>
          <w:szCs w:val="32"/>
        </w:rPr>
      </w:pPr>
      <w:r>
        <w:rPr>
          <w:rFonts w:hint="eastAsia" w:ascii="黑体" w:hAnsi="黑体" w:eastAsia="黑体" w:cs="黑体"/>
          <w:sz w:val="32"/>
          <w:szCs w:val="32"/>
        </w:rPr>
        <w:t>要动态管理。</w:t>
      </w:r>
      <w:r>
        <w:rPr>
          <w:rFonts w:ascii="仿宋" w:hAnsi="仿宋" w:eastAsia="仿宋"/>
          <w:sz w:val="32"/>
          <w:szCs w:val="32"/>
        </w:rPr>
        <w:t>强化监督管理，落实退出机制，</w:t>
      </w:r>
      <w:r>
        <w:rPr>
          <w:rFonts w:hint="eastAsia" w:ascii="仿宋" w:hAnsi="仿宋" w:eastAsia="仿宋"/>
          <w:bCs/>
          <w:sz w:val="32"/>
          <w:szCs w:val="32"/>
        </w:rPr>
        <w:t>村（居）儿童主任要组织开展信息排查、定期走访</w:t>
      </w:r>
      <w:r>
        <w:rPr>
          <w:rFonts w:hint="eastAsia" w:ascii="仿宋" w:hAnsi="仿宋" w:eastAsia="仿宋"/>
          <w:bCs/>
          <w:sz w:val="32"/>
          <w:szCs w:val="32"/>
          <w:highlight w:val="none"/>
          <w:lang w:eastAsia="zh-CN"/>
        </w:rPr>
        <w:t>，</w:t>
      </w:r>
      <w:r>
        <w:rPr>
          <w:rFonts w:hint="eastAsia" w:ascii="仿宋" w:hAnsi="仿宋" w:eastAsia="仿宋"/>
          <w:bCs/>
          <w:sz w:val="32"/>
          <w:szCs w:val="32"/>
        </w:rPr>
        <w:t>及时掌握困境儿童的生活保障、家庭监护、就学等基本情况。深入调查了解困境儿童保障及困境变化情况</w:t>
      </w:r>
      <w:r>
        <w:rPr>
          <w:rFonts w:hint="eastAsia" w:ascii="仿宋" w:hAnsi="仿宋" w:eastAsia="仿宋"/>
          <w:bCs/>
          <w:sz w:val="32"/>
          <w:szCs w:val="32"/>
          <w:highlight w:val="none"/>
          <w:lang w:eastAsia="zh-CN"/>
        </w:rPr>
        <w:t>，</w:t>
      </w:r>
      <w:r>
        <w:rPr>
          <w:rFonts w:hint="eastAsia" w:ascii="仿宋" w:hAnsi="仿宋" w:eastAsia="仿宋"/>
          <w:bCs/>
          <w:sz w:val="32"/>
          <w:szCs w:val="32"/>
        </w:rPr>
        <w:t>实施动态管理</w:t>
      </w:r>
      <w:r>
        <w:rPr>
          <w:rFonts w:hint="eastAsia" w:ascii="仿宋" w:hAnsi="仿宋" w:eastAsia="仿宋"/>
          <w:bCs/>
          <w:sz w:val="32"/>
          <w:szCs w:val="32"/>
          <w:highlight w:val="none"/>
          <w:lang w:eastAsia="zh-CN"/>
        </w:rPr>
        <w:t>，</w:t>
      </w:r>
      <w:r>
        <w:rPr>
          <w:rFonts w:hint="eastAsia" w:ascii="仿宋" w:hAnsi="仿宋" w:eastAsia="仿宋"/>
          <w:bCs/>
          <w:sz w:val="32"/>
          <w:szCs w:val="32"/>
        </w:rPr>
        <w:t>对不再符合保障条件的</w:t>
      </w:r>
      <w:r>
        <w:rPr>
          <w:rFonts w:hint="eastAsia" w:ascii="仿宋" w:hAnsi="仿宋" w:eastAsia="仿宋"/>
          <w:bCs/>
          <w:sz w:val="32"/>
          <w:szCs w:val="32"/>
          <w:highlight w:val="none"/>
          <w:lang w:eastAsia="zh-CN"/>
        </w:rPr>
        <w:t>，</w:t>
      </w:r>
      <w:r>
        <w:rPr>
          <w:rFonts w:hint="eastAsia" w:ascii="仿宋" w:hAnsi="仿宋" w:eastAsia="仿宋"/>
          <w:bCs/>
          <w:sz w:val="32"/>
          <w:szCs w:val="32"/>
        </w:rPr>
        <w:t>及时调整或终止基本生活费补贴的发放。</w:t>
      </w:r>
    </w:p>
    <w:p>
      <w:pPr>
        <w:widowControl/>
        <w:numPr>
          <w:ilvl w:val="0"/>
          <w:numId w:val="1"/>
        </w:numPr>
        <w:ind w:firstLine="640" w:firstLineChars="200"/>
        <w:jc w:val="left"/>
        <w:rPr>
          <w:rFonts w:ascii="黑体" w:hAnsi="黑体" w:eastAsia="黑体" w:cs="黑体"/>
          <w:sz w:val="32"/>
          <w:szCs w:val="32"/>
        </w:rPr>
      </w:pPr>
      <w:r>
        <w:rPr>
          <w:rFonts w:hint="eastAsia" w:ascii="黑体" w:hAnsi="黑体" w:eastAsia="黑体" w:cs="黑体"/>
          <w:sz w:val="32"/>
          <w:szCs w:val="32"/>
        </w:rPr>
        <w:t>要定期走访。</w:t>
      </w:r>
      <w:r>
        <w:rPr>
          <w:rFonts w:hint="eastAsia" w:ascii="仿宋" w:hAnsi="仿宋" w:eastAsia="仿宋"/>
          <w:bCs/>
          <w:sz w:val="32"/>
          <w:szCs w:val="32"/>
        </w:rPr>
        <w:t>镇（街道、园区）要落实困境儿童定期走访制度，及时掌握困境儿童和监护人动态，定期进行风险</w:t>
      </w:r>
      <w:r>
        <w:rPr>
          <w:rFonts w:hint="eastAsia" w:ascii="仿宋" w:hAnsi="仿宋" w:eastAsia="仿宋"/>
          <w:bCs/>
          <w:sz w:val="32"/>
          <w:szCs w:val="32"/>
          <w:highlight w:val="none"/>
          <w:lang w:eastAsia="zh-CN"/>
        </w:rPr>
        <w:t>等级</w:t>
      </w:r>
      <w:r>
        <w:rPr>
          <w:rFonts w:hint="eastAsia" w:ascii="仿宋" w:hAnsi="仿宋" w:eastAsia="仿宋"/>
          <w:bCs/>
          <w:sz w:val="32"/>
          <w:szCs w:val="32"/>
        </w:rPr>
        <w:t>评估认定。镇（街道、园区）儿童督导员要指导儿童主任对困境儿童的定期走访和重点核查，做好强制报告、转介帮扶等工作。</w:t>
      </w:r>
    </w:p>
    <w:p>
      <w:pPr>
        <w:widowControl/>
        <w:numPr>
          <w:ilvl w:val="0"/>
          <w:numId w:val="1"/>
        </w:numPr>
        <w:ind w:firstLine="640" w:firstLineChars="200"/>
        <w:jc w:val="left"/>
        <w:rPr>
          <w:rFonts w:ascii="仿宋" w:hAnsi="仿宋" w:eastAsia="仿宋"/>
          <w:sz w:val="32"/>
          <w:szCs w:val="32"/>
        </w:rPr>
      </w:pPr>
      <w:r>
        <w:rPr>
          <w:rFonts w:hint="eastAsia" w:ascii="黑体" w:hAnsi="黑体" w:eastAsia="黑体" w:cs="黑体"/>
          <w:sz w:val="32"/>
          <w:szCs w:val="32"/>
        </w:rPr>
        <w:t>要强化资金监管。</w:t>
      </w:r>
      <w:r>
        <w:rPr>
          <w:rFonts w:ascii="仿宋" w:hAnsi="仿宋" w:eastAsia="仿宋"/>
          <w:sz w:val="32"/>
          <w:szCs w:val="32"/>
        </w:rPr>
        <w:t>加强资金发放监管，杜绝发放中出现人为设障、吃拿卡要等问题，积极配合财政、审计等部门加强资金全流程监管，提高资金绩效，防止发生挤占、挪用、冒领、套取等违法违规现象。</w:t>
      </w:r>
    </w:p>
    <w:p>
      <w:pPr>
        <w:widowControl/>
        <w:ind w:firstLine="640" w:firstLineChars="200"/>
        <w:jc w:val="left"/>
        <w:rPr>
          <w:rFonts w:ascii="仿宋" w:hAnsi="仿宋" w:eastAsia="仿宋"/>
          <w:sz w:val="32"/>
          <w:szCs w:val="32"/>
        </w:rPr>
      </w:pPr>
      <w:r>
        <w:rPr>
          <w:rFonts w:hint="eastAsia" w:ascii="黑体" w:hAnsi="黑体" w:eastAsia="黑体" w:cs="黑体"/>
          <w:sz w:val="32"/>
          <w:szCs w:val="32"/>
        </w:rPr>
        <w:t>六、要依法追责问责。</w:t>
      </w:r>
      <w:r>
        <w:rPr>
          <w:rFonts w:ascii="仿宋" w:hAnsi="仿宋" w:eastAsia="仿宋"/>
          <w:sz w:val="32"/>
          <w:szCs w:val="32"/>
        </w:rPr>
        <w:t>坚持对损害</w:t>
      </w:r>
      <w:r>
        <w:rPr>
          <w:rFonts w:hint="eastAsia" w:ascii="仿宋" w:hAnsi="仿宋" w:eastAsia="仿宋"/>
          <w:sz w:val="32"/>
          <w:szCs w:val="32"/>
        </w:rPr>
        <w:t>困境</w:t>
      </w:r>
      <w:r>
        <w:rPr>
          <w:rFonts w:ascii="仿宋" w:hAnsi="仿宋" w:eastAsia="仿宋"/>
          <w:sz w:val="32"/>
          <w:szCs w:val="32"/>
        </w:rPr>
        <w:t>儿童切身利益的行为</w:t>
      </w:r>
      <w:r>
        <w:rPr>
          <w:rFonts w:hint="eastAsia" w:ascii="仿宋" w:hAnsi="仿宋" w:eastAsia="仿宋"/>
          <w:sz w:val="32"/>
          <w:szCs w:val="32"/>
          <w:lang w:eastAsia="zh-CN"/>
        </w:rPr>
        <w:t>“</w:t>
      </w:r>
      <w:r>
        <w:rPr>
          <w:rFonts w:ascii="仿宋" w:hAnsi="仿宋" w:eastAsia="仿宋"/>
          <w:sz w:val="32"/>
          <w:szCs w:val="32"/>
        </w:rPr>
        <w:t>零容忍</w:t>
      </w:r>
      <w:r>
        <w:rPr>
          <w:rFonts w:hint="eastAsia" w:ascii="仿宋" w:hAnsi="仿宋" w:eastAsia="仿宋"/>
          <w:sz w:val="32"/>
          <w:szCs w:val="32"/>
          <w:lang w:eastAsia="zh-CN"/>
        </w:rPr>
        <w:t>”</w:t>
      </w:r>
      <w:r>
        <w:rPr>
          <w:rFonts w:ascii="仿宋" w:hAnsi="仿宋" w:eastAsia="仿宋"/>
          <w:sz w:val="32"/>
          <w:szCs w:val="32"/>
        </w:rPr>
        <w:t>，配合相关部门加大对</w:t>
      </w:r>
      <w:r>
        <w:rPr>
          <w:rFonts w:hint="eastAsia" w:ascii="仿宋" w:hAnsi="仿宋" w:eastAsia="仿宋"/>
          <w:sz w:val="32"/>
          <w:szCs w:val="32"/>
        </w:rPr>
        <w:t>困境</w:t>
      </w:r>
      <w:r>
        <w:rPr>
          <w:rFonts w:ascii="仿宋" w:hAnsi="仿宋" w:eastAsia="仿宋"/>
          <w:sz w:val="32"/>
          <w:szCs w:val="32"/>
        </w:rPr>
        <w:t>儿童发放过程中虚报冒领、截留私分、贪污挪用、吃拿卡要等问题的查处力度，依法追责问</w:t>
      </w:r>
      <w:r>
        <w:rPr>
          <w:rFonts w:hint="eastAsia" w:ascii="仿宋" w:hAnsi="仿宋" w:eastAsia="仿宋"/>
          <w:sz w:val="32"/>
          <w:szCs w:val="32"/>
          <w:lang w:eastAsia="zh-CN"/>
        </w:rPr>
        <w:t>责</w:t>
      </w:r>
      <w:r>
        <w:rPr>
          <w:rFonts w:ascii="仿宋" w:hAnsi="仿宋" w:eastAsia="仿宋"/>
          <w:sz w:val="32"/>
          <w:szCs w:val="32"/>
        </w:rPr>
        <w:t>，对发现的问题线索，及时依规依纪严肃处置。</w:t>
      </w:r>
    </w:p>
    <w:p>
      <w:pPr>
        <w:widowControl/>
        <w:ind w:firstLine="640" w:firstLineChars="200"/>
        <w:jc w:val="left"/>
        <w:rPr>
          <w:rFonts w:ascii="仿宋" w:hAnsi="仿宋" w:eastAsia="仿宋"/>
          <w:sz w:val="32"/>
          <w:szCs w:val="32"/>
        </w:rPr>
      </w:pPr>
      <w:r>
        <w:rPr>
          <w:rFonts w:hint="eastAsia" w:ascii="黑体" w:hAnsi="黑体" w:eastAsia="黑体" w:cs="黑体"/>
          <w:sz w:val="32"/>
          <w:szCs w:val="32"/>
        </w:rPr>
        <w:t>七、要加强信息管理。</w:t>
      </w:r>
      <w:r>
        <w:rPr>
          <w:rFonts w:hint="eastAsia" w:ascii="仿宋" w:hAnsi="仿宋" w:eastAsia="仿宋"/>
          <w:sz w:val="32"/>
          <w:szCs w:val="32"/>
        </w:rPr>
        <w:t>镇（街道、园区）</w:t>
      </w:r>
      <w:r>
        <w:rPr>
          <w:rFonts w:ascii="仿宋" w:hAnsi="仿宋" w:eastAsia="仿宋"/>
          <w:sz w:val="32"/>
          <w:szCs w:val="32"/>
        </w:rPr>
        <w:t>要高度重视信息台账的精细化管理工作，切实加强</w:t>
      </w:r>
      <w:r>
        <w:rPr>
          <w:rFonts w:hint="eastAsia" w:ascii="仿宋" w:hAnsi="仿宋" w:eastAsia="仿宋"/>
          <w:sz w:val="32"/>
          <w:szCs w:val="32"/>
        </w:rPr>
        <w:t>困境</w:t>
      </w:r>
      <w:r>
        <w:rPr>
          <w:rFonts w:ascii="仿宋" w:hAnsi="仿宋" w:eastAsia="仿宋"/>
          <w:sz w:val="32"/>
          <w:szCs w:val="32"/>
        </w:rPr>
        <w:t>儿童保障审批相关材料管理工作。要指定专人负责，做好全国儿童福利信息系统（http://etfl.mca.gov.cn:8001）中</w:t>
      </w:r>
      <w:r>
        <w:rPr>
          <w:rFonts w:hint="eastAsia" w:ascii="仿宋" w:hAnsi="仿宋" w:eastAsia="仿宋"/>
          <w:sz w:val="32"/>
          <w:szCs w:val="32"/>
        </w:rPr>
        <w:t>困境</w:t>
      </w:r>
      <w:r>
        <w:rPr>
          <w:rFonts w:ascii="仿宋" w:hAnsi="仿宋" w:eastAsia="仿宋"/>
          <w:sz w:val="32"/>
          <w:szCs w:val="32"/>
        </w:rPr>
        <w:t>儿童及其他信息模块的数据录入和更新工作，确保信息系统中数据的及时性、准确性、完整性。</w:t>
      </w:r>
      <w:r>
        <w:rPr>
          <w:rFonts w:hint="eastAsia" w:ascii="仿宋" w:hAnsi="仿宋" w:eastAsia="仿宋"/>
          <w:bCs/>
          <w:sz w:val="32"/>
          <w:szCs w:val="32"/>
        </w:rPr>
        <w:t>市民政局对系统内数据进行随机抽查，确保采集到的数据真实准确和有效</w:t>
      </w:r>
      <w:r>
        <w:rPr>
          <w:rFonts w:ascii="仿宋" w:hAnsi="仿宋" w:eastAsia="仿宋"/>
          <w:sz w:val="32"/>
          <w:szCs w:val="32"/>
        </w:rPr>
        <w:t>，信息更新不及时或填报不精准的</w:t>
      </w:r>
      <w:r>
        <w:rPr>
          <w:rFonts w:hint="eastAsia" w:ascii="仿宋" w:hAnsi="仿宋" w:eastAsia="仿宋"/>
          <w:sz w:val="32"/>
          <w:szCs w:val="32"/>
        </w:rPr>
        <w:t>镇（街道、园区）</w:t>
      </w:r>
      <w:r>
        <w:rPr>
          <w:rFonts w:ascii="仿宋" w:hAnsi="仿宋" w:eastAsia="仿宋"/>
          <w:sz w:val="32"/>
          <w:szCs w:val="32"/>
        </w:rPr>
        <w:t>，</w:t>
      </w:r>
      <w:r>
        <w:rPr>
          <w:rFonts w:hint="eastAsia" w:ascii="仿宋" w:hAnsi="仿宋" w:eastAsia="仿宋"/>
          <w:sz w:val="32"/>
          <w:szCs w:val="32"/>
        </w:rPr>
        <w:t>市</w:t>
      </w:r>
      <w:r>
        <w:rPr>
          <w:rFonts w:ascii="仿宋" w:hAnsi="仿宋" w:eastAsia="仿宋"/>
          <w:sz w:val="32"/>
          <w:szCs w:val="32"/>
        </w:rPr>
        <w:t>民政局将予以通报并督导整改。</w:t>
      </w:r>
    </w:p>
    <w:p>
      <w:pPr>
        <w:widowControl/>
        <w:ind w:firstLine="640" w:firstLineChars="200"/>
        <w:jc w:val="left"/>
        <w:rPr>
          <w:rFonts w:ascii="仿宋" w:hAnsi="仿宋" w:eastAsia="仿宋"/>
          <w:sz w:val="32"/>
          <w:szCs w:val="32"/>
        </w:rPr>
      </w:pPr>
      <w:r>
        <w:rPr>
          <w:rFonts w:hint="eastAsia" w:ascii="仿宋" w:hAnsi="仿宋" w:eastAsia="仿宋"/>
          <w:sz w:val="32"/>
          <w:szCs w:val="32"/>
        </w:rPr>
        <w:t>镇（街道、园区）</w:t>
      </w:r>
      <w:r>
        <w:rPr>
          <w:rFonts w:ascii="仿宋" w:hAnsi="仿宋" w:eastAsia="仿宋"/>
          <w:sz w:val="32"/>
          <w:szCs w:val="32"/>
        </w:rPr>
        <w:t>要注意对</w:t>
      </w:r>
      <w:r>
        <w:rPr>
          <w:rFonts w:hint="eastAsia" w:ascii="仿宋" w:hAnsi="仿宋" w:eastAsia="仿宋"/>
          <w:sz w:val="32"/>
          <w:szCs w:val="32"/>
        </w:rPr>
        <w:t>困境</w:t>
      </w:r>
      <w:r>
        <w:rPr>
          <w:rFonts w:ascii="仿宋" w:hAnsi="仿宋" w:eastAsia="仿宋"/>
          <w:sz w:val="32"/>
          <w:szCs w:val="32"/>
        </w:rPr>
        <w:t>儿童保障政策执行过程中发现的新情况、新问题进行收集归纳，并及时报送</w:t>
      </w:r>
      <w:r>
        <w:rPr>
          <w:rFonts w:hint="eastAsia" w:ascii="仿宋" w:hAnsi="仿宋" w:eastAsia="仿宋"/>
          <w:sz w:val="32"/>
          <w:szCs w:val="32"/>
        </w:rPr>
        <w:t>市</w:t>
      </w:r>
      <w:r>
        <w:rPr>
          <w:rFonts w:ascii="仿宋" w:hAnsi="仿宋" w:eastAsia="仿宋"/>
          <w:sz w:val="32"/>
          <w:szCs w:val="32"/>
        </w:rPr>
        <w:t>民政局。</w:t>
      </w:r>
    </w:p>
    <w:p/>
    <w:p>
      <w:pPr>
        <w:spacing w:line="640" w:lineRule="exact"/>
        <w:rPr>
          <w:rFonts w:ascii="仿宋" w:hAnsi="仿宋" w:eastAsia="仿宋"/>
          <w:sz w:val="32"/>
          <w:szCs w:val="32"/>
        </w:rPr>
      </w:pPr>
    </w:p>
    <w:p>
      <w:pPr>
        <w:spacing w:line="640" w:lineRule="exact"/>
        <w:ind w:firstLine="640" w:firstLineChars="200"/>
        <w:rPr>
          <w:rFonts w:ascii="仿宋" w:hAnsi="仿宋" w:eastAsia="仿宋"/>
          <w:sz w:val="32"/>
          <w:szCs w:val="32"/>
        </w:rPr>
      </w:pPr>
    </w:p>
    <w:p>
      <w:pPr>
        <w:spacing w:line="640" w:lineRule="exact"/>
        <w:ind w:firstLine="640" w:firstLineChars="200"/>
        <w:rPr>
          <w:rFonts w:ascii="仿宋" w:hAnsi="仿宋" w:eastAsia="仿宋"/>
          <w:sz w:val="32"/>
          <w:szCs w:val="32"/>
        </w:rPr>
      </w:pPr>
    </w:p>
    <w:p>
      <w:pPr>
        <w:spacing w:line="640" w:lineRule="exact"/>
        <w:ind w:firstLine="5760" w:firstLineChars="1800"/>
        <w:rPr>
          <w:rFonts w:ascii="仿宋" w:hAnsi="仿宋" w:eastAsia="仿宋"/>
          <w:sz w:val="32"/>
          <w:szCs w:val="32"/>
        </w:rPr>
      </w:pPr>
      <w:r>
        <w:rPr>
          <w:rFonts w:hint="eastAsia" w:ascii="仿宋" w:hAnsi="仿宋" w:eastAsia="仿宋"/>
          <w:sz w:val="32"/>
          <w:szCs w:val="32"/>
        </w:rPr>
        <w:t>启东市民政局</w:t>
      </w:r>
    </w:p>
    <w:p>
      <w:pPr>
        <w:spacing w:line="640" w:lineRule="exact"/>
        <w:ind w:firstLine="5440" w:firstLineChars="1700"/>
        <w:rPr>
          <w:rFonts w:ascii="仿宋" w:hAnsi="仿宋" w:eastAsia="仿宋"/>
          <w:sz w:val="32"/>
          <w:szCs w:val="32"/>
        </w:rPr>
      </w:pPr>
      <w:r>
        <w:rPr>
          <w:rFonts w:hint="eastAsia" w:ascii="仿宋" w:hAnsi="仿宋" w:eastAsia="仿宋"/>
          <w:sz w:val="32"/>
          <w:szCs w:val="32"/>
        </w:rPr>
        <w:t>2022年10月1</w:t>
      </w:r>
      <w:r>
        <w:rPr>
          <w:rFonts w:hint="eastAsia" w:ascii="仿宋" w:hAnsi="仿宋" w:eastAsia="仿宋"/>
          <w:sz w:val="32"/>
          <w:szCs w:val="32"/>
          <w:lang w:val="en-US" w:eastAsia="zh-CN"/>
        </w:rPr>
        <w:t>7</w:t>
      </w:r>
      <w:r>
        <w:rPr>
          <w:rFonts w:hint="eastAsia" w:ascii="仿宋" w:hAnsi="仿宋" w:eastAsia="仿宋"/>
          <w:sz w:val="32"/>
          <w:szCs w:val="32"/>
        </w:rPr>
        <w:t>日</w:t>
      </w:r>
    </w:p>
    <w:sectPr>
      <w:footerReference r:id="rId3" w:type="default"/>
      <w:pgSz w:w="11906" w:h="16838"/>
      <w:pgMar w:top="181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汉鼎简大宋">
    <w:altName w:val="宋体"/>
    <w:panose1 w:val="00000000000000000000"/>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91C8DE"/>
    <w:multiLevelType w:val="singleLevel"/>
    <w:tmpl w:val="6491C8DE"/>
    <w:lvl w:ilvl="0" w:tentative="0">
      <w:start w:val="1"/>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4ODE1ZGE5MjNkNzIwZjAzMWMyNDNlNDg4Njc0ODMifQ=="/>
  </w:docVars>
  <w:rsids>
    <w:rsidRoot w:val="006840B8"/>
    <w:rsid w:val="002F24F9"/>
    <w:rsid w:val="005F00EA"/>
    <w:rsid w:val="006840B8"/>
    <w:rsid w:val="00710FFD"/>
    <w:rsid w:val="008D15D7"/>
    <w:rsid w:val="00B21538"/>
    <w:rsid w:val="00DB526D"/>
    <w:rsid w:val="00EE1004"/>
    <w:rsid w:val="00F35265"/>
    <w:rsid w:val="08101D3E"/>
    <w:rsid w:val="12E60B87"/>
    <w:rsid w:val="215835AD"/>
    <w:rsid w:val="46AE2A8F"/>
    <w:rsid w:val="489C2980"/>
    <w:rsid w:val="545A1B7C"/>
    <w:rsid w:val="5C4901B6"/>
    <w:rsid w:val="5F2F189F"/>
    <w:rsid w:val="799E5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7">
    <w:name w:val="文头"/>
    <w:basedOn w:val="1"/>
    <w:qFormat/>
    <w:uiPriority w:val="0"/>
    <w:pPr>
      <w:tabs>
        <w:tab w:val="left" w:pos="6663"/>
      </w:tabs>
      <w:autoSpaceDE w:val="0"/>
      <w:autoSpaceDN w:val="0"/>
      <w:snapToGrid w:val="0"/>
      <w:spacing w:before="40" w:after="800" w:line="1640" w:lineRule="atLeast"/>
      <w:ind w:left="511" w:right="227" w:hanging="284"/>
      <w:jc w:val="distribute"/>
    </w:pPr>
    <w:rPr>
      <w:rFonts w:ascii="汉鼎简大宋" w:hAnsi="Times New Roman" w:eastAsia="汉鼎简大宋"/>
      <w:b/>
      <w:snapToGrid w:val="0"/>
      <w:color w:val="FF0000"/>
      <w:w w:val="50"/>
      <w:kern w:val="0"/>
      <w:sz w:val="136"/>
      <w:szCs w:val="20"/>
    </w:rPr>
  </w:style>
  <w:style w:type="paragraph" w:customStyle="1" w:styleId="8">
    <w:name w:val="红线"/>
    <w:basedOn w:val="2"/>
    <w:qFormat/>
    <w:uiPriority w:val="0"/>
    <w:pPr>
      <w:keepNext w:val="0"/>
      <w:keepLines w:val="0"/>
      <w:autoSpaceDE w:val="0"/>
      <w:autoSpaceDN w:val="0"/>
      <w:adjustRightInd w:val="0"/>
      <w:spacing w:before="0" w:after="851" w:line="227" w:lineRule="atLeast"/>
      <w:ind w:right="-142"/>
      <w:jc w:val="center"/>
      <w:outlineLvl w:val="9"/>
    </w:pPr>
    <w:rPr>
      <w:rFonts w:ascii="宋体" w:hAnsi="Times New Roman"/>
      <w:bCs w:val="0"/>
      <w:snapToGrid w:val="0"/>
      <w:kern w:val="0"/>
      <w:sz w:val="10"/>
      <w:szCs w:val="20"/>
    </w:rPr>
  </w:style>
  <w:style w:type="character" w:customStyle="1" w:styleId="9">
    <w:name w:val="页眉 字符"/>
    <w:basedOn w:val="6"/>
    <w:link w:val="4"/>
    <w:uiPriority w:val="0"/>
    <w:rPr>
      <w:rFonts w:asciiTheme="minorHAnsi" w:hAnsiTheme="minorHAnsi" w:eastAsiaTheme="minorEastAsia" w:cstheme="minorBidi"/>
      <w:kern w:val="2"/>
      <w:sz w:val="18"/>
      <w:szCs w:val="18"/>
    </w:rPr>
  </w:style>
  <w:style w:type="character" w:customStyle="1" w:styleId="10">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1146</Words>
  <Characters>1188</Characters>
  <Lines>8</Lines>
  <Paragraphs>2</Paragraphs>
  <TotalTime>106</TotalTime>
  <ScaleCrop>false</ScaleCrop>
  <LinksUpToDate>false</LinksUpToDate>
  <CharactersWithSpaces>1190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Administrator</cp:lastModifiedBy>
  <cp:lastPrinted>2022-10-17T08:23:00Z</cp:lastPrinted>
  <dcterms:modified xsi:type="dcterms:W3CDTF">2022-10-26T08:21:35Z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0EDBB55D7D264489A1DE85C1BB671ECD</vt:lpwstr>
  </property>
</Properties>
</file>