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val="0"/>
        <w:autoSpaceDN w:val="0"/>
        <w:bidi w:val="0"/>
        <w:adjustRightInd/>
        <w:snapToGrid w:val="0"/>
        <w:spacing w:line="460" w:lineRule="exact"/>
        <w:jc w:val="center"/>
        <w:rPr>
          <w:rFonts w:eastAsia="方正小标宋_GBK"/>
          <w:color w:val="auto"/>
          <w:sz w:val="44"/>
          <w:szCs w:val="44"/>
        </w:rPr>
      </w:pPr>
    </w:p>
    <w:p>
      <w:pPr>
        <w:pageBreakBefore w:val="0"/>
        <w:widowControl w:val="0"/>
        <w:kinsoku/>
        <w:overflowPunct/>
        <w:topLinePunct w:val="0"/>
        <w:autoSpaceDE w:val="0"/>
        <w:autoSpaceDN w:val="0"/>
        <w:bidi w:val="0"/>
        <w:adjustRightInd/>
        <w:snapToGrid w:val="0"/>
        <w:spacing w:line="460" w:lineRule="exact"/>
        <w:jc w:val="center"/>
        <w:rPr>
          <w:rFonts w:ascii="方正小标宋_GBK" w:hAnsi="方正小标宋_GBK" w:eastAsia="方正小标宋_GBK" w:cs="方正小标宋_GBK"/>
          <w:color w:val="auto"/>
          <w:sz w:val="44"/>
          <w:szCs w:val="44"/>
        </w:rPr>
      </w:pPr>
    </w:p>
    <w:p>
      <w:pPr>
        <w:pageBreakBefore w:val="0"/>
        <w:widowControl w:val="0"/>
        <w:kinsoku/>
        <w:overflowPunct/>
        <w:topLinePunct w:val="0"/>
        <w:autoSpaceDE w:val="0"/>
        <w:autoSpaceDN w:val="0"/>
        <w:bidi w:val="0"/>
        <w:adjustRightInd/>
        <w:snapToGrid w:val="0"/>
        <w:spacing w:line="460" w:lineRule="exact"/>
        <w:jc w:val="center"/>
        <w:rPr>
          <w:rFonts w:ascii="方正小标宋_GBK" w:hAnsi="方正小标宋_GBK" w:eastAsia="方正小标宋_GBK" w:cs="方正小标宋_GBK"/>
          <w:color w:val="auto"/>
          <w:sz w:val="44"/>
          <w:szCs w:val="44"/>
        </w:rPr>
      </w:pPr>
    </w:p>
    <w:p>
      <w:pPr>
        <w:pageBreakBefore w:val="0"/>
        <w:widowControl w:val="0"/>
        <w:kinsoku/>
        <w:overflowPunct/>
        <w:topLinePunct w:val="0"/>
        <w:autoSpaceDE w:val="0"/>
        <w:autoSpaceDN w:val="0"/>
        <w:bidi w:val="0"/>
        <w:adjustRightInd/>
        <w:snapToGrid w:val="0"/>
        <w:spacing w:line="460" w:lineRule="exact"/>
        <w:jc w:val="center"/>
        <w:rPr>
          <w:rFonts w:ascii="方正小标宋_GBK" w:hAnsi="方正小标宋_GBK" w:eastAsia="方正小标宋_GBK" w:cs="方正小标宋_GBK"/>
          <w:color w:val="auto"/>
          <w:sz w:val="44"/>
          <w:szCs w:val="44"/>
        </w:rPr>
      </w:pPr>
    </w:p>
    <w:p>
      <w:pPr>
        <w:pageBreakBefore w:val="0"/>
        <w:widowControl w:val="0"/>
        <w:kinsoku/>
        <w:overflowPunct/>
        <w:topLinePunct w:val="0"/>
        <w:autoSpaceDE w:val="0"/>
        <w:autoSpaceDN w:val="0"/>
        <w:bidi w:val="0"/>
        <w:adjustRightInd/>
        <w:snapToGrid w:val="0"/>
        <w:spacing w:line="460" w:lineRule="exact"/>
        <w:jc w:val="center"/>
        <w:rPr>
          <w:rFonts w:ascii="方正小标宋_GBK" w:hAnsi="方正小标宋_GBK" w:eastAsia="方正小标宋_GBK" w:cs="方正小标宋_GBK"/>
          <w:color w:val="auto"/>
          <w:sz w:val="44"/>
          <w:szCs w:val="44"/>
        </w:rPr>
      </w:pPr>
    </w:p>
    <w:p>
      <w:pPr>
        <w:pageBreakBefore w:val="0"/>
        <w:widowControl w:val="0"/>
        <w:kinsoku/>
        <w:overflowPunct/>
        <w:topLinePunct w:val="0"/>
        <w:autoSpaceDE w:val="0"/>
        <w:autoSpaceDN w:val="0"/>
        <w:bidi w:val="0"/>
        <w:adjustRightInd/>
        <w:snapToGrid w:val="0"/>
        <w:spacing w:line="460" w:lineRule="exact"/>
        <w:jc w:val="center"/>
        <w:rPr>
          <w:rFonts w:ascii="方正小标宋_GBK" w:hAnsi="方正小标宋_GBK" w:eastAsia="方正小标宋_GBK" w:cs="方正小标宋_GBK"/>
          <w:color w:val="auto"/>
          <w:sz w:val="44"/>
          <w:szCs w:val="44"/>
        </w:rPr>
      </w:pPr>
    </w:p>
    <w:p>
      <w:pPr>
        <w:pageBreakBefore w:val="0"/>
        <w:widowControl w:val="0"/>
        <w:kinsoku/>
        <w:overflowPunct/>
        <w:topLinePunct w:val="0"/>
        <w:autoSpaceDE w:val="0"/>
        <w:autoSpaceDN w:val="0"/>
        <w:bidi w:val="0"/>
        <w:adjustRightInd/>
        <w:snapToGrid w:val="0"/>
        <w:spacing w:line="460" w:lineRule="exact"/>
        <w:jc w:val="center"/>
        <w:rPr>
          <w:rFonts w:ascii="方正小标宋_GBK" w:hAnsi="方正小标宋_GBK" w:eastAsia="方正小标宋_GBK" w:cs="方正小标宋_GBK"/>
          <w:color w:val="auto"/>
          <w:sz w:val="44"/>
          <w:szCs w:val="44"/>
        </w:rPr>
      </w:pPr>
    </w:p>
    <w:p>
      <w:pPr>
        <w:pageBreakBefore w:val="0"/>
        <w:widowControl w:val="0"/>
        <w:kinsoku/>
        <w:overflowPunct/>
        <w:topLinePunct w:val="0"/>
        <w:bidi w:val="0"/>
        <w:adjustRightInd/>
        <w:spacing w:line="500" w:lineRule="exact"/>
        <w:jc w:val="center"/>
        <w:rPr>
          <w:rFonts w:ascii="方正小标宋_GBK" w:hAnsi="方正小标宋_GBK" w:eastAsia="方正小标宋_GBK" w:cs="方正小标宋_GBK"/>
          <w:color w:val="auto"/>
          <w:sz w:val="44"/>
          <w:szCs w:val="44"/>
        </w:rPr>
      </w:pPr>
      <w:r>
        <w:rPr>
          <w:rFonts w:hint="eastAsia" w:ascii="仿宋" w:hAnsi="仿宋" w:eastAsia="仿宋" w:cs="仿宋"/>
          <w:snapToGrid w:val="0"/>
          <w:color w:val="auto"/>
          <w:sz w:val="32"/>
          <w:szCs w:val="32"/>
        </w:rPr>
        <w:t>启民发〔202</w:t>
      </w:r>
      <w:r>
        <w:rPr>
          <w:rFonts w:hint="eastAsia" w:ascii="仿宋" w:hAnsi="仿宋" w:eastAsia="仿宋" w:cs="仿宋"/>
          <w:snapToGrid w:val="0"/>
          <w:color w:val="auto"/>
          <w:sz w:val="32"/>
          <w:szCs w:val="32"/>
          <w:lang w:val="en-US" w:eastAsia="zh-CN"/>
        </w:rPr>
        <w:t>3</w:t>
      </w:r>
      <w:r>
        <w:rPr>
          <w:rFonts w:hint="eastAsia" w:ascii="仿宋" w:hAnsi="仿宋" w:eastAsia="仿宋" w:cs="仿宋"/>
          <w:snapToGrid w:val="0"/>
          <w:color w:val="auto"/>
          <w:sz w:val="32"/>
          <w:szCs w:val="32"/>
        </w:rPr>
        <w:t>〕</w:t>
      </w:r>
      <w:r>
        <w:rPr>
          <w:rFonts w:hint="eastAsia" w:ascii="仿宋" w:hAnsi="仿宋" w:eastAsia="仿宋" w:cs="仿宋"/>
          <w:snapToGrid w:val="0"/>
          <w:color w:val="auto"/>
          <w:sz w:val="32"/>
          <w:szCs w:val="32"/>
          <w:lang w:val="en-US" w:eastAsia="zh-CN"/>
        </w:rPr>
        <w:t>16</w:t>
      </w:r>
      <w:r>
        <w:rPr>
          <w:rFonts w:hint="eastAsia" w:ascii="仿宋" w:hAnsi="仿宋" w:eastAsia="仿宋" w:cs="仿宋"/>
          <w:snapToGrid w:val="0"/>
          <w:color w:val="auto"/>
          <w:sz w:val="32"/>
          <w:szCs w:val="32"/>
        </w:rPr>
        <w:t>号</w:t>
      </w:r>
    </w:p>
    <w:p>
      <w:pPr>
        <w:pageBreakBefore w:val="0"/>
        <w:widowControl w:val="0"/>
        <w:kinsoku/>
        <w:overflowPunct/>
        <w:topLinePunct w:val="0"/>
        <w:bidi w:val="0"/>
        <w:adjustRightInd/>
        <w:spacing w:line="500" w:lineRule="exact"/>
        <w:jc w:val="center"/>
        <w:rPr>
          <w:rFonts w:ascii="方正小标宋_GBK" w:hAnsi="方正小标宋_GBK" w:eastAsia="方正小标宋_GBK" w:cs="方正小标宋_GBK"/>
          <w:color w:val="auto"/>
          <w:sz w:val="44"/>
          <w:szCs w:val="44"/>
        </w:rPr>
      </w:pPr>
    </w:p>
    <w:p>
      <w:pPr>
        <w:pStyle w:val="2"/>
        <w:pageBreakBefore w:val="0"/>
        <w:widowControl w:val="0"/>
        <w:kinsoku/>
        <w:overflowPunct/>
        <w:topLinePunct w:val="0"/>
        <w:bidi w:val="0"/>
        <w:adjustRightInd/>
        <w:spacing w:before="0" w:after="0" w:line="700" w:lineRule="exact"/>
        <w:jc w:val="center"/>
        <w:rPr>
          <w:rFonts w:ascii="方正小标宋_GBK" w:hAnsi="方正小标宋_GBK" w:eastAsia="方正小标宋_GBK" w:cs="方正小标宋_GBK"/>
          <w:b w:val="0"/>
          <w:bCs/>
          <w:color w:val="auto"/>
          <w:szCs w:val="44"/>
        </w:rPr>
      </w:pPr>
    </w:p>
    <w:p>
      <w:pPr>
        <w:pageBreakBefore w:val="0"/>
        <w:widowControl w:val="0"/>
        <w:kinsoku/>
        <w:overflowPunct/>
        <w:topLinePunct w:val="0"/>
        <w:bidi w:val="0"/>
        <w:adjustRightInd/>
        <w:spacing w:line="64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关于开展</w:t>
      </w:r>
      <w:r>
        <w:rPr>
          <w:rFonts w:hint="eastAsia" w:ascii="方正小标宋_GBK" w:hAnsi="方正小标宋_GBK" w:eastAsia="方正小标宋_GBK" w:cs="方正小标宋_GBK"/>
          <w:color w:val="auto"/>
          <w:sz w:val="44"/>
          <w:szCs w:val="44"/>
          <w:lang w:val="en-US" w:eastAsia="zh-CN"/>
        </w:rPr>
        <w:t>2023年度</w:t>
      </w:r>
      <w:r>
        <w:rPr>
          <w:rFonts w:hint="eastAsia" w:ascii="方正小标宋_GBK" w:hAnsi="方正小标宋_GBK" w:eastAsia="方正小标宋_GBK" w:cs="方正小标宋_GBK"/>
          <w:color w:val="auto"/>
          <w:sz w:val="44"/>
          <w:szCs w:val="44"/>
        </w:rPr>
        <w:t>全市养老机构</w:t>
      </w:r>
    </w:p>
    <w:p>
      <w:pPr>
        <w:pageBreakBefore w:val="0"/>
        <w:widowControl w:val="0"/>
        <w:kinsoku/>
        <w:overflowPunct/>
        <w:topLinePunct w:val="0"/>
        <w:bidi w:val="0"/>
        <w:adjustRightInd/>
        <w:spacing w:line="64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服务质量考评工作的通知</w:t>
      </w:r>
    </w:p>
    <w:p>
      <w:pPr>
        <w:pageBreakBefore w:val="0"/>
        <w:widowControl w:val="0"/>
        <w:kinsoku/>
        <w:overflowPunct/>
        <w:topLinePunct w:val="0"/>
        <w:bidi w:val="0"/>
        <w:adjustRightInd/>
        <w:spacing w:line="540" w:lineRule="exact"/>
        <w:rPr>
          <w:rFonts w:ascii="仿宋_GB2312" w:hAnsi="仿宋" w:eastAsia="仿宋_GB2312"/>
          <w:b/>
          <w:bCs/>
          <w:color w:val="auto"/>
          <w:sz w:val="36"/>
          <w:szCs w:val="36"/>
        </w:rPr>
      </w:pPr>
      <w:r>
        <w:rPr>
          <w:rFonts w:hint="eastAsia" w:ascii="仿宋_GB2312" w:hAnsi="仿宋" w:eastAsia="仿宋_GB2312"/>
          <w:b/>
          <w:bCs/>
          <w:color w:val="auto"/>
          <w:sz w:val="36"/>
          <w:szCs w:val="36"/>
        </w:rPr>
        <w:t xml:space="preserve"> </w:t>
      </w:r>
      <w:bookmarkStart w:id="0" w:name="_GoBack"/>
      <w:bookmarkEnd w:id="0"/>
    </w:p>
    <w:p>
      <w:pPr>
        <w:pageBreakBefore w:val="0"/>
        <w:widowControl w:val="0"/>
        <w:kinsoku/>
        <w:overflowPunct/>
        <w:topLinePunct w:val="0"/>
        <w:bidi w:val="0"/>
        <w:adjustRightInd/>
        <w:spacing w:line="520" w:lineRule="exact"/>
        <w:rPr>
          <w:rFonts w:eastAsia="仿宋_GB2312"/>
          <w:color w:val="auto"/>
          <w:sz w:val="32"/>
          <w:szCs w:val="32"/>
        </w:rPr>
      </w:pPr>
      <w:r>
        <w:rPr>
          <w:rFonts w:hint="eastAsia" w:eastAsia="仿宋_GB2312"/>
          <w:color w:val="auto"/>
          <w:sz w:val="32"/>
          <w:szCs w:val="32"/>
        </w:rPr>
        <w:t xml:space="preserve">各区（镇）民政业务部门：      </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为贯彻落实《</w:t>
      </w:r>
      <w:r>
        <w:rPr>
          <w:rFonts w:hint="eastAsia" w:ascii="仿宋_GB2312" w:eastAsia="仿宋_GB2312"/>
          <w:color w:val="auto"/>
          <w:sz w:val="32"/>
          <w:szCs w:val="32"/>
          <w:lang w:val="en-US" w:eastAsia="zh-CN"/>
        </w:rPr>
        <w:t>江苏省养老服务条例》《江苏省“十四五”养老服务发展规划</w:t>
      </w:r>
      <w:r>
        <w:rPr>
          <w:rFonts w:hint="eastAsia" w:ascii="仿宋_GB2312" w:eastAsia="仿宋_GB2312"/>
          <w:color w:val="auto"/>
          <w:sz w:val="32"/>
          <w:szCs w:val="32"/>
        </w:rPr>
        <w:t>》的要求，着力推动我市养老服务工作高质量发展</w:t>
      </w:r>
      <w:r>
        <w:rPr>
          <w:rFonts w:hint="eastAsia" w:ascii="方正仿宋_GBK" w:eastAsia="方正仿宋_GBK"/>
          <w:color w:val="auto"/>
          <w:sz w:val="32"/>
          <w:szCs w:val="32"/>
        </w:rPr>
        <w:t>，</w:t>
      </w:r>
      <w:r>
        <w:rPr>
          <w:rFonts w:hint="eastAsia" w:ascii="仿宋_GB2312" w:eastAsia="仿宋_GB2312"/>
          <w:color w:val="auto"/>
          <w:sz w:val="32"/>
          <w:szCs w:val="32"/>
        </w:rPr>
        <w:t>不断提升养老机构服务质量水平</w:t>
      </w:r>
      <w:r>
        <w:rPr>
          <w:rFonts w:hint="eastAsia" w:ascii="仿宋_GB2312" w:eastAsia="仿宋_GB2312"/>
          <w:color w:val="auto"/>
          <w:sz w:val="32"/>
          <w:szCs w:val="32"/>
          <w:lang w:eastAsia="zh-CN"/>
        </w:rPr>
        <w:t>，</w:t>
      </w:r>
      <w:r>
        <w:rPr>
          <w:rFonts w:hint="eastAsia" w:ascii="仿宋_GB2312" w:eastAsia="仿宋_GB2312"/>
          <w:color w:val="auto"/>
          <w:sz w:val="32"/>
          <w:szCs w:val="32"/>
        </w:rPr>
        <w:t>结合我市养老</w:t>
      </w:r>
      <w:r>
        <w:rPr>
          <w:rFonts w:hint="eastAsia" w:ascii="仿宋_GB2312" w:eastAsia="仿宋_GB2312"/>
          <w:color w:val="auto"/>
          <w:sz w:val="32"/>
          <w:szCs w:val="32"/>
          <w:lang w:val="en-US" w:eastAsia="zh-CN"/>
        </w:rPr>
        <w:t>工作</w:t>
      </w:r>
      <w:r>
        <w:rPr>
          <w:rFonts w:hint="eastAsia" w:ascii="仿宋_GB2312" w:eastAsia="仿宋_GB2312"/>
          <w:color w:val="auto"/>
          <w:sz w:val="32"/>
          <w:szCs w:val="32"/>
        </w:rPr>
        <w:t>实际，经市局研究决定，</w:t>
      </w:r>
      <w:r>
        <w:rPr>
          <w:rFonts w:hint="eastAsia" w:ascii="仿宋_GB2312" w:eastAsia="仿宋_GB2312"/>
          <w:color w:val="auto"/>
          <w:sz w:val="32"/>
          <w:szCs w:val="32"/>
          <w:lang w:eastAsia="zh-CN"/>
        </w:rPr>
        <w:t>组织开展</w:t>
      </w:r>
      <w:r>
        <w:rPr>
          <w:rFonts w:hint="eastAsia" w:ascii="仿宋_GB2312" w:eastAsia="仿宋_GB2312"/>
          <w:color w:val="auto"/>
          <w:sz w:val="32"/>
          <w:szCs w:val="32"/>
          <w:lang w:val="en-US" w:eastAsia="zh-CN"/>
        </w:rPr>
        <w:t>2023年度</w:t>
      </w:r>
      <w:r>
        <w:rPr>
          <w:rFonts w:hint="eastAsia" w:ascii="仿宋_GB2312" w:eastAsia="仿宋_GB2312"/>
          <w:color w:val="auto"/>
          <w:sz w:val="32"/>
          <w:szCs w:val="32"/>
          <w:lang w:eastAsia="zh-CN"/>
        </w:rPr>
        <w:t>全市</w:t>
      </w:r>
      <w:r>
        <w:rPr>
          <w:rFonts w:hint="eastAsia" w:ascii="仿宋_GB2312" w:eastAsia="仿宋_GB2312"/>
          <w:color w:val="auto"/>
          <w:sz w:val="32"/>
          <w:szCs w:val="32"/>
        </w:rPr>
        <w:t>养老机构服务质量考评工作</w:t>
      </w:r>
      <w:r>
        <w:rPr>
          <w:rFonts w:hint="eastAsia" w:ascii="仿宋_GB2312" w:eastAsia="仿宋_GB2312"/>
          <w:color w:val="auto"/>
          <w:sz w:val="32"/>
          <w:szCs w:val="32"/>
          <w:lang w:eastAsia="zh-CN"/>
        </w:rPr>
        <w:t>，现</w:t>
      </w:r>
      <w:r>
        <w:rPr>
          <w:rFonts w:hint="eastAsia" w:ascii="仿宋_GB2312" w:eastAsia="仿宋_GB2312"/>
          <w:color w:val="auto"/>
          <w:sz w:val="32"/>
          <w:szCs w:val="32"/>
        </w:rPr>
        <w:t>通知如下：</w:t>
      </w:r>
    </w:p>
    <w:p>
      <w:pPr>
        <w:pageBreakBefore w:val="0"/>
        <w:widowControl w:val="0"/>
        <w:kinsoku/>
        <w:overflowPunct/>
        <w:topLinePunct w:val="0"/>
        <w:bidi w:val="0"/>
        <w:adjustRightInd/>
        <w:spacing w:line="520" w:lineRule="exact"/>
        <w:ind w:firstLine="643" w:firstLineChars="200"/>
        <w:rPr>
          <w:rFonts w:ascii="黑体" w:eastAsia="黑体"/>
          <w:b/>
          <w:color w:val="auto"/>
          <w:sz w:val="32"/>
          <w:szCs w:val="32"/>
        </w:rPr>
      </w:pPr>
      <w:r>
        <w:rPr>
          <w:rFonts w:hint="eastAsia" w:ascii="黑体" w:eastAsia="黑体"/>
          <w:b/>
          <w:color w:val="auto"/>
          <w:sz w:val="32"/>
          <w:szCs w:val="32"/>
        </w:rPr>
        <w:t>一、养老机构服务质量评定</w:t>
      </w:r>
    </w:p>
    <w:p>
      <w:pPr>
        <w:pageBreakBefore w:val="0"/>
        <w:widowControl w:val="0"/>
        <w:kinsoku/>
        <w:overflowPunct/>
        <w:topLinePunct w:val="0"/>
        <w:bidi w:val="0"/>
        <w:adjustRightInd/>
        <w:spacing w:line="52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（一）考评对象</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养老机构应同时符合以下条件：</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1、完成养老机构备案登记，由民政部门核发《民办非企业单位法人登记证书》或经工商登记核发的《营业执照》在有效期内。</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2、连续经营满6个月且在继续经营。</w:t>
      </w:r>
    </w:p>
    <w:p>
      <w:pPr>
        <w:pageBreakBefore w:val="0"/>
        <w:widowControl w:val="0"/>
        <w:kinsoku/>
        <w:overflowPunct/>
        <w:topLinePunct w:val="0"/>
        <w:bidi w:val="0"/>
        <w:adjustRightInd/>
        <w:spacing w:line="52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3、</w:t>
      </w:r>
      <w:r>
        <w:rPr>
          <w:rFonts w:hint="eastAsia" w:ascii="仿宋_GB2312" w:eastAsia="仿宋_GB2312"/>
          <w:color w:val="auto"/>
          <w:sz w:val="32"/>
          <w:szCs w:val="32"/>
          <w:lang w:eastAsia="zh-CN"/>
        </w:rPr>
        <w:t>机构运营</w:t>
      </w:r>
      <w:r>
        <w:rPr>
          <w:rFonts w:hint="eastAsia" w:ascii="仿宋_GB2312" w:eastAsia="仿宋_GB2312"/>
          <w:color w:val="auto"/>
          <w:sz w:val="32"/>
          <w:szCs w:val="32"/>
        </w:rPr>
        <w:t>符合</w:t>
      </w:r>
      <w:r>
        <w:rPr>
          <w:rFonts w:hint="eastAsia" w:ascii="仿宋_GB2312" w:eastAsia="仿宋_GB2312"/>
          <w:color w:val="auto"/>
          <w:sz w:val="32"/>
          <w:szCs w:val="32"/>
          <w:lang w:eastAsia="zh-CN"/>
        </w:rPr>
        <w:t>《</w:t>
      </w:r>
      <w:r>
        <w:rPr>
          <w:rFonts w:hint="eastAsia" w:ascii="仿宋_GB2312" w:eastAsia="仿宋_GB2312"/>
          <w:color w:val="auto"/>
          <w:sz w:val="32"/>
          <w:szCs w:val="32"/>
        </w:rPr>
        <w:t>养老机构服务安全基本规范</w:t>
      </w:r>
      <w:r>
        <w:rPr>
          <w:rFonts w:hint="eastAsia" w:ascii="仿宋_GB2312" w:eastAsia="仿宋_GB2312"/>
          <w:color w:val="auto"/>
          <w:sz w:val="32"/>
          <w:szCs w:val="32"/>
          <w:lang w:eastAsia="zh-CN"/>
        </w:rPr>
        <w:t>》</w:t>
      </w:r>
      <w:r>
        <w:rPr>
          <w:rFonts w:hint="eastAsia" w:ascii="仿宋_GB2312" w:eastAsia="仿宋_GB2312"/>
          <w:color w:val="auto"/>
          <w:sz w:val="32"/>
          <w:szCs w:val="32"/>
        </w:rPr>
        <w:t>（GB 38600－2019）</w:t>
      </w:r>
      <w:r>
        <w:rPr>
          <w:rFonts w:hint="eastAsia" w:ascii="仿宋_GB2312" w:eastAsia="仿宋_GB2312"/>
          <w:color w:val="auto"/>
          <w:sz w:val="32"/>
          <w:szCs w:val="32"/>
          <w:lang w:eastAsia="zh-CN"/>
        </w:rPr>
        <w:t>的规定。</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养老机构在考评过程中发现有下列情形之一的，应终止</w:t>
      </w:r>
      <w:r>
        <w:rPr>
          <w:rFonts w:hint="eastAsia" w:ascii="仿宋_GB2312" w:eastAsia="仿宋_GB2312"/>
          <w:color w:val="auto"/>
          <w:sz w:val="32"/>
          <w:szCs w:val="32"/>
          <w:lang w:eastAsia="zh-CN"/>
        </w:rPr>
        <w:t>年度</w:t>
      </w:r>
      <w:r>
        <w:rPr>
          <w:rFonts w:hint="eastAsia" w:ascii="仿宋_GB2312" w:eastAsia="仿宋_GB2312"/>
          <w:color w:val="auto"/>
          <w:sz w:val="32"/>
          <w:szCs w:val="32"/>
        </w:rPr>
        <w:t>考评</w:t>
      </w:r>
      <w:r>
        <w:rPr>
          <w:rFonts w:hint="eastAsia" w:ascii="仿宋_GB2312" w:eastAsia="仿宋_GB2312"/>
          <w:color w:val="auto"/>
          <w:sz w:val="32"/>
          <w:szCs w:val="32"/>
          <w:lang w:eastAsia="zh-CN"/>
        </w:rPr>
        <w:t>工作</w:t>
      </w:r>
      <w:r>
        <w:rPr>
          <w:rFonts w:hint="eastAsia" w:ascii="仿宋_GB2312" w:eastAsia="仿宋_GB2312"/>
          <w:color w:val="auto"/>
          <w:sz w:val="32"/>
          <w:szCs w:val="32"/>
        </w:rPr>
        <w:t>：</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1、发生安全生产事故的；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2、经查实存在提供虚假材料、谎报床位数等弄虚作假、骗取财政资金行为的；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3、有信访反映存在重大违法、违规、违纪行为，并经查证属实的；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4、存在重大隐患危及人身健康和生命财产安全风险，相关职能部门作出停业整顿1月以上的；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5、存在隐患且不在期限内整改的1次警告，2次取消半年度考评，3次以上取消全年度考评；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6、违反考评纪律，采取不规范行为干扰考评人员工作，影响评定工作开展的；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7、存在欺老、虐老行为造成严重社会影响的；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8、在机构内兜售保健食品和药品，损害老年人合法权益的；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9、涉嫌非法集资、存在严重失信行为，被实施联合惩戒或被列入养老服务市场联合惩戒对象管理名单的；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10、养老机构未按规定参加年检、年报的；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11、受政府有关部门没收非法所得、没收非法财</w:t>
      </w:r>
      <w:r>
        <w:rPr>
          <w:rFonts w:hint="eastAsia" w:ascii="仿宋_GB2312" w:eastAsia="仿宋_GB2312"/>
          <w:color w:val="auto"/>
          <w:sz w:val="32"/>
          <w:szCs w:val="32"/>
          <w:lang w:eastAsia="zh-CN"/>
        </w:rPr>
        <w:t>物</w:t>
      </w:r>
      <w:r>
        <w:rPr>
          <w:rFonts w:hint="eastAsia" w:ascii="仿宋_GB2312" w:eastAsia="仿宋_GB2312"/>
          <w:color w:val="auto"/>
          <w:sz w:val="32"/>
          <w:szCs w:val="32"/>
        </w:rPr>
        <w:t>及以上行政处罚的；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12、机构被媒体曝光且造成严重社会不良影响的；</w:t>
      </w:r>
    </w:p>
    <w:p>
      <w:pPr>
        <w:pageBreakBefore w:val="0"/>
        <w:widowControl w:val="0"/>
        <w:kinsoku/>
        <w:overflowPunct/>
        <w:topLinePunct w:val="0"/>
        <w:bidi w:val="0"/>
        <w:adjustRightInd/>
        <w:spacing w:line="52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13、机构因不可抗力未能全年持续运营的</w:t>
      </w:r>
      <w:r>
        <w:rPr>
          <w:rFonts w:hint="eastAsia" w:ascii="仿宋_GB2312" w:eastAsia="仿宋_GB2312"/>
          <w:color w:val="auto"/>
          <w:sz w:val="32"/>
          <w:szCs w:val="32"/>
          <w:lang w:eastAsia="zh-CN"/>
        </w:rPr>
        <w:t>；</w:t>
      </w:r>
    </w:p>
    <w:p>
      <w:pPr>
        <w:pageBreakBefore w:val="0"/>
        <w:widowControl w:val="0"/>
        <w:kinsoku/>
        <w:overflowPunct/>
        <w:topLinePunct w:val="0"/>
        <w:bidi w:val="0"/>
        <w:adjustRightInd/>
        <w:spacing w:line="52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14、无正当理由故意拖欠机构内工作人员工资，</w:t>
      </w:r>
      <w:r>
        <w:rPr>
          <w:rFonts w:hint="eastAsia" w:ascii="仿宋_GB2312" w:eastAsia="仿宋_GB2312"/>
          <w:color w:val="auto"/>
          <w:sz w:val="32"/>
          <w:szCs w:val="32"/>
          <w:highlight w:val="none"/>
        </w:rPr>
        <w:t>并经查证属实的</w:t>
      </w:r>
      <w:r>
        <w:rPr>
          <w:rFonts w:hint="eastAsia" w:ascii="仿宋_GB2312" w:eastAsia="仿宋_GB2312"/>
          <w:color w:val="auto"/>
          <w:sz w:val="32"/>
          <w:szCs w:val="32"/>
          <w:highlight w:val="none"/>
          <w:lang w:val="en-US" w:eastAsia="zh-CN"/>
        </w:rPr>
        <w:t>。</w:t>
      </w:r>
    </w:p>
    <w:p>
      <w:pPr>
        <w:pageBreakBefore w:val="0"/>
        <w:widowControl w:val="0"/>
        <w:kinsoku/>
        <w:overflowPunct/>
        <w:topLinePunct w:val="0"/>
        <w:bidi w:val="0"/>
        <w:adjustRightInd/>
        <w:spacing w:line="52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（二）考评原则</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1、科学性原则。在考评项目和指标的选用上做到切合实际，突出养老机构实际管理和运营水平。</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2、公开性原则。在考评组织和操作程序上做到客观公正、公开透明，及时向养老机构公布考评结果。</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3、引导性原则。在考评等级和结果应用上，突出激励引导、整改提升，让考评真正发挥引导和规范的作用，不断提升养老机构的服务质量和管理水平。</w:t>
      </w:r>
    </w:p>
    <w:p>
      <w:pPr>
        <w:pageBreakBefore w:val="0"/>
        <w:widowControl w:val="0"/>
        <w:kinsoku/>
        <w:overflowPunct/>
        <w:topLinePunct w:val="0"/>
        <w:bidi w:val="0"/>
        <w:adjustRightInd/>
        <w:spacing w:line="520" w:lineRule="exact"/>
        <w:ind w:firstLine="643" w:firstLineChars="200"/>
        <w:rPr>
          <w:rFonts w:ascii="楷体_GB2312" w:hAnsi="宋体" w:eastAsia="楷体_GB2312" w:cs="宋体"/>
          <w:b/>
          <w:color w:val="auto"/>
          <w:kern w:val="0"/>
          <w:sz w:val="32"/>
          <w:szCs w:val="32"/>
        </w:rPr>
      </w:pPr>
      <w:r>
        <w:rPr>
          <w:rFonts w:hint="eastAsia" w:ascii="楷体_GB2312" w:hAnsi="宋体" w:eastAsia="楷体_GB2312" w:cs="宋体"/>
          <w:b/>
          <w:color w:val="auto"/>
          <w:kern w:val="0"/>
          <w:sz w:val="32"/>
          <w:szCs w:val="32"/>
        </w:rPr>
        <w:t>（三）考评时间及办法</w:t>
      </w:r>
    </w:p>
    <w:p>
      <w:pPr>
        <w:pageBreakBefore w:val="0"/>
        <w:widowControl w:val="0"/>
        <w:kinsoku/>
        <w:overflowPunct/>
        <w:topLinePunct w:val="0"/>
        <w:bidi w:val="0"/>
        <w:adjustRightInd/>
        <w:spacing w:line="520" w:lineRule="exact"/>
        <w:ind w:firstLine="643" w:firstLineChars="200"/>
        <w:rPr>
          <w:rFonts w:ascii="楷体_GB2312" w:hAnsi="宋体" w:eastAsia="楷体_GB2312" w:cs="宋体"/>
          <w:b/>
          <w:color w:val="auto"/>
          <w:kern w:val="0"/>
          <w:sz w:val="32"/>
          <w:szCs w:val="32"/>
        </w:rPr>
      </w:pPr>
      <w:r>
        <w:rPr>
          <w:rFonts w:hint="eastAsia" w:ascii="仿宋" w:hAnsi="仿宋" w:eastAsia="仿宋" w:cs="仿宋"/>
          <w:b/>
          <w:color w:val="auto"/>
          <w:sz w:val="32"/>
          <w:szCs w:val="32"/>
        </w:rPr>
        <w:t>考评由综合考评和日常考核两部分组成</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1、综合考评由市局和各区（镇）民政业务部门组织开展。市局、各区（镇）民政业务部门分别牵头成立由市管、消防等相关职能部门组成的联合考评小组，对养老机构开展服务质量综合考评工作。</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2、各区（镇）考评小组在3月份、9月份，根据《养老机构运营服务质量考评表》（附表1）1-</w:t>
      </w:r>
      <w:r>
        <w:rPr>
          <w:rFonts w:hint="eastAsia" w:ascii="仿宋_GB2312" w:eastAsia="仿宋_GB2312"/>
          <w:color w:val="auto"/>
          <w:sz w:val="32"/>
          <w:szCs w:val="32"/>
          <w:lang w:val="en-US" w:eastAsia="zh-CN"/>
        </w:rPr>
        <w:t>71</w:t>
      </w:r>
      <w:r>
        <w:rPr>
          <w:rFonts w:hint="eastAsia" w:ascii="仿宋_GB2312" w:eastAsia="仿宋_GB2312"/>
          <w:color w:val="auto"/>
          <w:sz w:val="32"/>
          <w:szCs w:val="32"/>
        </w:rPr>
        <w:t>项检查内容，完成辖区内养老机构服务质量当季考评工作，并及时将2次考评结果反馈市局养老服务科；市局考评小组在6月份、11月份，根据《养老机构运营服务质量考评表》（附表1），完成对全市养老机构服务质量半年度、全年度考评工作。</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3、日常考核由市局、各区（镇）民政业务部门组织开展不定期的机构日常检查，并将日常检查结果纳入综合考评。</w:t>
      </w:r>
    </w:p>
    <w:p>
      <w:pPr>
        <w:pageBreakBefore w:val="0"/>
        <w:widowControl w:val="0"/>
        <w:kinsoku/>
        <w:overflowPunct/>
        <w:topLinePunct w:val="0"/>
        <w:bidi w:val="0"/>
        <w:adjustRightInd/>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4、市局对全年4次考评得分进行汇总，其中各区（镇）考评小组的考评分占30%，市局考评小组的考评分占70%，全年平均分作为本年度综合考评得分。</w:t>
      </w:r>
    </w:p>
    <w:p>
      <w:pPr>
        <w:pageBreakBefore w:val="0"/>
        <w:widowControl w:val="0"/>
        <w:kinsoku/>
        <w:overflowPunct/>
        <w:topLinePunct w:val="0"/>
        <w:bidi w:val="0"/>
        <w:adjustRightInd/>
        <w:spacing w:line="520" w:lineRule="exact"/>
        <w:ind w:firstLine="643" w:firstLineChars="200"/>
        <w:rPr>
          <w:rFonts w:ascii="黑体" w:eastAsia="黑体"/>
          <w:b/>
          <w:color w:val="auto"/>
          <w:sz w:val="32"/>
          <w:szCs w:val="32"/>
        </w:rPr>
      </w:pPr>
      <w:r>
        <w:rPr>
          <w:rFonts w:hint="eastAsia" w:ascii="黑体" w:eastAsia="黑体"/>
          <w:b/>
          <w:color w:val="auto"/>
          <w:sz w:val="32"/>
          <w:szCs w:val="32"/>
        </w:rPr>
        <w:t>二、结果运用</w:t>
      </w:r>
    </w:p>
    <w:p>
      <w:pPr>
        <w:pageBreakBefore w:val="0"/>
        <w:widowControl w:val="0"/>
        <w:kinsoku/>
        <w:overflowPunct/>
        <w:topLinePunct w:val="0"/>
        <w:bidi w:val="0"/>
        <w:adjustRightInd/>
        <w:spacing w:line="520" w:lineRule="exact"/>
        <w:ind w:firstLine="643" w:firstLineChars="200"/>
        <w:rPr>
          <w:rFonts w:ascii="楷体_GB2312" w:hAnsi="Verdana" w:eastAsia="楷体_GB2312"/>
          <w:b/>
          <w:color w:val="auto"/>
          <w:sz w:val="32"/>
          <w:szCs w:val="32"/>
        </w:rPr>
      </w:pPr>
      <w:r>
        <w:rPr>
          <w:rFonts w:hint="eastAsia" w:ascii="楷体_GB2312" w:hAnsi="Verdana" w:eastAsia="楷体_GB2312"/>
          <w:b/>
          <w:color w:val="auto"/>
          <w:sz w:val="32"/>
          <w:szCs w:val="32"/>
        </w:rPr>
        <w:t>（一）运营补贴计算方法</w:t>
      </w:r>
    </w:p>
    <w:p>
      <w:pPr>
        <w:pageBreakBefore w:val="0"/>
        <w:widowControl w:val="0"/>
        <w:kinsoku/>
        <w:overflowPunct/>
        <w:topLinePunct w:val="0"/>
        <w:bidi w:val="0"/>
        <w:adjustRightInd/>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老人实际入住时间和人数，确定应享受床位数。以老人入住协议（含入住老人、监护人等相关信息）、收费票据作为依据，计算享受补贴金额。市局依据各机构上交的补贴材料，不定期开展核查工作，一经发现机构有虚报人数、谎报床位等弄虚作假行为的终止考评。</w:t>
      </w:r>
    </w:p>
    <w:p>
      <w:pPr>
        <w:pageBreakBefore w:val="0"/>
        <w:widowControl w:val="0"/>
        <w:kinsoku/>
        <w:overflowPunct/>
        <w:topLinePunct w:val="0"/>
        <w:bidi w:val="0"/>
        <w:adjustRightInd/>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计算办法：全年应享受床位数*补贴标准*考评系数=本年度运营补贴金额。</w:t>
      </w:r>
    </w:p>
    <w:p>
      <w:pPr>
        <w:pageBreakBefore w:val="0"/>
        <w:widowControl w:val="0"/>
        <w:kinsoku/>
        <w:overflowPunct/>
        <w:topLinePunct w:val="0"/>
        <w:bidi w:val="0"/>
        <w:adjustRightInd/>
        <w:spacing w:line="520" w:lineRule="exact"/>
        <w:ind w:firstLine="643" w:firstLineChars="200"/>
        <w:rPr>
          <w:rFonts w:ascii="楷体_GB2312" w:hAnsi="Verdana" w:eastAsia="楷体_GB2312"/>
          <w:b/>
          <w:color w:val="auto"/>
          <w:sz w:val="32"/>
          <w:szCs w:val="32"/>
        </w:rPr>
      </w:pPr>
      <w:r>
        <w:rPr>
          <w:rFonts w:hint="eastAsia" w:ascii="楷体_GB2312" w:hAnsi="Verdana" w:eastAsia="楷体_GB2312"/>
          <w:b/>
          <w:color w:val="auto"/>
          <w:sz w:val="32"/>
          <w:szCs w:val="32"/>
        </w:rPr>
        <w:t>（二）补贴标准</w:t>
      </w:r>
    </w:p>
    <w:p>
      <w:pPr>
        <w:pageBreakBefore w:val="0"/>
        <w:widowControl w:val="0"/>
        <w:kinsoku/>
        <w:overflowPunct/>
        <w:topLinePunct w:val="0"/>
        <w:bidi w:val="0"/>
        <w:adjustRightInd/>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运营补贴标准和养老机构星级评定结果挂钩（养老机构星级评定</w:t>
      </w:r>
      <w:r>
        <w:rPr>
          <w:rFonts w:hint="eastAsia" w:ascii="仿宋_GB2312" w:hAnsi="仿宋" w:eastAsia="仿宋_GB2312"/>
          <w:color w:val="auto"/>
          <w:sz w:val="32"/>
          <w:szCs w:val="32"/>
          <w:lang w:eastAsia="zh-CN"/>
        </w:rPr>
        <w:t>补贴标准</w:t>
      </w:r>
      <w:r>
        <w:rPr>
          <w:rFonts w:hint="eastAsia" w:ascii="仿宋_GB2312" w:hAnsi="仿宋" w:eastAsia="仿宋_GB2312"/>
          <w:color w:val="auto"/>
          <w:sz w:val="32"/>
          <w:szCs w:val="32"/>
        </w:rPr>
        <w:t>文件另行下发）。</w:t>
      </w:r>
    </w:p>
    <w:p>
      <w:pPr>
        <w:pageBreakBefore w:val="0"/>
        <w:widowControl w:val="0"/>
        <w:kinsoku/>
        <w:overflowPunct/>
        <w:topLinePunct w:val="0"/>
        <w:bidi w:val="0"/>
        <w:adjustRightInd/>
        <w:spacing w:line="520" w:lineRule="exact"/>
        <w:ind w:firstLine="643" w:firstLineChars="200"/>
        <w:rPr>
          <w:rFonts w:ascii="楷体_GB2312" w:hAnsi="Verdana" w:eastAsia="楷体_GB2312"/>
          <w:b/>
          <w:color w:val="auto"/>
          <w:sz w:val="32"/>
          <w:szCs w:val="32"/>
        </w:rPr>
      </w:pPr>
      <w:r>
        <w:rPr>
          <w:rFonts w:hint="eastAsia" w:ascii="楷体_GB2312" w:hAnsi="Verdana" w:eastAsia="楷体_GB2312"/>
          <w:b/>
          <w:color w:val="auto"/>
          <w:sz w:val="32"/>
          <w:szCs w:val="32"/>
        </w:rPr>
        <w:t>（三）考评结果等次运用</w:t>
      </w:r>
    </w:p>
    <w:p>
      <w:pPr>
        <w:pageBreakBefore w:val="0"/>
        <w:widowControl w:val="0"/>
        <w:kinsoku/>
        <w:overflowPunct/>
        <w:topLinePunct w:val="0"/>
        <w:bidi w:val="0"/>
        <w:adjustRightInd/>
        <w:spacing w:line="520" w:lineRule="exact"/>
        <w:ind w:firstLine="643" w:firstLineChars="200"/>
        <w:rPr>
          <w:rFonts w:ascii="楷体_GB2312" w:hAnsi="Verdana" w:eastAsia="楷体_GB2312"/>
          <w:b/>
          <w:color w:val="auto"/>
          <w:sz w:val="32"/>
          <w:szCs w:val="32"/>
        </w:rPr>
      </w:pPr>
      <w:r>
        <w:rPr>
          <w:rFonts w:hint="eastAsia" w:ascii="楷体_GB2312" w:hAnsi="Verdana" w:eastAsia="楷体_GB2312"/>
          <w:b/>
          <w:color w:val="auto"/>
          <w:sz w:val="32"/>
          <w:szCs w:val="32"/>
        </w:rPr>
        <w:t>1、考评等次划分</w:t>
      </w:r>
    </w:p>
    <w:p>
      <w:pPr>
        <w:pageBreakBefore w:val="0"/>
        <w:widowControl w:val="0"/>
        <w:kinsoku/>
        <w:overflowPunct/>
        <w:topLinePunct w:val="0"/>
        <w:bidi w:val="0"/>
        <w:adjustRightInd/>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养老机构的考评结果采用等级制，分为A、B、C、D四等，最高等级为A等。等级越高，养老机构的服务质量和管理水平越高。等级按考评指标进行评分，基本分100分，附加分值不限</w:t>
      </w:r>
      <w:r>
        <w:rPr>
          <w:rFonts w:hint="eastAsia" w:ascii="仿宋_GB2312" w:hAnsi="仿宋" w:eastAsia="仿宋_GB2312"/>
          <w:color w:val="auto"/>
          <w:sz w:val="32"/>
          <w:szCs w:val="32"/>
          <w:lang w:eastAsia="zh-CN"/>
        </w:rPr>
        <w:t>上限</w:t>
      </w:r>
      <w:r>
        <w:rPr>
          <w:rFonts w:hint="eastAsia" w:ascii="仿宋_GB2312" w:hAnsi="仿宋" w:eastAsia="仿宋_GB2312"/>
          <w:color w:val="auto"/>
          <w:sz w:val="32"/>
          <w:szCs w:val="32"/>
        </w:rPr>
        <w:t>。其中，总分在95分以上（含95分）为A等，94分-90分为B等，89分-85分为C等，85分以下为D等。</w:t>
      </w:r>
    </w:p>
    <w:p>
      <w:pPr>
        <w:pageBreakBefore w:val="0"/>
        <w:widowControl w:val="0"/>
        <w:kinsoku/>
        <w:overflowPunct/>
        <w:topLinePunct w:val="0"/>
        <w:bidi w:val="0"/>
        <w:adjustRightInd/>
        <w:spacing w:line="520" w:lineRule="exact"/>
        <w:ind w:firstLine="643" w:firstLineChars="200"/>
        <w:rPr>
          <w:rFonts w:ascii="楷体_GB2312" w:hAnsi="Verdana" w:eastAsia="楷体_GB2312"/>
          <w:b/>
          <w:color w:val="auto"/>
          <w:sz w:val="32"/>
          <w:szCs w:val="32"/>
        </w:rPr>
      </w:pPr>
      <w:r>
        <w:rPr>
          <w:rFonts w:hint="eastAsia" w:ascii="楷体_GB2312" w:hAnsi="Verdana" w:eastAsia="楷体_GB2312"/>
          <w:b/>
          <w:color w:val="auto"/>
          <w:sz w:val="32"/>
          <w:szCs w:val="32"/>
        </w:rPr>
        <w:t>2、考评结果应用</w:t>
      </w:r>
    </w:p>
    <w:p>
      <w:pPr>
        <w:pageBreakBefore w:val="0"/>
        <w:widowControl w:val="0"/>
        <w:kinsoku/>
        <w:overflowPunct/>
        <w:topLinePunct w:val="0"/>
        <w:bidi w:val="0"/>
        <w:adjustRightInd/>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考评结果为A等的，床位运</w:t>
      </w:r>
      <w:r>
        <w:rPr>
          <w:rFonts w:hint="eastAsia" w:ascii="仿宋_GB2312" w:hAnsi="仿宋" w:eastAsia="仿宋_GB2312"/>
          <w:color w:val="auto"/>
          <w:sz w:val="32"/>
          <w:szCs w:val="32"/>
          <w:lang w:eastAsia="zh-CN"/>
        </w:rPr>
        <w:t>营</w:t>
      </w:r>
      <w:r>
        <w:rPr>
          <w:rFonts w:hint="eastAsia" w:ascii="仿宋_GB2312" w:hAnsi="仿宋" w:eastAsia="仿宋_GB2312"/>
          <w:color w:val="auto"/>
          <w:sz w:val="32"/>
          <w:szCs w:val="32"/>
        </w:rPr>
        <w:t>补贴上浮20%；机构享受市局优先推荐“优秀社会组织”等活动的评先评优。</w:t>
      </w:r>
    </w:p>
    <w:p>
      <w:pPr>
        <w:pageBreakBefore w:val="0"/>
        <w:widowControl w:val="0"/>
        <w:kinsoku/>
        <w:overflowPunct/>
        <w:topLinePunct w:val="0"/>
        <w:bidi w:val="0"/>
        <w:adjustRightInd/>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考评结果为B等的，床位运</w:t>
      </w:r>
      <w:r>
        <w:rPr>
          <w:rFonts w:hint="eastAsia" w:ascii="仿宋_GB2312" w:hAnsi="仿宋" w:eastAsia="仿宋_GB2312"/>
          <w:color w:val="auto"/>
          <w:sz w:val="32"/>
          <w:szCs w:val="32"/>
          <w:lang w:eastAsia="zh-CN"/>
        </w:rPr>
        <w:t>营</w:t>
      </w:r>
      <w:r>
        <w:rPr>
          <w:rFonts w:hint="eastAsia" w:ascii="仿宋_GB2312" w:hAnsi="仿宋" w:eastAsia="仿宋_GB2312"/>
          <w:color w:val="auto"/>
          <w:sz w:val="32"/>
          <w:szCs w:val="32"/>
        </w:rPr>
        <w:t>补贴不予上浮；机构对运营管理中存在的问题开展自查自纠。</w:t>
      </w:r>
    </w:p>
    <w:p>
      <w:pPr>
        <w:pageBreakBefore w:val="0"/>
        <w:widowControl w:val="0"/>
        <w:kinsoku/>
        <w:overflowPunct/>
        <w:topLinePunct w:val="0"/>
        <w:bidi w:val="0"/>
        <w:adjustRightInd/>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考评结果为C等的，床位运</w:t>
      </w:r>
      <w:r>
        <w:rPr>
          <w:rFonts w:hint="eastAsia" w:ascii="仿宋_GB2312" w:hAnsi="仿宋" w:eastAsia="仿宋_GB2312"/>
          <w:color w:val="auto"/>
          <w:sz w:val="32"/>
          <w:szCs w:val="32"/>
          <w:lang w:eastAsia="zh-CN"/>
        </w:rPr>
        <w:t>营</w:t>
      </w:r>
      <w:r>
        <w:rPr>
          <w:rFonts w:hint="eastAsia" w:ascii="仿宋_GB2312" w:hAnsi="仿宋" w:eastAsia="仿宋_GB2312"/>
          <w:color w:val="auto"/>
          <w:sz w:val="32"/>
          <w:szCs w:val="32"/>
        </w:rPr>
        <w:t>补贴下降20%；机构向市局提交问题整改报告，同时区（镇）民政业务部门增加该类机构服务质量监督检查频率。</w:t>
      </w:r>
    </w:p>
    <w:p>
      <w:pPr>
        <w:pageBreakBefore w:val="0"/>
        <w:widowControl w:val="0"/>
        <w:kinsoku/>
        <w:overflowPunct/>
        <w:topLinePunct w:val="0"/>
        <w:bidi w:val="0"/>
        <w:adjustRightInd/>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考评结果为D等的，床位运</w:t>
      </w:r>
      <w:r>
        <w:rPr>
          <w:rFonts w:hint="eastAsia" w:ascii="仿宋_GB2312" w:hAnsi="仿宋" w:eastAsia="仿宋_GB2312"/>
          <w:color w:val="auto"/>
          <w:sz w:val="32"/>
          <w:szCs w:val="32"/>
          <w:lang w:eastAsia="zh-CN"/>
        </w:rPr>
        <w:t>营</w:t>
      </w:r>
      <w:r>
        <w:rPr>
          <w:rFonts w:hint="eastAsia" w:ascii="仿宋_GB2312" w:hAnsi="仿宋" w:eastAsia="仿宋_GB2312"/>
          <w:color w:val="auto"/>
          <w:sz w:val="32"/>
          <w:szCs w:val="32"/>
        </w:rPr>
        <w:t>补贴下降40%；机构向市局提交问题整改报告，同时市局将该类机构纳入养老行业重点督查单位。</w:t>
      </w:r>
    </w:p>
    <w:p>
      <w:pPr>
        <w:pageBreakBefore w:val="0"/>
        <w:widowControl w:val="0"/>
        <w:kinsoku/>
        <w:overflowPunct/>
        <w:topLinePunct w:val="0"/>
        <w:bidi w:val="0"/>
        <w:adjustRightInd/>
        <w:spacing w:line="520" w:lineRule="exact"/>
        <w:ind w:firstLine="643" w:firstLineChars="200"/>
        <w:rPr>
          <w:rFonts w:ascii="楷体_GB2312" w:hAnsi="Verdana" w:eastAsia="楷体_GB2312"/>
          <w:b/>
          <w:color w:val="auto"/>
          <w:sz w:val="32"/>
          <w:szCs w:val="32"/>
        </w:rPr>
      </w:pPr>
      <w:r>
        <w:rPr>
          <w:rFonts w:hint="eastAsia" w:ascii="楷体_GB2312" w:hAnsi="仿宋" w:eastAsia="楷体_GB2312"/>
          <w:b/>
          <w:color w:val="auto"/>
          <w:sz w:val="32"/>
          <w:szCs w:val="32"/>
        </w:rPr>
        <w:t>（四）补贴</w:t>
      </w:r>
      <w:r>
        <w:rPr>
          <w:rFonts w:hint="eastAsia" w:ascii="楷体_GB2312" w:hAnsi="Verdana" w:eastAsia="楷体_GB2312"/>
          <w:b/>
          <w:color w:val="auto"/>
          <w:sz w:val="32"/>
          <w:szCs w:val="32"/>
        </w:rPr>
        <w:t>申报程序</w:t>
      </w:r>
    </w:p>
    <w:p>
      <w:pPr>
        <w:pageBreakBefore w:val="0"/>
        <w:widowControl w:val="0"/>
        <w:kinsoku/>
        <w:overflowPunct/>
        <w:topLinePunct w:val="0"/>
        <w:bidi w:val="0"/>
        <w:adjustRightInd/>
        <w:spacing w:line="520" w:lineRule="exact"/>
        <w:ind w:firstLine="643" w:firstLineChars="200"/>
        <w:rPr>
          <w:rFonts w:ascii="仿宋_GB2312" w:hAnsi="仿宋" w:eastAsia="仿宋_GB2312"/>
          <w:color w:val="auto"/>
          <w:sz w:val="32"/>
          <w:szCs w:val="32"/>
        </w:rPr>
      </w:pPr>
      <w:r>
        <w:rPr>
          <w:rFonts w:hint="eastAsia" w:ascii="仿宋_GB2312" w:hAnsi="Verdana" w:eastAsia="仿宋_GB2312"/>
          <w:b/>
          <w:color w:val="auto"/>
          <w:sz w:val="32"/>
          <w:szCs w:val="32"/>
        </w:rPr>
        <w:t>1</w:t>
      </w:r>
      <w:r>
        <w:rPr>
          <w:rFonts w:hint="eastAsia" w:ascii="仿宋_GB2312" w:hAnsi="仿宋" w:eastAsia="仿宋_GB2312"/>
          <w:color w:val="auto"/>
          <w:sz w:val="32"/>
          <w:szCs w:val="32"/>
        </w:rPr>
        <w:t>、</w:t>
      </w:r>
      <w:r>
        <w:rPr>
          <w:rFonts w:hint="eastAsia" w:ascii="仿宋_GB2312" w:hAnsi="Verdana" w:eastAsia="仿宋_GB2312"/>
          <w:b/>
          <w:color w:val="auto"/>
          <w:sz w:val="32"/>
          <w:szCs w:val="32"/>
        </w:rPr>
        <w:t>养老机构申报。</w:t>
      </w:r>
      <w:r>
        <w:rPr>
          <w:rFonts w:hint="eastAsia" w:ascii="仿宋_GB2312" w:hAnsi="仿宋" w:eastAsia="仿宋_GB2312"/>
          <w:color w:val="auto"/>
          <w:sz w:val="32"/>
          <w:szCs w:val="32"/>
        </w:rPr>
        <w:t>符合条件的养老机构在11月5日前向所在区（镇）民政业务部门提交《养老机构运营补助申请表》（附件2）、《养老机构年度工作报告》。</w:t>
      </w:r>
    </w:p>
    <w:p>
      <w:pPr>
        <w:pageBreakBefore w:val="0"/>
        <w:widowControl w:val="0"/>
        <w:kinsoku/>
        <w:overflowPunct/>
        <w:topLinePunct w:val="0"/>
        <w:bidi w:val="0"/>
        <w:adjustRightInd/>
        <w:spacing w:line="520" w:lineRule="exact"/>
        <w:ind w:firstLine="643" w:firstLineChars="200"/>
        <w:rPr>
          <w:rFonts w:ascii="仿宋_GB2312" w:hAnsi="仿宋" w:eastAsia="仿宋_GB2312"/>
          <w:color w:val="auto"/>
          <w:sz w:val="32"/>
          <w:szCs w:val="32"/>
        </w:rPr>
      </w:pPr>
      <w:r>
        <w:rPr>
          <w:rFonts w:hint="eastAsia" w:ascii="仿宋_GB2312" w:hAnsi="Verdana" w:eastAsia="仿宋_GB2312"/>
          <w:b/>
          <w:color w:val="auto"/>
          <w:sz w:val="32"/>
          <w:szCs w:val="32"/>
        </w:rPr>
        <w:t>2、区（镇）初审。</w:t>
      </w:r>
      <w:r>
        <w:rPr>
          <w:rFonts w:hint="eastAsia" w:ascii="仿宋_GB2312" w:hAnsi="仿宋" w:eastAsia="仿宋_GB2312"/>
          <w:color w:val="auto"/>
          <w:sz w:val="32"/>
          <w:szCs w:val="32"/>
        </w:rPr>
        <w:t>各区（镇）民政业务部门对辖区内养老机构提交的申报材料进行核实，经区（镇）民政业务部门负责人和分管领导签字、盖章后，于</w:t>
      </w:r>
      <w:r>
        <w:rPr>
          <w:rFonts w:ascii="仿宋_GB2312" w:hAnsi="仿宋" w:eastAsia="仿宋_GB2312"/>
          <w:color w:val="auto"/>
          <w:sz w:val="32"/>
          <w:szCs w:val="32"/>
        </w:rPr>
        <w:t>1</w:t>
      </w:r>
      <w:r>
        <w:rPr>
          <w:rFonts w:hint="eastAsia" w:ascii="仿宋_GB2312" w:hAnsi="仿宋" w:eastAsia="仿宋_GB2312"/>
          <w:color w:val="auto"/>
          <w:sz w:val="32"/>
          <w:szCs w:val="32"/>
        </w:rPr>
        <w:t>1月15日前报市局养老服务科。</w:t>
      </w:r>
    </w:p>
    <w:p>
      <w:pPr>
        <w:pageBreakBefore w:val="0"/>
        <w:widowControl w:val="0"/>
        <w:kinsoku/>
        <w:overflowPunct/>
        <w:topLinePunct w:val="0"/>
        <w:bidi w:val="0"/>
        <w:adjustRightInd/>
        <w:spacing w:line="520" w:lineRule="exact"/>
        <w:ind w:firstLine="643" w:firstLineChars="200"/>
        <w:rPr>
          <w:rFonts w:ascii="仿宋_GB2312" w:hAnsi="仿宋" w:eastAsia="仿宋_GB2312"/>
          <w:color w:val="auto"/>
          <w:sz w:val="32"/>
          <w:szCs w:val="32"/>
        </w:rPr>
      </w:pPr>
      <w:r>
        <w:rPr>
          <w:rFonts w:hint="eastAsia" w:ascii="仿宋_GB2312" w:hAnsi="Verdana" w:eastAsia="仿宋_GB2312"/>
          <w:b/>
          <w:color w:val="auto"/>
          <w:sz w:val="32"/>
          <w:szCs w:val="32"/>
        </w:rPr>
        <w:t>3、市局审核、资金拨付。</w:t>
      </w:r>
      <w:r>
        <w:rPr>
          <w:rFonts w:hint="eastAsia" w:ascii="仿宋_GB2312" w:hAnsi="仿宋" w:eastAsia="仿宋_GB2312"/>
          <w:color w:val="auto"/>
          <w:sz w:val="32"/>
          <w:szCs w:val="32"/>
        </w:rPr>
        <w:t>市局养老服务科在12月20日前根据机构养老服务质量考评结果，测算运营补贴并经市局核准后拨付。</w:t>
      </w:r>
    </w:p>
    <w:p>
      <w:pPr>
        <w:pageBreakBefore w:val="0"/>
        <w:widowControl w:val="0"/>
        <w:kinsoku/>
        <w:overflowPunct/>
        <w:topLinePunct w:val="0"/>
        <w:bidi w:val="0"/>
        <w:adjustRightInd/>
        <w:spacing w:line="520" w:lineRule="exact"/>
        <w:ind w:firstLine="643" w:firstLineChars="200"/>
        <w:rPr>
          <w:rFonts w:ascii="黑体" w:eastAsia="黑体"/>
          <w:b/>
          <w:color w:val="auto"/>
          <w:sz w:val="32"/>
          <w:szCs w:val="32"/>
        </w:rPr>
      </w:pPr>
      <w:r>
        <w:rPr>
          <w:rFonts w:hint="eastAsia" w:ascii="黑体" w:eastAsia="黑体"/>
          <w:b/>
          <w:color w:val="auto"/>
          <w:sz w:val="32"/>
          <w:szCs w:val="32"/>
        </w:rPr>
        <w:t xml:space="preserve"> 三、工作要求</w:t>
      </w:r>
    </w:p>
    <w:p>
      <w:pPr>
        <w:pageBreakBefore w:val="0"/>
        <w:widowControl w:val="0"/>
        <w:kinsoku/>
        <w:overflowPunct/>
        <w:topLinePunct w:val="0"/>
        <w:bidi w:val="0"/>
        <w:adjustRightInd/>
        <w:spacing w:line="520" w:lineRule="exact"/>
        <w:ind w:firstLine="643" w:firstLineChars="200"/>
        <w:rPr>
          <w:rFonts w:ascii="仿宋_GB2312" w:hAnsi="仿宋" w:eastAsia="仿宋_GB2312"/>
          <w:color w:val="auto"/>
          <w:sz w:val="32"/>
          <w:szCs w:val="32"/>
        </w:rPr>
      </w:pPr>
      <w:r>
        <w:rPr>
          <w:rFonts w:hint="eastAsia" w:ascii="楷体_GB2312" w:hAnsi="Verdana" w:eastAsia="楷体_GB2312"/>
          <w:b/>
          <w:color w:val="auto"/>
          <w:sz w:val="32"/>
          <w:szCs w:val="32"/>
        </w:rPr>
        <w:t>（一）扎实开展养老机构服务质量考评工作。</w:t>
      </w:r>
      <w:r>
        <w:rPr>
          <w:rFonts w:hint="eastAsia" w:ascii="仿宋_GB2312" w:hAnsi="仿宋" w:eastAsia="仿宋_GB2312"/>
          <w:color w:val="auto"/>
          <w:sz w:val="32"/>
          <w:szCs w:val="32"/>
        </w:rPr>
        <w:t>各区（镇）民政业务部门切实履行属地管理主体责任，加强组织领导，落实专人负责制，成立考评小组，明确岗位职责，按照《养老机构运营服务质量考评表》（附件1）对辖区内养老机构开展服务质量考评工作，推进养老机构服务质量的大转变，夯实全市养老机构服务质量可持续改善的基础。</w:t>
      </w:r>
    </w:p>
    <w:p>
      <w:pPr>
        <w:pageBreakBefore w:val="0"/>
        <w:widowControl w:val="0"/>
        <w:kinsoku/>
        <w:overflowPunct/>
        <w:topLinePunct w:val="0"/>
        <w:bidi w:val="0"/>
        <w:adjustRightInd/>
        <w:spacing w:line="520" w:lineRule="exact"/>
        <w:ind w:firstLine="643" w:firstLineChars="200"/>
        <w:rPr>
          <w:rFonts w:ascii="仿宋_GB2312" w:hAnsi="仿宋" w:eastAsia="仿宋_GB2312"/>
          <w:color w:val="auto"/>
          <w:sz w:val="32"/>
          <w:szCs w:val="32"/>
        </w:rPr>
      </w:pPr>
      <w:r>
        <w:rPr>
          <w:rFonts w:hint="eastAsia" w:ascii="楷体_GB2312" w:hAnsi="Verdana" w:eastAsia="楷体_GB2312"/>
          <w:b/>
          <w:color w:val="auto"/>
          <w:sz w:val="32"/>
          <w:szCs w:val="32"/>
        </w:rPr>
        <w:t>（二）切实加强养老机构服务质量监督。</w:t>
      </w:r>
      <w:r>
        <w:rPr>
          <w:rFonts w:hint="eastAsia" w:ascii="仿宋_GB2312" w:hAnsi="仿宋" w:eastAsia="仿宋_GB2312"/>
          <w:color w:val="auto"/>
          <w:sz w:val="32"/>
          <w:szCs w:val="32"/>
        </w:rPr>
        <w:t>各区（镇）民政业务部门全面排查养老机构服务质量问题与不足，将存在服务质量严重不足且拒不整改的养老机构，及时通报市管、消防、城管等相关部门合力督促养老机构即时整改到位。建立养老机构服务质量监督长效机制，落实隐患整改“回头看”工作，稳固检查成效，加强在院老人合法权益维护工作，打造老年人安全、舒适的生活环境。</w:t>
      </w:r>
    </w:p>
    <w:p>
      <w:pPr>
        <w:pageBreakBefore w:val="0"/>
        <w:widowControl w:val="0"/>
        <w:kinsoku/>
        <w:overflowPunct/>
        <w:topLinePunct w:val="0"/>
        <w:bidi w:val="0"/>
        <w:adjustRightInd/>
        <w:spacing w:line="520" w:lineRule="exact"/>
        <w:ind w:firstLine="643" w:firstLineChars="200"/>
        <w:rPr>
          <w:rFonts w:ascii="仿宋_GB2312" w:hAnsi="仿宋" w:eastAsia="仿宋_GB2312"/>
          <w:color w:val="auto"/>
          <w:sz w:val="32"/>
          <w:szCs w:val="32"/>
        </w:rPr>
      </w:pPr>
      <w:r>
        <w:rPr>
          <w:rFonts w:hint="eastAsia" w:ascii="楷体_GB2312" w:hAnsi="Verdana" w:eastAsia="楷体_GB2312"/>
          <w:b/>
          <w:color w:val="auto"/>
          <w:sz w:val="32"/>
          <w:szCs w:val="32"/>
        </w:rPr>
        <w:t>（三）加强宣传引导营造积极向上的浓厚氛围</w:t>
      </w:r>
      <w:r>
        <w:rPr>
          <w:rFonts w:hint="eastAsia" w:ascii="仿宋_GB2312" w:hAnsi="仿宋" w:eastAsia="仿宋_GB2312"/>
          <w:color w:val="auto"/>
          <w:sz w:val="32"/>
          <w:szCs w:val="32"/>
        </w:rPr>
        <w:t>。各区（镇）民政业务部门切实增强养老机构服务质量考评工作的积极性和主动性，强化对辖区内养老机构的督导检查，努力将养老机构服务质量考评工作向更高标准推进，提升养老机构负责人的知晓率、参与率，加强宣传引导，调动机构负责人的积极性，营造敬老、爱老、孝老的良好向上的社会氛围。</w:t>
      </w:r>
    </w:p>
    <w:p>
      <w:pPr>
        <w:pageBreakBefore w:val="0"/>
        <w:widowControl w:val="0"/>
        <w:kinsoku/>
        <w:overflowPunct/>
        <w:topLinePunct w:val="0"/>
        <w:bidi w:val="0"/>
        <w:adjustRightInd/>
        <w:spacing w:line="520" w:lineRule="exact"/>
        <w:ind w:firstLine="640" w:firstLineChars="200"/>
        <w:rPr>
          <w:rFonts w:hint="eastAsia" w:ascii="仿宋_GB2312" w:hAnsi="仿宋" w:eastAsia="仿宋_GB2312"/>
          <w:color w:val="auto"/>
          <w:sz w:val="32"/>
          <w:szCs w:val="32"/>
        </w:rPr>
      </w:pPr>
    </w:p>
    <w:p>
      <w:pPr>
        <w:pageBreakBefore w:val="0"/>
        <w:widowControl w:val="0"/>
        <w:kinsoku/>
        <w:overflowPunct/>
        <w:topLinePunct w:val="0"/>
        <w:bidi w:val="0"/>
        <w:adjustRightInd/>
        <w:spacing w:line="520" w:lineRule="exact"/>
        <w:ind w:firstLine="640" w:firstLineChars="200"/>
        <w:rPr>
          <w:rFonts w:hint="eastAsia" w:ascii="仿宋_GB2312" w:hAnsi="仿宋" w:eastAsia="仿宋_GB2312"/>
          <w:color w:val="auto"/>
          <w:sz w:val="32"/>
          <w:szCs w:val="32"/>
        </w:rPr>
      </w:pPr>
    </w:p>
    <w:p>
      <w:pPr>
        <w:pageBreakBefore w:val="0"/>
        <w:widowControl w:val="0"/>
        <w:kinsoku/>
        <w:overflowPunct/>
        <w:topLinePunct w:val="0"/>
        <w:bidi w:val="0"/>
        <w:adjustRightInd/>
        <w:spacing w:line="52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附件1.养老机构运营服务质量考评表</w:t>
      </w:r>
    </w:p>
    <w:p>
      <w:pPr>
        <w:pageBreakBefore w:val="0"/>
        <w:widowControl w:val="0"/>
        <w:kinsoku/>
        <w:overflowPunct/>
        <w:topLinePunct w:val="0"/>
        <w:bidi w:val="0"/>
        <w:adjustRightInd/>
        <w:spacing w:line="52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附件2.养老机构运营补助申请表</w:t>
      </w:r>
    </w:p>
    <w:p>
      <w:pPr>
        <w:pageBreakBefore w:val="0"/>
        <w:widowControl w:val="0"/>
        <w:kinsoku/>
        <w:overflowPunct/>
        <w:topLinePunct w:val="0"/>
        <w:bidi w:val="0"/>
        <w:adjustRightInd/>
        <w:spacing w:line="520" w:lineRule="exact"/>
        <w:ind w:firstLine="5280" w:firstLineChars="1650"/>
        <w:rPr>
          <w:rFonts w:hint="eastAsia" w:ascii="仿宋_GB2312" w:hAnsi="仿宋" w:eastAsia="仿宋_GB2312"/>
          <w:color w:val="auto"/>
          <w:sz w:val="32"/>
          <w:szCs w:val="32"/>
        </w:rPr>
      </w:pPr>
    </w:p>
    <w:p>
      <w:pPr>
        <w:pageBreakBefore w:val="0"/>
        <w:widowControl w:val="0"/>
        <w:kinsoku/>
        <w:overflowPunct/>
        <w:topLinePunct w:val="0"/>
        <w:bidi w:val="0"/>
        <w:adjustRightInd/>
        <w:spacing w:line="520" w:lineRule="exact"/>
        <w:ind w:firstLine="5280" w:firstLineChars="1650"/>
        <w:rPr>
          <w:rFonts w:hint="eastAsia" w:ascii="仿宋_GB2312" w:hAnsi="仿宋" w:eastAsia="仿宋_GB2312"/>
          <w:color w:val="auto"/>
          <w:sz w:val="32"/>
          <w:szCs w:val="32"/>
        </w:rPr>
      </w:pPr>
    </w:p>
    <w:p>
      <w:pPr>
        <w:pageBreakBefore w:val="0"/>
        <w:widowControl w:val="0"/>
        <w:kinsoku/>
        <w:overflowPunct/>
        <w:topLinePunct w:val="0"/>
        <w:bidi w:val="0"/>
        <w:adjustRightInd/>
        <w:spacing w:line="520" w:lineRule="exact"/>
        <w:ind w:firstLine="5280" w:firstLineChars="1650"/>
        <w:rPr>
          <w:rFonts w:ascii="仿宋_GB2312" w:hAnsi="仿宋" w:eastAsia="仿宋_GB2312"/>
          <w:color w:val="auto"/>
          <w:sz w:val="32"/>
          <w:szCs w:val="32"/>
        </w:rPr>
      </w:pPr>
      <w:r>
        <w:rPr>
          <w:rFonts w:hint="eastAsia" w:ascii="仿宋_GB2312" w:hAnsi="仿宋" w:eastAsia="仿宋_GB2312"/>
          <w:color w:val="auto"/>
          <w:sz w:val="32"/>
          <w:szCs w:val="32"/>
        </w:rPr>
        <w:t>启东市民政局</w:t>
      </w:r>
    </w:p>
    <w:p>
      <w:pPr>
        <w:pageBreakBefore w:val="0"/>
        <w:widowControl w:val="0"/>
        <w:kinsoku/>
        <w:overflowPunct/>
        <w:topLinePunct w:val="0"/>
        <w:bidi w:val="0"/>
        <w:adjustRightInd/>
        <w:spacing w:line="520" w:lineRule="exact"/>
        <w:ind w:firstLine="5120" w:firstLineChars="1600"/>
        <w:rPr>
          <w:rFonts w:ascii="仿宋_GB2312" w:hAnsi="仿宋" w:eastAsia="仿宋_GB2312"/>
          <w:color w:val="auto"/>
          <w:sz w:val="32"/>
          <w:szCs w:val="32"/>
        </w:rPr>
      </w:pP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8</w:t>
      </w:r>
      <w:r>
        <w:rPr>
          <w:rFonts w:hint="eastAsia" w:ascii="仿宋_GB2312" w:hAnsi="仿宋" w:eastAsia="仿宋_GB2312"/>
          <w:color w:val="auto"/>
          <w:sz w:val="32"/>
          <w:szCs w:val="32"/>
        </w:rPr>
        <w:t>日</w:t>
      </w: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p>
    <w:tbl>
      <w:tblPr>
        <w:tblStyle w:val="7"/>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35" w:type="dxa"/>
          </w:tcPr>
          <w:p>
            <w:pPr>
              <w:pageBreakBefore w:val="0"/>
              <w:widowControl w:val="0"/>
              <w:kinsoku/>
              <w:overflowPunct/>
              <w:topLinePunct w:val="0"/>
              <w:bidi w:val="0"/>
              <w:adjustRightInd/>
              <w:spacing w:line="500" w:lineRule="exact"/>
              <w:rPr>
                <w:rFonts w:ascii="宋体" w:hAnsi="宋体" w:cs="宋体"/>
                <w:b/>
                <w:bCs/>
                <w:color w:val="auto"/>
                <w:kern w:val="0"/>
                <w:sz w:val="28"/>
                <w:szCs w:val="28"/>
              </w:rPr>
            </w:pPr>
            <w:r>
              <w:rPr>
                <w:rFonts w:hint="eastAsia" w:ascii="仿宋_GB2312" w:hAnsi="仿宋" w:eastAsia="仿宋_GB2312"/>
                <w:color w:val="auto"/>
                <w:sz w:val="32"/>
                <w:szCs w:val="32"/>
              </w:rPr>
              <w:t>抄送</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市卫健委，</w:t>
            </w:r>
            <w:r>
              <w:rPr>
                <w:rFonts w:hint="eastAsia" w:eastAsia="仿宋_GB2312"/>
                <w:color w:val="auto"/>
                <w:sz w:val="32"/>
                <w:szCs w:val="32"/>
              </w:rPr>
              <w:t>启东市城投集团有限公司</w:t>
            </w:r>
          </w:p>
        </w:tc>
      </w:tr>
    </w:tbl>
    <w:p>
      <w:pPr>
        <w:pageBreakBefore w:val="0"/>
        <w:widowControl w:val="0"/>
        <w:kinsoku/>
        <w:overflowPunct/>
        <w:topLinePunct w:val="0"/>
        <w:bidi w:val="0"/>
        <w:adjustRightInd/>
        <w:spacing w:line="500" w:lineRule="exact"/>
        <w:rPr>
          <w:rFonts w:ascii="宋体" w:hAnsi="宋体" w:cs="宋体"/>
          <w:color w:val="auto"/>
          <w:sz w:val="32"/>
          <w:szCs w:val="32"/>
        </w:rPr>
      </w:pPr>
      <w:r>
        <w:rPr>
          <w:rFonts w:hint="eastAsia" w:ascii="宋体" w:hAnsi="宋体" w:cs="宋体"/>
          <w:b/>
          <w:bCs/>
          <w:color w:val="auto"/>
          <w:kern w:val="0"/>
          <w:sz w:val="28"/>
          <w:szCs w:val="28"/>
        </w:rPr>
        <w:t>附件1：</w:t>
      </w:r>
    </w:p>
    <w:tbl>
      <w:tblPr>
        <w:tblStyle w:val="6"/>
        <w:tblW w:w="5445" w:type="pct"/>
        <w:tblInd w:w="0" w:type="dxa"/>
        <w:tblLayout w:type="fixed"/>
        <w:tblCellMar>
          <w:top w:w="0" w:type="dxa"/>
          <w:left w:w="0" w:type="dxa"/>
          <w:bottom w:w="0" w:type="dxa"/>
          <w:right w:w="0" w:type="dxa"/>
        </w:tblCellMar>
      </w:tblPr>
      <w:tblGrid>
        <w:gridCol w:w="9419"/>
      </w:tblGrid>
      <w:tr>
        <w:tblPrEx>
          <w:tblCellMar>
            <w:top w:w="0" w:type="dxa"/>
            <w:left w:w="0" w:type="dxa"/>
            <w:bottom w:w="0" w:type="dxa"/>
            <w:right w:w="0" w:type="dxa"/>
          </w:tblCellMar>
        </w:tblPrEx>
        <w:trPr>
          <w:trHeight w:val="207" w:hRule="atLeast"/>
        </w:trPr>
        <w:tc>
          <w:tcPr>
            <w:tcW w:w="5000" w:type="pct"/>
            <w:tcBorders>
              <w:top w:val="nil"/>
              <w:left w:val="nil"/>
              <w:bottom w:val="nil"/>
              <w:right w:val="nil"/>
            </w:tcBorders>
            <w:noWrap/>
            <w:tcMar>
              <w:top w:w="15" w:type="dxa"/>
              <w:left w:w="15" w:type="dxa"/>
              <w:right w:w="15" w:type="dxa"/>
            </w:tcMar>
            <w:vAlign w:val="center"/>
          </w:tcPr>
          <w:p>
            <w:pPr>
              <w:pageBreakBefore w:val="0"/>
              <w:widowControl w:val="0"/>
              <w:kinsoku/>
              <w:overflowPunct/>
              <w:topLinePunct w:val="0"/>
              <w:bidi w:val="0"/>
              <w:adjustRightInd/>
              <w:spacing w:line="560" w:lineRule="exact"/>
              <w:jc w:val="center"/>
              <w:textAlignment w:val="center"/>
              <w:rPr>
                <w:rFonts w:ascii="宋体" w:hAnsi="宋体" w:cs="宋体"/>
                <w:b/>
                <w:bCs/>
                <w:color w:val="auto"/>
                <w:kern w:val="0"/>
                <w:sz w:val="40"/>
                <w:szCs w:val="40"/>
              </w:rPr>
            </w:pPr>
            <w:r>
              <w:rPr>
                <w:rFonts w:hint="eastAsia" w:ascii="宋体" w:hAnsi="宋体" w:cs="宋体"/>
                <w:b/>
                <w:bCs/>
                <w:color w:val="auto"/>
                <w:kern w:val="0"/>
                <w:sz w:val="40"/>
                <w:szCs w:val="40"/>
              </w:rPr>
              <w:t>养老机构运营服务质量考评表</w:t>
            </w:r>
          </w:p>
          <w:p>
            <w:pPr>
              <w:pageBreakBefore w:val="0"/>
              <w:widowControl w:val="0"/>
              <w:kinsoku/>
              <w:overflowPunct/>
              <w:topLinePunct w:val="0"/>
              <w:bidi w:val="0"/>
              <w:adjustRightInd/>
              <w:spacing w:line="560" w:lineRule="exact"/>
              <w:textAlignment w:val="center"/>
              <w:rPr>
                <w:rFonts w:ascii="宋体" w:hAnsi="宋体" w:cs="宋体"/>
                <w:color w:val="auto"/>
                <w:kern w:val="0"/>
                <w:sz w:val="28"/>
                <w:szCs w:val="28"/>
                <w:u w:val="single"/>
              </w:rPr>
            </w:pPr>
            <w:r>
              <w:rPr>
                <w:rFonts w:hint="eastAsia" w:ascii="宋体" w:hAnsi="宋体" w:cs="宋体"/>
                <w:b/>
                <w:bCs/>
                <w:color w:val="auto"/>
                <w:kern w:val="0"/>
                <w:sz w:val="28"/>
                <w:szCs w:val="28"/>
              </w:rPr>
              <w:t>机构名称：</w:t>
            </w:r>
            <w:r>
              <w:rPr>
                <w:rFonts w:hint="eastAsia" w:ascii="宋体" w:hAnsi="宋体" w:cs="宋体"/>
                <w:color w:val="auto"/>
                <w:kern w:val="0"/>
                <w:sz w:val="28"/>
                <w:szCs w:val="28"/>
                <w:u w:val="single"/>
              </w:rPr>
              <w:t xml:space="preserve">                                          </w:t>
            </w:r>
          </w:p>
          <w:p>
            <w:pPr>
              <w:pageBreakBefore w:val="0"/>
              <w:widowControl w:val="0"/>
              <w:kinsoku/>
              <w:overflowPunct/>
              <w:topLinePunct w:val="0"/>
              <w:bidi w:val="0"/>
              <w:adjustRightInd/>
              <w:spacing w:line="560" w:lineRule="exact"/>
              <w:textAlignment w:val="center"/>
              <w:rPr>
                <w:rFonts w:ascii="宋体" w:hAnsi="宋体" w:cs="宋体"/>
                <w:color w:val="auto"/>
                <w:kern w:val="0"/>
                <w:sz w:val="28"/>
                <w:szCs w:val="28"/>
                <w:u w:val="single"/>
              </w:rPr>
            </w:pPr>
            <w:r>
              <w:rPr>
                <w:rFonts w:hint="eastAsia" w:ascii="宋体" w:hAnsi="宋体" w:cs="宋体"/>
                <w:b/>
                <w:bCs/>
                <w:color w:val="auto"/>
                <w:kern w:val="0"/>
                <w:sz w:val="28"/>
                <w:szCs w:val="28"/>
              </w:rPr>
              <w:t>核定床位数：</w:t>
            </w:r>
            <w:r>
              <w:rPr>
                <w:rFonts w:hint="eastAsia" w:ascii="宋体" w:hAnsi="宋体" w:cs="宋体"/>
                <w:color w:val="auto"/>
                <w:kern w:val="0"/>
                <w:sz w:val="28"/>
                <w:szCs w:val="28"/>
                <w:u w:val="single"/>
              </w:rPr>
              <w:t xml:space="preserve">          </w:t>
            </w:r>
            <w:r>
              <w:rPr>
                <w:rFonts w:hint="eastAsia" w:ascii="宋体" w:hAnsi="宋体" w:cs="宋体"/>
                <w:b/>
                <w:bCs/>
                <w:color w:val="auto"/>
                <w:kern w:val="0"/>
                <w:sz w:val="28"/>
                <w:szCs w:val="28"/>
              </w:rPr>
              <w:t>张</w:t>
            </w:r>
          </w:p>
          <w:tbl>
            <w:tblPr>
              <w:tblStyle w:val="6"/>
              <w:tblW w:w="4864" w:type="pct"/>
              <w:tblInd w:w="0" w:type="dxa"/>
              <w:tblLayout w:type="fixed"/>
              <w:tblCellMar>
                <w:top w:w="0" w:type="dxa"/>
                <w:left w:w="0" w:type="dxa"/>
                <w:bottom w:w="0" w:type="dxa"/>
                <w:right w:w="0" w:type="dxa"/>
              </w:tblCellMar>
            </w:tblPr>
            <w:tblGrid>
              <w:gridCol w:w="363"/>
              <w:gridCol w:w="569"/>
              <w:gridCol w:w="531"/>
              <w:gridCol w:w="3870"/>
              <w:gridCol w:w="3160"/>
              <w:gridCol w:w="642"/>
            </w:tblGrid>
            <w:tr>
              <w:tblPrEx>
                <w:tblCellMar>
                  <w:top w:w="0" w:type="dxa"/>
                  <w:left w:w="0" w:type="dxa"/>
                  <w:bottom w:w="0" w:type="dxa"/>
                  <w:right w:w="0" w:type="dxa"/>
                </w:tblCellMar>
              </w:tblPrEx>
              <w:trPr>
                <w:trHeight w:val="540" w:hRule="atLeast"/>
              </w:trPr>
              <w:tc>
                <w:tcPr>
                  <w:tcW w:w="19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b/>
                      <w:bCs/>
                      <w:color w:val="auto"/>
                      <w:kern w:val="0"/>
                      <w:sz w:val="24"/>
                      <w:szCs w:val="24"/>
                    </w:rPr>
                  </w:pPr>
                  <w:r>
                    <w:rPr>
                      <w:rFonts w:hint="eastAsia" w:ascii="宋体" w:hAnsi="宋体" w:cs="宋体"/>
                      <w:b/>
                      <w:bCs/>
                      <w:color w:val="auto"/>
                      <w:kern w:val="0"/>
                      <w:sz w:val="24"/>
                      <w:szCs w:val="24"/>
                    </w:rPr>
                    <w:t>项</w:t>
                  </w:r>
                </w:p>
                <w:p>
                  <w:pPr>
                    <w:pageBreakBefore w:val="0"/>
                    <w:widowControl w:val="0"/>
                    <w:kinsoku/>
                    <w:overflowPunct/>
                    <w:topLinePunct w:val="0"/>
                    <w:bidi w:val="0"/>
                    <w:adjustRightInd/>
                    <w:jc w:val="center"/>
                    <w:textAlignment w:val="center"/>
                    <w:rPr>
                      <w:rFonts w:ascii="宋体" w:hAnsi="宋体" w:cs="宋体"/>
                      <w:b/>
                      <w:bCs/>
                      <w:color w:val="auto"/>
                      <w:kern w:val="0"/>
                      <w:sz w:val="24"/>
                      <w:szCs w:val="24"/>
                    </w:rPr>
                  </w:pPr>
                  <w:r>
                    <w:rPr>
                      <w:rFonts w:hint="eastAsia" w:ascii="宋体" w:hAnsi="宋体" w:cs="宋体"/>
                      <w:b/>
                      <w:bCs/>
                      <w:color w:val="auto"/>
                      <w:kern w:val="0"/>
                      <w:sz w:val="24"/>
                      <w:szCs w:val="24"/>
                    </w:rPr>
                    <w:t>目</w:t>
                  </w:r>
                </w:p>
              </w:tc>
              <w:tc>
                <w:tcPr>
                  <w:tcW w:w="31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b/>
                      <w:bCs/>
                      <w:color w:val="auto"/>
                      <w:kern w:val="0"/>
                      <w:sz w:val="24"/>
                      <w:szCs w:val="24"/>
                    </w:rPr>
                  </w:pPr>
                  <w:r>
                    <w:rPr>
                      <w:rFonts w:hint="eastAsia" w:ascii="宋体" w:hAnsi="宋体" w:cs="宋体"/>
                      <w:b/>
                      <w:bCs/>
                      <w:color w:val="auto"/>
                      <w:kern w:val="0"/>
                      <w:sz w:val="24"/>
                      <w:szCs w:val="24"/>
                    </w:rPr>
                    <w:t>考评条款</w:t>
                  </w:r>
                </w:p>
              </w:tc>
              <w:tc>
                <w:tcPr>
                  <w:tcW w:w="29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b/>
                      <w:bCs/>
                      <w:color w:val="auto"/>
                      <w:kern w:val="0"/>
                      <w:sz w:val="24"/>
                      <w:szCs w:val="24"/>
                    </w:rPr>
                  </w:pPr>
                  <w:r>
                    <w:rPr>
                      <w:rFonts w:hint="eastAsia" w:ascii="宋体" w:hAnsi="宋体" w:cs="宋体"/>
                      <w:b/>
                      <w:bCs/>
                      <w:color w:val="auto"/>
                      <w:kern w:val="0"/>
                      <w:sz w:val="24"/>
                      <w:szCs w:val="24"/>
                    </w:rPr>
                    <w:t>序号</w:t>
                  </w:r>
                </w:p>
              </w:tc>
              <w:tc>
                <w:tcPr>
                  <w:tcW w:w="211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b/>
                      <w:bCs/>
                      <w:color w:val="auto"/>
                      <w:kern w:val="0"/>
                      <w:sz w:val="24"/>
                      <w:szCs w:val="24"/>
                    </w:rPr>
                  </w:pPr>
                  <w:r>
                    <w:rPr>
                      <w:rFonts w:hint="eastAsia" w:ascii="宋体" w:hAnsi="宋体" w:cs="宋体"/>
                      <w:b/>
                      <w:bCs/>
                      <w:color w:val="auto"/>
                      <w:kern w:val="0"/>
                      <w:sz w:val="24"/>
                      <w:szCs w:val="24"/>
                    </w:rPr>
                    <w:t>考评内容</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b/>
                      <w:bCs/>
                      <w:color w:val="auto"/>
                      <w:kern w:val="0"/>
                      <w:sz w:val="24"/>
                      <w:szCs w:val="24"/>
                    </w:rPr>
                  </w:pPr>
                  <w:r>
                    <w:rPr>
                      <w:rFonts w:hint="eastAsia" w:ascii="宋体" w:hAnsi="宋体" w:cs="宋体"/>
                      <w:b/>
                      <w:bCs/>
                      <w:color w:val="auto"/>
                      <w:kern w:val="0"/>
                      <w:sz w:val="24"/>
                      <w:szCs w:val="24"/>
                    </w:rPr>
                    <w:t>考评方法</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b/>
                      <w:bCs/>
                      <w:color w:val="auto"/>
                      <w:kern w:val="0"/>
                      <w:sz w:val="24"/>
                      <w:szCs w:val="24"/>
                    </w:rPr>
                  </w:pPr>
                  <w:r>
                    <w:rPr>
                      <w:rFonts w:hint="eastAsia" w:ascii="宋体" w:hAnsi="宋体" w:cs="宋体"/>
                      <w:b/>
                      <w:bCs/>
                      <w:color w:val="auto"/>
                      <w:kern w:val="0"/>
                      <w:sz w:val="24"/>
                      <w:szCs w:val="24"/>
                    </w:rPr>
                    <w:t>扣分情况</w:t>
                  </w:r>
                </w:p>
              </w:tc>
            </w:tr>
            <w:tr>
              <w:tblPrEx>
                <w:tblCellMar>
                  <w:top w:w="0" w:type="dxa"/>
                  <w:left w:w="0" w:type="dxa"/>
                  <w:bottom w:w="0" w:type="dxa"/>
                  <w:right w:w="0" w:type="dxa"/>
                </w:tblCellMar>
              </w:tblPrEx>
              <w:trPr>
                <w:trHeight w:val="276" w:hRule="atLeast"/>
              </w:trPr>
              <w:tc>
                <w:tcPr>
                  <w:tcW w:w="198"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基</w:t>
                  </w:r>
                </w:p>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本</w:t>
                  </w:r>
                </w:p>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条</w:t>
                  </w:r>
                </w:p>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kern w:val="0"/>
                      <w:sz w:val="24"/>
                      <w:szCs w:val="24"/>
                    </w:rPr>
                    <w:t>件</w:t>
                  </w:r>
                </w:p>
              </w:tc>
              <w:tc>
                <w:tcPr>
                  <w:tcW w:w="31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环境</w:t>
                  </w: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0"/>
                    </w:rPr>
                  </w:pPr>
                  <w:r>
                    <w:rPr>
                      <w:rFonts w:hint="eastAsia" w:ascii="宋体" w:hAnsi="宋体" w:cs="宋体"/>
                      <w:color w:val="auto"/>
                      <w:sz w:val="20"/>
                    </w:rPr>
                    <w:t>1</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0"/>
                    </w:rPr>
                  </w:pPr>
                  <w:r>
                    <w:rPr>
                      <w:rFonts w:hint="eastAsia" w:ascii="宋体" w:hAnsi="宋体" w:cs="宋体"/>
                      <w:color w:val="auto"/>
                      <w:kern w:val="0"/>
                      <w:sz w:val="20"/>
                    </w:rPr>
                    <w:t>院内环境整洁、院容美观、区域内无乱停、乱放、乱晒、乱扔、乱堆、乱贴等现象。</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现场查看，发现一处扣0.5分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25"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0"/>
                    </w:rPr>
                  </w:pPr>
                  <w:r>
                    <w:rPr>
                      <w:rFonts w:hint="eastAsia" w:ascii="宋体" w:hAnsi="宋体" w:cs="宋体"/>
                      <w:color w:val="auto"/>
                      <w:sz w:val="20"/>
                    </w:rPr>
                    <w:t>2</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eastAsia="zh-CN"/>
                    </w:rPr>
                  </w:pPr>
                  <w:r>
                    <w:rPr>
                      <w:rFonts w:hint="eastAsia" w:ascii="宋体" w:hAnsi="宋体" w:cs="宋体"/>
                      <w:color w:val="auto"/>
                      <w:kern w:val="0"/>
                      <w:sz w:val="20"/>
                    </w:rPr>
                    <w:t>大门醒目处悬挂院名牌，设有</w:t>
                  </w:r>
                  <w:r>
                    <w:rPr>
                      <w:rFonts w:hint="eastAsia" w:ascii="宋体" w:hAnsi="宋体" w:cs="宋体"/>
                      <w:color w:val="auto"/>
                      <w:kern w:val="0"/>
                      <w:sz w:val="20"/>
                      <w:lang w:eastAsia="zh-CN"/>
                    </w:rPr>
                    <w:t>门厅或者接待空间。</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rPr>
                  </w:pPr>
                  <w:r>
                    <w:rPr>
                      <w:rFonts w:hint="eastAsia" w:ascii="宋体" w:hAnsi="宋体" w:cs="宋体"/>
                      <w:color w:val="auto"/>
                      <w:kern w:val="0"/>
                      <w:sz w:val="20"/>
                    </w:rPr>
                    <w:t>现场查看，有一</w:t>
                  </w:r>
                  <w:r>
                    <w:rPr>
                      <w:rFonts w:hint="eastAsia" w:ascii="宋体" w:hAnsi="宋体" w:cs="宋体"/>
                      <w:color w:val="auto"/>
                      <w:kern w:val="0"/>
                      <w:sz w:val="20"/>
                      <w:lang w:eastAsia="zh-CN"/>
                    </w:rPr>
                    <w:t>处</w:t>
                  </w:r>
                  <w:r>
                    <w:rPr>
                      <w:rFonts w:hint="eastAsia" w:ascii="宋体" w:hAnsi="宋体" w:cs="宋体"/>
                      <w:color w:val="auto"/>
                      <w:kern w:val="0"/>
                      <w:sz w:val="20"/>
                    </w:rPr>
                    <w:t>未达标扣1分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25"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kern w:val="2"/>
                      <w:sz w:val="20"/>
                      <w:lang w:val="en-US" w:eastAsia="zh-CN" w:bidi="ar-SA"/>
                    </w:rPr>
                  </w:pPr>
                  <w:r>
                    <w:rPr>
                      <w:rFonts w:hint="eastAsia" w:ascii="宋体" w:hAnsi="宋体" w:cs="宋体"/>
                      <w:color w:val="auto"/>
                      <w:sz w:val="20"/>
                    </w:rPr>
                    <w:t>3</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0"/>
                      <w:lang w:val="en-US" w:eastAsia="zh-CN" w:bidi="ar-SA"/>
                    </w:rPr>
                  </w:pPr>
                  <w:r>
                    <w:rPr>
                      <w:rFonts w:hint="eastAsia" w:ascii="宋体" w:hAnsi="宋体" w:cs="宋体"/>
                      <w:color w:val="auto"/>
                      <w:kern w:val="0"/>
                      <w:sz w:val="20"/>
                    </w:rPr>
                    <w:t>院内无污水、有窨井盖、无异味等现象。</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0"/>
                    </w:rPr>
                    <w:t>查看现场，有一项未达标扣1分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sz w:val="20"/>
                      <w:lang w:val="en-US" w:eastAsia="zh-CN"/>
                    </w:rPr>
                  </w:pPr>
                  <w:r>
                    <w:rPr>
                      <w:rFonts w:hint="eastAsia" w:ascii="宋体" w:hAnsi="宋体" w:cs="宋体"/>
                      <w:color w:val="auto"/>
                      <w:sz w:val="20"/>
                      <w:lang w:val="en-US" w:eastAsia="zh-CN"/>
                    </w:rPr>
                    <w:t>4</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default" w:ascii="宋体" w:hAnsi="宋体" w:eastAsia="宋体" w:cs="宋体"/>
                      <w:color w:val="auto"/>
                      <w:sz w:val="20"/>
                      <w:lang w:val="en-US" w:eastAsia="zh-CN"/>
                    </w:rPr>
                  </w:pPr>
                  <w:r>
                    <w:rPr>
                      <w:rFonts w:hint="eastAsia" w:ascii="宋体" w:hAnsi="宋体" w:cs="宋体"/>
                      <w:color w:val="auto"/>
                      <w:sz w:val="20"/>
                      <w:lang w:eastAsia="zh-CN"/>
                    </w:rPr>
                    <w:t>院内公共区域内均设有通行导向标志，符合</w:t>
                  </w:r>
                  <w:r>
                    <w:rPr>
                      <w:rFonts w:hint="eastAsia" w:ascii="宋体" w:hAnsi="宋体" w:cs="宋体"/>
                      <w:color w:val="auto"/>
                      <w:sz w:val="20"/>
                      <w:lang w:val="en-US" w:eastAsia="zh-CN"/>
                    </w:rPr>
                    <w:t>MZ/T131-2019</w:t>
                  </w:r>
                  <w:r>
                    <w:rPr>
                      <w:rFonts w:hint="eastAsia" w:ascii="宋体" w:hAnsi="宋体" w:cs="宋体"/>
                      <w:color w:val="auto"/>
                      <w:sz w:val="20"/>
                      <w:lang w:eastAsia="zh-CN"/>
                    </w:rPr>
                    <w:t>《养老服务常用图形符号及标志》，且信息准确无误，具有一致性、连续性和显著性。</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查看现场，有一</w:t>
                  </w:r>
                  <w:r>
                    <w:rPr>
                      <w:rFonts w:hint="eastAsia" w:ascii="宋体" w:hAnsi="宋体" w:cs="宋体"/>
                      <w:color w:val="auto"/>
                      <w:kern w:val="0"/>
                      <w:sz w:val="20"/>
                      <w:lang w:eastAsia="zh-CN"/>
                    </w:rPr>
                    <w:t>处</w:t>
                  </w:r>
                  <w:r>
                    <w:rPr>
                      <w:rFonts w:hint="eastAsia" w:ascii="宋体" w:hAnsi="宋体" w:cs="宋体"/>
                      <w:color w:val="auto"/>
                      <w:kern w:val="0"/>
                      <w:sz w:val="20"/>
                    </w:rPr>
                    <w:t>未达标扣</w:t>
                  </w:r>
                  <w:r>
                    <w:rPr>
                      <w:rFonts w:hint="eastAsia" w:ascii="宋体" w:hAnsi="宋体" w:cs="宋体"/>
                      <w:color w:val="auto"/>
                      <w:kern w:val="0"/>
                      <w:sz w:val="20"/>
                      <w:lang w:val="en-US" w:eastAsia="zh-CN"/>
                    </w:rPr>
                    <w:t>0.25</w:t>
                  </w:r>
                  <w:r>
                    <w:rPr>
                      <w:rFonts w:hint="eastAsia" w:ascii="宋体" w:hAnsi="宋体" w:cs="宋体"/>
                      <w:color w:val="auto"/>
                      <w:kern w:val="0"/>
                      <w:sz w:val="20"/>
                    </w:rPr>
                    <w:t>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硬件</w:t>
                  </w:r>
                </w:p>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kern w:val="0"/>
                      <w:sz w:val="24"/>
                      <w:szCs w:val="24"/>
                    </w:rPr>
                    <w:t>设施</w:t>
                  </w: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sz w:val="20"/>
                      <w:lang w:eastAsia="zh-CN"/>
                    </w:rPr>
                  </w:pPr>
                  <w:r>
                    <w:rPr>
                      <w:rFonts w:hint="eastAsia" w:ascii="宋体" w:hAnsi="宋体" w:cs="宋体"/>
                      <w:color w:val="auto"/>
                      <w:sz w:val="20"/>
                      <w:lang w:val="en-US" w:eastAsia="zh-CN"/>
                    </w:rPr>
                    <w:t>5</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sz w:val="20"/>
                      <w:lang w:eastAsia="zh-CN"/>
                    </w:rPr>
                  </w:pPr>
                  <w:r>
                    <w:rPr>
                      <w:rFonts w:hint="eastAsia" w:ascii="宋体" w:hAnsi="宋体" w:cs="宋体"/>
                      <w:color w:val="auto"/>
                      <w:kern w:val="0"/>
                      <w:sz w:val="20"/>
                      <w:lang w:eastAsia="zh-CN"/>
                    </w:rPr>
                    <w:t>出入口平台与室外地面之间无门槛，采用缓坡台阶和坡道过渡，室内外台阶均标有警示标识。</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现场查看，有一处未达标扣0.5分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sz w:val="20"/>
                      <w:lang w:eastAsia="zh-CN"/>
                    </w:rPr>
                  </w:pPr>
                  <w:r>
                    <w:rPr>
                      <w:rFonts w:hint="eastAsia" w:ascii="宋体" w:hAnsi="宋体" w:cs="宋体"/>
                      <w:color w:val="auto"/>
                      <w:sz w:val="20"/>
                      <w:lang w:val="en-US" w:eastAsia="zh-CN"/>
                    </w:rPr>
                    <w:t>6</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sz w:val="20"/>
                      <w:lang w:eastAsia="zh-CN"/>
                    </w:rPr>
                  </w:pPr>
                  <w:r>
                    <w:rPr>
                      <w:rFonts w:hint="eastAsia" w:ascii="宋体" w:hAnsi="宋体" w:cs="宋体"/>
                      <w:color w:val="auto"/>
                      <w:kern w:val="0"/>
                      <w:sz w:val="20"/>
                      <w:lang w:eastAsia="zh-CN"/>
                    </w:rPr>
                    <w:t>院内</w:t>
                  </w:r>
                  <w:r>
                    <w:rPr>
                      <w:rFonts w:hint="eastAsia" w:ascii="宋体" w:hAnsi="宋体" w:cs="宋体"/>
                      <w:color w:val="auto"/>
                      <w:kern w:val="0"/>
                      <w:sz w:val="20"/>
                    </w:rPr>
                    <w:t>公共区域</w:t>
                  </w:r>
                  <w:r>
                    <w:rPr>
                      <w:rFonts w:hint="eastAsia" w:ascii="宋体" w:hAnsi="宋体" w:cs="宋体"/>
                      <w:color w:val="auto"/>
                      <w:kern w:val="0"/>
                      <w:sz w:val="20"/>
                      <w:lang w:eastAsia="zh-CN"/>
                    </w:rPr>
                    <w:t>地面平整、防滑且无破损；</w:t>
                  </w:r>
                  <w:r>
                    <w:rPr>
                      <w:rFonts w:hint="eastAsia" w:ascii="宋体" w:hAnsi="宋体" w:cs="宋体"/>
                      <w:color w:val="auto"/>
                      <w:kern w:val="0"/>
                      <w:sz w:val="20"/>
                    </w:rPr>
                    <w:t>走道两侧</w:t>
                  </w:r>
                  <w:r>
                    <w:rPr>
                      <w:rFonts w:hint="eastAsia" w:ascii="宋体" w:hAnsi="宋体" w:cs="宋体"/>
                      <w:color w:val="auto"/>
                      <w:kern w:val="0"/>
                      <w:sz w:val="20"/>
                      <w:lang w:eastAsia="zh-CN"/>
                    </w:rPr>
                    <w:t>、洗浴空间及</w:t>
                  </w:r>
                  <w:r>
                    <w:rPr>
                      <w:rFonts w:hint="eastAsia" w:ascii="宋体" w:hAnsi="宋体" w:cs="宋体"/>
                      <w:color w:val="auto"/>
                      <w:kern w:val="0"/>
                      <w:sz w:val="20"/>
                    </w:rPr>
                    <w:t>卫生间内</w:t>
                  </w:r>
                  <w:r>
                    <w:rPr>
                      <w:rFonts w:hint="eastAsia" w:ascii="宋体" w:hAnsi="宋体" w:cs="宋体"/>
                      <w:color w:val="auto"/>
                      <w:kern w:val="0"/>
                      <w:sz w:val="20"/>
                      <w:lang w:eastAsia="zh-CN"/>
                    </w:rPr>
                    <w:t>均</w:t>
                  </w:r>
                  <w:r>
                    <w:rPr>
                      <w:rFonts w:hint="eastAsia" w:ascii="宋体" w:hAnsi="宋体" w:cs="宋体"/>
                      <w:color w:val="auto"/>
                      <w:kern w:val="0"/>
                      <w:sz w:val="20"/>
                    </w:rPr>
                    <w:t>安装易于老人抓握的扶手</w:t>
                  </w:r>
                  <w:r>
                    <w:rPr>
                      <w:rFonts w:hint="eastAsia" w:ascii="宋体" w:hAnsi="宋体" w:cs="宋体"/>
                      <w:color w:val="auto"/>
                      <w:kern w:val="0"/>
                      <w:sz w:val="20"/>
                      <w:lang w:eastAsia="zh-CN"/>
                    </w:rPr>
                    <w:t>，无缺失且</w:t>
                  </w:r>
                  <w:r>
                    <w:rPr>
                      <w:rFonts w:hint="eastAsia" w:ascii="宋体" w:hAnsi="宋体" w:cs="宋体"/>
                      <w:color w:val="auto"/>
                      <w:kern w:val="0"/>
                      <w:sz w:val="20"/>
                    </w:rPr>
                    <w:t>能正常使用。</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现场查看，有一处未达标扣0.5分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sz w:val="20"/>
                      <w:lang w:val="en-US" w:eastAsia="zh-CN"/>
                    </w:rPr>
                  </w:pPr>
                  <w:r>
                    <w:rPr>
                      <w:rFonts w:hint="eastAsia" w:ascii="宋体" w:hAnsi="宋体" w:cs="宋体"/>
                      <w:color w:val="auto"/>
                      <w:sz w:val="20"/>
                      <w:lang w:val="en-US" w:eastAsia="zh-CN"/>
                    </w:rPr>
                    <w:t>7</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lang w:val="en-US" w:eastAsia="zh-CN"/>
                    </w:rPr>
                    <w:t>院内公共活动空间光照度充足、均匀，使用的灯具无明显眩光、易维护。</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rPr>
                    <w:t>现场查看，有一处未达标扣0.5分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sz w:val="20"/>
                      <w:lang w:val="en-US" w:eastAsia="zh-CN"/>
                    </w:rPr>
                  </w:pPr>
                  <w:r>
                    <w:rPr>
                      <w:rFonts w:hint="eastAsia" w:ascii="宋体" w:hAnsi="宋体" w:cs="宋体"/>
                      <w:color w:val="auto"/>
                      <w:sz w:val="20"/>
                      <w:lang w:val="en-US" w:eastAsia="zh-CN"/>
                    </w:rPr>
                    <w:t>8</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0"/>
                    </w:rPr>
                  </w:pPr>
                  <w:r>
                    <w:rPr>
                      <w:rFonts w:hint="eastAsia" w:ascii="宋体" w:hAnsi="宋体" w:cs="宋体"/>
                      <w:color w:val="auto"/>
                      <w:kern w:val="0"/>
                      <w:sz w:val="20"/>
                    </w:rPr>
                    <w:t>老人</w:t>
                  </w:r>
                  <w:r>
                    <w:rPr>
                      <w:rFonts w:hint="eastAsia" w:ascii="宋体" w:hAnsi="宋体" w:cs="宋体"/>
                      <w:color w:val="auto"/>
                      <w:kern w:val="0"/>
                      <w:sz w:val="20"/>
                      <w:lang w:eastAsia="zh-CN"/>
                    </w:rPr>
                    <w:t>居室内床头均</w:t>
                  </w:r>
                  <w:r>
                    <w:rPr>
                      <w:rFonts w:hint="eastAsia" w:ascii="宋体" w:hAnsi="宋体" w:cs="宋体"/>
                      <w:color w:val="auto"/>
                      <w:kern w:val="0"/>
                      <w:sz w:val="20"/>
                    </w:rPr>
                    <w:t>配有应急呼叫装置，</w:t>
                  </w:r>
                  <w:r>
                    <w:rPr>
                      <w:rFonts w:hint="eastAsia" w:ascii="宋体" w:hAnsi="宋体" w:cs="宋体"/>
                      <w:color w:val="auto"/>
                      <w:kern w:val="0"/>
                      <w:sz w:val="20"/>
                      <w:lang w:eastAsia="zh-CN"/>
                    </w:rPr>
                    <w:t>无缺失且</w:t>
                  </w:r>
                  <w:r>
                    <w:rPr>
                      <w:rFonts w:hint="eastAsia" w:ascii="宋体" w:hAnsi="宋体" w:cs="宋体"/>
                      <w:color w:val="auto"/>
                      <w:kern w:val="0"/>
                      <w:sz w:val="20"/>
                    </w:rPr>
                    <w:t>能正常使用。</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现场查看，有一处未达标扣1分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sz w:val="20"/>
                      <w:lang w:val="en-US" w:eastAsia="zh-CN"/>
                    </w:rPr>
                  </w:pPr>
                  <w:r>
                    <w:rPr>
                      <w:rFonts w:hint="eastAsia" w:ascii="宋体" w:hAnsi="宋体" w:cs="宋体"/>
                      <w:color w:val="auto"/>
                      <w:sz w:val="20"/>
                      <w:lang w:val="en-US" w:eastAsia="zh-CN"/>
                    </w:rPr>
                    <w:t>9</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lang w:val="en-US" w:eastAsia="zh-CN"/>
                    </w:rPr>
                    <w:t>老年居室多人间内每床位平均可使用面积不低于6平方米，单人间居室使用面积不低于10平方米</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rPr>
                    <w:t>现场查看，有一处未达标扣1分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10</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default" w:ascii="宋体" w:hAnsi="宋体" w:cs="宋体"/>
                      <w:color w:val="auto"/>
                      <w:kern w:val="0"/>
                      <w:sz w:val="20"/>
                      <w:lang w:val="en-US" w:eastAsia="zh-CN"/>
                    </w:rPr>
                  </w:pPr>
                  <w:r>
                    <w:rPr>
                      <w:rFonts w:hint="eastAsia" w:ascii="宋体" w:hAnsi="宋体" w:cs="宋体"/>
                      <w:color w:val="auto"/>
                      <w:kern w:val="0"/>
                      <w:sz w:val="20"/>
                      <w:lang w:val="en-US" w:eastAsia="zh-CN"/>
                    </w:rPr>
                    <w:t>老人居室门口设有基本信息标识，包括房间号及入住老人信息等。</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rPr>
                    <w:t>现场查看，有一处未达标扣0.5分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11</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default" w:ascii="宋体" w:hAnsi="宋体" w:cs="宋体"/>
                      <w:color w:val="auto"/>
                      <w:kern w:val="0"/>
                      <w:sz w:val="20"/>
                      <w:lang w:val="en-US" w:eastAsia="zh-CN"/>
                    </w:rPr>
                  </w:pPr>
                  <w:r>
                    <w:rPr>
                      <w:rFonts w:hint="eastAsia" w:ascii="宋体" w:hAnsi="宋体" w:cs="宋体"/>
                      <w:color w:val="auto"/>
                      <w:kern w:val="0"/>
                      <w:sz w:val="20"/>
                      <w:lang w:val="en-US" w:eastAsia="zh-CN"/>
                    </w:rPr>
                    <w:t>老人居室及卫生间门的开启净宽大于等于80cm。</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rPr>
                    <w:t>现场查看，有一处未达标扣1分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27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12</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ascii="宋体" w:hAnsi="宋体" w:cs="宋体"/>
                      <w:color w:val="auto"/>
                      <w:kern w:val="0"/>
                      <w:sz w:val="20"/>
                    </w:rPr>
                  </w:pPr>
                  <w:r>
                    <w:rPr>
                      <w:rFonts w:hint="eastAsia" w:ascii="宋体" w:hAnsi="宋体" w:cs="宋体"/>
                      <w:color w:val="auto"/>
                      <w:kern w:val="0"/>
                      <w:sz w:val="20"/>
                    </w:rPr>
                    <w:t>院内建立视频监控系统，全覆盖公共区域并实行24小时巡查</w:t>
                  </w:r>
                  <w:r>
                    <w:rPr>
                      <w:rFonts w:hint="eastAsia" w:ascii="宋体" w:hAnsi="宋体" w:cs="宋体"/>
                      <w:color w:val="auto"/>
                      <w:kern w:val="0"/>
                      <w:sz w:val="20"/>
                      <w:lang w:eastAsia="zh-CN"/>
                    </w:rPr>
                    <w:t>（监控系统存储不得少于</w:t>
                  </w:r>
                  <w:r>
                    <w:rPr>
                      <w:rFonts w:hint="eastAsia" w:ascii="宋体" w:hAnsi="宋体" w:cs="宋体"/>
                      <w:color w:val="auto"/>
                      <w:kern w:val="0"/>
                      <w:sz w:val="20"/>
                      <w:lang w:val="en-US" w:eastAsia="zh-CN"/>
                    </w:rPr>
                    <w:t>15天</w:t>
                  </w:r>
                  <w:r>
                    <w:rPr>
                      <w:rFonts w:hint="eastAsia" w:ascii="宋体" w:hAnsi="宋体" w:cs="宋体"/>
                      <w:color w:val="auto"/>
                      <w:kern w:val="0"/>
                      <w:sz w:val="20"/>
                      <w:lang w:eastAsia="zh-CN"/>
                    </w:rPr>
                    <w:t>）</w:t>
                  </w:r>
                  <w:r>
                    <w:rPr>
                      <w:rFonts w:hint="eastAsia" w:ascii="宋体" w:hAnsi="宋体" w:cs="宋体"/>
                      <w:color w:val="auto"/>
                      <w:kern w:val="0"/>
                      <w:sz w:val="20"/>
                    </w:rPr>
                    <w:t>，市局安装的</w:t>
                  </w:r>
                  <w:r>
                    <w:rPr>
                      <w:rFonts w:hint="eastAsia" w:ascii="宋体" w:hAnsi="宋体" w:cs="宋体"/>
                      <w:color w:val="auto"/>
                      <w:kern w:val="0"/>
                      <w:sz w:val="20"/>
                      <w:lang w:eastAsia="zh-CN"/>
                    </w:rPr>
                    <w:t>主要出入口及用餐空间的</w:t>
                  </w:r>
                  <w:r>
                    <w:rPr>
                      <w:rFonts w:hint="eastAsia" w:ascii="宋体" w:hAnsi="宋体" w:cs="宋体"/>
                      <w:color w:val="auto"/>
                      <w:kern w:val="0"/>
                      <w:sz w:val="20"/>
                    </w:rPr>
                    <w:t>远程监控正常运作。</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center"/>
                    <w:rPr>
                      <w:rFonts w:ascii="宋体" w:hAnsi="宋体" w:cs="宋体"/>
                      <w:color w:val="auto"/>
                      <w:kern w:val="0"/>
                      <w:sz w:val="20"/>
                    </w:rPr>
                  </w:pPr>
                  <w:r>
                    <w:rPr>
                      <w:rFonts w:hint="eastAsia" w:ascii="宋体" w:hAnsi="宋体" w:cs="宋体"/>
                      <w:color w:val="auto"/>
                      <w:kern w:val="0"/>
                      <w:sz w:val="20"/>
                    </w:rPr>
                    <w:t>现场查看、查阅资料、远程监督（排除技术、设备问题，院内自行拔除监控的），有一处（1次）未达标扣0.5分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27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kern w:val="2"/>
                      <w:sz w:val="20"/>
                      <w:lang w:val="en-US" w:eastAsia="zh-CN" w:bidi="ar-SA"/>
                    </w:rPr>
                  </w:pPr>
                  <w:r>
                    <w:rPr>
                      <w:rFonts w:hint="eastAsia" w:ascii="宋体" w:hAnsi="宋体" w:cs="宋体"/>
                      <w:color w:val="auto"/>
                      <w:sz w:val="20"/>
                      <w:lang w:val="en-US" w:eastAsia="zh-CN"/>
                    </w:rPr>
                    <w:t>13</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院内在公共区域内配备附房设施、配备洗衣房、</w:t>
                  </w:r>
                  <w:r>
                    <w:rPr>
                      <w:rFonts w:hint="eastAsia" w:ascii="宋体" w:hAnsi="宋体" w:cs="宋体"/>
                      <w:color w:val="auto"/>
                      <w:kern w:val="0"/>
                      <w:sz w:val="20"/>
                      <w:lang w:eastAsia="zh-CN"/>
                    </w:rPr>
                    <w:t>理发、</w:t>
                  </w:r>
                  <w:r>
                    <w:rPr>
                      <w:rFonts w:hint="eastAsia" w:ascii="宋体" w:hAnsi="宋体" w:cs="宋体"/>
                      <w:color w:val="auto"/>
                      <w:kern w:val="0"/>
                      <w:sz w:val="20"/>
                    </w:rPr>
                    <w:t>专门垃圾处理场所等功能性区域。</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现场查看，有一处未达标扣0.5分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236"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highlight w:val="yellow"/>
                      <w:lang w:val="en-US" w:eastAsia="zh-CN"/>
                    </w:rPr>
                  </w:pPr>
                  <w:r>
                    <w:rPr>
                      <w:rFonts w:hint="eastAsia" w:ascii="宋体" w:hAnsi="宋体" w:cs="宋体"/>
                      <w:color w:val="auto"/>
                      <w:sz w:val="20"/>
                      <w:highlight w:val="none"/>
                      <w:lang w:val="en-US" w:eastAsia="zh-CN"/>
                    </w:rPr>
                    <w:t>14</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highlight w:val="yellow"/>
                      <w:lang w:eastAsia="zh-CN"/>
                    </w:rPr>
                  </w:pPr>
                  <w:r>
                    <w:rPr>
                      <w:rFonts w:hint="eastAsia" w:ascii="宋体" w:hAnsi="宋体" w:cs="宋体"/>
                      <w:color w:val="auto"/>
                      <w:kern w:val="0"/>
                      <w:sz w:val="20"/>
                      <w:highlight w:val="none"/>
                      <w:lang w:eastAsia="zh-CN"/>
                    </w:rPr>
                    <w:t>院内空间规划布局合理，包括但不限于健身活动空间</w:t>
                  </w:r>
                  <w:r>
                    <w:rPr>
                      <w:rFonts w:hint="eastAsia" w:ascii="宋体" w:hAnsi="宋体" w:cs="宋体"/>
                      <w:color w:val="auto"/>
                      <w:kern w:val="0"/>
                      <w:sz w:val="20"/>
                      <w:highlight w:val="none"/>
                      <w:lang w:val="en-US" w:eastAsia="zh-CN"/>
                    </w:rPr>
                    <w:t>和娱乐设施</w:t>
                  </w:r>
                  <w:r>
                    <w:rPr>
                      <w:rFonts w:hint="eastAsia" w:ascii="宋体" w:hAnsi="宋体" w:cs="宋体"/>
                      <w:color w:val="auto"/>
                      <w:kern w:val="0"/>
                      <w:sz w:val="20"/>
                      <w:highlight w:val="none"/>
                      <w:lang w:eastAsia="zh-CN"/>
                    </w:rPr>
                    <w:t>空间；空间划分明确，且标有易于老人识别的信息标志。</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highlight w:val="yellow"/>
                    </w:rPr>
                  </w:pPr>
                  <w:r>
                    <w:rPr>
                      <w:rFonts w:hint="eastAsia" w:ascii="宋体" w:hAnsi="宋体" w:cs="宋体"/>
                      <w:color w:val="auto"/>
                      <w:kern w:val="0"/>
                      <w:sz w:val="20"/>
                      <w:highlight w:val="none"/>
                    </w:rPr>
                    <w:t>现场查看，有一处未达标扣0.5分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232" w:hRule="atLeast"/>
              </w:trPr>
              <w:tc>
                <w:tcPr>
                  <w:tcW w:w="198"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行</w:t>
                  </w:r>
                </w:p>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政</w:t>
                  </w:r>
                </w:p>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管</w:t>
                  </w:r>
                </w:p>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kern w:val="0"/>
                      <w:sz w:val="24"/>
                      <w:szCs w:val="24"/>
                    </w:rPr>
                    <w:t>理</w:t>
                  </w:r>
                </w:p>
              </w:tc>
              <w:tc>
                <w:tcPr>
                  <w:tcW w:w="31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制度</w:t>
                  </w:r>
                </w:p>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建设</w:t>
                  </w: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15</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有组织结构图及明确的部门划分，设立院长（副院长）和各个职能部门；明确运营管理、护理、后勤、安保等部门职能职责和人员岗位职责。</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现场查看、查阅资料，少一项扣0.5分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19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16</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订立院内各项（消防、食品、传染病等）安全管理制度、应急预案、安全管理组织架构（消防、食品、传染病等），相关资料上墙公示，并根据最新的要求时时更新内容。</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现场查看、查阅资料，少一项扣0.5分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208"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17</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建立院内工作人员信息花名册并按照人员变动及时修改，按照《劳动法》与工作人员签订劳动合同或用工协议。</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rPr>
                  </w:pPr>
                  <w:r>
                    <w:rPr>
                      <w:rFonts w:hint="eastAsia" w:ascii="宋体" w:hAnsi="宋体" w:cs="宋体"/>
                      <w:color w:val="auto"/>
                      <w:kern w:val="0"/>
                      <w:sz w:val="20"/>
                    </w:rPr>
                    <w:t>查阅资料，</w:t>
                  </w:r>
                  <w:r>
                    <w:rPr>
                      <w:rFonts w:hint="eastAsia" w:ascii="宋体" w:hAnsi="宋体" w:cs="宋体"/>
                      <w:color w:val="auto"/>
                      <w:kern w:val="0"/>
                      <w:sz w:val="20"/>
                      <w:lang w:eastAsia="zh-CN"/>
                    </w:rPr>
                    <w:t>现场询问工作人员，对照本人与机构签订的合同，</w:t>
                  </w:r>
                  <w:r>
                    <w:rPr>
                      <w:rFonts w:hint="eastAsia" w:ascii="宋体" w:hAnsi="宋体" w:cs="宋体"/>
                      <w:color w:val="auto"/>
                      <w:kern w:val="0"/>
                      <w:sz w:val="20"/>
                    </w:rPr>
                    <w:t>有一项未达标扣</w:t>
                  </w:r>
                  <w:r>
                    <w:rPr>
                      <w:rFonts w:hint="eastAsia" w:ascii="宋体" w:hAnsi="宋体" w:cs="宋体"/>
                      <w:color w:val="auto"/>
                      <w:kern w:val="0"/>
                      <w:sz w:val="20"/>
                      <w:lang w:val="en-US" w:eastAsia="zh-CN"/>
                    </w:rPr>
                    <w:t>1</w:t>
                  </w:r>
                  <w:r>
                    <w:rPr>
                      <w:rFonts w:hint="eastAsia" w:ascii="宋体" w:hAnsi="宋体" w:cs="宋体"/>
                      <w:color w:val="auto"/>
                      <w:kern w:val="0"/>
                      <w:sz w:val="20"/>
                    </w:rPr>
                    <w:t>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208"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18</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设有工作人员考勤制度及考勤记录，并根据考勤制度及考勤记录发放相应的薪酬。</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rPr>
                    <w:t>查阅资料，</w:t>
                  </w:r>
                  <w:r>
                    <w:rPr>
                      <w:rFonts w:hint="eastAsia" w:ascii="宋体" w:hAnsi="宋体" w:cs="宋体"/>
                      <w:color w:val="auto"/>
                      <w:kern w:val="0"/>
                      <w:sz w:val="20"/>
                      <w:lang w:eastAsia="zh-CN"/>
                    </w:rPr>
                    <w:t>现场询问工作人员，</w:t>
                  </w:r>
                  <w:r>
                    <w:rPr>
                      <w:rFonts w:hint="eastAsia" w:ascii="宋体" w:hAnsi="宋体" w:cs="宋体"/>
                      <w:color w:val="auto"/>
                      <w:kern w:val="0"/>
                      <w:sz w:val="20"/>
                    </w:rPr>
                    <w:t>有一项未达标扣</w:t>
                  </w:r>
                  <w:r>
                    <w:rPr>
                      <w:rFonts w:hint="eastAsia" w:ascii="宋体" w:hAnsi="宋体" w:cs="宋体"/>
                      <w:color w:val="auto"/>
                      <w:kern w:val="0"/>
                      <w:sz w:val="20"/>
                      <w:lang w:val="en-US" w:eastAsia="zh-CN"/>
                    </w:rPr>
                    <w:t>1</w:t>
                  </w:r>
                  <w:r>
                    <w:rPr>
                      <w:rFonts w:hint="eastAsia" w:ascii="宋体" w:hAnsi="宋体" w:cs="宋体"/>
                      <w:color w:val="auto"/>
                      <w:kern w:val="0"/>
                      <w:sz w:val="20"/>
                    </w:rPr>
                    <w:t>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ascii="宋体" w:hAnsi="宋体" w:cs="宋体"/>
                      <w:color w:val="auto"/>
                    </w:rPr>
                  </w:pPr>
                </w:p>
              </w:tc>
            </w:tr>
            <w:tr>
              <w:tblPrEx>
                <w:tblCellMar>
                  <w:top w:w="0" w:type="dxa"/>
                  <w:left w:w="0" w:type="dxa"/>
                  <w:bottom w:w="0" w:type="dxa"/>
                  <w:right w:w="0" w:type="dxa"/>
                </w:tblCellMar>
              </w:tblPrEx>
              <w:trPr>
                <w:trHeight w:val="778"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19</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建立老人入院评估制度（护理等级、他伤及自伤风险评估），入院后每年应至少进行1次阶段性评估（根据老人身体和精神状态应随时开展评估工作），并保存评估记录。</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查阅资料、查看记录，有一处未达标扣0.5分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778"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20</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highlight w:val="none"/>
                      <w:lang w:val="en-US" w:eastAsia="zh-CN"/>
                    </w:rPr>
                  </w:pPr>
                  <w:r>
                    <w:rPr>
                      <w:rFonts w:hint="eastAsia" w:ascii="宋体" w:hAnsi="宋体" w:cs="宋体"/>
                      <w:color w:val="auto"/>
                      <w:sz w:val="20"/>
                      <w:highlight w:val="none"/>
                      <w:lang w:val="en-US" w:eastAsia="zh-CN"/>
                    </w:rPr>
                    <w:t>老年人评估至少由两名评估人员同时开展评估工作，一人具有医学或者护理学背景，其他评估员获得社会工作者资格证书，或取得二级养老护理员及以上职业资格证书人员。</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highlight w:val="none"/>
                    </w:rPr>
                  </w:pPr>
                  <w:r>
                    <w:rPr>
                      <w:rFonts w:hint="eastAsia" w:ascii="宋体" w:hAnsi="宋体" w:cs="宋体"/>
                      <w:color w:val="auto"/>
                      <w:kern w:val="0"/>
                      <w:sz w:val="20"/>
                      <w:highlight w:val="none"/>
                    </w:rPr>
                    <w:t>查阅资料，有一处未达标扣</w:t>
                  </w:r>
                  <w:r>
                    <w:rPr>
                      <w:rFonts w:hint="eastAsia" w:ascii="宋体" w:hAnsi="宋体" w:cs="宋体"/>
                      <w:color w:val="auto"/>
                      <w:kern w:val="0"/>
                      <w:sz w:val="20"/>
                      <w:highlight w:val="none"/>
                      <w:lang w:val="en-US" w:eastAsia="zh-CN"/>
                    </w:rPr>
                    <w:t>1</w:t>
                  </w:r>
                  <w:r>
                    <w:rPr>
                      <w:rFonts w:hint="eastAsia" w:ascii="宋体" w:hAnsi="宋体" w:cs="宋体"/>
                      <w:color w:val="auto"/>
                      <w:kern w:val="0"/>
                      <w:sz w:val="20"/>
                      <w:highlight w:val="none"/>
                    </w:rPr>
                    <w:t>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26"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21</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查看入院老人健康体检报告（正规医疗机构出具的1月以内的）初步筛查精神类疾病、传染病等患者（患有此类疾病的老人不得收住）。</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rPr>
                    <w:t>查阅资料、查看记录</w:t>
                  </w:r>
                  <w:r>
                    <w:rPr>
                      <w:rFonts w:hint="eastAsia" w:ascii="宋体" w:hAnsi="宋体" w:cs="宋体"/>
                      <w:color w:val="auto"/>
                      <w:kern w:val="0"/>
                      <w:sz w:val="20"/>
                      <w:lang w:eastAsia="zh-CN"/>
                    </w:rPr>
                    <w:t>、现场走访</w:t>
                  </w:r>
                  <w:r>
                    <w:rPr>
                      <w:rFonts w:hint="eastAsia" w:ascii="宋体" w:hAnsi="宋体" w:cs="宋体"/>
                      <w:color w:val="auto"/>
                      <w:kern w:val="0"/>
                      <w:sz w:val="20"/>
                    </w:rPr>
                    <w:t>，有一处未达标扣</w:t>
                  </w:r>
                  <w:r>
                    <w:rPr>
                      <w:rFonts w:hint="eastAsia" w:ascii="宋体" w:hAnsi="宋体" w:cs="宋体"/>
                      <w:color w:val="auto"/>
                      <w:kern w:val="0"/>
                      <w:sz w:val="20"/>
                      <w:lang w:val="en-US" w:eastAsia="zh-CN"/>
                    </w:rPr>
                    <w:t>1</w:t>
                  </w:r>
                  <w:r>
                    <w:rPr>
                      <w:rFonts w:hint="eastAsia" w:ascii="宋体" w:hAnsi="宋体" w:cs="宋体"/>
                      <w:color w:val="auto"/>
                      <w:kern w:val="0"/>
                      <w:sz w:val="20"/>
                    </w:rPr>
                    <w:t>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26"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22</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与老年人或者其代理人签订服务协议，明确当事人的权利和义务，并根据老人定期评估结果及护理等级的变更时时调整服务协议、服务内容等。</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default" w:ascii="宋体" w:hAnsi="宋体" w:eastAsia="宋体" w:cs="宋体"/>
                      <w:color w:val="auto"/>
                      <w:kern w:val="0"/>
                      <w:sz w:val="20"/>
                      <w:lang w:val="en-US" w:eastAsia="zh-CN" w:bidi="ar-SA"/>
                    </w:rPr>
                  </w:pPr>
                  <w:r>
                    <w:rPr>
                      <w:rFonts w:hint="eastAsia" w:ascii="宋体" w:hAnsi="宋体" w:cs="宋体"/>
                      <w:color w:val="auto"/>
                      <w:kern w:val="0"/>
                      <w:sz w:val="20"/>
                    </w:rPr>
                    <w:t>查阅资料，</w:t>
                  </w:r>
                  <w:r>
                    <w:rPr>
                      <w:rFonts w:hint="eastAsia" w:ascii="宋体" w:hAnsi="宋体" w:cs="宋体"/>
                      <w:color w:val="auto"/>
                      <w:kern w:val="0"/>
                      <w:sz w:val="20"/>
                      <w:lang w:eastAsia="zh-CN"/>
                    </w:rPr>
                    <w:t>协议内容缺失</w:t>
                  </w:r>
                  <w:r>
                    <w:rPr>
                      <w:rFonts w:hint="eastAsia" w:ascii="宋体" w:hAnsi="宋体" w:cs="宋体"/>
                      <w:color w:val="auto"/>
                      <w:kern w:val="0"/>
                      <w:sz w:val="20"/>
                    </w:rPr>
                    <w:t>一人次扣0.5分</w:t>
                  </w:r>
                  <w:r>
                    <w:rPr>
                      <w:rFonts w:hint="eastAsia" w:ascii="宋体" w:hAnsi="宋体" w:cs="宋体"/>
                      <w:color w:val="auto"/>
                      <w:kern w:val="0"/>
                      <w:sz w:val="20"/>
                      <w:lang w:eastAsia="zh-CN"/>
                    </w:rPr>
                    <w:t>，未签订协议缺失一人次扣</w:t>
                  </w:r>
                  <w:r>
                    <w:rPr>
                      <w:rFonts w:hint="eastAsia" w:ascii="宋体" w:hAnsi="宋体" w:cs="宋体"/>
                      <w:color w:val="auto"/>
                      <w:kern w:val="0"/>
                      <w:sz w:val="20"/>
                      <w:lang w:val="en-US" w:eastAsia="zh-CN"/>
                    </w:rPr>
                    <w:t>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26"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23</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组织在院老人进行健康体检（每年1次健康体检，由正规医疗机构出具的健康体检报告）。</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lang w:eastAsia="zh-CN"/>
                    </w:rPr>
                    <w:t>对照老人服务协议</w:t>
                  </w:r>
                  <w:r>
                    <w:rPr>
                      <w:rFonts w:hint="eastAsia" w:ascii="宋体" w:hAnsi="宋体" w:cs="宋体"/>
                      <w:color w:val="auto"/>
                      <w:kern w:val="0"/>
                      <w:sz w:val="20"/>
                    </w:rPr>
                    <w:t>查阅台账，缺1次（1人）扣</w:t>
                  </w:r>
                  <w:r>
                    <w:rPr>
                      <w:rFonts w:hint="eastAsia" w:ascii="宋体" w:hAnsi="宋体" w:cs="宋体"/>
                      <w:color w:val="auto"/>
                      <w:kern w:val="0"/>
                      <w:sz w:val="20"/>
                      <w:lang w:val="en-US" w:eastAsia="zh-CN"/>
                    </w:rPr>
                    <w:t>1</w:t>
                  </w:r>
                  <w:r>
                    <w:rPr>
                      <w:rFonts w:hint="eastAsia" w:ascii="宋体" w:hAnsi="宋体" w:cs="宋体"/>
                      <w:color w:val="auto"/>
                      <w:kern w:val="0"/>
                      <w:sz w:val="20"/>
                    </w:rPr>
                    <w:t>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695"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r>
                    <w:rPr>
                      <w:rFonts w:hint="eastAsia" w:ascii="宋体" w:hAnsi="宋体" w:cs="宋体"/>
                      <w:color w:val="auto"/>
                      <w:kern w:val="0"/>
                      <w:sz w:val="20"/>
                    </w:rPr>
                    <w:t>工作人员每年1次健康体检（正规医疗机构出具的健康体检报告），体检报告存档。</w:t>
                  </w: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24</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工作人员每年1次健康体检（正规医疗机构出具的健康体检报告），体检报告存档。</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lang w:eastAsia="zh-CN"/>
                    </w:rPr>
                    <w:t>对照在院人员劳动合同或用工协议</w:t>
                  </w:r>
                  <w:r>
                    <w:rPr>
                      <w:rFonts w:hint="eastAsia" w:ascii="宋体" w:hAnsi="宋体" w:cs="宋体"/>
                      <w:color w:val="auto"/>
                      <w:kern w:val="0"/>
                      <w:sz w:val="20"/>
                    </w:rPr>
                    <w:t>查阅台账，缺1次（1人）扣</w:t>
                  </w:r>
                  <w:r>
                    <w:rPr>
                      <w:rFonts w:hint="eastAsia" w:ascii="宋体" w:hAnsi="宋体" w:cs="宋体"/>
                      <w:color w:val="auto"/>
                      <w:kern w:val="0"/>
                      <w:sz w:val="20"/>
                      <w:lang w:val="en-US" w:eastAsia="zh-CN"/>
                    </w:rPr>
                    <w:t>1</w:t>
                  </w:r>
                  <w:r>
                    <w:rPr>
                      <w:rFonts w:hint="eastAsia" w:ascii="宋体" w:hAnsi="宋体" w:cs="宋体"/>
                      <w:color w:val="auto"/>
                      <w:kern w:val="0"/>
                      <w:sz w:val="20"/>
                    </w:rPr>
                    <w:t>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713"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25</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建立例会制度（周例会、月度会、年度会等），处理院内事务和宣传、落实上级文件。</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查阅资料，</w:t>
                  </w:r>
                  <w:r>
                    <w:rPr>
                      <w:rFonts w:hint="eastAsia" w:ascii="宋体" w:hAnsi="宋体" w:cs="宋体"/>
                      <w:color w:val="auto"/>
                      <w:kern w:val="0"/>
                      <w:sz w:val="20"/>
                      <w:lang w:eastAsia="zh-CN"/>
                    </w:rPr>
                    <w:t>现场询问</w:t>
                  </w:r>
                  <w:r>
                    <w:rPr>
                      <w:rFonts w:hint="eastAsia" w:ascii="宋体" w:hAnsi="宋体" w:cs="宋体"/>
                      <w:color w:val="auto"/>
                      <w:kern w:val="0"/>
                      <w:sz w:val="20"/>
                      <w:lang w:val="en-US" w:eastAsia="zh-CN"/>
                    </w:rPr>
                    <w:t>2名工作人员，</w:t>
                  </w:r>
                  <w:r>
                    <w:rPr>
                      <w:rFonts w:hint="eastAsia" w:ascii="宋体" w:hAnsi="宋体" w:cs="宋体"/>
                      <w:color w:val="auto"/>
                      <w:kern w:val="0"/>
                      <w:sz w:val="20"/>
                    </w:rPr>
                    <w:t>有一处未达标扣0.5分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598"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sz w:val="20"/>
                      <w:lang w:val="en-US" w:eastAsia="zh-CN"/>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cs="宋体"/>
                      <w:color w:val="auto"/>
                      <w:sz w:val="20"/>
                      <w:lang w:val="en-US" w:eastAsia="zh-CN"/>
                    </w:rPr>
                  </w:pPr>
                  <w:r>
                    <w:rPr>
                      <w:rFonts w:hint="eastAsia" w:ascii="宋体" w:hAnsi="宋体" w:cs="宋体"/>
                      <w:color w:val="auto"/>
                      <w:sz w:val="20"/>
                      <w:lang w:val="en-US" w:eastAsia="zh-CN"/>
                    </w:rPr>
                    <w:t>26</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val="en-US" w:eastAsia="zh-CN"/>
                    </w:rPr>
                  </w:pPr>
                  <w:r>
                    <w:rPr>
                      <w:rFonts w:hint="eastAsia" w:ascii="宋体" w:hAnsi="宋体" w:cs="宋体"/>
                      <w:color w:val="auto"/>
                      <w:sz w:val="20"/>
                      <w:lang w:val="en-US" w:eastAsia="zh-CN"/>
                    </w:rPr>
                    <w:t>在机构显著位置公布服务管理信息，包括但不限于：养老服务项目及价格，机构内工作人员信息、咨询及投诉电话、来访者探视时间、来访须知（包括注意事项和禁忌事项），并实时更新信息。</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0"/>
                    </w:rPr>
                    <w:t>现场查看，少一项扣0.5分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5" w:hRule="atLeast"/>
              </w:trPr>
              <w:tc>
                <w:tcPr>
                  <w:tcW w:w="198"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安</w:t>
                  </w:r>
                </w:p>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全</w:t>
                  </w:r>
                </w:p>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管</w:t>
                  </w:r>
                </w:p>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kern w:val="0"/>
                      <w:sz w:val="24"/>
                      <w:szCs w:val="24"/>
                    </w:rPr>
                    <w:t>理</w:t>
                  </w:r>
                </w:p>
              </w:tc>
              <w:tc>
                <w:tcPr>
                  <w:tcW w:w="31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建筑</w:t>
                  </w:r>
                </w:p>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安全</w:t>
                  </w: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27</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rPr>
                  </w:pPr>
                  <w:r>
                    <w:rPr>
                      <w:rFonts w:hint="eastAsia" w:ascii="宋体" w:hAnsi="宋体" w:cs="宋体"/>
                      <w:color w:val="auto"/>
                      <w:sz w:val="20"/>
                    </w:rPr>
                    <w:t>人员住宿和主要活动场所严禁使用易燃可燃装饰材料，严禁采用夹芯材料燃烧性能低于A级的彩钢板搭建有人居住或者活动的建筑。</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rPr>
                  </w:pPr>
                  <w:r>
                    <w:rPr>
                      <w:rFonts w:hint="eastAsia" w:ascii="宋体" w:hAnsi="宋体" w:cs="宋体"/>
                      <w:color w:val="auto"/>
                      <w:kern w:val="0"/>
                      <w:sz w:val="20"/>
                    </w:rPr>
                    <w:t>现场查看，发现一处扣3分，并立即拆除违规建筑</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5"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28</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sz w:val="20"/>
                      <w:lang w:eastAsia="zh-CN"/>
                    </w:rPr>
                  </w:pPr>
                  <w:r>
                    <w:rPr>
                      <w:rFonts w:hint="eastAsia" w:ascii="宋体" w:hAnsi="宋体" w:cs="宋体"/>
                      <w:color w:val="auto"/>
                      <w:sz w:val="20"/>
                      <w:lang w:eastAsia="zh-CN"/>
                    </w:rPr>
                    <w:t>定期组织工作人员检查房屋有无裂缝、地基下沉、倾斜、漏水等现象。</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eastAsia="zh-CN"/>
                    </w:rPr>
                  </w:pPr>
                  <w:r>
                    <w:rPr>
                      <w:rFonts w:hint="eastAsia" w:ascii="宋体" w:hAnsi="宋体" w:cs="宋体"/>
                      <w:color w:val="auto"/>
                      <w:kern w:val="0"/>
                      <w:sz w:val="20"/>
                    </w:rPr>
                    <w:t>现场查看，发现一处扣3分，并立即</w:t>
                  </w:r>
                  <w:r>
                    <w:rPr>
                      <w:rFonts w:hint="eastAsia" w:ascii="宋体" w:hAnsi="宋体" w:cs="宋体"/>
                      <w:color w:val="auto"/>
                      <w:kern w:val="0"/>
                      <w:sz w:val="20"/>
                      <w:lang w:eastAsia="zh-CN"/>
                    </w:rPr>
                    <w:t>通知院内整改到位</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5"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29</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sz w:val="20"/>
                      <w:lang w:eastAsia="zh-CN"/>
                    </w:rPr>
                  </w:pPr>
                  <w:r>
                    <w:rPr>
                      <w:rFonts w:hint="eastAsia" w:ascii="宋体" w:hAnsi="宋体" w:cs="宋体"/>
                      <w:color w:val="auto"/>
                      <w:sz w:val="20"/>
                      <w:lang w:eastAsia="zh-CN"/>
                    </w:rPr>
                    <w:t>机构内有无违章搭建、违章使用等情况。</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rPr>
                    <w:t>现场查看，发现一处扣3分，并立即</w:t>
                  </w:r>
                  <w:r>
                    <w:rPr>
                      <w:rFonts w:hint="eastAsia" w:ascii="宋体" w:hAnsi="宋体" w:cs="宋体"/>
                      <w:color w:val="auto"/>
                      <w:kern w:val="0"/>
                      <w:sz w:val="20"/>
                      <w:lang w:eastAsia="zh-CN"/>
                    </w:rPr>
                    <w:t>通知院内整改到位</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5"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311"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29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30</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sz w:val="20"/>
                      <w:lang w:eastAsia="zh-CN"/>
                    </w:rPr>
                  </w:pPr>
                  <w:r>
                    <w:rPr>
                      <w:rFonts w:hint="eastAsia" w:ascii="宋体" w:hAnsi="宋体" w:cs="宋体"/>
                      <w:color w:val="auto"/>
                      <w:sz w:val="20"/>
                      <w:lang w:eastAsia="zh-CN"/>
                    </w:rPr>
                    <w:t>机构定期对院内房屋设施进行维修，保障使用安全。</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default" w:ascii="宋体" w:hAnsi="宋体" w:eastAsia="宋体" w:cs="宋体"/>
                      <w:color w:val="auto"/>
                      <w:kern w:val="0"/>
                      <w:sz w:val="20"/>
                      <w:lang w:val="en-US" w:eastAsia="zh-CN"/>
                    </w:rPr>
                  </w:pPr>
                  <w:r>
                    <w:rPr>
                      <w:rFonts w:hint="eastAsia" w:ascii="宋体" w:hAnsi="宋体" w:cs="宋体"/>
                      <w:color w:val="auto"/>
                      <w:kern w:val="0"/>
                      <w:sz w:val="20"/>
                    </w:rPr>
                    <w:t>现场查看、查阅资料</w:t>
                  </w:r>
                  <w:r>
                    <w:rPr>
                      <w:rFonts w:hint="eastAsia" w:ascii="宋体" w:hAnsi="宋体" w:cs="宋体"/>
                      <w:color w:val="auto"/>
                      <w:kern w:val="0"/>
                      <w:sz w:val="20"/>
                      <w:lang w:eastAsia="zh-CN"/>
                    </w:rPr>
                    <w:t>，有一项未达标扣除</w:t>
                  </w:r>
                  <w:r>
                    <w:rPr>
                      <w:rFonts w:hint="eastAsia" w:ascii="宋体" w:hAnsi="宋体" w:cs="宋体"/>
                      <w:color w:val="auto"/>
                      <w:kern w:val="0"/>
                      <w:sz w:val="20"/>
                      <w:lang w:val="en-US" w:eastAsia="zh-CN"/>
                    </w:rPr>
                    <w:t>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5"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restart"/>
                  <w:tcBorders>
                    <w:top w:val="single" w:color="auto" w:sz="4" w:space="0"/>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消防</w:t>
                  </w:r>
                </w:p>
                <w:p>
                  <w:pPr>
                    <w:pageBreakBefore w:val="0"/>
                    <w:widowControl w:val="0"/>
                    <w:kinsoku/>
                    <w:overflowPunct/>
                    <w:topLinePunct w:val="0"/>
                    <w:bidi w:val="0"/>
                    <w:adjustRightInd/>
                    <w:jc w:val="center"/>
                    <w:rPr>
                      <w:rFonts w:ascii="宋体" w:hAnsi="宋体" w:cs="宋体"/>
                      <w:color w:val="auto"/>
                      <w:sz w:val="24"/>
                      <w:szCs w:val="24"/>
                    </w:rPr>
                  </w:pPr>
                  <w:r>
                    <w:rPr>
                      <w:rFonts w:hint="eastAsia" w:ascii="宋体" w:hAnsi="宋体" w:cs="宋体"/>
                      <w:color w:val="auto"/>
                      <w:kern w:val="0"/>
                      <w:sz w:val="24"/>
                      <w:szCs w:val="24"/>
                    </w:rPr>
                    <w:t>管理</w:t>
                  </w:r>
                </w:p>
              </w:tc>
              <w:tc>
                <w:tcPr>
                  <w:tcW w:w="290"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kern w:val="0"/>
                      <w:sz w:val="20"/>
                      <w:lang w:val="en-US" w:eastAsia="zh-CN"/>
                    </w:rPr>
                  </w:pPr>
                  <w:r>
                    <w:rPr>
                      <w:rFonts w:hint="eastAsia" w:ascii="宋体" w:hAnsi="宋体" w:cs="宋体"/>
                      <w:color w:val="auto"/>
                      <w:kern w:val="0"/>
                      <w:sz w:val="20"/>
                      <w:lang w:val="en-US" w:eastAsia="zh-CN"/>
                    </w:rPr>
                    <w:t>31</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lang w:eastAsia="zh-CN"/>
                    </w:rPr>
                  </w:pPr>
                  <w:r>
                    <w:rPr>
                      <w:rFonts w:hint="eastAsia" w:ascii="宋体" w:hAnsi="宋体" w:cs="宋体"/>
                      <w:color w:val="auto"/>
                      <w:kern w:val="0"/>
                      <w:sz w:val="20"/>
                      <w:lang w:eastAsia="zh-CN"/>
                    </w:rPr>
                    <w:t>建立健全消防安全责任制，明确各岗位的消防安全职责，制定完善的消防安全应急预案、定期开展消防演练、消防安全教育培训，掌握消防安全“四懂”和“四会”，即：懂得岗位火灾的危险性，懂得预防火灾的措施，懂得扑救火灾的方法，懂得逃生的方法；会使用消防器材，会报火警，会扑救初起火灾，会组织疏散逃生。</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sz w:val="24"/>
                      <w:szCs w:val="24"/>
                      <w:lang w:eastAsia="zh-CN"/>
                    </w:rPr>
                  </w:pPr>
                  <w:r>
                    <w:rPr>
                      <w:rFonts w:hint="eastAsia" w:ascii="宋体" w:hAnsi="宋体" w:cs="宋体"/>
                      <w:color w:val="auto"/>
                      <w:kern w:val="0"/>
                      <w:sz w:val="20"/>
                    </w:rPr>
                    <w:t>现场</w:t>
                  </w:r>
                  <w:r>
                    <w:rPr>
                      <w:rFonts w:hint="eastAsia" w:ascii="宋体" w:hAnsi="宋体" w:cs="宋体"/>
                      <w:color w:val="auto"/>
                      <w:kern w:val="0"/>
                      <w:sz w:val="20"/>
                      <w:lang w:eastAsia="zh-CN"/>
                    </w:rPr>
                    <w:t>询问</w:t>
                  </w:r>
                  <w:r>
                    <w:rPr>
                      <w:rFonts w:hint="eastAsia" w:ascii="宋体" w:hAnsi="宋体" w:cs="宋体"/>
                      <w:color w:val="auto"/>
                      <w:kern w:val="0"/>
                      <w:sz w:val="20"/>
                      <w:lang w:val="en-US" w:eastAsia="zh-CN"/>
                    </w:rPr>
                    <w:t>2名工作人员</w:t>
                  </w:r>
                  <w:r>
                    <w:rPr>
                      <w:rFonts w:hint="eastAsia" w:ascii="宋体" w:hAnsi="宋体" w:cs="宋体"/>
                      <w:color w:val="auto"/>
                      <w:kern w:val="0"/>
                      <w:sz w:val="20"/>
                    </w:rPr>
                    <w:t>、查阅资料</w:t>
                  </w:r>
                  <w:r>
                    <w:rPr>
                      <w:rFonts w:hint="eastAsia" w:ascii="宋体" w:hAnsi="宋体" w:cs="宋体"/>
                      <w:color w:val="auto"/>
                      <w:kern w:val="0"/>
                      <w:sz w:val="20"/>
                      <w:lang w:eastAsia="zh-CN"/>
                    </w:rPr>
                    <w:t>，有一项未达标扣除</w:t>
                  </w:r>
                  <w:r>
                    <w:rPr>
                      <w:rFonts w:hint="eastAsia" w:ascii="宋体" w:hAnsi="宋体" w:cs="宋体"/>
                      <w:color w:val="auto"/>
                      <w:kern w:val="0"/>
                      <w:sz w:val="20"/>
                      <w:lang w:val="en-US" w:eastAsia="zh-CN"/>
                    </w:rPr>
                    <w:t>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5"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hint="eastAsia" w:ascii="宋体" w:hAnsi="宋体" w:cs="宋体"/>
                      <w:color w:val="auto"/>
                      <w:kern w:val="0"/>
                      <w:sz w:val="24"/>
                      <w:szCs w:val="24"/>
                    </w:rPr>
                  </w:pPr>
                </w:p>
              </w:tc>
              <w:tc>
                <w:tcPr>
                  <w:tcW w:w="290"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32</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0"/>
                      <w:lang w:val="en-US" w:eastAsia="zh-CN" w:bidi="ar-SA"/>
                    </w:rPr>
                  </w:pPr>
                  <w:r>
                    <w:rPr>
                      <w:rFonts w:hint="eastAsia" w:ascii="宋体" w:hAnsi="宋体" w:cs="宋体"/>
                      <w:color w:val="auto"/>
                      <w:kern w:val="0"/>
                      <w:sz w:val="20"/>
                    </w:rPr>
                    <w:t>烟感报警器、消防喷淋、电器火灾报警装置等消防设施设备，处于正常工作状态。</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0"/>
                    </w:rPr>
                    <w:t>现场查看，处于无法使用状态的，有一次扣3分，并立即更换设备</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5"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hint="eastAsia" w:ascii="宋体" w:hAnsi="宋体" w:cs="宋体"/>
                      <w:color w:val="auto"/>
                      <w:kern w:val="0"/>
                      <w:sz w:val="24"/>
                      <w:szCs w:val="24"/>
                    </w:rPr>
                  </w:pPr>
                </w:p>
              </w:tc>
              <w:tc>
                <w:tcPr>
                  <w:tcW w:w="290"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33</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0"/>
                      <w:lang w:val="en-US" w:eastAsia="zh-CN" w:bidi="ar-SA"/>
                    </w:rPr>
                  </w:pPr>
                  <w:r>
                    <w:rPr>
                      <w:rFonts w:hint="eastAsia" w:ascii="宋体" w:hAnsi="宋体" w:cs="宋体"/>
                      <w:color w:val="auto"/>
                      <w:sz w:val="20"/>
                    </w:rPr>
                    <w:t>对消防栓每年至少进行一次全面检测，</w:t>
                  </w:r>
                  <w:r>
                    <w:rPr>
                      <w:rFonts w:hint="eastAsia" w:ascii="宋体" w:hAnsi="宋体" w:cs="宋体"/>
                      <w:color w:val="auto"/>
                      <w:sz w:val="20"/>
                      <w:lang w:eastAsia="zh-CN"/>
                    </w:rPr>
                    <w:t>配备适当种类、足够数量的消防设备和消防器材，设有微型消防站，消防器材和工作放置在醒目、取用方便的地方。</w:t>
                  </w:r>
                  <w:r>
                    <w:rPr>
                      <w:rFonts w:hint="eastAsia" w:ascii="宋体" w:hAnsi="宋体" w:cs="宋体"/>
                      <w:color w:val="auto"/>
                      <w:sz w:val="20"/>
                    </w:rPr>
                    <w:t>院内灭火器每月实行点检，确保完好有效，检测记录完整准确，发现灭火器不正常及时更换或送消防单位充装。</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0"/>
                    </w:rPr>
                    <w:t>现场查看、查阅资料，有一次有一项不达标扣2分，并立即更换设备</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5"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hint="eastAsia" w:ascii="宋体" w:hAnsi="宋体" w:cs="宋体"/>
                      <w:color w:val="auto"/>
                      <w:kern w:val="0"/>
                      <w:sz w:val="24"/>
                      <w:szCs w:val="24"/>
                    </w:rPr>
                  </w:pPr>
                </w:p>
              </w:tc>
              <w:tc>
                <w:tcPr>
                  <w:tcW w:w="290"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34</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sz w:val="20"/>
                      <w:lang w:eastAsia="zh-CN"/>
                    </w:rPr>
                  </w:pPr>
                  <w:r>
                    <w:rPr>
                      <w:rFonts w:hint="eastAsia" w:ascii="宋体" w:hAnsi="宋体" w:cs="宋体"/>
                      <w:color w:val="auto"/>
                      <w:sz w:val="20"/>
                      <w:lang w:eastAsia="zh-CN"/>
                    </w:rPr>
                    <w:t>放置在室外的消防器材应采取防雨、防晒、防锈蚀、防霉烂、防冻措施，及时更换破损、发霉无法正常使用的消防器材。</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eastAsia="zh-CN"/>
                    </w:rPr>
                  </w:pPr>
                  <w:r>
                    <w:rPr>
                      <w:rFonts w:hint="eastAsia" w:ascii="宋体" w:hAnsi="宋体" w:cs="宋体"/>
                      <w:color w:val="auto"/>
                      <w:kern w:val="0"/>
                      <w:sz w:val="20"/>
                    </w:rPr>
                    <w:t>现场查看</w:t>
                  </w:r>
                  <w:r>
                    <w:rPr>
                      <w:rFonts w:hint="eastAsia" w:ascii="宋体" w:hAnsi="宋体" w:cs="宋体"/>
                      <w:color w:val="auto"/>
                      <w:kern w:val="0"/>
                      <w:sz w:val="20"/>
                      <w:lang w:eastAsia="zh-CN"/>
                    </w:rPr>
                    <w:t>，</w:t>
                  </w:r>
                  <w:r>
                    <w:rPr>
                      <w:rFonts w:hint="eastAsia" w:ascii="宋体" w:hAnsi="宋体" w:cs="宋体"/>
                      <w:color w:val="auto"/>
                      <w:kern w:val="0"/>
                      <w:sz w:val="20"/>
                    </w:rPr>
                    <w:t>有一项不达标扣2分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9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35</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eastAsia="宋体" w:cs="宋体"/>
                      <w:color w:val="auto"/>
                      <w:kern w:val="2"/>
                      <w:sz w:val="20"/>
                      <w:lang w:val="en-US" w:eastAsia="zh-CN" w:bidi="ar-SA"/>
                    </w:rPr>
                  </w:pPr>
                  <w:r>
                    <w:rPr>
                      <w:rFonts w:hint="eastAsia" w:ascii="宋体" w:hAnsi="宋体" w:cs="宋体"/>
                      <w:color w:val="auto"/>
                      <w:kern w:val="0"/>
                      <w:sz w:val="20"/>
                    </w:rPr>
                    <w:t>安全出口、疏散通道、消防车通道（宽4米）保持畅通（通道网格线清晰）、应急照明、疏散标志完好。</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eastAsia="宋体" w:cs="宋体"/>
                      <w:color w:val="auto"/>
                      <w:kern w:val="2"/>
                      <w:sz w:val="24"/>
                      <w:szCs w:val="24"/>
                      <w:lang w:val="en-US" w:eastAsia="zh-CN" w:bidi="ar-SA"/>
                    </w:rPr>
                  </w:pPr>
                  <w:r>
                    <w:rPr>
                      <w:rFonts w:hint="eastAsia" w:ascii="宋体" w:hAnsi="宋体" w:cs="宋体"/>
                      <w:color w:val="auto"/>
                      <w:kern w:val="0"/>
                      <w:sz w:val="20"/>
                    </w:rPr>
                    <w:t>现场查看，有一次有一项不达标扣2分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38"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36</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lang w:eastAsia="zh-CN"/>
                    </w:rPr>
                    <w:t>院内组织持证电工定期对各类电器设备、线路、开关、保险装置、接地保护等进行检查、维修和保养。</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现场查看、查阅资料</w:t>
                  </w:r>
                  <w:r>
                    <w:rPr>
                      <w:rFonts w:hint="eastAsia" w:ascii="宋体" w:hAnsi="宋体" w:cs="宋体"/>
                      <w:color w:val="auto"/>
                      <w:kern w:val="0"/>
                      <w:sz w:val="20"/>
                      <w:lang w:eastAsia="zh-CN"/>
                    </w:rPr>
                    <w:t>（查看持证电工证书），</w:t>
                  </w:r>
                  <w:r>
                    <w:rPr>
                      <w:rFonts w:hint="eastAsia" w:ascii="宋体" w:hAnsi="宋体" w:cs="宋体"/>
                      <w:color w:val="auto"/>
                      <w:kern w:val="0"/>
                      <w:sz w:val="20"/>
                    </w:rPr>
                    <w:t>有一次有一项不达标扣</w:t>
                  </w:r>
                  <w:r>
                    <w:rPr>
                      <w:rFonts w:hint="eastAsia" w:ascii="宋体" w:hAnsi="宋体" w:cs="宋体"/>
                      <w:color w:val="auto"/>
                      <w:kern w:val="0"/>
                      <w:sz w:val="20"/>
                      <w:lang w:val="en-US" w:eastAsia="zh-CN"/>
                    </w:rPr>
                    <w:t>1</w:t>
                  </w:r>
                  <w:r>
                    <w:rPr>
                      <w:rFonts w:hint="eastAsia" w:ascii="宋体" w:hAnsi="宋体" w:cs="宋体"/>
                      <w:color w:val="auto"/>
                      <w:kern w:val="0"/>
                      <w:sz w:val="20"/>
                    </w:rPr>
                    <w:t>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37</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lang w:eastAsia="zh-CN"/>
                    </w:rPr>
                    <w:t>严禁</w:t>
                  </w:r>
                  <w:r>
                    <w:rPr>
                      <w:rFonts w:hint="eastAsia" w:ascii="宋体" w:hAnsi="宋体" w:cs="宋体"/>
                      <w:color w:val="auto"/>
                      <w:kern w:val="0"/>
                      <w:sz w:val="20"/>
                    </w:rPr>
                    <w:t>老人房间内私拉乱接电线、不使用的电线未及时处理、拖线板损坏仍在使用、</w:t>
                  </w:r>
                  <w:r>
                    <w:rPr>
                      <w:rFonts w:hint="eastAsia" w:ascii="宋体" w:hAnsi="宋体" w:cs="宋体"/>
                      <w:color w:val="auto"/>
                      <w:kern w:val="0"/>
                      <w:sz w:val="20"/>
                      <w:lang w:eastAsia="zh-CN"/>
                    </w:rPr>
                    <w:t>使用三无电器产品</w:t>
                  </w:r>
                  <w:r>
                    <w:rPr>
                      <w:rFonts w:hint="eastAsia" w:ascii="宋体" w:hAnsi="宋体" w:cs="宋体"/>
                      <w:color w:val="auto"/>
                      <w:kern w:val="0"/>
                      <w:sz w:val="20"/>
                    </w:rPr>
                    <w:t>等现象。</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现场查看，有一次有一项不达标扣2分，并立即整改到位</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38</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0"/>
                      <w:lang w:val="en-US" w:eastAsia="zh-CN" w:bidi="ar-SA"/>
                    </w:rPr>
                  </w:pPr>
                  <w:r>
                    <w:rPr>
                      <w:rFonts w:hint="eastAsia" w:ascii="宋体" w:hAnsi="宋体" w:cs="宋体"/>
                      <w:color w:val="auto"/>
                      <w:kern w:val="2"/>
                      <w:sz w:val="20"/>
                      <w:lang w:val="en-US" w:eastAsia="zh-CN" w:bidi="ar-SA"/>
                    </w:rPr>
                    <w:t>落实每日防火巡查，内容包括但不限于：有无玩火、违规吸烟和违章动用明火现象；有无违规用电，使用电热毯、电磁炉、热得快等大功率电热器具；消防设施设备是否正常工作；消火栓、灭火器等消防设施器材是否被遮挡、损坏；安全出口、疏散通道、消防车通道是否畅通；应急照明、安全疏散指示标识是否完好；常闭式防火门是否处于关闭状态；防火卷帘下是否堆放物品</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0"/>
                    </w:rPr>
                    <w:t>查看记录，少一项扣1分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90"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39</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eastAsia="zh-CN"/>
                    </w:rPr>
                  </w:pPr>
                  <w:r>
                    <w:rPr>
                      <w:rFonts w:hint="eastAsia" w:ascii="宋体" w:hAnsi="宋体" w:cs="宋体"/>
                      <w:color w:val="auto"/>
                      <w:kern w:val="0"/>
                      <w:sz w:val="20"/>
                      <w:lang w:eastAsia="zh-CN"/>
                    </w:rPr>
                    <w:t>定期开展防火检查，内容包括但不限于：消防设施设备运行和维护保养情况，消防控制室的值班和管理情况，电器线路、用电设备和灶具定期检查情况，厨房灶台、油烟罩和烟道定期清理情况，火灾隐患整改和防范措施落实情况。</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rPr>
                    <w:t>查看记录，少一项扣1分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40</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2"/>
                      <w:sz w:val="20"/>
                      <w:lang w:val="en-US" w:eastAsia="zh-CN" w:bidi="ar-SA"/>
                    </w:rPr>
                  </w:pPr>
                  <w:r>
                    <w:rPr>
                      <w:rFonts w:hint="eastAsia" w:ascii="宋体" w:hAnsi="宋体" w:cs="宋体"/>
                      <w:color w:val="auto"/>
                      <w:sz w:val="20"/>
                      <w:lang w:eastAsia="zh-CN"/>
                    </w:rPr>
                    <w:t>设有自动消防设施的，应当委托具有相应资质的消防技术服务机构进行定期维护保养，每月出具维保记录，每年至少全面检测一次。</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查看协议、查看维保记录，少一个月扣1分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41</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设有联动控制设备的消防控制室的机构（烟感联动报警器），须有1名专职持证安全员，对工作人员进行消防知识培训，消防设施设备操作熟练，每半年举行一次消防安全演练。</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查阅资料，少一项扣1分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42</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lang w:val="en-US" w:eastAsia="zh-CN" w:bidi="ar-SA"/>
                    </w:rPr>
                    <w:t>电瓶车有序停放在机构内指定位置，定期维护电瓶车电源插座和充电装置，充电处未堆放易燃易爆物品，并配备专业消防器材。</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现场查看、查阅资料，有一项不达标扣2分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43</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eastAsia="宋体" w:cs="宋体"/>
                      <w:color w:val="auto"/>
                      <w:kern w:val="0"/>
                      <w:sz w:val="20"/>
                      <w:lang w:eastAsia="zh-CN"/>
                    </w:rPr>
                  </w:pPr>
                  <w:r>
                    <w:rPr>
                      <w:rFonts w:hint="eastAsia" w:ascii="宋体" w:hAnsi="宋体" w:cs="宋体"/>
                      <w:color w:val="auto"/>
                      <w:kern w:val="0"/>
                      <w:sz w:val="20"/>
                      <w:lang w:eastAsia="zh-CN"/>
                    </w:rPr>
                    <w:t>机构已完成“气改电”项目（管道气使用机构除外），院内未有燃气瓶存放。</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hint="eastAsia" w:ascii="宋体" w:hAnsi="宋体" w:cs="宋体"/>
                      <w:color w:val="auto"/>
                      <w:kern w:val="0"/>
                      <w:sz w:val="20"/>
                    </w:rPr>
                  </w:pPr>
                  <w:r>
                    <w:rPr>
                      <w:rFonts w:hint="eastAsia" w:ascii="宋体" w:hAnsi="宋体" w:cs="宋体"/>
                      <w:color w:val="auto"/>
                      <w:kern w:val="0"/>
                      <w:sz w:val="20"/>
                    </w:rPr>
                    <w:t>现场查看、查阅资料，有一项不达标扣</w:t>
                  </w:r>
                  <w:r>
                    <w:rPr>
                      <w:rFonts w:hint="eastAsia" w:ascii="宋体" w:hAnsi="宋体" w:cs="宋体"/>
                      <w:color w:val="auto"/>
                      <w:kern w:val="0"/>
                      <w:sz w:val="20"/>
                      <w:lang w:val="en-US" w:eastAsia="zh-CN"/>
                    </w:rPr>
                    <w:t>5</w:t>
                  </w:r>
                  <w:r>
                    <w:rPr>
                      <w:rFonts w:hint="eastAsia" w:ascii="宋体" w:hAnsi="宋体" w:cs="宋体"/>
                      <w:color w:val="auto"/>
                      <w:kern w:val="0"/>
                      <w:sz w:val="20"/>
                    </w:rPr>
                    <w:t>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42"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highlight w:val="none"/>
                      <w:lang w:val="en-US" w:eastAsia="zh-CN"/>
                    </w:rPr>
                  </w:pPr>
                  <w:r>
                    <w:rPr>
                      <w:rFonts w:hint="eastAsia" w:ascii="宋体" w:hAnsi="宋体" w:cs="宋体"/>
                      <w:color w:val="auto"/>
                      <w:sz w:val="20"/>
                      <w:highlight w:val="none"/>
                      <w:lang w:val="en-US" w:eastAsia="zh-CN"/>
                    </w:rPr>
                    <w:t>44</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0"/>
                      <w:highlight w:val="none"/>
                    </w:rPr>
                  </w:pPr>
                  <w:r>
                    <w:rPr>
                      <w:rFonts w:hint="eastAsia" w:ascii="宋体" w:hAnsi="宋体" w:cs="宋体"/>
                      <w:color w:val="auto"/>
                      <w:kern w:val="0"/>
                      <w:sz w:val="20"/>
                      <w:highlight w:val="none"/>
                    </w:rPr>
                    <w:t>燃气使用与灶间分开，燃气报警装置处于正常工作状态（报警器安装位置间距小于4m，距地面小于30cm），报警器校验有效期1年。</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highlight w:val="none"/>
                    </w:rPr>
                  </w:pPr>
                  <w:r>
                    <w:rPr>
                      <w:rFonts w:hint="eastAsia" w:ascii="宋体" w:hAnsi="宋体" w:cs="宋体"/>
                      <w:color w:val="auto"/>
                      <w:kern w:val="0"/>
                      <w:sz w:val="20"/>
                      <w:highlight w:val="none"/>
                    </w:rPr>
                    <w:t>现场查看，有一次有一项不达标扣3分，并立即整改到位</w:t>
                  </w:r>
                </w:p>
              </w:tc>
              <w:tc>
                <w:tcPr>
                  <w:tcW w:w="351"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rFonts w:hint="eastAsia" w:eastAsia="宋体"/>
                      <w:color w:val="auto"/>
                      <w:lang w:eastAsia="zh-CN"/>
                    </w:rPr>
                  </w:pPr>
                  <w:r>
                    <w:rPr>
                      <w:rFonts w:hint="eastAsia" w:ascii="宋体" w:hAnsi="宋体" w:cs="宋体"/>
                      <w:color w:val="auto"/>
                      <w:kern w:val="0"/>
                      <w:sz w:val="20"/>
                      <w:lang w:eastAsia="zh-CN"/>
                    </w:rPr>
                    <w:t>管道气使用机构专项考评</w:t>
                  </w:r>
                </w:p>
              </w:tc>
            </w:tr>
            <w:tr>
              <w:tblPrEx>
                <w:tblCellMar>
                  <w:top w:w="0" w:type="dxa"/>
                  <w:left w:w="0" w:type="dxa"/>
                  <w:bottom w:w="0" w:type="dxa"/>
                  <w:right w:w="0" w:type="dxa"/>
                </w:tblCellMar>
              </w:tblPrEx>
              <w:trPr>
                <w:trHeight w:val="242"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highlight w:val="none"/>
                      <w:lang w:val="en-US" w:eastAsia="zh-CN"/>
                    </w:rPr>
                  </w:pPr>
                  <w:r>
                    <w:rPr>
                      <w:rFonts w:hint="eastAsia" w:ascii="宋体" w:hAnsi="宋体" w:cs="宋体"/>
                      <w:color w:val="auto"/>
                      <w:sz w:val="20"/>
                      <w:highlight w:val="none"/>
                      <w:lang w:val="en-US" w:eastAsia="zh-CN"/>
                    </w:rPr>
                    <w:t>45</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highlight w:val="none"/>
                    </w:rPr>
                  </w:pPr>
                  <w:r>
                    <w:rPr>
                      <w:rFonts w:hint="eastAsia" w:ascii="宋体" w:hAnsi="宋体" w:cs="宋体"/>
                      <w:color w:val="auto"/>
                      <w:kern w:val="0"/>
                      <w:sz w:val="20"/>
                      <w:highlight w:val="none"/>
                    </w:rPr>
                    <w:t>落实燃气安全专人负责制，对燃气安全设备进行经常性维护保养</w:t>
                  </w:r>
                  <w:r>
                    <w:rPr>
                      <w:rFonts w:hint="eastAsia" w:ascii="宋体" w:hAnsi="宋体" w:cs="宋体"/>
                      <w:color w:val="auto"/>
                      <w:kern w:val="0"/>
                      <w:sz w:val="20"/>
                      <w:highlight w:val="none"/>
                      <w:lang w:eastAsia="zh-CN"/>
                    </w:rPr>
                    <w:t>，</w:t>
                  </w:r>
                  <w:r>
                    <w:rPr>
                      <w:rFonts w:hint="eastAsia" w:ascii="宋体" w:hAnsi="宋体" w:cs="宋体"/>
                      <w:color w:val="auto"/>
                      <w:kern w:val="0"/>
                      <w:sz w:val="20"/>
                      <w:highlight w:val="none"/>
                    </w:rPr>
                    <w:t>并将相关信息进行公示（燃气安全使用自查公示牌）。</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highlight w:val="none"/>
                    </w:rPr>
                  </w:pPr>
                  <w:r>
                    <w:rPr>
                      <w:rFonts w:hint="eastAsia" w:ascii="宋体" w:hAnsi="宋体" w:cs="宋体"/>
                      <w:color w:val="auto"/>
                      <w:kern w:val="0"/>
                      <w:sz w:val="20"/>
                      <w:highlight w:val="none"/>
                    </w:rPr>
                    <w:t>现场查看，查阅资料，少一项扣2分</w:t>
                  </w:r>
                </w:p>
              </w:tc>
              <w:tc>
                <w:tcPr>
                  <w:tcW w:w="351"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42"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highlight w:val="none"/>
                      <w:lang w:val="en-US" w:eastAsia="zh-CN"/>
                    </w:rPr>
                  </w:pPr>
                  <w:r>
                    <w:rPr>
                      <w:rFonts w:hint="eastAsia" w:ascii="宋体" w:hAnsi="宋体" w:cs="宋体"/>
                      <w:color w:val="auto"/>
                      <w:sz w:val="20"/>
                      <w:highlight w:val="none"/>
                      <w:lang w:val="en-US" w:eastAsia="zh-CN"/>
                    </w:rPr>
                    <w:t>46</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highlight w:val="none"/>
                    </w:rPr>
                  </w:pPr>
                  <w:r>
                    <w:rPr>
                      <w:rFonts w:hint="eastAsia" w:ascii="宋体" w:hAnsi="宋体" w:cs="宋体"/>
                      <w:color w:val="auto"/>
                      <w:kern w:val="0"/>
                      <w:sz w:val="20"/>
                      <w:highlight w:val="none"/>
                    </w:rPr>
                    <w:t>在用气场所张贴燃气安全信息公示牌（供用气合同、安全使用告知书或安全用气手册等内容）。</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highlight w:val="none"/>
                    </w:rPr>
                  </w:pPr>
                  <w:r>
                    <w:rPr>
                      <w:rFonts w:hint="eastAsia" w:ascii="宋体" w:hAnsi="宋体" w:cs="宋体"/>
                      <w:color w:val="auto"/>
                      <w:kern w:val="0"/>
                      <w:sz w:val="20"/>
                      <w:highlight w:val="none"/>
                    </w:rPr>
                    <w:t>现场查看，有一次有一项不达标扣1分</w:t>
                  </w:r>
                </w:p>
              </w:tc>
              <w:tc>
                <w:tcPr>
                  <w:tcW w:w="351"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22"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highlight w:val="none"/>
                      <w:lang w:val="en-US" w:eastAsia="zh-CN"/>
                    </w:rPr>
                  </w:pPr>
                  <w:r>
                    <w:rPr>
                      <w:rFonts w:hint="eastAsia" w:ascii="宋体" w:hAnsi="宋体" w:cs="宋体"/>
                      <w:color w:val="auto"/>
                      <w:sz w:val="20"/>
                      <w:highlight w:val="none"/>
                      <w:lang w:val="en-US" w:eastAsia="zh-CN"/>
                    </w:rPr>
                    <w:t>47</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highlight w:val="none"/>
                    </w:rPr>
                  </w:pPr>
                  <w:r>
                    <w:rPr>
                      <w:rFonts w:hint="eastAsia" w:ascii="宋体" w:hAnsi="宋体" w:cs="宋体"/>
                      <w:color w:val="auto"/>
                      <w:kern w:val="0"/>
                      <w:sz w:val="20"/>
                      <w:highlight w:val="none"/>
                    </w:rPr>
                    <w:t>厨房、餐厅使用的液化气皮条（采用燃气专用金属包覆软管或不锈钢软管）、管道、阀门等无破损、松动、泄露。</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kern w:val="0"/>
                      <w:sz w:val="20"/>
                      <w:highlight w:val="none"/>
                    </w:rPr>
                  </w:pPr>
                  <w:r>
                    <w:rPr>
                      <w:rFonts w:hint="eastAsia" w:ascii="宋体" w:hAnsi="宋体" w:cs="宋体"/>
                      <w:color w:val="auto"/>
                      <w:kern w:val="0"/>
                      <w:sz w:val="20"/>
                      <w:highlight w:val="none"/>
                    </w:rPr>
                    <w:t>现场查看，有一次有一项不达标扣3分，并立即更换设备</w:t>
                  </w:r>
                </w:p>
              </w:tc>
              <w:tc>
                <w:tcPr>
                  <w:tcW w:w="351"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26"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kern w:val="0"/>
                      <w:sz w:val="24"/>
                      <w:szCs w:val="24"/>
                    </w:rPr>
                    <w:t>食品管理</w:t>
                  </w: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48</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0"/>
                    </w:rPr>
                  </w:pPr>
                  <w:r>
                    <w:rPr>
                      <w:rFonts w:hint="eastAsia" w:ascii="宋体" w:hAnsi="宋体" w:cs="宋体"/>
                      <w:color w:val="auto"/>
                      <w:kern w:val="0"/>
                      <w:sz w:val="20"/>
                    </w:rPr>
                    <w:t>《食品经营许可证》在有效期内，并摆放在食堂醒目的位置。</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现场查看，有一处未达标扣1分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34"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49</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0"/>
                    </w:rPr>
                  </w:pPr>
                  <w:r>
                    <w:rPr>
                      <w:rFonts w:hint="eastAsia" w:ascii="宋体" w:hAnsi="宋体" w:cs="宋体"/>
                      <w:color w:val="auto"/>
                      <w:kern w:val="0"/>
                      <w:sz w:val="20"/>
                    </w:rPr>
                    <w:t>厨房从业人员着装规范、接触食品的工作人员必须持有有效期内健康证，厨师持证上岗，厨房内工作人员每日进行晨检。</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w:t>
                  </w:r>
                  <w:r>
                    <w:rPr>
                      <w:rFonts w:hint="eastAsia" w:ascii="宋体" w:hAnsi="宋体" w:cs="宋体"/>
                      <w:color w:val="auto"/>
                      <w:kern w:val="0"/>
                      <w:sz w:val="20"/>
                      <w:lang w:eastAsia="zh-CN"/>
                    </w:rPr>
                    <w:t>、人证合一</w:t>
                  </w:r>
                  <w:r>
                    <w:rPr>
                      <w:rFonts w:hint="eastAsia" w:ascii="宋体" w:hAnsi="宋体" w:cs="宋体"/>
                      <w:color w:val="auto"/>
                      <w:kern w:val="0"/>
                      <w:sz w:val="20"/>
                    </w:rPr>
                    <w:t>、查阅记录，有一处未达标扣2分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88"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50</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0"/>
                    </w:rPr>
                  </w:pPr>
                  <w:r>
                    <w:rPr>
                      <w:rFonts w:hint="eastAsia" w:ascii="宋体" w:hAnsi="宋体" w:cs="宋体"/>
                      <w:color w:val="auto"/>
                      <w:kern w:val="0"/>
                      <w:sz w:val="20"/>
                    </w:rPr>
                    <w:t>所有采购的食品及原料严格执行进货查验和索票索证制度。</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现场查看、查阅记录，有一处未达标扣3分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425"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51</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0"/>
                    </w:rPr>
                  </w:pPr>
                  <w:r>
                    <w:rPr>
                      <w:rFonts w:hint="eastAsia" w:ascii="宋体" w:hAnsi="宋体" w:cs="宋体"/>
                      <w:color w:val="auto"/>
                      <w:kern w:val="0"/>
                      <w:sz w:val="20"/>
                    </w:rPr>
                    <w:t>食堂内做到环境干净整洁，墙面无破损、积垢、霉斑等，地面无积水、物品摆放整齐，整体光线良好。</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both"/>
                    <w:textAlignment w:val="center"/>
                    <w:rPr>
                      <w:rFonts w:ascii="宋体" w:hAnsi="宋体" w:cs="宋体"/>
                      <w:color w:val="auto"/>
                      <w:sz w:val="24"/>
                      <w:szCs w:val="24"/>
                    </w:rPr>
                  </w:pPr>
                  <w:r>
                    <w:rPr>
                      <w:rFonts w:hint="eastAsia" w:ascii="宋体" w:hAnsi="宋体" w:cs="宋体"/>
                      <w:color w:val="auto"/>
                      <w:kern w:val="0"/>
                      <w:sz w:val="20"/>
                    </w:rPr>
                    <w:t>现场查看，有一处达不到扣2分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85"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52</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sz w:val="20"/>
                    </w:rPr>
                  </w:pPr>
                  <w:r>
                    <w:rPr>
                      <w:rFonts w:hint="eastAsia" w:ascii="宋体" w:hAnsi="宋体" w:cs="宋体"/>
                      <w:color w:val="auto"/>
                      <w:kern w:val="0"/>
                      <w:sz w:val="20"/>
                    </w:rPr>
                    <w:t>食品仓库按照要求储存食品及原料，定期清理，未有过期食品，有防鼠虫等设施，食品库房整洁规范，无虫害、无有毒物品。食品添加剂必须有专人、专用保管。</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sz w:val="24"/>
                      <w:szCs w:val="24"/>
                    </w:rPr>
                  </w:pPr>
                  <w:r>
                    <w:rPr>
                      <w:rFonts w:hint="eastAsia" w:ascii="宋体" w:hAnsi="宋体" w:cs="宋体"/>
                      <w:color w:val="auto"/>
                      <w:kern w:val="0"/>
                      <w:sz w:val="20"/>
                    </w:rPr>
                    <w:t>现场查看、查阅记录，有一处达不到扣3分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98"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53</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sz w:val="20"/>
                    </w:rPr>
                  </w:pPr>
                  <w:r>
                    <w:rPr>
                      <w:rFonts w:hint="eastAsia" w:ascii="宋体" w:hAnsi="宋体" w:cs="宋体"/>
                      <w:color w:val="auto"/>
                      <w:kern w:val="0"/>
                      <w:sz w:val="20"/>
                    </w:rPr>
                    <w:t>动物性食品、水产品、植物性食品分区切配，生熟分开，工具容器不交叉使用。</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sz w:val="24"/>
                      <w:szCs w:val="24"/>
                    </w:rPr>
                  </w:pPr>
                  <w:r>
                    <w:rPr>
                      <w:rFonts w:hint="eastAsia" w:ascii="宋体" w:hAnsi="宋体" w:cs="宋体"/>
                      <w:color w:val="auto"/>
                      <w:kern w:val="0"/>
                      <w:sz w:val="20"/>
                    </w:rPr>
                    <w:t>现场查看，有一处达不到扣1分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67"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54</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sz w:val="20"/>
                    </w:rPr>
                  </w:pPr>
                  <w:r>
                    <w:rPr>
                      <w:rFonts w:hint="eastAsia" w:ascii="宋体" w:hAnsi="宋体" w:cs="宋体"/>
                      <w:color w:val="auto"/>
                      <w:kern w:val="0"/>
                      <w:sz w:val="20"/>
                    </w:rPr>
                    <w:t>餐具、饮具和盛放直接入口的食品的容器按照早、中、晚三次使用后洗净、消毒，已消毒的餐具、饮具按要求存放。消毒柜正常使用（</w:t>
                  </w:r>
                  <w:r>
                    <w:rPr>
                      <w:rFonts w:hint="eastAsia" w:ascii="宋体" w:hAnsi="宋体" w:cs="宋体"/>
                      <w:b/>
                      <w:color w:val="auto"/>
                      <w:kern w:val="0"/>
                      <w:sz w:val="20"/>
                    </w:rPr>
                    <w:t>非保洁柜</w:t>
                  </w:r>
                  <w:r>
                    <w:rPr>
                      <w:rFonts w:hint="eastAsia" w:ascii="宋体" w:hAnsi="宋体" w:cs="宋体"/>
                      <w:color w:val="auto"/>
                      <w:kern w:val="0"/>
                      <w:sz w:val="20"/>
                    </w:rPr>
                    <w:t>），高温消毒柜必须达到相关要求（温度120度以上，消毒时间10-15分钟）。</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sz w:val="24"/>
                      <w:szCs w:val="24"/>
                    </w:rPr>
                  </w:pPr>
                  <w:r>
                    <w:rPr>
                      <w:rFonts w:hint="eastAsia" w:ascii="宋体" w:hAnsi="宋体" w:cs="宋体"/>
                      <w:color w:val="auto"/>
                      <w:kern w:val="0"/>
                      <w:sz w:val="20"/>
                    </w:rPr>
                    <w:t>现场查看、查阅消毒记录，有一处达不到扣2分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67"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55</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sz w:val="20"/>
                    </w:rPr>
                  </w:pPr>
                  <w:r>
                    <w:rPr>
                      <w:rFonts w:hint="eastAsia" w:ascii="宋体" w:hAnsi="宋体" w:cs="宋体"/>
                      <w:color w:val="auto"/>
                      <w:kern w:val="0"/>
                      <w:sz w:val="20"/>
                    </w:rPr>
                    <w:t>建立食品留样备查制度，留样品种齐全（主食），每个品种留样量不少于125g，留样容器外应记录食品名称、时间、餐别、采样人，将留样盒放入冰箱0-4摄氏度，且储存时间不少于48小时，有记录。</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sz w:val="24"/>
                      <w:szCs w:val="24"/>
                    </w:rPr>
                  </w:pPr>
                  <w:r>
                    <w:rPr>
                      <w:rFonts w:hint="eastAsia" w:ascii="宋体" w:hAnsi="宋体" w:cs="宋体"/>
                      <w:color w:val="auto"/>
                      <w:kern w:val="0"/>
                      <w:sz w:val="20"/>
                    </w:rPr>
                    <w:t>现场查看，有一处（1次）达不到扣2分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67"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56</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2"/>
                      <w:sz w:val="20"/>
                      <w:lang w:val="en-US" w:eastAsia="zh-CN" w:bidi="ar-SA"/>
                    </w:rPr>
                  </w:pPr>
                  <w:r>
                    <w:rPr>
                      <w:rFonts w:hint="eastAsia" w:ascii="宋体" w:hAnsi="宋体" w:cs="宋体"/>
                      <w:color w:val="auto"/>
                      <w:kern w:val="0"/>
                      <w:sz w:val="20"/>
                    </w:rPr>
                    <w:t>每年至少开展1次食品专项安全演练。</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0"/>
                    </w:rPr>
                    <w:t>查阅资料，未开展安全演练的扣2分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67"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57</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每日菜谱实行公示，每日菜肴品种荤素搭配，营养合理，每周菜谱需存档。</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2"/>
                      <w:sz w:val="24"/>
                      <w:szCs w:val="24"/>
                      <w:lang w:val="en-US" w:eastAsia="zh-CN" w:bidi="ar-SA"/>
                    </w:rPr>
                  </w:pPr>
                  <w:r>
                    <w:rPr>
                      <w:rFonts w:hint="eastAsia" w:ascii="宋体" w:hAnsi="宋体" w:cs="宋体"/>
                      <w:color w:val="auto"/>
                      <w:kern w:val="0"/>
                      <w:sz w:val="20"/>
                    </w:rPr>
                    <w:t>查看现场、查阅资料、询问老人，有一处达不到扣0.5分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33" w:hRule="atLeast"/>
              </w:trPr>
              <w:tc>
                <w:tcPr>
                  <w:tcW w:w="198"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58</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2"/>
                      <w:sz w:val="20"/>
                      <w:lang w:val="en-US" w:eastAsia="zh-CN" w:bidi="ar-SA"/>
                    </w:rPr>
                  </w:pPr>
                  <w:r>
                    <w:rPr>
                      <w:rFonts w:hint="eastAsia" w:ascii="宋体" w:hAnsi="宋体" w:cs="宋体"/>
                      <w:color w:val="auto"/>
                      <w:kern w:val="0"/>
                      <w:sz w:val="20"/>
                    </w:rPr>
                    <w:t>设立膳食委员会，每季度开展1次在院老人伙食满意度调查，满意度在90%以上。</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2"/>
                      <w:sz w:val="24"/>
                      <w:szCs w:val="24"/>
                      <w:lang w:val="en-US" w:eastAsia="zh-CN" w:bidi="ar-SA"/>
                    </w:rPr>
                  </w:pPr>
                  <w:r>
                    <w:rPr>
                      <w:rFonts w:hint="eastAsia" w:ascii="宋体" w:hAnsi="宋体" w:cs="宋体"/>
                      <w:color w:val="auto"/>
                      <w:kern w:val="0"/>
                      <w:sz w:val="20"/>
                    </w:rPr>
                    <w:t>查阅资料、现场询问，资料不全</w:t>
                  </w:r>
                  <w:r>
                    <w:rPr>
                      <w:rFonts w:hint="eastAsia" w:ascii="宋体" w:hAnsi="宋体" w:cs="宋体"/>
                      <w:color w:val="auto"/>
                      <w:kern w:val="0"/>
                      <w:sz w:val="20"/>
                      <w:lang w:eastAsia="zh-CN"/>
                    </w:rPr>
                    <w:t>或满意度未达到</w:t>
                  </w:r>
                  <w:r>
                    <w:rPr>
                      <w:rFonts w:hint="eastAsia" w:ascii="宋体" w:hAnsi="宋体" w:cs="宋体"/>
                      <w:color w:val="auto"/>
                      <w:kern w:val="0"/>
                      <w:sz w:val="20"/>
                      <w:lang w:val="en-US" w:eastAsia="zh-CN"/>
                    </w:rPr>
                    <w:t>90%以上</w:t>
                  </w:r>
                  <w:r>
                    <w:rPr>
                      <w:rFonts w:hint="eastAsia" w:ascii="宋体" w:hAnsi="宋体" w:cs="宋体"/>
                      <w:color w:val="auto"/>
                      <w:kern w:val="0"/>
                      <w:sz w:val="20"/>
                    </w:rPr>
                    <w:t>的扣0.5分，未开展扣1分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sz w:val="24"/>
                      <w:szCs w:val="24"/>
                    </w:rPr>
                    <w:t>服</w:t>
                  </w:r>
                </w:p>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sz w:val="24"/>
                      <w:szCs w:val="24"/>
                    </w:rPr>
                    <w:t>务</w:t>
                  </w:r>
                </w:p>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sz w:val="24"/>
                      <w:szCs w:val="24"/>
                    </w:rPr>
                    <w:t>质</w:t>
                  </w:r>
                </w:p>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kern w:val="0"/>
                      <w:sz w:val="24"/>
                      <w:szCs w:val="24"/>
                    </w:rPr>
                    <w:t>量</w:t>
                  </w:r>
                </w:p>
              </w:tc>
              <w:tc>
                <w:tcPr>
                  <w:tcW w:w="311"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r>
                    <w:rPr>
                      <w:rFonts w:hint="eastAsia" w:ascii="宋体" w:hAnsi="宋体" w:cs="宋体"/>
                      <w:color w:val="auto"/>
                      <w:kern w:val="0"/>
                      <w:sz w:val="24"/>
                      <w:szCs w:val="24"/>
                    </w:rPr>
                    <w:t>护理服务</w:t>
                  </w: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59</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kern w:val="0"/>
                      <w:sz w:val="20"/>
                    </w:rPr>
                  </w:pPr>
                  <w:r>
                    <w:rPr>
                      <w:rFonts w:hint="eastAsia" w:ascii="宋体" w:hAnsi="宋体" w:cs="宋体"/>
                      <w:color w:val="auto"/>
                      <w:kern w:val="0"/>
                      <w:sz w:val="20"/>
                    </w:rPr>
                    <w:t>院内管理人员、护理服务人员持有与其岗位适应的上岗证书或等级证书或经培训合格后上岗。</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cs="宋体"/>
                      <w:color w:val="auto"/>
                      <w:kern w:val="0"/>
                      <w:sz w:val="20"/>
                    </w:rPr>
                  </w:pPr>
                  <w:r>
                    <w:rPr>
                      <w:rFonts w:hint="eastAsia" w:ascii="宋体" w:hAnsi="宋体" w:cs="宋体"/>
                      <w:color w:val="auto"/>
                      <w:kern w:val="0"/>
                      <w:sz w:val="20"/>
                    </w:rPr>
                    <w:t>查阅记录台账，有一个不满足条件扣1分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60</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建立晨会交接、查房、夜间值班巡查制度</w:t>
                  </w:r>
                  <w:r>
                    <w:rPr>
                      <w:rFonts w:hint="eastAsia" w:ascii="宋体" w:hAnsi="宋体" w:cs="宋体"/>
                      <w:color w:val="auto"/>
                      <w:kern w:val="0"/>
                      <w:sz w:val="20"/>
                      <w:lang w:eastAsia="zh-CN"/>
                    </w:rPr>
                    <w:t>并有相关台账记录</w:t>
                  </w:r>
                  <w:r>
                    <w:rPr>
                      <w:rFonts w:hint="eastAsia" w:ascii="宋体" w:hAnsi="宋体" w:cs="宋体"/>
                      <w:color w:val="auto"/>
                      <w:kern w:val="0"/>
                      <w:sz w:val="20"/>
                    </w:rPr>
                    <w:t>。</w:t>
                  </w:r>
                  <w:r>
                    <w:rPr>
                      <w:rFonts w:hint="eastAsia" w:ascii="宋体" w:hAnsi="宋体" w:cs="宋体"/>
                      <w:color w:val="auto"/>
                      <w:kern w:val="0"/>
                      <w:sz w:val="20"/>
                      <w:lang w:eastAsia="zh-CN"/>
                    </w:rPr>
                    <w:t>实行</w:t>
                  </w:r>
                  <w:r>
                    <w:rPr>
                      <w:rFonts w:hint="eastAsia" w:ascii="宋体" w:hAnsi="宋体" w:cs="宋体"/>
                      <w:color w:val="auto"/>
                      <w:kern w:val="0"/>
                      <w:sz w:val="20"/>
                    </w:rPr>
                    <w:t>24小时值班，并有值班、交接班记录</w:t>
                  </w:r>
                  <w:r>
                    <w:rPr>
                      <w:rFonts w:hint="eastAsia" w:ascii="宋体" w:hAnsi="宋体" w:cs="宋体"/>
                      <w:color w:val="auto"/>
                      <w:kern w:val="0"/>
                      <w:sz w:val="20"/>
                      <w:lang w:eastAsia="zh-CN"/>
                    </w:rPr>
                    <w:t>，交接班记录内容填写完整，字迹清晰，书写规范，内容包括但不限于：交接班时间、人员、院内老人基本情况、异常情况的处理及结果</w:t>
                  </w:r>
                  <w:r>
                    <w:rPr>
                      <w:rFonts w:hint="eastAsia" w:ascii="宋体" w:hAnsi="宋体" w:cs="宋体"/>
                      <w:color w:val="auto"/>
                      <w:kern w:val="0"/>
                      <w:sz w:val="20"/>
                    </w:rPr>
                    <w:t>。</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查阅台账，</w:t>
                  </w:r>
                  <w:r>
                    <w:rPr>
                      <w:rFonts w:hint="eastAsia" w:ascii="宋体" w:hAnsi="宋体" w:cs="宋体"/>
                      <w:color w:val="auto"/>
                      <w:kern w:val="0"/>
                      <w:sz w:val="20"/>
                      <w:lang w:eastAsia="zh-CN"/>
                    </w:rPr>
                    <w:t>有一项未达标的扣</w:t>
                  </w:r>
                  <w:r>
                    <w:rPr>
                      <w:rFonts w:hint="eastAsia" w:ascii="宋体" w:hAnsi="宋体" w:cs="宋体"/>
                      <w:color w:val="auto"/>
                      <w:kern w:val="0"/>
                      <w:sz w:val="20"/>
                      <w:lang w:val="en-US" w:eastAsia="zh-CN"/>
                    </w:rPr>
                    <w:t>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61</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建立老年人</w:t>
                  </w:r>
                  <w:r>
                    <w:rPr>
                      <w:rFonts w:hint="eastAsia" w:ascii="宋体" w:hAnsi="宋体" w:cs="宋体"/>
                      <w:color w:val="auto"/>
                      <w:kern w:val="0"/>
                      <w:sz w:val="20"/>
                      <w:lang w:eastAsia="zh-CN"/>
                    </w:rPr>
                    <w:t>入住</w:t>
                  </w:r>
                  <w:r>
                    <w:rPr>
                      <w:rFonts w:hint="eastAsia" w:ascii="宋体" w:hAnsi="宋体" w:cs="宋体"/>
                      <w:color w:val="auto"/>
                      <w:kern w:val="0"/>
                      <w:sz w:val="20"/>
                    </w:rPr>
                    <w:t>档案，包括</w:t>
                  </w:r>
                  <w:r>
                    <w:rPr>
                      <w:rFonts w:hint="eastAsia" w:ascii="宋体" w:hAnsi="宋体" w:cs="宋体"/>
                      <w:color w:val="auto"/>
                      <w:kern w:val="0"/>
                      <w:sz w:val="20"/>
                      <w:lang w:eastAsia="zh-CN"/>
                    </w:rPr>
                    <w:t>但不限于</w:t>
                  </w:r>
                  <w:r>
                    <w:rPr>
                      <w:rFonts w:hint="eastAsia" w:ascii="宋体" w:hAnsi="宋体" w:cs="宋体"/>
                      <w:color w:val="auto"/>
                      <w:kern w:val="0"/>
                      <w:sz w:val="20"/>
                    </w:rPr>
                    <w:t>基本信息、身份证复印件、紧急联系人、服务协议、护理等级、健康体检报告</w:t>
                  </w:r>
                  <w:r>
                    <w:rPr>
                      <w:rFonts w:hint="eastAsia" w:ascii="宋体" w:hAnsi="宋体" w:cs="宋体"/>
                      <w:color w:val="auto"/>
                      <w:kern w:val="0"/>
                      <w:sz w:val="20"/>
                      <w:lang w:eastAsia="zh-CN"/>
                    </w:rPr>
                    <w:t>、评估报告</w:t>
                  </w:r>
                  <w:r>
                    <w:rPr>
                      <w:rFonts w:hint="eastAsia" w:ascii="宋体" w:hAnsi="宋体" w:cs="宋体"/>
                      <w:color w:val="auto"/>
                      <w:kern w:val="0"/>
                      <w:sz w:val="20"/>
                    </w:rPr>
                    <w:t>等。</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现场查看，少一人次扣0.5分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62</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lang w:eastAsia="zh-CN"/>
                    </w:rPr>
                    <w:t>根据入院老人的能力评估结果进行</w:t>
                  </w:r>
                  <w:r>
                    <w:rPr>
                      <w:rFonts w:hint="eastAsia" w:ascii="宋体" w:hAnsi="宋体" w:cs="宋体"/>
                      <w:color w:val="auto"/>
                      <w:kern w:val="0"/>
                      <w:sz w:val="20"/>
                    </w:rPr>
                    <w:t>分级护理，按照护理等级采取个性化的服务方案，适合老年人的生活习惯。</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查阅台账，少一项扣0.5分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63</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lang w:eastAsia="zh-CN"/>
                    </w:rPr>
                    <w:t>对院内有</w:t>
                  </w:r>
                  <w:r>
                    <w:rPr>
                      <w:rFonts w:hint="eastAsia" w:ascii="宋体" w:hAnsi="宋体" w:cs="宋体"/>
                      <w:color w:val="auto"/>
                      <w:kern w:val="0"/>
                      <w:sz w:val="20"/>
                    </w:rPr>
                    <w:t>噎食、压疮、烫伤、坠床、跌倒、他伤和自伤、走失</w:t>
                  </w:r>
                  <w:r>
                    <w:rPr>
                      <w:rFonts w:hint="eastAsia" w:ascii="宋体" w:hAnsi="宋体" w:cs="宋体"/>
                      <w:color w:val="auto"/>
                      <w:kern w:val="0"/>
                      <w:sz w:val="20"/>
                      <w:lang w:eastAsia="zh-CN"/>
                    </w:rPr>
                    <w:t>的老人采取有效防护措施，制作床头卡等方式予以标识，方便护理人员熟知，持续关注老人的身体状况变化，将相关情况及时告知老人家属。</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default" w:ascii="宋体" w:hAnsi="宋体" w:eastAsia="宋体" w:cs="宋体"/>
                      <w:color w:val="auto"/>
                      <w:kern w:val="0"/>
                      <w:sz w:val="20"/>
                      <w:lang w:val="en-US" w:eastAsia="zh-CN" w:bidi="ar-SA"/>
                    </w:rPr>
                  </w:pPr>
                  <w:r>
                    <w:rPr>
                      <w:rFonts w:hint="eastAsia" w:ascii="宋体" w:hAnsi="宋体" w:cs="宋体"/>
                      <w:color w:val="auto"/>
                      <w:kern w:val="0"/>
                      <w:sz w:val="20"/>
                      <w:lang w:val="en-US" w:eastAsia="zh-CN"/>
                    </w:rPr>
                    <w:t>结合老人能力评估报告查看现场，有一项不符合扣0.5分，有一项有效投诉扣1分。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院内</w:t>
                  </w: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64</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eastAsia="zh-CN"/>
                    </w:rPr>
                  </w:pPr>
                  <w:r>
                    <w:rPr>
                      <w:rFonts w:hint="eastAsia" w:ascii="宋体" w:hAnsi="宋体" w:cs="宋体"/>
                      <w:color w:val="auto"/>
                      <w:kern w:val="0"/>
                      <w:sz w:val="20"/>
                      <w:lang w:eastAsia="zh-CN"/>
                    </w:rPr>
                    <w:t>在院老人有相对固定的护理人员进行生活照料，护理人员不佩戴尖锐饰品，不留长指甲，不染指甲，不抽烟，不酗酒，与老年人沟通态度温和、亲切，语言文明，表达清晰。</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default" w:ascii="宋体" w:hAnsi="宋体" w:eastAsia="宋体" w:cs="宋体"/>
                      <w:color w:val="auto"/>
                      <w:kern w:val="0"/>
                      <w:sz w:val="20"/>
                      <w:lang w:val="en-US" w:eastAsia="zh-CN"/>
                    </w:rPr>
                  </w:pPr>
                  <w:r>
                    <w:rPr>
                      <w:rFonts w:hint="eastAsia" w:ascii="宋体" w:hAnsi="宋体" w:cs="宋体"/>
                      <w:color w:val="auto"/>
                      <w:kern w:val="0"/>
                      <w:sz w:val="20"/>
                      <w:lang w:eastAsia="zh-CN"/>
                    </w:rPr>
                    <w:t>现场查看，有一项不符合扣</w:t>
                  </w:r>
                  <w:r>
                    <w:rPr>
                      <w:rFonts w:hint="eastAsia" w:ascii="宋体" w:hAnsi="宋体" w:cs="宋体"/>
                      <w:color w:val="auto"/>
                      <w:kern w:val="0"/>
                      <w:sz w:val="20"/>
                      <w:lang w:val="en-US" w:eastAsia="zh-CN"/>
                    </w:rPr>
                    <w:t>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lang w:eastAsia="zh-CN"/>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cs="宋体"/>
                      <w:color w:val="auto"/>
                      <w:kern w:val="0"/>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65</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lang w:eastAsia="zh-CN"/>
                    </w:rPr>
                    <w:t>院内老人面部整洁，衣着穿戴整齐，符合时下季节。</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lang w:eastAsia="zh-CN"/>
                    </w:rPr>
                    <w:t>现场查看</w:t>
                  </w:r>
                  <w:r>
                    <w:rPr>
                      <w:rFonts w:hint="eastAsia" w:ascii="宋体" w:hAnsi="宋体" w:cs="宋体"/>
                      <w:color w:val="auto"/>
                      <w:kern w:val="0"/>
                      <w:sz w:val="20"/>
                      <w:lang w:val="en-US" w:eastAsia="zh-CN"/>
                    </w:rPr>
                    <w:t>2-3位老人，有一项不达标扣1分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66</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建立服药老人监护人委托制度，签订委托书，对服药老人建有专门的发药、用药记录，药品有专人管理</w:t>
                  </w:r>
                  <w:r>
                    <w:rPr>
                      <w:rFonts w:hint="eastAsia" w:ascii="宋体" w:hAnsi="宋体" w:cs="宋体"/>
                      <w:color w:val="auto"/>
                      <w:kern w:val="0"/>
                      <w:sz w:val="20"/>
                      <w:lang w:eastAsia="zh-CN"/>
                    </w:rPr>
                    <w:t>（对服用镇静剂、安眠药、降糖、降压等特殊药物的老人，密切观察用药后的反应）</w:t>
                  </w:r>
                  <w:r>
                    <w:rPr>
                      <w:rFonts w:hint="eastAsia" w:ascii="宋体" w:hAnsi="宋体" w:cs="宋体"/>
                      <w:color w:val="auto"/>
                      <w:kern w:val="0"/>
                      <w:sz w:val="20"/>
                    </w:rPr>
                    <w:t>。</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val="en-US" w:eastAsia="zh-CN" w:bidi="ar-SA"/>
                    </w:rPr>
                  </w:pPr>
                  <w:r>
                    <w:rPr>
                      <w:rFonts w:hint="eastAsia" w:ascii="宋体" w:hAnsi="宋体" w:cs="宋体"/>
                      <w:color w:val="auto"/>
                      <w:kern w:val="0"/>
                      <w:sz w:val="20"/>
                    </w:rPr>
                    <w:t>查阅台账，有一例（次）达不到扣1分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67</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0"/>
                      <w:sz w:val="20"/>
                      <w:lang w:val="en-US" w:eastAsia="zh-CN" w:bidi="ar-SA"/>
                    </w:rPr>
                  </w:pPr>
                  <w:r>
                    <w:rPr>
                      <w:rFonts w:hint="eastAsia" w:ascii="宋体" w:hAnsi="宋体" w:cs="宋体"/>
                      <w:color w:val="auto"/>
                      <w:kern w:val="0"/>
                      <w:sz w:val="20"/>
                    </w:rPr>
                    <w:t>及时整理床铺、及时更换、晾晒老人衣物及床上用品，保持床铺整洁，房间内外无异味。污染织物应单独清洗、消毒、处置。</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0"/>
                      <w:sz w:val="20"/>
                      <w:lang w:val="en-US" w:eastAsia="zh-CN" w:bidi="ar-SA"/>
                    </w:rPr>
                  </w:pPr>
                  <w:r>
                    <w:rPr>
                      <w:rFonts w:hint="eastAsia" w:ascii="宋体" w:hAnsi="宋体" w:cs="宋体"/>
                      <w:color w:val="auto"/>
                      <w:kern w:val="0"/>
                      <w:sz w:val="20"/>
                    </w:rPr>
                    <w:t>现场查看，有一例不符合扣0.5分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634"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68</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0"/>
                      <w:sz w:val="20"/>
                      <w:lang w:val="en-US" w:eastAsia="zh-CN" w:bidi="ar-SA"/>
                    </w:rPr>
                  </w:pPr>
                  <w:r>
                    <w:rPr>
                      <w:rFonts w:hint="eastAsia" w:ascii="宋体" w:hAnsi="宋体" w:cs="宋体"/>
                      <w:color w:val="auto"/>
                      <w:kern w:val="0"/>
                      <w:sz w:val="20"/>
                    </w:rPr>
                    <w:t>老人居室卫生做到物品摆放整齐有序，桌面、门窗、地面及墙壁清洁无灰尘。</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0"/>
                      <w:sz w:val="20"/>
                      <w:lang w:val="en-US" w:eastAsia="zh-CN" w:bidi="ar-SA"/>
                    </w:rPr>
                  </w:pPr>
                  <w:r>
                    <w:rPr>
                      <w:rFonts w:hint="eastAsia" w:ascii="宋体" w:hAnsi="宋体" w:cs="宋体"/>
                      <w:color w:val="auto"/>
                      <w:kern w:val="0"/>
                      <w:sz w:val="20"/>
                    </w:rPr>
                    <w:t>查看现场，达不到的有一项扣0.5分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69</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2"/>
                      <w:sz w:val="20"/>
                      <w:lang w:val="en-US" w:eastAsia="zh-CN" w:bidi="ar-SA"/>
                    </w:rPr>
                  </w:pPr>
                  <w:r>
                    <w:rPr>
                      <w:rFonts w:hint="eastAsia" w:ascii="宋体" w:hAnsi="宋体" w:cs="宋体"/>
                      <w:color w:val="auto"/>
                      <w:kern w:val="0"/>
                      <w:sz w:val="20"/>
                      <w:lang w:eastAsia="zh-CN"/>
                    </w:rPr>
                    <w:t>每日至少开展一次</w:t>
                  </w:r>
                  <w:r>
                    <w:rPr>
                      <w:rFonts w:hint="eastAsia" w:ascii="宋体" w:hAnsi="宋体" w:cs="宋体"/>
                      <w:color w:val="auto"/>
                      <w:kern w:val="0"/>
                      <w:sz w:val="20"/>
                    </w:rPr>
                    <w:t>适合老人的活动，</w:t>
                  </w:r>
                  <w:r>
                    <w:rPr>
                      <w:rFonts w:hint="eastAsia" w:ascii="宋体" w:hAnsi="宋体" w:cs="宋体"/>
                      <w:color w:val="auto"/>
                      <w:kern w:val="0"/>
                      <w:sz w:val="20"/>
                      <w:lang w:eastAsia="zh-CN"/>
                    </w:rPr>
                    <w:t>对于老人生日、传统节日、特殊纪念日等，</w:t>
                  </w:r>
                  <w:r>
                    <w:rPr>
                      <w:rFonts w:hint="eastAsia" w:ascii="宋体" w:hAnsi="宋体" w:cs="宋体"/>
                      <w:color w:val="auto"/>
                      <w:kern w:val="0"/>
                      <w:sz w:val="20"/>
                    </w:rPr>
                    <w:t>组织多种形式的群体性活动。</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default" w:ascii="宋体" w:hAnsi="宋体" w:eastAsia="宋体" w:cs="宋体"/>
                      <w:color w:val="auto"/>
                      <w:kern w:val="2"/>
                      <w:sz w:val="24"/>
                      <w:szCs w:val="24"/>
                      <w:lang w:val="en-US" w:eastAsia="zh-CN" w:bidi="ar-SA"/>
                    </w:rPr>
                  </w:pPr>
                  <w:r>
                    <w:rPr>
                      <w:rFonts w:hint="eastAsia" w:ascii="宋体" w:hAnsi="宋体" w:cs="宋体"/>
                      <w:color w:val="auto"/>
                      <w:kern w:val="0"/>
                      <w:sz w:val="20"/>
                    </w:rPr>
                    <w:t>查阅台账，</w:t>
                  </w:r>
                  <w:r>
                    <w:rPr>
                      <w:rFonts w:hint="eastAsia" w:ascii="宋体" w:hAnsi="宋体" w:cs="宋体"/>
                      <w:color w:val="auto"/>
                      <w:kern w:val="0"/>
                      <w:sz w:val="20"/>
                      <w:lang w:eastAsia="zh-CN"/>
                    </w:rPr>
                    <w:t>询问老人，</w:t>
                  </w:r>
                  <w:r>
                    <w:rPr>
                      <w:rFonts w:hint="eastAsia" w:ascii="宋体" w:hAnsi="宋体" w:cs="宋体"/>
                      <w:color w:val="auto"/>
                      <w:kern w:val="0"/>
                      <w:sz w:val="20"/>
                    </w:rPr>
                    <w:t>缺一项扣0.5分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70</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eastAsia" w:ascii="宋体" w:hAnsi="宋体" w:eastAsia="宋体" w:cs="宋体"/>
                      <w:color w:val="auto"/>
                      <w:kern w:val="0"/>
                      <w:sz w:val="20"/>
                      <w:lang w:eastAsia="zh-CN"/>
                    </w:rPr>
                  </w:pPr>
                  <w:r>
                    <w:rPr>
                      <w:rFonts w:hint="eastAsia" w:ascii="宋体" w:hAnsi="宋体" w:cs="宋体"/>
                      <w:color w:val="auto"/>
                      <w:kern w:val="0"/>
                      <w:sz w:val="20"/>
                      <w:lang w:eastAsia="zh-CN"/>
                    </w:rPr>
                    <w:t>对于有心理性隐患的老人（抑郁、暴躁等行为异常的），护理人员要加强与老人的沟通及疏导，及时将相关情况告知家属，对于情况严重的老人应当建议家属带其就医，并暂时请退。</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default" w:ascii="宋体" w:hAnsi="宋体" w:eastAsia="宋体" w:cs="宋体"/>
                      <w:color w:val="auto"/>
                      <w:kern w:val="0"/>
                      <w:sz w:val="20"/>
                      <w:lang w:val="en-US" w:eastAsia="zh-CN"/>
                    </w:rPr>
                  </w:pPr>
                  <w:r>
                    <w:rPr>
                      <w:rFonts w:hint="eastAsia" w:ascii="宋体" w:hAnsi="宋体" w:cs="宋体"/>
                      <w:color w:val="auto"/>
                      <w:kern w:val="0"/>
                      <w:sz w:val="20"/>
                      <w:lang w:eastAsia="zh-CN"/>
                    </w:rPr>
                    <w:t>现场查看、</w:t>
                  </w:r>
                  <w:r>
                    <w:rPr>
                      <w:rFonts w:hint="eastAsia" w:ascii="宋体" w:hAnsi="宋体" w:cs="宋体"/>
                      <w:color w:val="auto"/>
                      <w:kern w:val="0"/>
                      <w:sz w:val="20"/>
                    </w:rPr>
                    <w:t>查阅台账</w:t>
                  </w:r>
                  <w:r>
                    <w:rPr>
                      <w:rFonts w:hint="eastAsia" w:ascii="宋体" w:hAnsi="宋体" w:cs="宋体"/>
                      <w:color w:val="auto"/>
                      <w:kern w:val="0"/>
                      <w:sz w:val="20"/>
                      <w:lang w:eastAsia="zh-CN"/>
                    </w:rPr>
                    <w:t>，有一项未达标的扣</w:t>
                  </w:r>
                  <w:r>
                    <w:rPr>
                      <w:rFonts w:hint="eastAsia" w:ascii="宋体" w:hAnsi="宋体" w:cs="宋体"/>
                      <w:color w:val="auto"/>
                      <w:kern w:val="0"/>
                      <w:sz w:val="20"/>
                      <w:lang w:val="en-US" w:eastAsia="zh-CN"/>
                    </w:rPr>
                    <w:t>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30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71</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0"/>
                      <w:sz w:val="20"/>
                      <w:lang w:val="en-US" w:eastAsia="zh-CN" w:bidi="ar-SA"/>
                    </w:rPr>
                  </w:pPr>
                  <w:r>
                    <w:rPr>
                      <w:rFonts w:hint="eastAsia" w:ascii="宋体" w:hAnsi="宋体" w:cs="宋体"/>
                      <w:color w:val="auto"/>
                      <w:kern w:val="0"/>
                      <w:sz w:val="20"/>
                    </w:rPr>
                    <w:t>每季度开展一次在院老人和家属的服务质量满意度调查，服务质量满意度达90%以上。</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0"/>
                      <w:sz w:val="20"/>
                      <w:lang w:val="en-US" w:eastAsia="zh-CN" w:bidi="ar-SA"/>
                    </w:rPr>
                  </w:pPr>
                  <w:r>
                    <w:rPr>
                      <w:rFonts w:hint="eastAsia" w:ascii="宋体" w:hAnsi="宋体" w:cs="宋体"/>
                      <w:color w:val="auto"/>
                      <w:kern w:val="0"/>
                      <w:sz w:val="20"/>
                    </w:rPr>
                    <w:t>查阅资料、现场询问，资料不全</w:t>
                  </w:r>
                  <w:r>
                    <w:rPr>
                      <w:rFonts w:hint="eastAsia" w:ascii="宋体" w:hAnsi="宋体" w:cs="宋体"/>
                      <w:color w:val="auto"/>
                      <w:kern w:val="0"/>
                      <w:sz w:val="20"/>
                      <w:lang w:eastAsia="zh-CN"/>
                    </w:rPr>
                    <w:t>或满意度未达到</w:t>
                  </w:r>
                  <w:r>
                    <w:rPr>
                      <w:rFonts w:hint="eastAsia" w:ascii="宋体" w:hAnsi="宋体" w:cs="宋体"/>
                      <w:color w:val="auto"/>
                      <w:kern w:val="0"/>
                      <w:sz w:val="20"/>
                      <w:lang w:val="en-US" w:eastAsia="zh-CN"/>
                    </w:rPr>
                    <w:t>90%以上</w:t>
                  </w:r>
                  <w:r>
                    <w:rPr>
                      <w:rFonts w:hint="eastAsia" w:ascii="宋体" w:hAnsi="宋体" w:cs="宋体"/>
                      <w:color w:val="auto"/>
                      <w:kern w:val="0"/>
                      <w:sz w:val="20"/>
                    </w:rPr>
                    <w:t>的扣0.5分，未开展扣1分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402" w:hRule="atLeast"/>
              </w:trPr>
              <w:tc>
                <w:tcPr>
                  <w:tcW w:w="198"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运</w:t>
                  </w:r>
                </w:p>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营</w:t>
                  </w:r>
                </w:p>
                <w:p>
                  <w:pPr>
                    <w:pageBreakBefore w:val="0"/>
                    <w:widowControl w:val="0"/>
                    <w:kinsoku/>
                    <w:overflowPunct/>
                    <w:topLinePunct w:val="0"/>
                    <w:bidi w:val="0"/>
                    <w:adjustRightInd/>
                    <w:jc w:val="center"/>
                    <w:textAlignment w:val="center"/>
                    <w:rPr>
                      <w:rFonts w:ascii="宋体" w:hAnsi="宋体" w:cs="宋体"/>
                      <w:color w:val="auto"/>
                      <w:kern w:val="0"/>
                      <w:sz w:val="24"/>
                      <w:szCs w:val="24"/>
                    </w:rPr>
                  </w:pPr>
                  <w:r>
                    <w:rPr>
                      <w:rFonts w:hint="eastAsia" w:ascii="宋体" w:hAnsi="宋体" w:cs="宋体"/>
                      <w:color w:val="auto"/>
                      <w:kern w:val="0"/>
                      <w:sz w:val="24"/>
                      <w:szCs w:val="24"/>
                    </w:rPr>
                    <w:t>管</w:t>
                  </w:r>
                </w:p>
                <w:p>
                  <w:pPr>
                    <w:pageBreakBefore w:val="0"/>
                    <w:widowControl w:val="0"/>
                    <w:kinsoku/>
                    <w:overflowPunct/>
                    <w:topLinePunct w:val="0"/>
                    <w:bidi w:val="0"/>
                    <w:adjustRightInd/>
                    <w:jc w:val="center"/>
                    <w:rPr>
                      <w:rFonts w:ascii="宋体" w:hAnsi="宋体" w:cs="宋体"/>
                      <w:color w:val="auto"/>
                      <w:sz w:val="24"/>
                      <w:szCs w:val="24"/>
                    </w:rPr>
                  </w:pPr>
                  <w:r>
                    <w:rPr>
                      <w:rFonts w:hint="eastAsia" w:ascii="宋体" w:hAnsi="宋体" w:cs="宋体"/>
                      <w:color w:val="auto"/>
                      <w:kern w:val="0"/>
                      <w:sz w:val="24"/>
                      <w:szCs w:val="24"/>
                    </w:rPr>
                    <w:t>理</w:t>
                  </w:r>
                </w:p>
              </w:tc>
              <w:tc>
                <w:tcPr>
                  <w:tcW w:w="311"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kern w:val="0"/>
                      <w:sz w:val="24"/>
                      <w:szCs w:val="24"/>
                    </w:rPr>
                  </w:pPr>
                  <w:r>
                    <w:rPr>
                      <w:rFonts w:hint="eastAsia" w:ascii="宋体" w:hAnsi="宋体" w:cs="宋体"/>
                      <w:color w:val="auto"/>
                      <w:kern w:val="0"/>
                      <w:sz w:val="24"/>
                      <w:szCs w:val="24"/>
                    </w:rPr>
                    <w:t>减分项</w:t>
                  </w: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72</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0"/>
                      <w:lang w:val="en-US" w:eastAsia="zh-CN" w:bidi="ar-SA"/>
                    </w:rPr>
                  </w:pPr>
                  <w:r>
                    <w:rPr>
                      <w:rFonts w:hint="eastAsia" w:ascii="宋体" w:hAnsi="宋体" w:cs="宋体"/>
                      <w:color w:val="auto"/>
                      <w:sz w:val="20"/>
                    </w:rPr>
                    <w:t>在运营中被市级（含以上）通报批评的。</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2"/>
                      <w:sz w:val="24"/>
                      <w:szCs w:val="24"/>
                      <w:lang w:val="en-US" w:eastAsia="zh-CN" w:bidi="ar-SA"/>
                    </w:rPr>
                  </w:pPr>
                  <w:r>
                    <w:rPr>
                      <w:rFonts w:hint="eastAsia" w:ascii="宋体" w:hAnsi="宋体" w:cs="宋体"/>
                      <w:color w:val="auto"/>
                      <w:sz w:val="20"/>
                    </w:rPr>
                    <w:t>启东市级一次0.5分，南通市级一次1分，省级以上一次2分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26"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73</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0"/>
                      <w:lang w:val="en-US" w:eastAsia="zh-CN" w:bidi="ar-SA"/>
                    </w:rPr>
                  </w:pPr>
                  <w:r>
                    <w:rPr>
                      <w:rFonts w:hint="eastAsia" w:ascii="宋体" w:hAnsi="宋体" w:cs="宋体"/>
                      <w:color w:val="auto"/>
                      <w:sz w:val="20"/>
                    </w:rPr>
                    <w:t>在日常安全隐患督查中，未按时完成隐患整改的（包括省厅安全系统闭环、隐患管理手册）。</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ascii="宋体" w:hAnsi="宋体" w:eastAsia="宋体" w:cs="宋体"/>
                      <w:color w:val="auto"/>
                      <w:kern w:val="2"/>
                      <w:sz w:val="24"/>
                      <w:szCs w:val="24"/>
                      <w:lang w:val="en-US" w:eastAsia="zh-CN" w:bidi="ar-SA"/>
                    </w:rPr>
                  </w:pPr>
                  <w:r>
                    <w:rPr>
                      <w:rFonts w:hint="eastAsia" w:ascii="宋体" w:hAnsi="宋体" w:cs="宋体"/>
                      <w:color w:val="auto"/>
                      <w:kern w:val="0"/>
                      <w:sz w:val="20"/>
                    </w:rPr>
                    <w:t>有一次有一项扣3分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26"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eastAsia" w:ascii="宋体" w:hAnsi="宋体" w:eastAsia="宋体" w:cs="宋体"/>
                      <w:color w:val="auto"/>
                      <w:kern w:val="2"/>
                      <w:sz w:val="20"/>
                      <w:lang w:val="en-US" w:eastAsia="zh-CN" w:bidi="ar-SA"/>
                    </w:rPr>
                  </w:pPr>
                  <w:r>
                    <w:rPr>
                      <w:rFonts w:hint="eastAsia" w:ascii="宋体" w:hAnsi="宋体" w:cs="宋体"/>
                      <w:color w:val="auto"/>
                      <w:sz w:val="20"/>
                      <w:lang w:val="en-US" w:eastAsia="zh-CN"/>
                    </w:rPr>
                    <w:t>74</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hint="eastAsia" w:ascii="宋体" w:hAnsi="宋体" w:eastAsia="宋体" w:cs="宋体"/>
                      <w:color w:val="auto"/>
                      <w:sz w:val="20"/>
                      <w:lang w:eastAsia="zh-CN"/>
                    </w:rPr>
                  </w:pPr>
                  <w:r>
                    <w:rPr>
                      <w:rFonts w:hint="eastAsia" w:ascii="宋体" w:hAnsi="宋体" w:cs="宋体"/>
                      <w:color w:val="auto"/>
                      <w:sz w:val="20"/>
                      <w:lang w:eastAsia="zh-CN"/>
                    </w:rPr>
                    <w:t>积极配合各级行政机关的各项检查工作。</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textAlignment w:val="center"/>
                    <w:rPr>
                      <w:rFonts w:hint="default" w:ascii="宋体" w:hAnsi="宋体" w:eastAsia="宋体" w:cs="宋体"/>
                      <w:color w:val="auto"/>
                      <w:kern w:val="0"/>
                      <w:sz w:val="20"/>
                      <w:lang w:val="en-US" w:eastAsia="zh-CN"/>
                    </w:rPr>
                  </w:pPr>
                  <w:r>
                    <w:rPr>
                      <w:rFonts w:hint="eastAsia" w:ascii="宋体" w:hAnsi="宋体" w:cs="宋体"/>
                      <w:color w:val="auto"/>
                      <w:kern w:val="0"/>
                      <w:sz w:val="20"/>
                      <w:lang w:eastAsia="zh-CN"/>
                    </w:rPr>
                    <w:t>有一次未配合扣</w:t>
                  </w:r>
                  <w:r>
                    <w:rPr>
                      <w:rFonts w:hint="eastAsia" w:ascii="宋体" w:hAnsi="宋体" w:cs="宋体"/>
                      <w:color w:val="auto"/>
                      <w:kern w:val="0"/>
                      <w:sz w:val="20"/>
                      <w:lang w:val="en-US" w:eastAsia="zh-CN"/>
                    </w:rPr>
                    <w:t>5分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26"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kern w:val="2"/>
                      <w:sz w:val="20"/>
                      <w:lang w:val="en-US" w:eastAsia="zh-CN" w:bidi="ar-SA"/>
                    </w:rPr>
                  </w:pPr>
                  <w:r>
                    <w:rPr>
                      <w:rFonts w:hint="eastAsia" w:ascii="宋体" w:hAnsi="宋体" w:cs="宋体"/>
                      <w:color w:val="auto"/>
                      <w:sz w:val="20"/>
                      <w:lang w:val="en-US" w:eastAsia="zh-CN"/>
                    </w:rPr>
                    <w:t>75</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0"/>
                      <w:lang w:val="en-US" w:eastAsia="zh-CN" w:bidi="ar-SA"/>
                    </w:rPr>
                  </w:pPr>
                  <w:r>
                    <w:rPr>
                      <w:rFonts w:hint="eastAsia" w:ascii="宋体" w:hAnsi="宋体" w:cs="宋体"/>
                      <w:color w:val="auto"/>
                      <w:sz w:val="20"/>
                    </w:rPr>
                    <w:t>未按时上报数据资料的。</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4"/>
                      <w:szCs w:val="24"/>
                      <w:lang w:val="en-US" w:eastAsia="zh-CN" w:bidi="ar-SA"/>
                    </w:rPr>
                  </w:pPr>
                  <w:r>
                    <w:rPr>
                      <w:rFonts w:hint="eastAsia" w:ascii="宋体" w:hAnsi="宋体" w:cs="宋体"/>
                      <w:color w:val="auto"/>
                      <w:kern w:val="0"/>
                      <w:sz w:val="20"/>
                    </w:rPr>
                    <w:t>每次扣1分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07" w:hRule="atLeast"/>
              </w:trPr>
              <w:tc>
                <w:tcPr>
                  <w:tcW w:w="198" w:type="pct"/>
                  <w:vMerge w:val="continue"/>
                  <w:tcBorders>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p>
              </w:tc>
              <w:tc>
                <w:tcPr>
                  <w:tcW w:w="311" w:type="pct"/>
                  <w:vMerge w:val="restart"/>
                  <w:tcBorders>
                    <w:top w:val="single" w:color="auto" w:sz="4" w:space="0"/>
                    <w:left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rPr>
                      <w:rFonts w:ascii="宋体" w:hAnsi="宋体" w:cs="宋体"/>
                      <w:color w:val="auto"/>
                      <w:sz w:val="24"/>
                      <w:szCs w:val="24"/>
                    </w:rPr>
                  </w:pPr>
                  <w:r>
                    <w:rPr>
                      <w:rFonts w:hint="eastAsia" w:ascii="宋体" w:hAnsi="宋体" w:cs="宋体"/>
                      <w:color w:val="auto"/>
                      <w:kern w:val="0"/>
                      <w:sz w:val="24"/>
                      <w:szCs w:val="24"/>
                    </w:rPr>
                    <w:t>加分项</w:t>
                  </w: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kern w:val="2"/>
                      <w:sz w:val="20"/>
                      <w:lang w:val="en-US" w:eastAsia="zh-CN" w:bidi="ar-SA"/>
                    </w:rPr>
                  </w:pPr>
                  <w:r>
                    <w:rPr>
                      <w:rFonts w:hint="eastAsia" w:ascii="宋体" w:hAnsi="宋体" w:cs="宋体"/>
                      <w:color w:val="auto"/>
                      <w:sz w:val="20"/>
                      <w:lang w:val="en-US" w:eastAsia="zh-CN"/>
                    </w:rPr>
                    <w:t>76</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0"/>
                      <w:lang w:val="en-US" w:eastAsia="zh-CN" w:bidi="ar-SA"/>
                    </w:rPr>
                  </w:pPr>
                  <w:r>
                    <w:rPr>
                      <w:rFonts w:hint="eastAsia" w:ascii="宋体" w:hAnsi="宋体" w:cs="宋体"/>
                      <w:color w:val="auto"/>
                      <w:sz w:val="20"/>
                    </w:rPr>
                    <w:t>养老机构或机构内工作人员年度受到市级（含以上）行政部门表彰的。</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4"/>
                      <w:szCs w:val="24"/>
                      <w:lang w:val="en-US" w:eastAsia="zh-CN" w:bidi="ar-SA"/>
                    </w:rPr>
                  </w:pPr>
                  <w:r>
                    <w:rPr>
                      <w:rFonts w:hint="eastAsia" w:ascii="宋体" w:hAnsi="宋体" w:cs="宋体"/>
                      <w:color w:val="auto"/>
                      <w:sz w:val="20"/>
                    </w:rPr>
                    <w:t>启东市级一次1分，南通市级一次2分，省级以上一次4分。</w:t>
                  </w:r>
                </w:p>
              </w:tc>
              <w:tc>
                <w:tcPr>
                  <w:tcW w:w="3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82" w:hRule="atLeast"/>
              </w:trPr>
              <w:tc>
                <w:tcPr>
                  <w:tcW w:w="198"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311" w:type="pct"/>
                  <w:vMerge w:val="continue"/>
                  <w:tcBorders>
                    <w:left w:val="single" w:color="000000" w:sz="4" w:space="0"/>
                    <w:right w:val="single" w:color="000000" w:sz="4" w:space="0"/>
                  </w:tcBorders>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kern w:val="2"/>
                      <w:sz w:val="20"/>
                      <w:lang w:val="en-US" w:eastAsia="zh-CN" w:bidi="ar-SA"/>
                    </w:rPr>
                  </w:pPr>
                  <w:r>
                    <w:rPr>
                      <w:rFonts w:hint="eastAsia" w:ascii="宋体" w:hAnsi="宋体" w:cs="宋体"/>
                      <w:color w:val="auto"/>
                      <w:sz w:val="20"/>
                      <w:lang w:val="en-US" w:eastAsia="zh-CN"/>
                    </w:rPr>
                    <w:t>77</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0"/>
                      <w:lang w:val="en-US" w:eastAsia="zh-CN" w:bidi="ar-SA"/>
                    </w:rPr>
                  </w:pPr>
                  <w:r>
                    <w:rPr>
                      <w:rFonts w:hint="eastAsia" w:ascii="宋体" w:hAnsi="宋体" w:cs="宋体"/>
                      <w:color w:val="auto"/>
                      <w:sz w:val="20"/>
                    </w:rPr>
                    <w:t>机构人员参与启东市级及以上重大技能比赛获得奖励（前三名）的。</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4"/>
                      <w:szCs w:val="24"/>
                      <w:lang w:val="en-US" w:eastAsia="zh-CN" w:bidi="ar-SA"/>
                    </w:rPr>
                  </w:pPr>
                  <w:r>
                    <w:rPr>
                      <w:rFonts w:hint="eastAsia" w:ascii="宋体" w:hAnsi="宋体" w:cs="宋体"/>
                      <w:color w:val="auto"/>
                      <w:sz w:val="20"/>
                    </w:rPr>
                    <w:t>启东市级一次2分，南通市级一次3分，省级以上一次5分</w:t>
                  </w:r>
                </w:p>
              </w:tc>
              <w:tc>
                <w:tcPr>
                  <w:tcW w:w="351"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rPr>
                      <w:color w:val="auto"/>
                    </w:rPr>
                  </w:pPr>
                  <w:r>
                    <w:rPr>
                      <w:rFonts w:hint="eastAsia"/>
                      <w:b/>
                      <w:color w:val="auto"/>
                    </w:rPr>
                    <w:t>市  局  考  评</w:t>
                  </w:r>
                </w:p>
              </w:tc>
            </w:tr>
            <w:tr>
              <w:tblPrEx>
                <w:tblCellMar>
                  <w:top w:w="0" w:type="dxa"/>
                  <w:left w:w="0" w:type="dxa"/>
                  <w:bottom w:w="0" w:type="dxa"/>
                  <w:right w:w="0" w:type="dxa"/>
                </w:tblCellMar>
              </w:tblPrEx>
              <w:trPr>
                <w:trHeight w:val="213" w:hRule="atLeast"/>
              </w:trPr>
              <w:tc>
                <w:tcPr>
                  <w:tcW w:w="198"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311" w:type="pct"/>
                  <w:vMerge w:val="continue"/>
                  <w:tcBorders>
                    <w:left w:val="single" w:color="000000" w:sz="4" w:space="0"/>
                    <w:right w:val="single" w:color="000000" w:sz="4" w:space="0"/>
                  </w:tcBorders>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kern w:val="2"/>
                      <w:sz w:val="20"/>
                      <w:lang w:val="en-US" w:eastAsia="zh-CN" w:bidi="ar-SA"/>
                    </w:rPr>
                  </w:pPr>
                  <w:r>
                    <w:rPr>
                      <w:rFonts w:hint="eastAsia" w:ascii="宋体" w:hAnsi="宋体" w:cs="宋体"/>
                      <w:color w:val="auto"/>
                      <w:sz w:val="20"/>
                      <w:lang w:val="en-US" w:eastAsia="zh-CN"/>
                    </w:rPr>
                    <w:t>78</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0"/>
                      <w:lang w:val="en-US" w:eastAsia="zh-CN" w:bidi="ar-SA"/>
                    </w:rPr>
                  </w:pPr>
                  <w:r>
                    <w:rPr>
                      <w:rFonts w:hint="eastAsia" w:ascii="宋体" w:hAnsi="宋体" w:cs="宋体"/>
                      <w:color w:val="auto"/>
                      <w:sz w:val="20"/>
                    </w:rPr>
                    <w:t>机构或工作人员参与新闻投稿（新闻内容与养老相关的），并在市级以上媒体得到发表的。</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4"/>
                      <w:szCs w:val="24"/>
                      <w:lang w:val="en-US" w:eastAsia="zh-CN" w:bidi="ar-SA"/>
                    </w:rPr>
                  </w:pPr>
                  <w:r>
                    <w:rPr>
                      <w:rFonts w:hint="eastAsia" w:ascii="宋体" w:hAnsi="宋体" w:cs="宋体"/>
                      <w:color w:val="auto"/>
                      <w:sz w:val="20"/>
                    </w:rPr>
                    <w:t>启东市级每篇加1分，南通市级加2分，省级以上加3分</w:t>
                  </w:r>
                </w:p>
              </w:tc>
              <w:tc>
                <w:tcPr>
                  <w:tcW w:w="351"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71" w:hRule="atLeast"/>
              </w:trPr>
              <w:tc>
                <w:tcPr>
                  <w:tcW w:w="198"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311" w:type="pct"/>
                  <w:vMerge w:val="continue"/>
                  <w:tcBorders>
                    <w:left w:val="single" w:color="000000" w:sz="4" w:space="0"/>
                    <w:right w:val="single" w:color="000000" w:sz="4" w:space="0"/>
                  </w:tcBorders>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kern w:val="2"/>
                      <w:sz w:val="20"/>
                      <w:lang w:val="en-US" w:eastAsia="zh-CN" w:bidi="ar-SA"/>
                    </w:rPr>
                  </w:pPr>
                  <w:r>
                    <w:rPr>
                      <w:rFonts w:hint="eastAsia" w:ascii="宋体" w:hAnsi="宋体" w:cs="宋体"/>
                      <w:color w:val="auto"/>
                      <w:sz w:val="20"/>
                      <w:lang w:val="en-US" w:eastAsia="zh-CN"/>
                    </w:rPr>
                    <w:t>79</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0"/>
                      <w:lang w:val="en-US" w:eastAsia="zh-CN" w:bidi="ar-SA"/>
                    </w:rPr>
                  </w:pPr>
                  <w:r>
                    <w:rPr>
                      <w:rFonts w:hint="eastAsia" w:ascii="宋体" w:hAnsi="宋体" w:cs="宋体"/>
                      <w:color w:val="auto"/>
                      <w:sz w:val="20"/>
                    </w:rPr>
                    <w:t>为全市亮点培育工作、重点项目试点工作做出贡献、取得成效的。</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4"/>
                      <w:szCs w:val="24"/>
                      <w:lang w:val="en-US" w:eastAsia="zh-CN" w:bidi="ar-SA"/>
                    </w:rPr>
                  </w:pPr>
                  <w:r>
                    <w:rPr>
                      <w:rFonts w:hint="eastAsia" w:ascii="宋体" w:hAnsi="宋体" w:cs="宋体"/>
                      <w:color w:val="auto"/>
                      <w:sz w:val="20"/>
                    </w:rPr>
                    <w:t>每项加2分</w:t>
                  </w:r>
                </w:p>
              </w:tc>
              <w:tc>
                <w:tcPr>
                  <w:tcW w:w="351"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71" w:hRule="atLeast"/>
              </w:trPr>
              <w:tc>
                <w:tcPr>
                  <w:tcW w:w="198"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311" w:type="pct"/>
                  <w:vMerge w:val="continue"/>
                  <w:tcBorders>
                    <w:left w:val="single" w:color="000000" w:sz="4" w:space="0"/>
                    <w:right w:val="single" w:color="000000" w:sz="4" w:space="0"/>
                  </w:tcBorders>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kern w:val="2"/>
                      <w:sz w:val="20"/>
                      <w:lang w:val="en-US" w:eastAsia="zh-CN" w:bidi="ar-SA"/>
                    </w:rPr>
                  </w:pPr>
                  <w:r>
                    <w:rPr>
                      <w:rFonts w:hint="eastAsia" w:ascii="宋体" w:hAnsi="宋体" w:cs="宋体"/>
                      <w:color w:val="auto"/>
                      <w:sz w:val="20"/>
                      <w:lang w:val="en-US" w:eastAsia="zh-CN"/>
                    </w:rPr>
                    <w:t>80</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0"/>
                      <w:lang w:val="en-US" w:eastAsia="zh-CN" w:bidi="ar-SA"/>
                    </w:rPr>
                  </w:pPr>
                  <w:r>
                    <w:rPr>
                      <w:rFonts w:hint="eastAsia" w:ascii="宋体" w:hAnsi="宋体" w:cs="宋体"/>
                      <w:color w:val="auto"/>
                      <w:sz w:val="20"/>
                    </w:rPr>
                    <w:t>养老机构内有好人好事，典型感人事迹或服务案例被媒体报道的。</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4"/>
                      <w:szCs w:val="24"/>
                      <w:lang w:val="en-US" w:eastAsia="zh-CN" w:bidi="ar-SA"/>
                    </w:rPr>
                  </w:pPr>
                  <w:r>
                    <w:rPr>
                      <w:rFonts w:hint="eastAsia" w:ascii="宋体" w:hAnsi="宋体" w:cs="宋体"/>
                      <w:color w:val="auto"/>
                      <w:sz w:val="20"/>
                    </w:rPr>
                    <w:t>启东市级加1分，南通市级加2分，省级以上加3分</w:t>
                  </w:r>
                </w:p>
              </w:tc>
              <w:tc>
                <w:tcPr>
                  <w:tcW w:w="351"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191" w:hRule="atLeast"/>
              </w:trPr>
              <w:tc>
                <w:tcPr>
                  <w:tcW w:w="198"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311" w:type="pct"/>
                  <w:vMerge w:val="continue"/>
                  <w:tcBorders>
                    <w:left w:val="single" w:color="000000" w:sz="4" w:space="0"/>
                    <w:right w:val="single" w:color="000000" w:sz="4" w:space="0"/>
                  </w:tcBorders>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kern w:val="2"/>
                      <w:sz w:val="20"/>
                      <w:lang w:val="en-US" w:eastAsia="zh-CN" w:bidi="ar-SA"/>
                    </w:rPr>
                  </w:pPr>
                  <w:r>
                    <w:rPr>
                      <w:rFonts w:hint="eastAsia" w:ascii="宋体" w:hAnsi="宋体" w:cs="宋体"/>
                      <w:color w:val="auto"/>
                      <w:sz w:val="20"/>
                      <w:lang w:val="en-US" w:eastAsia="zh-CN"/>
                    </w:rPr>
                    <w:t>81</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0"/>
                      <w:sz w:val="20"/>
                      <w:lang w:val="en-US" w:eastAsia="zh-CN" w:bidi="ar-SA"/>
                    </w:rPr>
                  </w:pPr>
                  <w:r>
                    <w:rPr>
                      <w:rFonts w:hint="eastAsia" w:ascii="宋体" w:hAnsi="宋体" w:cs="宋体"/>
                      <w:color w:val="auto"/>
                      <w:sz w:val="20"/>
                    </w:rPr>
                    <w:t>业务工作被启东市级及以上推广或经验介绍的。</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0"/>
                      <w:sz w:val="20"/>
                      <w:lang w:val="en-US" w:eastAsia="zh-CN" w:bidi="ar-SA"/>
                    </w:rPr>
                  </w:pPr>
                  <w:r>
                    <w:rPr>
                      <w:rFonts w:hint="eastAsia" w:ascii="宋体" w:hAnsi="宋体" w:cs="宋体"/>
                      <w:color w:val="auto"/>
                      <w:sz w:val="20"/>
                    </w:rPr>
                    <w:t>启东市级加2分、南通市级以上加3分</w:t>
                  </w:r>
                </w:p>
              </w:tc>
              <w:tc>
                <w:tcPr>
                  <w:tcW w:w="351"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r>
              <w:tblPrEx>
                <w:tblCellMar>
                  <w:top w:w="0" w:type="dxa"/>
                  <w:left w:w="0" w:type="dxa"/>
                  <w:bottom w:w="0" w:type="dxa"/>
                  <w:right w:w="0" w:type="dxa"/>
                </w:tblCellMar>
              </w:tblPrEx>
              <w:trPr>
                <w:trHeight w:val="218" w:hRule="atLeast"/>
              </w:trPr>
              <w:tc>
                <w:tcPr>
                  <w:tcW w:w="198"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311" w:type="pct"/>
                  <w:vMerge w:val="continue"/>
                  <w:tcBorders>
                    <w:left w:val="single" w:color="000000" w:sz="4" w:space="0"/>
                    <w:right w:val="single" w:color="000000" w:sz="4" w:space="0"/>
                  </w:tcBorders>
                  <w:vAlign w:val="center"/>
                </w:tcPr>
                <w:p>
                  <w:pPr>
                    <w:pageBreakBefore w:val="0"/>
                    <w:widowControl w:val="0"/>
                    <w:kinsoku/>
                    <w:overflowPunct/>
                    <w:topLinePunct w:val="0"/>
                    <w:bidi w:val="0"/>
                    <w:adjustRightInd/>
                    <w:jc w:val="center"/>
                    <w:textAlignment w:val="center"/>
                    <w:rPr>
                      <w:rFonts w:ascii="宋体" w:hAnsi="宋体" w:cs="宋体"/>
                      <w:color w:val="auto"/>
                      <w:sz w:val="24"/>
                      <w:szCs w:val="24"/>
                    </w:rPr>
                  </w:pPr>
                </w:p>
              </w:tc>
              <w:tc>
                <w:tcPr>
                  <w:tcW w:w="2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center"/>
                    <w:textAlignment w:val="center"/>
                    <w:rPr>
                      <w:rFonts w:hint="default" w:ascii="宋体" w:hAnsi="宋体" w:eastAsia="宋体" w:cs="宋体"/>
                      <w:color w:val="auto"/>
                      <w:sz w:val="20"/>
                      <w:lang w:val="en-US" w:eastAsia="zh-CN"/>
                    </w:rPr>
                  </w:pPr>
                  <w:r>
                    <w:rPr>
                      <w:rFonts w:hint="eastAsia" w:ascii="宋体" w:hAnsi="宋体" w:cs="宋体"/>
                      <w:color w:val="auto"/>
                      <w:sz w:val="20"/>
                      <w:lang w:val="en-US" w:eastAsia="zh-CN"/>
                    </w:rPr>
                    <w:t>82</w:t>
                  </w:r>
                </w:p>
              </w:tc>
              <w:tc>
                <w:tcPr>
                  <w:tcW w:w="21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2"/>
                      <w:sz w:val="20"/>
                      <w:lang w:val="en-US" w:eastAsia="zh-CN" w:bidi="ar-SA"/>
                    </w:rPr>
                  </w:pPr>
                  <w:r>
                    <w:rPr>
                      <w:rFonts w:hint="eastAsia" w:ascii="宋体" w:hAnsi="宋体" w:cs="宋体"/>
                      <w:color w:val="auto"/>
                      <w:sz w:val="20"/>
                    </w:rPr>
                    <w:t>经市局推荐，为启东市级及以上部门</w:t>
                  </w:r>
                  <w:r>
                    <w:rPr>
                      <w:rFonts w:hint="eastAsia" w:ascii="宋体" w:hAnsi="宋体" w:cs="宋体"/>
                      <w:color w:val="auto"/>
                      <w:sz w:val="20"/>
                      <w:lang w:eastAsia="zh-CN"/>
                    </w:rPr>
                    <w:t>作为</w:t>
                  </w:r>
                  <w:r>
                    <w:rPr>
                      <w:rFonts w:hint="eastAsia" w:ascii="宋体" w:hAnsi="宋体" w:cs="宋体"/>
                      <w:color w:val="auto"/>
                      <w:sz w:val="20"/>
                    </w:rPr>
                    <w:t>参观点或承办现场会的。</w:t>
                  </w:r>
                </w:p>
              </w:tc>
              <w:tc>
                <w:tcPr>
                  <w:tcW w:w="172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jc w:val="left"/>
                    <w:rPr>
                      <w:rFonts w:ascii="宋体" w:hAnsi="宋体" w:eastAsia="宋体" w:cs="宋体"/>
                      <w:color w:val="auto"/>
                      <w:kern w:val="0"/>
                      <w:sz w:val="20"/>
                      <w:lang w:val="en-US" w:eastAsia="zh-CN" w:bidi="ar-SA"/>
                    </w:rPr>
                  </w:pPr>
                  <w:r>
                    <w:rPr>
                      <w:rFonts w:hint="eastAsia" w:ascii="宋体" w:hAnsi="宋体" w:cs="宋体"/>
                      <w:color w:val="auto"/>
                      <w:sz w:val="20"/>
                    </w:rPr>
                    <w:t>启东市级加1分、南通市级以上加2分</w:t>
                  </w:r>
                </w:p>
              </w:tc>
              <w:tc>
                <w:tcPr>
                  <w:tcW w:w="351" w:type="pct"/>
                  <w:vMerge w:val="continue"/>
                  <w:tcBorders>
                    <w:left w:val="single" w:color="000000" w:sz="4" w:space="0"/>
                    <w:right w:val="single" w:color="000000" w:sz="4" w:space="0"/>
                  </w:tcBorders>
                  <w:noWrap/>
                  <w:tcMar>
                    <w:top w:w="15" w:type="dxa"/>
                    <w:left w:w="15" w:type="dxa"/>
                    <w:right w:w="15" w:type="dxa"/>
                  </w:tcMar>
                  <w:vAlign w:val="center"/>
                </w:tcPr>
                <w:p>
                  <w:pPr>
                    <w:pageBreakBefore w:val="0"/>
                    <w:widowControl w:val="0"/>
                    <w:kinsoku/>
                    <w:overflowPunct/>
                    <w:topLinePunct w:val="0"/>
                    <w:bidi w:val="0"/>
                    <w:adjustRightInd/>
                    <w:rPr>
                      <w:color w:val="auto"/>
                    </w:rPr>
                  </w:pPr>
                </w:p>
              </w:tc>
            </w:tr>
          </w:tbl>
          <w:p>
            <w:pPr>
              <w:pageBreakBefore w:val="0"/>
              <w:widowControl w:val="0"/>
              <w:kinsoku/>
              <w:overflowPunct/>
              <w:topLinePunct w:val="0"/>
              <w:bidi w:val="0"/>
              <w:adjustRightInd/>
              <w:spacing w:line="400" w:lineRule="exact"/>
              <w:rPr>
                <w:rFonts w:ascii="宋体" w:hAnsi="宋体" w:cs="宋体"/>
                <w:color w:val="auto"/>
                <w:sz w:val="24"/>
                <w:szCs w:val="24"/>
              </w:rPr>
            </w:pPr>
          </w:p>
          <w:p>
            <w:pPr>
              <w:pageBreakBefore w:val="0"/>
              <w:widowControl w:val="0"/>
              <w:kinsoku/>
              <w:overflowPunct/>
              <w:topLinePunct w:val="0"/>
              <w:bidi w:val="0"/>
              <w:adjustRightInd/>
              <w:spacing w:line="400" w:lineRule="exact"/>
              <w:ind w:firstLine="5301" w:firstLineChars="2200"/>
              <w:rPr>
                <w:rFonts w:ascii="宋体" w:hAnsi="宋体" w:cs="宋体"/>
                <w:b/>
                <w:color w:val="auto"/>
                <w:sz w:val="24"/>
                <w:szCs w:val="24"/>
                <w:u w:val="single"/>
              </w:rPr>
            </w:pPr>
            <w:r>
              <w:rPr>
                <w:rFonts w:hint="eastAsia" w:ascii="宋体" w:hAnsi="宋体" w:cs="宋体"/>
                <w:b/>
                <w:color w:val="auto"/>
                <w:sz w:val="24"/>
                <w:szCs w:val="24"/>
              </w:rPr>
              <w:t>合计分数</w:t>
            </w:r>
            <w:r>
              <w:rPr>
                <w:rFonts w:hint="eastAsia" w:ascii="宋体" w:hAnsi="宋体" w:cs="宋体"/>
                <w:b/>
                <w:color w:val="auto"/>
                <w:sz w:val="24"/>
                <w:szCs w:val="24"/>
                <w:u w:val="single"/>
              </w:rPr>
              <w:t xml:space="preserve">         </w:t>
            </w:r>
          </w:p>
          <w:p>
            <w:pPr>
              <w:pageBreakBefore w:val="0"/>
              <w:widowControl w:val="0"/>
              <w:kinsoku/>
              <w:overflowPunct/>
              <w:topLinePunct w:val="0"/>
              <w:bidi w:val="0"/>
              <w:adjustRightInd/>
              <w:spacing w:line="400" w:lineRule="exact"/>
              <w:rPr>
                <w:rFonts w:ascii="宋体" w:hAnsi="宋体" w:cs="宋体"/>
                <w:color w:val="auto"/>
                <w:sz w:val="24"/>
                <w:szCs w:val="24"/>
              </w:rPr>
            </w:pPr>
          </w:p>
          <w:p>
            <w:pPr>
              <w:pageBreakBefore w:val="0"/>
              <w:widowControl w:val="0"/>
              <w:kinsoku/>
              <w:overflowPunct/>
              <w:topLinePunct w:val="0"/>
              <w:bidi w:val="0"/>
              <w:adjustRightInd/>
              <w:spacing w:line="400" w:lineRule="exact"/>
              <w:rPr>
                <w:color w:val="auto"/>
              </w:rPr>
            </w:pPr>
            <w:r>
              <w:rPr>
                <w:rFonts w:hint="eastAsia"/>
                <w:color w:val="auto"/>
              </w:rPr>
              <w:t>注：考评总分100分制，其中扣分项、加分项均不设上限，加分项涉及同一内容的不重复享受加分，按高分项加分。</w:t>
            </w:r>
          </w:p>
          <w:p>
            <w:pPr>
              <w:pageBreakBefore w:val="0"/>
              <w:widowControl w:val="0"/>
              <w:kinsoku/>
              <w:overflowPunct/>
              <w:topLinePunct w:val="0"/>
              <w:bidi w:val="0"/>
              <w:adjustRightInd/>
              <w:spacing w:line="400" w:lineRule="exact"/>
              <w:rPr>
                <w:rFonts w:ascii="宋体" w:hAnsi="宋体" w:cs="宋体"/>
                <w:color w:val="auto"/>
                <w:sz w:val="24"/>
                <w:szCs w:val="24"/>
              </w:rPr>
            </w:pPr>
          </w:p>
          <w:p>
            <w:pPr>
              <w:pageBreakBefore w:val="0"/>
              <w:widowControl w:val="0"/>
              <w:kinsoku/>
              <w:overflowPunct/>
              <w:topLinePunct w:val="0"/>
              <w:bidi w:val="0"/>
              <w:adjustRightInd/>
              <w:spacing w:line="400" w:lineRule="exact"/>
              <w:rPr>
                <w:rFonts w:ascii="宋体" w:hAnsi="宋体" w:cs="宋体"/>
                <w:b/>
                <w:color w:val="auto"/>
                <w:sz w:val="24"/>
                <w:szCs w:val="24"/>
              </w:rPr>
            </w:pPr>
            <w:r>
              <w:rPr>
                <w:rFonts w:hint="eastAsia" w:ascii="宋体" w:hAnsi="宋体" w:cs="宋体"/>
                <w:b/>
                <w:color w:val="auto"/>
                <w:sz w:val="24"/>
                <w:szCs w:val="24"/>
              </w:rPr>
              <w:t>检查人员签字：                   被检查养老机构负责人：</w:t>
            </w:r>
          </w:p>
          <w:p>
            <w:pPr>
              <w:pageBreakBefore w:val="0"/>
              <w:widowControl w:val="0"/>
              <w:kinsoku/>
              <w:overflowPunct/>
              <w:topLinePunct w:val="0"/>
              <w:bidi w:val="0"/>
              <w:adjustRightInd/>
              <w:spacing w:line="400" w:lineRule="exact"/>
              <w:rPr>
                <w:rFonts w:ascii="宋体" w:hAnsi="宋体" w:cs="宋体"/>
                <w:b/>
                <w:color w:val="auto"/>
                <w:sz w:val="24"/>
                <w:szCs w:val="24"/>
              </w:rPr>
            </w:pPr>
            <w:r>
              <w:rPr>
                <w:rFonts w:hint="eastAsia" w:ascii="宋体" w:hAnsi="宋体" w:cs="宋体"/>
                <w:b/>
                <w:color w:val="auto"/>
                <w:sz w:val="24"/>
                <w:szCs w:val="24"/>
              </w:rPr>
              <w:t xml:space="preserve">                                    （签字、盖章）</w:t>
            </w:r>
          </w:p>
          <w:p>
            <w:pPr>
              <w:pageBreakBefore w:val="0"/>
              <w:widowControl w:val="0"/>
              <w:kinsoku/>
              <w:overflowPunct/>
              <w:topLinePunct w:val="0"/>
              <w:bidi w:val="0"/>
              <w:adjustRightInd/>
              <w:spacing w:line="400" w:lineRule="exact"/>
              <w:rPr>
                <w:rFonts w:ascii="宋体" w:hAnsi="宋体" w:cs="宋体"/>
                <w:b/>
                <w:color w:val="auto"/>
                <w:sz w:val="24"/>
                <w:szCs w:val="24"/>
              </w:rPr>
            </w:pPr>
            <w:r>
              <w:rPr>
                <w:rFonts w:hint="eastAsia" w:ascii="宋体" w:hAnsi="宋体" w:cs="宋体"/>
                <w:b/>
                <w:color w:val="auto"/>
                <w:sz w:val="24"/>
                <w:szCs w:val="24"/>
              </w:rPr>
              <w:t>检查时间：    年    月    日</w:t>
            </w:r>
          </w:p>
        </w:tc>
      </w:tr>
    </w:tbl>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hint="eastAsia" w:ascii="宋体" w:hAnsi="宋体" w:cs="宋体"/>
          <w:b/>
          <w:bCs/>
          <w:color w:val="auto"/>
          <w:kern w:val="0"/>
          <w:sz w:val="28"/>
          <w:szCs w:val="28"/>
        </w:rPr>
      </w:pPr>
    </w:p>
    <w:p>
      <w:pPr>
        <w:pageBreakBefore w:val="0"/>
        <w:widowControl w:val="0"/>
        <w:kinsoku/>
        <w:overflowPunct/>
        <w:topLinePunct w:val="0"/>
        <w:bidi w:val="0"/>
        <w:adjustRightInd/>
        <w:spacing w:line="500" w:lineRule="exact"/>
        <w:rPr>
          <w:rFonts w:ascii="宋体" w:hAnsi="宋体" w:cs="宋体"/>
          <w:b/>
          <w:bCs/>
          <w:color w:val="auto"/>
          <w:kern w:val="0"/>
          <w:sz w:val="28"/>
          <w:szCs w:val="28"/>
        </w:rPr>
      </w:pPr>
      <w:r>
        <w:rPr>
          <w:rFonts w:hint="eastAsia" w:ascii="宋体" w:hAnsi="宋体" w:cs="宋体"/>
          <w:b/>
          <w:bCs/>
          <w:color w:val="auto"/>
          <w:kern w:val="0"/>
          <w:sz w:val="28"/>
          <w:szCs w:val="28"/>
        </w:rPr>
        <w:t>附件2：</w:t>
      </w:r>
    </w:p>
    <w:p>
      <w:pPr>
        <w:pageBreakBefore w:val="0"/>
        <w:widowControl w:val="0"/>
        <w:kinsoku/>
        <w:overflowPunct/>
        <w:topLinePunct w:val="0"/>
        <w:bidi w:val="0"/>
        <w:adjustRightInd/>
        <w:spacing w:line="500" w:lineRule="exact"/>
        <w:jc w:val="center"/>
        <w:rPr>
          <w:rFonts w:ascii="方正小标宋_GBK" w:hAnsi="方正小标宋_GBK" w:eastAsia="方正小标宋_GBK" w:cs="方正小标宋_GBK"/>
          <w:color w:val="auto"/>
          <w:kern w:val="0"/>
          <w:sz w:val="44"/>
          <w:szCs w:val="44"/>
        </w:rPr>
      </w:pPr>
      <w:r>
        <w:rPr>
          <w:rFonts w:hint="eastAsia" w:ascii="方正小标宋_GBK" w:hAnsi="方正小标宋_GBK" w:eastAsia="方正小标宋_GBK" w:cs="方正小标宋_GBK"/>
          <w:color w:val="auto"/>
          <w:kern w:val="0"/>
          <w:sz w:val="44"/>
          <w:szCs w:val="44"/>
        </w:rPr>
        <w:t>养老机构运营补助申请表</w:t>
      </w:r>
    </w:p>
    <w:tbl>
      <w:tblPr>
        <w:tblStyle w:val="6"/>
        <w:tblW w:w="9214" w:type="dxa"/>
        <w:tblInd w:w="93" w:type="dxa"/>
        <w:tblLayout w:type="fixed"/>
        <w:tblCellMar>
          <w:top w:w="0" w:type="dxa"/>
          <w:left w:w="108" w:type="dxa"/>
          <w:bottom w:w="0" w:type="dxa"/>
          <w:right w:w="108" w:type="dxa"/>
        </w:tblCellMar>
      </w:tblPr>
      <w:tblGrid>
        <w:gridCol w:w="1408"/>
        <w:gridCol w:w="2413"/>
        <w:gridCol w:w="1412"/>
        <w:gridCol w:w="1407"/>
        <w:gridCol w:w="1090"/>
        <w:gridCol w:w="1484"/>
      </w:tblGrid>
      <w:tr>
        <w:tblPrEx>
          <w:tblCellMar>
            <w:top w:w="0" w:type="dxa"/>
            <w:left w:w="108" w:type="dxa"/>
            <w:bottom w:w="0" w:type="dxa"/>
            <w:right w:w="108" w:type="dxa"/>
          </w:tblCellMar>
        </w:tblPrEx>
        <w:trPr>
          <w:trHeight w:val="553" w:hRule="atLeast"/>
        </w:trPr>
        <w:tc>
          <w:tcPr>
            <w:tcW w:w="140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机构名称</w:t>
            </w:r>
          </w:p>
        </w:tc>
        <w:tc>
          <w:tcPr>
            <w:tcW w:w="2413" w:type="dxa"/>
            <w:tcBorders>
              <w:top w:val="single" w:color="auto" w:sz="4" w:space="0"/>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left"/>
              <w:rPr>
                <w:rFonts w:ascii="宋体" w:hAnsi="宋体" w:cs="宋体"/>
                <w:color w:val="auto"/>
                <w:kern w:val="0"/>
                <w:sz w:val="28"/>
                <w:szCs w:val="28"/>
              </w:rPr>
            </w:pPr>
            <w:r>
              <w:rPr>
                <w:rFonts w:hint="eastAsia" w:ascii="宋体" w:hAnsi="宋体" w:cs="宋体"/>
                <w:color w:val="auto"/>
                <w:kern w:val="0"/>
                <w:sz w:val="28"/>
                <w:szCs w:val="28"/>
              </w:rPr>
              <w:t>　</w:t>
            </w:r>
          </w:p>
        </w:tc>
        <w:tc>
          <w:tcPr>
            <w:tcW w:w="1412" w:type="dxa"/>
            <w:tcBorders>
              <w:top w:val="single" w:color="auto" w:sz="4" w:space="0"/>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地  址</w:t>
            </w:r>
          </w:p>
        </w:tc>
        <w:tc>
          <w:tcPr>
            <w:tcW w:w="3981" w:type="dxa"/>
            <w:gridSpan w:val="3"/>
            <w:tcBorders>
              <w:top w:val="single" w:color="auto" w:sz="4" w:space="0"/>
              <w:left w:val="nil"/>
              <w:bottom w:val="single" w:color="auto" w:sz="4" w:space="0"/>
              <w:right w:val="single" w:color="000000"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　</w:t>
            </w:r>
          </w:p>
        </w:tc>
      </w:tr>
      <w:tr>
        <w:tblPrEx>
          <w:tblCellMar>
            <w:top w:w="0" w:type="dxa"/>
            <w:left w:w="108" w:type="dxa"/>
            <w:bottom w:w="0" w:type="dxa"/>
            <w:right w:w="108" w:type="dxa"/>
          </w:tblCellMar>
        </w:tblPrEx>
        <w:trPr>
          <w:trHeight w:val="791" w:hRule="atLeast"/>
        </w:trPr>
        <w:tc>
          <w:tcPr>
            <w:tcW w:w="1408" w:type="dxa"/>
            <w:tcBorders>
              <w:top w:val="nil"/>
              <w:left w:val="single" w:color="auto" w:sz="4" w:space="0"/>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left"/>
              <w:rPr>
                <w:rFonts w:ascii="宋体" w:hAnsi="宋体" w:cs="宋体"/>
                <w:color w:val="auto"/>
                <w:kern w:val="0"/>
                <w:sz w:val="28"/>
                <w:szCs w:val="28"/>
              </w:rPr>
            </w:pPr>
            <w:r>
              <w:rPr>
                <w:rFonts w:hint="eastAsia" w:ascii="宋体" w:hAnsi="宋体" w:cs="宋体"/>
                <w:color w:val="auto"/>
                <w:kern w:val="0"/>
                <w:sz w:val="28"/>
                <w:szCs w:val="28"/>
              </w:rPr>
              <w:t>负责人</w:t>
            </w:r>
          </w:p>
        </w:tc>
        <w:tc>
          <w:tcPr>
            <w:tcW w:w="2413" w:type="dxa"/>
            <w:tcBorders>
              <w:top w:val="nil"/>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left"/>
              <w:rPr>
                <w:rFonts w:ascii="宋体" w:hAnsi="宋体" w:cs="宋体"/>
                <w:color w:val="auto"/>
                <w:kern w:val="0"/>
                <w:sz w:val="28"/>
                <w:szCs w:val="28"/>
              </w:rPr>
            </w:pPr>
            <w:r>
              <w:rPr>
                <w:rFonts w:hint="eastAsia" w:ascii="宋体" w:hAnsi="宋体" w:cs="宋体"/>
                <w:color w:val="auto"/>
                <w:kern w:val="0"/>
                <w:sz w:val="28"/>
                <w:szCs w:val="28"/>
              </w:rPr>
              <w:t>　</w:t>
            </w:r>
          </w:p>
        </w:tc>
        <w:tc>
          <w:tcPr>
            <w:tcW w:w="1412" w:type="dxa"/>
            <w:tcBorders>
              <w:top w:val="nil"/>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联系电话</w:t>
            </w:r>
          </w:p>
        </w:tc>
        <w:tc>
          <w:tcPr>
            <w:tcW w:w="3981" w:type="dxa"/>
            <w:gridSpan w:val="3"/>
            <w:tcBorders>
              <w:top w:val="nil"/>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left"/>
              <w:rPr>
                <w:rFonts w:ascii="宋体" w:hAnsi="宋体" w:cs="宋体"/>
                <w:color w:val="auto"/>
                <w:kern w:val="0"/>
                <w:sz w:val="28"/>
                <w:szCs w:val="28"/>
              </w:rPr>
            </w:pPr>
            <w:r>
              <w:rPr>
                <w:rFonts w:hint="eastAsia" w:ascii="宋体" w:hAnsi="宋体" w:cs="宋体"/>
                <w:color w:val="auto"/>
                <w:kern w:val="0"/>
                <w:sz w:val="28"/>
                <w:szCs w:val="28"/>
              </w:rPr>
              <w:t>　</w:t>
            </w:r>
          </w:p>
          <w:p>
            <w:pPr>
              <w:pageBreakBefore w:val="0"/>
              <w:widowControl w:val="0"/>
              <w:kinsoku/>
              <w:overflowPunct/>
              <w:topLinePunct w:val="0"/>
              <w:bidi w:val="0"/>
              <w:adjustRightInd/>
              <w:spacing w:line="360" w:lineRule="exact"/>
              <w:ind w:leftChars="-95" w:hanging="198" w:hangingChars="71"/>
              <w:jc w:val="left"/>
              <w:rPr>
                <w:rFonts w:ascii="宋体" w:hAnsi="宋体" w:cs="宋体"/>
                <w:color w:val="auto"/>
                <w:kern w:val="0"/>
                <w:sz w:val="28"/>
                <w:szCs w:val="28"/>
              </w:rPr>
            </w:pPr>
          </w:p>
        </w:tc>
      </w:tr>
      <w:tr>
        <w:tblPrEx>
          <w:tblCellMar>
            <w:top w:w="0" w:type="dxa"/>
            <w:left w:w="108" w:type="dxa"/>
            <w:bottom w:w="0" w:type="dxa"/>
            <w:right w:w="108" w:type="dxa"/>
          </w:tblCellMar>
        </w:tblPrEx>
        <w:trPr>
          <w:trHeight w:val="1001" w:hRule="atLeast"/>
        </w:trPr>
        <w:tc>
          <w:tcPr>
            <w:tcW w:w="1408" w:type="dxa"/>
            <w:tcBorders>
              <w:top w:val="nil"/>
              <w:left w:val="single" w:color="auto" w:sz="4" w:space="0"/>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机构</w:t>
            </w:r>
          </w:p>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成立时间</w:t>
            </w:r>
          </w:p>
        </w:tc>
        <w:tc>
          <w:tcPr>
            <w:tcW w:w="2413" w:type="dxa"/>
            <w:tcBorders>
              <w:top w:val="nil"/>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left"/>
              <w:rPr>
                <w:rFonts w:ascii="宋体" w:hAnsi="宋体" w:cs="宋体"/>
                <w:color w:val="auto"/>
                <w:kern w:val="0"/>
                <w:sz w:val="28"/>
                <w:szCs w:val="28"/>
              </w:rPr>
            </w:pPr>
            <w:r>
              <w:rPr>
                <w:rFonts w:hint="eastAsia" w:ascii="宋体" w:hAnsi="宋体" w:cs="宋体"/>
                <w:color w:val="auto"/>
                <w:kern w:val="0"/>
                <w:sz w:val="28"/>
                <w:szCs w:val="28"/>
              </w:rPr>
              <w:t>　</w:t>
            </w:r>
          </w:p>
        </w:tc>
        <w:tc>
          <w:tcPr>
            <w:tcW w:w="1412" w:type="dxa"/>
            <w:tcBorders>
              <w:top w:val="nil"/>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运 营</w:t>
            </w:r>
          </w:p>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时 间</w:t>
            </w:r>
          </w:p>
        </w:tc>
        <w:tc>
          <w:tcPr>
            <w:tcW w:w="1407" w:type="dxa"/>
            <w:tcBorders>
              <w:top w:val="nil"/>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left"/>
              <w:rPr>
                <w:rFonts w:ascii="宋体" w:hAnsi="宋体" w:cs="宋体"/>
                <w:color w:val="auto"/>
                <w:kern w:val="0"/>
                <w:sz w:val="28"/>
                <w:szCs w:val="28"/>
              </w:rPr>
            </w:pPr>
            <w:r>
              <w:rPr>
                <w:rFonts w:hint="eastAsia" w:ascii="宋体" w:hAnsi="宋体" w:cs="宋体"/>
                <w:color w:val="auto"/>
                <w:kern w:val="0"/>
                <w:sz w:val="28"/>
                <w:szCs w:val="28"/>
              </w:rPr>
              <w:t>　</w:t>
            </w:r>
          </w:p>
        </w:tc>
        <w:tc>
          <w:tcPr>
            <w:tcW w:w="1090" w:type="dxa"/>
            <w:tcBorders>
              <w:top w:val="nil"/>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核定</w:t>
            </w:r>
          </w:p>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床位</w:t>
            </w:r>
          </w:p>
        </w:tc>
        <w:tc>
          <w:tcPr>
            <w:tcW w:w="1484" w:type="dxa"/>
            <w:tcBorders>
              <w:top w:val="nil"/>
              <w:left w:val="nil"/>
              <w:bottom w:val="single" w:color="auto" w:sz="4" w:space="0"/>
              <w:right w:val="single" w:color="auto" w:sz="4" w:space="0"/>
            </w:tcBorders>
            <w:vAlign w:val="center"/>
          </w:tcPr>
          <w:p>
            <w:pPr>
              <w:pageBreakBefore w:val="0"/>
              <w:widowControl w:val="0"/>
              <w:kinsoku/>
              <w:overflowPunct/>
              <w:topLinePunct w:val="0"/>
              <w:bidi w:val="0"/>
              <w:adjustRightInd/>
              <w:spacing w:line="360" w:lineRule="exact"/>
              <w:ind w:leftChars="-95" w:hanging="198" w:hangingChars="71"/>
              <w:jc w:val="left"/>
              <w:rPr>
                <w:rFonts w:ascii="宋体" w:hAnsi="宋体" w:cs="宋体"/>
                <w:color w:val="auto"/>
                <w:kern w:val="0"/>
                <w:sz w:val="28"/>
                <w:szCs w:val="28"/>
              </w:rPr>
            </w:pPr>
            <w:r>
              <w:rPr>
                <w:rFonts w:hint="eastAsia" w:ascii="宋体" w:hAnsi="宋体" w:cs="宋体"/>
                <w:color w:val="auto"/>
                <w:kern w:val="0"/>
                <w:sz w:val="28"/>
                <w:szCs w:val="28"/>
              </w:rPr>
              <w:t>　</w:t>
            </w:r>
            <w:r>
              <w:rPr>
                <w:rFonts w:hint="eastAsia" w:ascii="宋体" w:hAnsi="宋体" w:cs="宋体"/>
                <w:color w:val="auto"/>
                <w:kern w:val="0"/>
                <w:sz w:val="28"/>
                <w:szCs w:val="28"/>
                <w:u w:val="single"/>
              </w:rPr>
              <w:t xml:space="preserve">      </w:t>
            </w:r>
            <w:r>
              <w:rPr>
                <w:rFonts w:hint="eastAsia" w:ascii="宋体" w:hAnsi="宋体" w:cs="宋体"/>
                <w:color w:val="auto"/>
                <w:kern w:val="0"/>
                <w:sz w:val="28"/>
                <w:szCs w:val="28"/>
              </w:rPr>
              <w:t>张</w:t>
            </w:r>
          </w:p>
        </w:tc>
      </w:tr>
      <w:tr>
        <w:tblPrEx>
          <w:tblCellMar>
            <w:top w:w="0" w:type="dxa"/>
            <w:left w:w="108" w:type="dxa"/>
            <w:bottom w:w="0" w:type="dxa"/>
            <w:right w:w="108" w:type="dxa"/>
          </w:tblCellMar>
        </w:tblPrEx>
        <w:trPr>
          <w:trHeight w:val="2862" w:hRule="atLeast"/>
        </w:trPr>
        <w:tc>
          <w:tcPr>
            <w:tcW w:w="140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养老机构</w:t>
            </w:r>
          </w:p>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法人承诺</w:t>
            </w:r>
          </w:p>
        </w:tc>
        <w:tc>
          <w:tcPr>
            <w:tcW w:w="7806" w:type="dxa"/>
            <w:gridSpan w:val="5"/>
            <w:tcBorders>
              <w:top w:val="single" w:color="auto" w:sz="4" w:space="0"/>
              <w:left w:val="nil"/>
              <w:bottom w:val="single" w:color="auto" w:sz="4" w:space="0"/>
              <w:right w:val="single" w:color="000000" w:sz="4" w:space="0"/>
            </w:tcBorders>
            <w:vAlign w:val="center"/>
          </w:tcPr>
          <w:p>
            <w:pPr>
              <w:pageBreakBefore w:val="0"/>
              <w:widowControl w:val="0"/>
              <w:kinsoku/>
              <w:overflowPunct/>
              <w:topLinePunct w:val="0"/>
              <w:bidi w:val="0"/>
              <w:adjustRightInd/>
              <w:spacing w:line="360" w:lineRule="exact"/>
              <w:rPr>
                <w:rFonts w:ascii="宋体" w:hAnsi="宋体" w:cs="宋体"/>
                <w:color w:val="auto"/>
                <w:kern w:val="0"/>
                <w:sz w:val="24"/>
                <w:szCs w:val="24"/>
              </w:rPr>
            </w:pPr>
            <w:r>
              <w:rPr>
                <w:rFonts w:hint="eastAsia" w:ascii="宋体" w:hAnsi="宋体" w:cs="宋体"/>
                <w:color w:val="auto"/>
                <w:kern w:val="0"/>
                <w:sz w:val="24"/>
                <w:szCs w:val="24"/>
              </w:rPr>
              <w:t>本机构承诺：本年度所提供的各种数据、资料、年度报告内容均为属实，如有弄虚作假，运营补贴全额退还并承担一切后果。</w:t>
            </w:r>
          </w:p>
          <w:p>
            <w:pPr>
              <w:pageBreakBefore w:val="0"/>
              <w:widowControl w:val="0"/>
              <w:kinsoku/>
              <w:overflowPunct/>
              <w:topLinePunct w:val="0"/>
              <w:bidi w:val="0"/>
              <w:adjustRightInd/>
              <w:spacing w:line="360" w:lineRule="exact"/>
              <w:rPr>
                <w:rFonts w:ascii="宋体" w:hAnsi="宋体" w:cs="宋体"/>
                <w:b/>
                <w:color w:val="auto"/>
                <w:kern w:val="0"/>
                <w:sz w:val="24"/>
                <w:szCs w:val="24"/>
              </w:rPr>
            </w:pPr>
            <w:r>
              <w:rPr>
                <w:rFonts w:hint="eastAsia" w:ascii="宋体" w:hAnsi="宋体" w:cs="宋体"/>
                <w:b/>
                <w:color w:val="auto"/>
                <w:kern w:val="0"/>
                <w:sz w:val="24"/>
                <w:szCs w:val="24"/>
              </w:rPr>
              <w:t>（请将以上文字抄写在空白处）</w:t>
            </w:r>
          </w:p>
          <w:p>
            <w:pPr>
              <w:pageBreakBefore w:val="0"/>
              <w:widowControl w:val="0"/>
              <w:kinsoku/>
              <w:overflowPunct/>
              <w:topLinePunct w:val="0"/>
              <w:bidi w:val="0"/>
              <w:adjustRightInd/>
              <w:spacing w:line="360" w:lineRule="exact"/>
              <w:rPr>
                <w:rFonts w:ascii="宋体" w:hAnsi="宋体" w:cs="宋体"/>
                <w:color w:val="auto"/>
                <w:kern w:val="0"/>
                <w:sz w:val="24"/>
                <w:szCs w:val="24"/>
              </w:rPr>
            </w:pPr>
          </w:p>
          <w:p>
            <w:pPr>
              <w:pageBreakBefore w:val="0"/>
              <w:widowControl w:val="0"/>
              <w:kinsoku/>
              <w:overflowPunct/>
              <w:topLinePunct w:val="0"/>
              <w:bidi w:val="0"/>
              <w:adjustRightInd/>
              <w:spacing w:line="360" w:lineRule="exact"/>
              <w:rPr>
                <w:rFonts w:ascii="宋体" w:hAnsi="宋体" w:cs="宋体"/>
                <w:color w:val="auto"/>
                <w:kern w:val="0"/>
                <w:sz w:val="24"/>
                <w:szCs w:val="24"/>
              </w:rPr>
            </w:pPr>
          </w:p>
          <w:p>
            <w:pPr>
              <w:pageBreakBefore w:val="0"/>
              <w:widowControl w:val="0"/>
              <w:kinsoku/>
              <w:overflowPunct/>
              <w:topLinePunct w:val="0"/>
              <w:bidi w:val="0"/>
              <w:adjustRightInd/>
              <w:spacing w:line="360" w:lineRule="exact"/>
              <w:rPr>
                <w:rFonts w:ascii="宋体" w:hAnsi="宋体" w:cs="宋体"/>
                <w:color w:val="auto"/>
                <w:kern w:val="0"/>
                <w:sz w:val="24"/>
                <w:szCs w:val="24"/>
              </w:rPr>
            </w:pPr>
            <w:r>
              <w:rPr>
                <w:rFonts w:hint="eastAsia" w:ascii="宋体" w:hAnsi="宋体" w:cs="宋体"/>
                <w:color w:val="auto"/>
                <w:kern w:val="0"/>
                <w:sz w:val="24"/>
                <w:szCs w:val="24"/>
                <w:lang w:eastAsia="zh-CN"/>
              </w:rPr>
              <w:t>法定代表人</w:t>
            </w:r>
            <w:r>
              <w:rPr>
                <w:rFonts w:hint="eastAsia" w:ascii="宋体" w:hAnsi="宋体" w:cs="宋体"/>
                <w:color w:val="auto"/>
                <w:kern w:val="0"/>
                <w:sz w:val="24"/>
                <w:szCs w:val="24"/>
              </w:rPr>
              <w:t>（签字） ：                  机构盖章：</w:t>
            </w:r>
          </w:p>
          <w:p>
            <w:pPr>
              <w:pageBreakBefore w:val="0"/>
              <w:widowControl w:val="0"/>
              <w:kinsoku/>
              <w:wordWrap w:val="0"/>
              <w:overflowPunct/>
              <w:topLinePunct w:val="0"/>
              <w:bidi w:val="0"/>
              <w:adjustRightInd/>
              <w:spacing w:line="500" w:lineRule="exact"/>
              <w:ind w:right="480" w:firstLine="4200" w:firstLineChars="1750"/>
              <w:rPr>
                <w:rFonts w:ascii="宋体" w:hAnsi="宋体" w:cs="宋体"/>
                <w:color w:val="auto"/>
                <w:kern w:val="0"/>
                <w:sz w:val="24"/>
                <w:szCs w:val="24"/>
              </w:rPr>
            </w:pPr>
            <w:r>
              <w:rPr>
                <w:rFonts w:hint="eastAsia" w:ascii="宋体" w:hAnsi="宋体" w:cs="宋体"/>
                <w:color w:val="auto"/>
                <w:kern w:val="0"/>
                <w:sz w:val="24"/>
                <w:szCs w:val="24"/>
              </w:rPr>
              <w:t xml:space="preserve">年    月    日 </w:t>
            </w:r>
          </w:p>
          <w:p>
            <w:pPr>
              <w:pageBreakBefore w:val="0"/>
              <w:widowControl w:val="0"/>
              <w:kinsoku/>
              <w:overflowPunct/>
              <w:topLinePunct w:val="0"/>
              <w:bidi w:val="0"/>
              <w:adjustRightInd/>
              <w:spacing w:line="500" w:lineRule="exact"/>
              <w:rPr>
                <w:rFonts w:ascii="宋体" w:hAnsi="宋体" w:cs="宋体"/>
                <w:color w:val="auto"/>
                <w:kern w:val="0"/>
                <w:sz w:val="24"/>
                <w:szCs w:val="24"/>
              </w:rPr>
            </w:pPr>
            <w:r>
              <w:rPr>
                <w:rFonts w:hint="eastAsia" w:ascii="宋体" w:hAnsi="宋体" w:cs="宋体"/>
                <w:color w:val="auto"/>
                <w:kern w:val="0"/>
                <w:sz w:val="24"/>
                <w:szCs w:val="24"/>
              </w:rPr>
              <w:t>（养老机构年度工作报告另附页。）</w:t>
            </w:r>
          </w:p>
        </w:tc>
      </w:tr>
      <w:tr>
        <w:tblPrEx>
          <w:tblCellMar>
            <w:top w:w="0" w:type="dxa"/>
            <w:left w:w="108" w:type="dxa"/>
            <w:bottom w:w="0" w:type="dxa"/>
            <w:right w:w="108" w:type="dxa"/>
          </w:tblCellMar>
        </w:tblPrEx>
        <w:trPr>
          <w:trHeight w:val="2585" w:hRule="atLeast"/>
        </w:trPr>
        <w:tc>
          <w:tcPr>
            <w:tcW w:w="140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区镇审核意  见</w:t>
            </w:r>
          </w:p>
        </w:tc>
        <w:tc>
          <w:tcPr>
            <w:tcW w:w="7806" w:type="dxa"/>
            <w:gridSpan w:val="5"/>
            <w:tcBorders>
              <w:top w:val="single" w:color="auto" w:sz="4" w:space="0"/>
              <w:left w:val="nil"/>
              <w:bottom w:val="single" w:color="auto" w:sz="4" w:space="0"/>
              <w:right w:val="single" w:color="000000" w:sz="4" w:space="0"/>
            </w:tcBorders>
            <w:vAlign w:val="center"/>
          </w:tcPr>
          <w:p>
            <w:pPr>
              <w:pageBreakBefore w:val="0"/>
              <w:widowControl w:val="0"/>
              <w:kinsoku/>
              <w:overflowPunct/>
              <w:topLinePunct w:val="0"/>
              <w:bidi w:val="0"/>
              <w:adjustRightInd/>
              <w:spacing w:line="360" w:lineRule="exact"/>
              <w:rPr>
                <w:rFonts w:ascii="宋体" w:hAnsi="宋体" w:cs="宋体"/>
                <w:color w:val="auto"/>
                <w:kern w:val="0"/>
                <w:sz w:val="24"/>
                <w:szCs w:val="24"/>
              </w:rPr>
            </w:pPr>
          </w:p>
          <w:p>
            <w:pPr>
              <w:pageBreakBefore w:val="0"/>
              <w:widowControl w:val="0"/>
              <w:kinsoku/>
              <w:overflowPunct/>
              <w:topLinePunct w:val="0"/>
              <w:bidi w:val="0"/>
              <w:adjustRightInd/>
              <w:spacing w:line="360" w:lineRule="exact"/>
              <w:rPr>
                <w:rFonts w:ascii="宋体" w:hAnsi="宋体" w:cs="宋体"/>
                <w:color w:val="auto"/>
                <w:sz w:val="24"/>
                <w:szCs w:val="24"/>
              </w:rPr>
            </w:pPr>
            <w:r>
              <w:rPr>
                <w:rFonts w:hint="eastAsia" w:ascii="宋体" w:hAnsi="宋体" w:cs="宋体"/>
                <w:color w:val="auto"/>
                <w:sz w:val="24"/>
                <w:szCs w:val="24"/>
              </w:rPr>
              <w:t>该养老机构符合/不符合本通知规定的考评条件</w:t>
            </w:r>
            <w:r>
              <w:rPr>
                <w:rFonts w:hint="eastAsia" w:ascii="宋体" w:hAnsi="宋体" w:cs="宋体"/>
                <w:color w:val="auto"/>
                <w:kern w:val="0"/>
                <w:sz w:val="28"/>
                <w:szCs w:val="28"/>
                <w:u w:val="single"/>
              </w:rPr>
              <w:t xml:space="preserve">         </w:t>
            </w:r>
            <w:r>
              <w:rPr>
                <w:rFonts w:hint="eastAsia" w:ascii="宋体" w:hAnsi="宋体" w:cs="宋体"/>
                <w:color w:val="auto"/>
                <w:sz w:val="24"/>
                <w:szCs w:val="24"/>
              </w:rPr>
              <w:t>。</w:t>
            </w:r>
          </w:p>
          <w:p>
            <w:pPr>
              <w:pageBreakBefore w:val="0"/>
              <w:widowControl w:val="0"/>
              <w:kinsoku/>
              <w:overflowPunct/>
              <w:topLinePunct w:val="0"/>
              <w:bidi w:val="0"/>
              <w:adjustRightInd/>
              <w:spacing w:line="360" w:lineRule="exact"/>
              <w:ind w:firstLine="480" w:firstLineChars="200"/>
              <w:rPr>
                <w:rFonts w:ascii="宋体" w:hAnsi="宋体" w:cs="宋体"/>
                <w:color w:val="auto"/>
                <w:sz w:val="24"/>
                <w:szCs w:val="24"/>
              </w:rPr>
            </w:pPr>
          </w:p>
          <w:p>
            <w:pPr>
              <w:pageBreakBefore w:val="0"/>
              <w:widowControl w:val="0"/>
              <w:kinsoku/>
              <w:overflowPunct/>
              <w:topLinePunct w:val="0"/>
              <w:bidi w:val="0"/>
              <w:adjustRightInd/>
              <w:spacing w:line="360" w:lineRule="exact"/>
              <w:rPr>
                <w:rFonts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w:t>
            </w:r>
            <w:r>
              <w:rPr>
                <w:rFonts w:hint="eastAsia" w:ascii="宋体" w:hAnsi="宋体" w:cs="宋体"/>
                <w:color w:val="auto"/>
                <w:sz w:val="24"/>
                <w:szCs w:val="24"/>
              </w:rPr>
              <w:t>年度第一季度服务质量考评得分：</w:t>
            </w:r>
            <w:r>
              <w:rPr>
                <w:rFonts w:hint="eastAsia" w:ascii="宋体" w:hAnsi="宋体" w:cs="宋体"/>
                <w:color w:val="auto"/>
                <w:kern w:val="0"/>
                <w:sz w:val="28"/>
                <w:szCs w:val="28"/>
                <w:u w:val="single"/>
              </w:rPr>
              <w:t xml:space="preserve">         </w:t>
            </w:r>
            <w:r>
              <w:rPr>
                <w:rFonts w:hint="eastAsia" w:ascii="宋体" w:hAnsi="宋体" w:cs="宋体"/>
                <w:color w:val="auto"/>
                <w:sz w:val="24"/>
                <w:szCs w:val="24"/>
              </w:rPr>
              <w:t xml:space="preserve">。    </w:t>
            </w:r>
          </w:p>
          <w:p>
            <w:pPr>
              <w:pageBreakBefore w:val="0"/>
              <w:widowControl w:val="0"/>
              <w:kinsoku/>
              <w:overflowPunct/>
              <w:topLinePunct w:val="0"/>
              <w:bidi w:val="0"/>
              <w:adjustRightInd/>
              <w:spacing w:line="360" w:lineRule="exact"/>
              <w:rPr>
                <w:rFonts w:ascii="宋体" w:hAnsi="宋体" w:cs="宋体"/>
                <w:color w:val="auto"/>
                <w:kern w:val="0"/>
                <w:sz w:val="28"/>
                <w:szCs w:val="28"/>
                <w:u w:val="single"/>
              </w:rPr>
            </w:pPr>
          </w:p>
          <w:p>
            <w:pPr>
              <w:pageBreakBefore w:val="0"/>
              <w:widowControl w:val="0"/>
              <w:kinsoku/>
              <w:overflowPunct/>
              <w:topLinePunct w:val="0"/>
              <w:bidi w:val="0"/>
              <w:adjustRightInd/>
              <w:spacing w:line="360" w:lineRule="exact"/>
              <w:rPr>
                <w:rFonts w:ascii="宋体" w:hAnsi="宋体" w:cs="宋体"/>
                <w:color w:val="auto"/>
                <w:kern w:val="0"/>
                <w:sz w:val="28"/>
                <w:szCs w:val="28"/>
                <w:u w:val="single"/>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 xml:space="preserve">     </w:t>
            </w:r>
            <w:r>
              <w:rPr>
                <w:rFonts w:hint="eastAsia" w:ascii="宋体" w:hAnsi="宋体" w:cs="宋体"/>
                <w:color w:val="auto"/>
                <w:sz w:val="24"/>
                <w:szCs w:val="24"/>
                <w:lang w:eastAsia="zh-CN"/>
              </w:rPr>
              <w:t>）</w:t>
            </w:r>
            <w:r>
              <w:rPr>
                <w:rFonts w:hint="eastAsia" w:ascii="宋体" w:hAnsi="宋体" w:cs="宋体"/>
                <w:color w:val="auto"/>
                <w:sz w:val="24"/>
                <w:szCs w:val="24"/>
              </w:rPr>
              <w:t>年度第三季度服务质量考评得分：</w:t>
            </w:r>
            <w:r>
              <w:rPr>
                <w:rFonts w:hint="eastAsia" w:ascii="宋体" w:hAnsi="宋体" w:cs="宋体"/>
                <w:color w:val="auto"/>
                <w:kern w:val="0"/>
                <w:sz w:val="28"/>
                <w:szCs w:val="28"/>
                <w:u w:val="single"/>
              </w:rPr>
              <w:t xml:space="preserve">         </w:t>
            </w:r>
            <w:r>
              <w:rPr>
                <w:rFonts w:hint="eastAsia" w:ascii="宋体" w:hAnsi="宋体" w:cs="宋体"/>
                <w:color w:val="auto"/>
                <w:sz w:val="24"/>
                <w:szCs w:val="24"/>
              </w:rPr>
              <w:t>。</w:t>
            </w:r>
          </w:p>
          <w:p>
            <w:pPr>
              <w:pageBreakBefore w:val="0"/>
              <w:widowControl w:val="0"/>
              <w:kinsoku/>
              <w:overflowPunct/>
              <w:topLinePunct w:val="0"/>
              <w:bidi w:val="0"/>
              <w:adjustRightInd/>
              <w:spacing w:line="360" w:lineRule="exact"/>
              <w:rPr>
                <w:rFonts w:ascii="宋体" w:hAnsi="宋体" w:cs="宋体"/>
                <w:color w:val="auto"/>
                <w:sz w:val="24"/>
                <w:szCs w:val="24"/>
              </w:rPr>
            </w:pPr>
          </w:p>
          <w:p>
            <w:pPr>
              <w:pageBreakBefore w:val="0"/>
              <w:widowControl w:val="0"/>
              <w:kinsoku/>
              <w:overflowPunct/>
              <w:topLinePunct w:val="0"/>
              <w:bidi w:val="0"/>
              <w:adjustRightInd/>
              <w:spacing w:line="360" w:lineRule="exact"/>
              <w:ind w:firstLine="465"/>
              <w:rPr>
                <w:rFonts w:ascii="宋体" w:hAnsi="宋体" w:cs="宋体"/>
                <w:color w:val="auto"/>
                <w:sz w:val="24"/>
                <w:szCs w:val="24"/>
              </w:rPr>
            </w:pPr>
            <w:r>
              <w:rPr>
                <w:rFonts w:hint="eastAsia" w:ascii="宋体" w:hAnsi="宋体" w:cs="宋体"/>
                <w:color w:val="auto"/>
                <w:sz w:val="24"/>
                <w:szCs w:val="24"/>
              </w:rPr>
              <w:t>民政业务部门负责人（签字）：</w:t>
            </w:r>
          </w:p>
          <w:p>
            <w:pPr>
              <w:pageBreakBefore w:val="0"/>
              <w:widowControl w:val="0"/>
              <w:kinsoku/>
              <w:overflowPunct/>
              <w:topLinePunct w:val="0"/>
              <w:bidi w:val="0"/>
              <w:adjustRightInd/>
              <w:spacing w:line="360" w:lineRule="exact"/>
              <w:ind w:firstLine="465"/>
              <w:rPr>
                <w:rFonts w:ascii="宋体" w:hAnsi="宋体" w:cs="宋体"/>
                <w:color w:val="auto"/>
                <w:sz w:val="24"/>
                <w:szCs w:val="24"/>
              </w:rPr>
            </w:pPr>
          </w:p>
          <w:p>
            <w:pPr>
              <w:pageBreakBefore w:val="0"/>
              <w:widowControl w:val="0"/>
              <w:kinsoku/>
              <w:overflowPunct/>
              <w:topLinePunct w:val="0"/>
              <w:bidi w:val="0"/>
              <w:adjustRightInd/>
              <w:spacing w:line="360" w:lineRule="exact"/>
              <w:ind w:firstLine="480" w:firstLineChars="200"/>
              <w:rPr>
                <w:rFonts w:ascii="宋体" w:hAnsi="宋体" w:cs="宋体"/>
                <w:color w:val="auto"/>
                <w:kern w:val="0"/>
                <w:sz w:val="24"/>
                <w:szCs w:val="24"/>
              </w:rPr>
            </w:pPr>
            <w:r>
              <w:rPr>
                <w:rFonts w:hint="eastAsia" w:ascii="宋体" w:hAnsi="宋体" w:cs="宋体"/>
                <w:color w:val="auto"/>
                <w:sz w:val="24"/>
                <w:szCs w:val="24"/>
              </w:rPr>
              <w:t xml:space="preserve">分管领导（签字）：            </w:t>
            </w:r>
            <w:r>
              <w:rPr>
                <w:rFonts w:hint="eastAsia" w:ascii="宋体" w:hAnsi="宋体" w:cs="宋体"/>
                <w:color w:val="auto"/>
                <w:kern w:val="0"/>
                <w:sz w:val="24"/>
                <w:szCs w:val="24"/>
              </w:rPr>
              <w:t>区（镇）（盖章）：</w:t>
            </w:r>
          </w:p>
          <w:p>
            <w:pPr>
              <w:pageBreakBefore w:val="0"/>
              <w:widowControl w:val="0"/>
              <w:kinsoku/>
              <w:overflowPunct/>
              <w:topLinePunct w:val="0"/>
              <w:bidi w:val="0"/>
              <w:adjustRightInd/>
              <w:spacing w:line="360" w:lineRule="exact"/>
              <w:ind w:firstLine="4320" w:firstLineChars="1800"/>
              <w:rPr>
                <w:rFonts w:ascii="宋体" w:hAnsi="宋体" w:cs="宋体"/>
                <w:color w:val="auto"/>
                <w:kern w:val="0"/>
                <w:sz w:val="24"/>
                <w:szCs w:val="24"/>
              </w:rPr>
            </w:pPr>
            <w:r>
              <w:rPr>
                <w:rFonts w:hint="eastAsia" w:ascii="宋体" w:hAnsi="宋体" w:cs="宋体"/>
                <w:color w:val="auto"/>
                <w:kern w:val="0"/>
                <w:sz w:val="24"/>
                <w:szCs w:val="24"/>
              </w:rPr>
              <w:t>年    月    日</w:t>
            </w:r>
          </w:p>
        </w:tc>
      </w:tr>
      <w:tr>
        <w:tblPrEx>
          <w:tblCellMar>
            <w:top w:w="0" w:type="dxa"/>
            <w:left w:w="108" w:type="dxa"/>
            <w:bottom w:w="0" w:type="dxa"/>
            <w:right w:w="108" w:type="dxa"/>
          </w:tblCellMar>
        </w:tblPrEx>
        <w:trPr>
          <w:trHeight w:val="2892" w:hRule="atLeast"/>
        </w:trPr>
        <w:tc>
          <w:tcPr>
            <w:tcW w:w="1408"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overflowPunct/>
              <w:topLinePunct w:val="0"/>
              <w:bidi w:val="0"/>
              <w:adjustRightInd/>
              <w:spacing w:line="360" w:lineRule="exact"/>
              <w:jc w:val="center"/>
              <w:rPr>
                <w:rFonts w:ascii="宋体" w:hAnsi="宋体" w:cs="宋体"/>
                <w:color w:val="auto"/>
                <w:kern w:val="0"/>
                <w:sz w:val="28"/>
                <w:szCs w:val="28"/>
              </w:rPr>
            </w:pPr>
            <w:r>
              <w:rPr>
                <w:rFonts w:hint="eastAsia" w:ascii="宋体" w:hAnsi="宋体" w:cs="宋体"/>
                <w:color w:val="auto"/>
                <w:kern w:val="0"/>
                <w:sz w:val="28"/>
                <w:szCs w:val="28"/>
              </w:rPr>
              <w:t>市局年度考评结果</w:t>
            </w:r>
          </w:p>
        </w:tc>
        <w:tc>
          <w:tcPr>
            <w:tcW w:w="7806" w:type="dxa"/>
            <w:gridSpan w:val="5"/>
            <w:tcBorders>
              <w:top w:val="single" w:color="auto" w:sz="4" w:space="0"/>
              <w:left w:val="nil"/>
              <w:bottom w:val="single" w:color="auto" w:sz="4" w:space="0"/>
              <w:right w:val="single" w:color="000000" w:sz="4" w:space="0"/>
            </w:tcBorders>
            <w:vAlign w:val="center"/>
          </w:tcPr>
          <w:p>
            <w:pPr>
              <w:pageBreakBefore w:val="0"/>
              <w:widowControl w:val="0"/>
              <w:kinsoku/>
              <w:overflowPunct/>
              <w:topLinePunct w:val="0"/>
              <w:bidi w:val="0"/>
              <w:adjustRightInd/>
              <w:spacing w:line="360" w:lineRule="exact"/>
              <w:rPr>
                <w:rFonts w:ascii="宋体" w:hAnsi="宋体" w:cs="宋体"/>
                <w:color w:val="auto"/>
                <w:kern w:val="0"/>
                <w:sz w:val="24"/>
                <w:szCs w:val="24"/>
              </w:rPr>
            </w:pPr>
          </w:p>
          <w:p>
            <w:pPr>
              <w:pageBreakBefore w:val="0"/>
              <w:widowControl w:val="0"/>
              <w:kinsoku/>
              <w:overflowPunct/>
              <w:topLinePunct w:val="0"/>
              <w:bidi w:val="0"/>
              <w:adjustRightInd/>
              <w:spacing w:line="360" w:lineRule="auto"/>
              <w:ind w:firstLine="480" w:firstLineChars="200"/>
              <w:rPr>
                <w:rFonts w:ascii="宋体" w:hAnsi="宋体" w:cs="宋体"/>
                <w:color w:val="auto"/>
                <w:sz w:val="24"/>
                <w:szCs w:val="24"/>
              </w:rPr>
            </w:pPr>
            <w:r>
              <w:rPr>
                <w:rFonts w:hint="eastAsia" w:ascii="宋体" w:hAnsi="宋体" w:cs="宋体"/>
                <w:color w:val="auto"/>
                <w:kern w:val="0"/>
                <w:sz w:val="24"/>
                <w:szCs w:val="24"/>
              </w:rPr>
              <w:t>该机构</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年度得分为</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、列为</w:t>
            </w:r>
            <w:r>
              <w:rPr>
                <w:rFonts w:hint="eastAsia" w:ascii="宋体" w:hAnsi="宋体" w:cs="宋体"/>
                <w:color w:val="auto"/>
                <w:kern w:val="0"/>
                <w:sz w:val="24"/>
                <w:szCs w:val="24"/>
                <w:u w:val="single"/>
              </w:rPr>
              <w:t xml:space="preserve">     </w:t>
            </w:r>
            <w:r>
              <w:rPr>
                <w:rFonts w:hint="eastAsia" w:ascii="宋体" w:hAnsi="宋体" w:cs="宋体"/>
                <w:color w:val="auto"/>
                <w:kern w:val="0"/>
                <w:sz w:val="24"/>
                <w:szCs w:val="24"/>
              </w:rPr>
              <w:t>等机构，经考评小组核算并报局党组审定，核定该</w:t>
            </w:r>
            <w:r>
              <w:rPr>
                <w:rFonts w:hint="eastAsia" w:ascii="宋体" w:hAnsi="宋体" w:cs="宋体"/>
                <w:color w:val="auto"/>
                <w:sz w:val="24"/>
                <w:szCs w:val="24"/>
              </w:rPr>
              <w:t>养老机构年度运营补贴发放金额为（大写）</w:t>
            </w:r>
            <w:r>
              <w:rPr>
                <w:rFonts w:hint="eastAsia" w:ascii="宋体" w:hAnsi="宋体" w:cs="宋体"/>
                <w:color w:val="auto"/>
                <w:sz w:val="24"/>
                <w:szCs w:val="24"/>
                <w:u w:val="single"/>
              </w:rPr>
              <w:t xml:space="preserve">    ______   _</w:t>
            </w:r>
            <w:r>
              <w:rPr>
                <w:rFonts w:hint="eastAsia" w:ascii="宋体" w:hAnsi="宋体" w:cs="宋体"/>
                <w:color w:val="auto"/>
                <w:sz w:val="24"/>
                <w:szCs w:val="24"/>
              </w:rPr>
              <w:t xml:space="preserve"> 元。</w:t>
            </w:r>
          </w:p>
          <w:p>
            <w:pPr>
              <w:pageBreakBefore w:val="0"/>
              <w:widowControl w:val="0"/>
              <w:kinsoku/>
              <w:overflowPunct/>
              <w:topLinePunct w:val="0"/>
              <w:bidi w:val="0"/>
              <w:adjustRightInd/>
              <w:spacing w:line="360" w:lineRule="auto"/>
              <w:ind w:firstLine="3840" w:firstLineChars="1600"/>
              <w:rPr>
                <w:rFonts w:ascii="宋体" w:hAnsi="宋体" w:cs="宋体"/>
                <w:color w:val="auto"/>
                <w:kern w:val="0"/>
                <w:sz w:val="24"/>
                <w:szCs w:val="24"/>
              </w:rPr>
            </w:pPr>
            <w:r>
              <w:rPr>
                <w:rFonts w:hint="eastAsia" w:ascii="宋体" w:hAnsi="宋体" w:cs="宋体"/>
                <w:color w:val="auto"/>
                <w:kern w:val="0"/>
                <w:sz w:val="24"/>
                <w:szCs w:val="24"/>
              </w:rPr>
              <w:t>启东市民政局（盖章）</w:t>
            </w:r>
          </w:p>
          <w:p>
            <w:pPr>
              <w:pageBreakBefore w:val="0"/>
              <w:widowControl w:val="0"/>
              <w:kinsoku/>
              <w:overflowPunct/>
              <w:topLinePunct w:val="0"/>
              <w:bidi w:val="0"/>
              <w:adjustRightInd/>
              <w:spacing w:line="360" w:lineRule="auto"/>
              <w:ind w:firstLine="5280" w:firstLineChars="2200"/>
              <w:rPr>
                <w:rFonts w:ascii="宋体" w:hAnsi="宋体" w:cs="宋体"/>
                <w:color w:val="auto"/>
                <w:kern w:val="0"/>
                <w:sz w:val="24"/>
                <w:szCs w:val="24"/>
              </w:rPr>
            </w:pPr>
            <w:r>
              <w:rPr>
                <w:rFonts w:hint="eastAsia" w:ascii="宋体" w:hAnsi="宋体" w:cs="宋体"/>
                <w:color w:val="auto"/>
                <w:kern w:val="0"/>
                <w:sz w:val="24"/>
                <w:szCs w:val="24"/>
              </w:rPr>
              <w:t>年    月    日</w:t>
            </w:r>
          </w:p>
        </w:tc>
      </w:tr>
    </w:tbl>
    <w:p>
      <w:pPr>
        <w:pageBreakBefore w:val="0"/>
        <w:widowControl w:val="0"/>
        <w:kinsoku/>
        <w:overflowPunct/>
        <w:topLinePunct w:val="0"/>
        <w:bidi w:val="0"/>
        <w:adjustRightInd/>
        <w:spacing w:line="500" w:lineRule="exact"/>
        <w:ind w:firstLine="420" w:firstLineChars="200"/>
        <w:rPr>
          <w:color w:val="auto"/>
        </w:rPr>
      </w:pPr>
      <w:r>
        <w:rPr>
          <w:rFonts w:hint="eastAsia"/>
          <w:color w:val="auto"/>
        </w:rPr>
        <w:t>注：1.本表一式两份，区镇、市局各保留一份。</w:t>
      </w:r>
    </w:p>
    <w:sectPr>
      <w:headerReference r:id="rId3" w:type="default"/>
      <w:footerReference r:id="rId4" w:type="default"/>
      <w:pgSz w:w="11850" w:h="16783"/>
      <w:pgMar w:top="1417" w:right="1587" w:bottom="1304" w:left="1644" w:header="851" w:footer="1219"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10"/>
                              <w:rFonts w:ascii="仿宋_GB2312" w:eastAsia="仿宋_GB2312"/>
                              <w:sz w:val="30"/>
                              <w:szCs w:val="30"/>
                            </w:rPr>
                          </w:pPr>
                          <w:r>
                            <w:rPr>
                              <w:rFonts w:hint="eastAsia" w:ascii="仿宋_GB2312" w:eastAsia="仿宋_GB2312"/>
                              <w:sz w:val="30"/>
                              <w:szCs w:val="30"/>
                            </w:rPr>
                            <w:fldChar w:fldCharType="begin"/>
                          </w:r>
                          <w:r>
                            <w:rPr>
                              <w:rStyle w:val="10"/>
                              <w:rFonts w:hint="eastAsia" w:ascii="仿宋_GB2312" w:eastAsia="仿宋_GB2312"/>
                              <w:sz w:val="30"/>
                              <w:szCs w:val="30"/>
                            </w:rPr>
                            <w:instrText xml:space="preserve">PAGE  </w:instrText>
                          </w:r>
                          <w:r>
                            <w:rPr>
                              <w:rFonts w:hint="eastAsia" w:ascii="仿宋_GB2312" w:eastAsia="仿宋_GB2312"/>
                              <w:sz w:val="30"/>
                              <w:szCs w:val="30"/>
                            </w:rPr>
                            <w:fldChar w:fldCharType="separate"/>
                          </w:r>
                          <w:r>
                            <w:rPr>
                              <w:rStyle w:val="10"/>
                              <w:rFonts w:ascii="仿宋_GB2312" w:eastAsia="仿宋_GB2312"/>
                              <w:sz w:val="30"/>
                              <w:szCs w:val="30"/>
                            </w:rPr>
                            <w:t>- 1 -</w:t>
                          </w:r>
                          <w:r>
                            <w:rPr>
                              <w:rFonts w:hint="eastAsia" w:ascii="仿宋_GB2312" w:eastAsia="仿宋_GB2312"/>
                              <w:sz w:val="30"/>
                              <w:szCs w:val="30"/>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fill on="f" focussize="0,0"/>
              <v:stroke on="f"/>
              <v:imagedata o:title=""/>
              <o:lock v:ext="edit" aspectratio="f"/>
              <v:textbox inset="0mm,0mm,0mm,0mm" style="mso-fit-shape-to-text:t;">
                <w:txbxContent>
                  <w:p>
                    <w:pPr>
                      <w:pStyle w:val="3"/>
                      <w:rPr>
                        <w:rStyle w:val="10"/>
                        <w:rFonts w:ascii="仿宋_GB2312" w:eastAsia="仿宋_GB2312"/>
                        <w:sz w:val="30"/>
                        <w:szCs w:val="30"/>
                      </w:rPr>
                    </w:pPr>
                    <w:r>
                      <w:rPr>
                        <w:rFonts w:hint="eastAsia" w:ascii="仿宋_GB2312" w:eastAsia="仿宋_GB2312"/>
                        <w:sz w:val="30"/>
                        <w:szCs w:val="30"/>
                      </w:rPr>
                      <w:fldChar w:fldCharType="begin"/>
                    </w:r>
                    <w:r>
                      <w:rPr>
                        <w:rStyle w:val="10"/>
                        <w:rFonts w:hint="eastAsia" w:ascii="仿宋_GB2312" w:eastAsia="仿宋_GB2312"/>
                        <w:sz w:val="30"/>
                        <w:szCs w:val="30"/>
                      </w:rPr>
                      <w:instrText xml:space="preserve">PAGE  </w:instrText>
                    </w:r>
                    <w:r>
                      <w:rPr>
                        <w:rFonts w:hint="eastAsia" w:ascii="仿宋_GB2312" w:eastAsia="仿宋_GB2312"/>
                        <w:sz w:val="30"/>
                        <w:szCs w:val="30"/>
                      </w:rPr>
                      <w:fldChar w:fldCharType="separate"/>
                    </w:r>
                    <w:r>
                      <w:rPr>
                        <w:rStyle w:val="10"/>
                        <w:rFonts w:ascii="仿宋_GB2312" w:eastAsia="仿宋_GB2312"/>
                        <w:sz w:val="30"/>
                        <w:szCs w:val="30"/>
                      </w:rPr>
                      <w:t>- 1 -</w:t>
                    </w:r>
                    <w:r>
                      <w:rPr>
                        <w:rFonts w:hint="eastAsia" w:ascii="仿宋_GB2312" w:eastAsia="仿宋_GB2312"/>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DJkMDJhODA4MjViYTg1MGQ0ZTdjNTRiMWYyNjcifQ=="/>
  </w:docVars>
  <w:rsids>
    <w:rsidRoot w:val="00172A27"/>
    <w:rsid w:val="000036EE"/>
    <w:rsid w:val="00011B2E"/>
    <w:rsid w:val="000127B1"/>
    <w:rsid w:val="000131DA"/>
    <w:rsid w:val="00015BC6"/>
    <w:rsid w:val="00031398"/>
    <w:rsid w:val="00035A3D"/>
    <w:rsid w:val="000406D6"/>
    <w:rsid w:val="00040B82"/>
    <w:rsid w:val="00045A7C"/>
    <w:rsid w:val="00050AF9"/>
    <w:rsid w:val="000515FE"/>
    <w:rsid w:val="00057E28"/>
    <w:rsid w:val="00061EF4"/>
    <w:rsid w:val="00063BFC"/>
    <w:rsid w:val="00081EAD"/>
    <w:rsid w:val="00084F55"/>
    <w:rsid w:val="0009202F"/>
    <w:rsid w:val="000922B5"/>
    <w:rsid w:val="00093175"/>
    <w:rsid w:val="0009446A"/>
    <w:rsid w:val="000950A3"/>
    <w:rsid w:val="00097ED4"/>
    <w:rsid w:val="000A5146"/>
    <w:rsid w:val="000A64DA"/>
    <w:rsid w:val="000B6FFA"/>
    <w:rsid w:val="000C21DB"/>
    <w:rsid w:val="000C2734"/>
    <w:rsid w:val="000C2DCE"/>
    <w:rsid w:val="000C41FB"/>
    <w:rsid w:val="000C4C6C"/>
    <w:rsid w:val="000D30F0"/>
    <w:rsid w:val="000D4A29"/>
    <w:rsid w:val="000E508E"/>
    <w:rsid w:val="000F5AD2"/>
    <w:rsid w:val="000F793C"/>
    <w:rsid w:val="00102238"/>
    <w:rsid w:val="00105EC5"/>
    <w:rsid w:val="0011233E"/>
    <w:rsid w:val="00112770"/>
    <w:rsid w:val="0011329A"/>
    <w:rsid w:val="00116597"/>
    <w:rsid w:val="00124BB7"/>
    <w:rsid w:val="001260EF"/>
    <w:rsid w:val="001260FF"/>
    <w:rsid w:val="001308D0"/>
    <w:rsid w:val="001409B6"/>
    <w:rsid w:val="00146267"/>
    <w:rsid w:val="00147F3F"/>
    <w:rsid w:val="001502C7"/>
    <w:rsid w:val="0015079E"/>
    <w:rsid w:val="0015522D"/>
    <w:rsid w:val="0016156A"/>
    <w:rsid w:val="00166DC8"/>
    <w:rsid w:val="00170C41"/>
    <w:rsid w:val="00172234"/>
    <w:rsid w:val="00172A27"/>
    <w:rsid w:val="00173014"/>
    <w:rsid w:val="00174127"/>
    <w:rsid w:val="001747AD"/>
    <w:rsid w:val="001753B6"/>
    <w:rsid w:val="00175E50"/>
    <w:rsid w:val="00176AE1"/>
    <w:rsid w:val="00180784"/>
    <w:rsid w:val="00180BAC"/>
    <w:rsid w:val="00181C13"/>
    <w:rsid w:val="00196EEB"/>
    <w:rsid w:val="001A5E04"/>
    <w:rsid w:val="001A6415"/>
    <w:rsid w:val="001B148C"/>
    <w:rsid w:val="001B2E39"/>
    <w:rsid w:val="001B3901"/>
    <w:rsid w:val="001C0D51"/>
    <w:rsid w:val="001C604E"/>
    <w:rsid w:val="001C64BC"/>
    <w:rsid w:val="001C67B0"/>
    <w:rsid w:val="001D0C7F"/>
    <w:rsid w:val="001D1EB4"/>
    <w:rsid w:val="001E305B"/>
    <w:rsid w:val="001E5C3F"/>
    <w:rsid w:val="001F1B8E"/>
    <w:rsid w:val="001F1F64"/>
    <w:rsid w:val="001F34E2"/>
    <w:rsid w:val="0020116C"/>
    <w:rsid w:val="002065B9"/>
    <w:rsid w:val="00206BF4"/>
    <w:rsid w:val="00207010"/>
    <w:rsid w:val="00207CC4"/>
    <w:rsid w:val="002145D4"/>
    <w:rsid w:val="00216A06"/>
    <w:rsid w:val="00233C95"/>
    <w:rsid w:val="00234A78"/>
    <w:rsid w:val="00235C10"/>
    <w:rsid w:val="00236148"/>
    <w:rsid w:val="00243E5C"/>
    <w:rsid w:val="002469C1"/>
    <w:rsid w:val="00247B04"/>
    <w:rsid w:val="0025003F"/>
    <w:rsid w:val="00251C63"/>
    <w:rsid w:val="00253247"/>
    <w:rsid w:val="00254634"/>
    <w:rsid w:val="00260F71"/>
    <w:rsid w:val="002637BA"/>
    <w:rsid w:val="0026475A"/>
    <w:rsid w:val="00265AAD"/>
    <w:rsid w:val="00266058"/>
    <w:rsid w:val="002670F2"/>
    <w:rsid w:val="0027414F"/>
    <w:rsid w:val="00276526"/>
    <w:rsid w:val="002766E0"/>
    <w:rsid w:val="00276EFB"/>
    <w:rsid w:val="002848F3"/>
    <w:rsid w:val="00290980"/>
    <w:rsid w:val="00295586"/>
    <w:rsid w:val="002A03C2"/>
    <w:rsid w:val="002A4899"/>
    <w:rsid w:val="002A57CE"/>
    <w:rsid w:val="002B1B90"/>
    <w:rsid w:val="002B78F7"/>
    <w:rsid w:val="002B7FD5"/>
    <w:rsid w:val="002C2D94"/>
    <w:rsid w:val="002C6483"/>
    <w:rsid w:val="002D1335"/>
    <w:rsid w:val="002D1908"/>
    <w:rsid w:val="002D4836"/>
    <w:rsid w:val="002D4F4B"/>
    <w:rsid w:val="002F1916"/>
    <w:rsid w:val="002F1E23"/>
    <w:rsid w:val="002F625C"/>
    <w:rsid w:val="002F6833"/>
    <w:rsid w:val="003069FE"/>
    <w:rsid w:val="0030741C"/>
    <w:rsid w:val="00310877"/>
    <w:rsid w:val="00311DB6"/>
    <w:rsid w:val="00313339"/>
    <w:rsid w:val="00314545"/>
    <w:rsid w:val="003168CA"/>
    <w:rsid w:val="00331720"/>
    <w:rsid w:val="00331FB2"/>
    <w:rsid w:val="0033299D"/>
    <w:rsid w:val="00341BFC"/>
    <w:rsid w:val="00342563"/>
    <w:rsid w:val="003425EA"/>
    <w:rsid w:val="00342AFA"/>
    <w:rsid w:val="0034510B"/>
    <w:rsid w:val="00352391"/>
    <w:rsid w:val="00354828"/>
    <w:rsid w:val="0037185F"/>
    <w:rsid w:val="00376264"/>
    <w:rsid w:val="0037781C"/>
    <w:rsid w:val="00381355"/>
    <w:rsid w:val="003814FE"/>
    <w:rsid w:val="00381B3B"/>
    <w:rsid w:val="0038621C"/>
    <w:rsid w:val="003914F6"/>
    <w:rsid w:val="003925C5"/>
    <w:rsid w:val="003926F9"/>
    <w:rsid w:val="00395DB9"/>
    <w:rsid w:val="003A0B6B"/>
    <w:rsid w:val="003A1766"/>
    <w:rsid w:val="003B0179"/>
    <w:rsid w:val="003B0196"/>
    <w:rsid w:val="003B7664"/>
    <w:rsid w:val="003C1998"/>
    <w:rsid w:val="003C2863"/>
    <w:rsid w:val="003C7869"/>
    <w:rsid w:val="003D2018"/>
    <w:rsid w:val="003D3AA8"/>
    <w:rsid w:val="003D3C7B"/>
    <w:rsid w:val="003D4DA5"/>
    <w:rsid w:val="003D7FF6"/>
    <w:rsid w:val="003E76FC"/>
    <w:rsid w:val="003E7EC0"/>
    <w:rsid w:val="003F2BC9"/>
    <w:rsid w:val="004020EE"/>
    <w:rsid w:val="00402446"/>
    <w:rsid w:val="00402AC2"/>
    <w:rsid w:val="00404163"/>
    <w:rsid w:val="0040437B"/>
    <w:rsid w:val="004047D7"/>
    <w:rsid w:val="00405EA8"/>
    <w:rsid w:val="00410319"/>
    <w:rsid w:val="00410687"/>
    <w:rsid w:val="00410BDC"/>
    <w:rsid w:val="00413006"/>
    <w:rsid w:val="00417A1C"/>
    <w:rsid w:val="00423E16"/>
    <w:rsid w:val="004264E7"/>
    <w:rsid w:val="00440911"/>
    <w:rsid w:val="00447FF6"/>
    <w:rsid w:val="004568C9"/>
    <w:rsid w:val="004578AE"/>
    <w:rsid w:val="00460BA2"/>
    <w:rsid w:val="00460E18"/>
    <w:rsid w:val="00462005"/>
    <w:rsid w:val="00462A2D"/>
    <w:rsid w:val="0046415B"/>
    <w:rsid w:val="00465627"/>
    <w:rsid w:val="00466121"/>
    <w:rsid w:val="00466951"/>
    <w:rsid w:val="004712A6"/>
    <w:rsid w:val="00477A39"/>
    <w:rsid w:val="00481664"/>
    <w:rsid w:val="00481B49"/>
    <w:rsid w:val="00486FE1"/>
    <w:rsid w:val="004A0002"/>
    <w:rsid w:val="004A204F"/>
    <w:rsid w:val="004A738D"/>
    <w:rsid w:val="004B0138"/>
    <w:rsid w:val="004B282A"/>
    <w:rsid w:val="004C072E"/>
    <w:rsid w:val="004D4106"/>
    <w:rsid w:val="004D470C"/>
    <w:rsid w:val="004E5174"/>
    <w:rsid w:val="004E7FA0"/>
    <w:rsid w:val="004F00C3"/>
    <w:rsid w:val="004F14D7"/>
    <w:rsid w:val="004F3BE8"/>
    <w:rsid w:val="00500BA5"/>
    <w:rsid w:val="0051119D"/>
    <w:rsid w:val="00514727"/>
    <w:rsid w:val="00514B75"/>
    <w:rsid w:val="00516919"/>
    <w:rsid w:val="00516A96"/>
    <w:rsid w:val="005218AB"/>
    <w:rsid w:val="00521C73"/>
    <w:rsid w:val="00523020"/>
    <w:rsid w:val="005262B5"/>
    <w:rsid w:val="00534FC7"/>
    <w:rsid w:val="00536233"/>
    <w:rsid w:val="00536651"/>
    <w:rsid w:val="005400CF"/>
    <w:rsid w:val="00540867"/>
    <w:rsid w:val="00544E3F"/>
    <w:rsid w:val="00555186"/>
    <w:rsid w:val="0056222B"/>
    <w:rsid w:val="00562F6A"/>
    <w:rsid w:val="00581DB9"/>
    <w:rsid w:val="005825DD"/>
    <w:rsid w:val="00594EB7"/>
    <w:rsid w:val="00595817"/>
    <w:rsid w:val="005A2105"/>
    <w:rsid w:val="005A4360"/>
    <w:rsid w:val="005A4DB7"/>
    <w:rsid w:val="005A4E4A"/>
    <w:rsid w:val="005B56A1"/>
    <w:rsid w:val="005C12F2"/>
    <w:rsid w:val="005C6B33"/>
    <w:rsid w:val="005D0ADA"/>
    <w:rsid w:val="005D2D8B"/>
    <w:rsid w:val="005D359C"/>
    <w:rsid w:val="005D3BC6"/>
    <w:rsid w:val="005D59B0"/>
    <w:rsid w:val="005D6D0E"/>
    <w:rsid w:val="005D7456"/>
    <w:rsid w:val="005E087D"/>
    <w:rsid w:val="005E2221"/>
    <w:rsid w:val="005E2DA5"/>
    <w:rsid w:val="00600C25"/>
    <w:rsid w:val="00602C83"/>
    <w:rsid w:val="00603039"/>
    <w:rsid w:val="00604586"/>
    <w:rsid w:val="00607B8C"/>
    <w:rsid w:val="006105E9"/>
    <w:rsid w:val="00613553"/>
    <w:rsid w:val="00615645"/>
    <w:rsid w:val="006206AC"/>
    <w:rsid w:val="0062102A"/>
    <w:rsid w:val="006223D6"/>
    <w:rsid w:val="006369C4"/>
    <w:rsid w:val="006519E2"/>
    <w:rsid w:val="006520A6"/>
    <w:rsid w:val="00657A7D"/>
    <w:rsid w:val="00660465"/>
    <w:rsid w:val="00661879"/>
    <w:rsid w:val="00664A77"/>
    <w:rsid w:val="0066507D"/>
    <w:rsid w:val="00671036"/>
    <w:rsid w:val="00680036"/>
    <w:rsid w:val="00682B81"/>
    <w:rsid w:val="00684B53"/>
    <w:rsid w:val="006860B7"/>
    <w:rsid w:val="00694740"/>
    <w:rsid w:val="006A5F7B"/>
    <w:rsid w:val="006A69A2"/>
    <w:rsid w:val="006B1BF3"/>
    <w:rsid w:val="006B428C"/>
    <w:rsid w:val="006B4A8D"/>
    <w:rsid w:val="006C5DF4"/>
    <w:rsid w:val="006C7084"/>
    <w:rsid w:val="006D1A99"/>
    <w:rsid w:val="006D3961"/>
    <w:rsid w:val="006D3C22"/>
    <w:rsid w:val="006D4035"/>
    <w:rsid w:val="006D5511"/>
    <w:rsid w:val="006E7928"/>
    <w:rsid w:val="006F521D"/>
    <w:rsid w:val="00712535"/>
    <w:rsid w:val="007146D0"/>
    <w:rsid w:val="007146D9"/>
    <w:rsid w:val="00723D79"/>
    <w:rsid w:val="00733F56"/>
    <w:rsid w:val="00735869"/>
    <w:rsid w:val="00745882"/>
    <w:rsid w:val="0074730C"/>
    <w:rsid w:val="00752F23"/>
    <w:rsid w:val="00753DD9"/>
    <w:rsid w:val="0075433E"/>
    <w:rsid w:val="00755B20"/>
    <w:rsid w:val="00765F74"/>
    <w:rsid w:val="007676D2"/>
    <w:rsid w:val="00774698"/>
    <w:rsid w:val="00774BF5"/>
    <w:rsid w:val="0077700E"/>
    <w:rsid w:val="00777422"/>
    <w:rsid w:val="00784C90"/>
    <w:rsid w:val="00791968"/>
    <w:rsid w:val="007A218A"/>
    <w:rsid w:val="007A2DBC"/>
    <w:rsid w:val="007A40F9"/>
    <w:rsid w:val="007A65F8"/>
    <w:rsid w:val="007B1358"/>
    <w:rsid w:val="007B2D48"/>
    <w:rsid w:val="007B62C2"/>
    <w:rsid w:val="007D3CA9"/>
    <w:rsid w:val="007D6500"/>
    <w:rsid w:val="007E24EE"/>
    <w:rsid w:val="007E76E8"/>
    <w:rsid w:val="007F73D7"/>
    <w:rsid w:val="007F74E8"/>
    <w:rsid w:val="0080063F"/>
    <w:rsid w:val="00801F1B"/>
    <w:rsid w:val="0080345C"/>
    <w:rsid w:val="00803485"/>
    <w:rsid w:val="00804794"/>
    <w:rsid w:val="008147AD"/>
    <w:rsid w:val="0083003B"/>
    <w:rsid w:val="00837F1F"/>
    <w:rsid w:val="008440B1"/>
    <w:rsid w:val="00847114"/>
    <w:rsid w:val="00863D35"/>
    <w:rsid w:val="0086709B"/>
    <w:rsid w:val="008713BD"/>
    <w:rsid w:val="00875599"/>
    <w:rsid w:val="00875EDD"/>
    <w:rsid w:val="00884D87"/>
    <w:rsid w:val="008869D2"/>
    <w:rsid w:val="008917A0"/>
    <w:rsid w:val="00893A21"/>
    <w:rsid w:val="008A11F2"/>
    <w:rsid w:val="008A1464"/>
    <w:rsid w:val="008A2B7F"/>
    <w:rsid w:val="008A5619"/>
    <w:rsid w:val="008A6834"/>
    <w:rsid w:val="008B0756"/>
    <w:rsid w:val="008B0D85"/>
    <w:rsid w:val="008B2C2D"/>
    <w:rsid w:val="008B66FA"/>
    <w:rsid w:val="008B7E6C"/>
    <w:rsid w:val="008D0D57"/>
    <w:rsid w:val="008D111E"/>
    <w:rsid w:val="008D2E3F"/>
    <w:rsid w:val="008D4BBE"/>
    <w:rsid w:val="008E4C8C"/>
    <w:rsid w:val="008E6EF3"/>
    <w:rsid w:val="008F6A46"/>
    <w:rsid w:val="008F6AB1"/>
    <w:rsid w:val="008F78BC"/>
    <w:rsid w:val="008F7C63"/>
    <w:rsid w:val="00902108"/>
    <w:rsid w:val="009029ED"/>
    <w:rsid w:val="009071F6"/>
    <w:rsid w:val="0091124A"/>
    <w:rsid w:val="00913B30"/>
    <w:rsid w:val="00925254"/>
    <w:rsid w:val="00935D7E"/>
    <w:rsid w:val="00941FB3"/>
    <w:rsid w:val="00945CC1"/>
    <w:rsid w:val="009462A9"/>
    <w:rsid w:val="00962614"/>
    <w:rsid w:val="00962720"/>
    <w:rsid w:val="00963FCF"/>
    <w:rsid w:val="00970CDB"/>
    <w:rsid w:val="00982C22"/>
    <w:rsid w:val="00982EBF"/>
    <w:rsid w:val="00986C1B"/>
    <w:rsid w:val="00990578"/>
    <w:rsid w:val="00993C6B"/>
    <w:rsid w:val="009A3380"/>
    <w:rsid w:val="009B3CA1"/>
    <w:rsid w:val="009B3FC7"/>
    <w:rsid w:val="009B43A3"/>
    <w:rsid w:val="009C744A"/>
    <w:rsid w:val="009D2D64"/>
    <w:rsid w:val="009D3DE4"/>
    <w:rsid w:val="009E1ACD"/>
    <w:rsid w:val="009E29AF"/>
    <w:rsid w:val="009E2F45"/>
    <w:rsid w:val="009E6653"/>
    <w:rsid w:val="009F1FF0"/>
    <w:rsid w:val="009F2C1A"/>
    <w:rsid w:val="00A05D7C"/>
    <w:rsid w:val="00A11984"/>
    <w:rsid w:val="00A11C94"/>
    <w:rsid w:val="00A13161"/>
    <w:rsid w:val="00A22E23"/>
    <w:rsid w:val="00A279C9"/>
    <w:rsid w:val="00A37ADF"/>
    <w:rsid w:val="00A37DC5"/>
    <w:rsid w:val="00A41E60"/>
    <w:rsid w:val="00A46518"/>
    <w:rsid w:val="00A46736"/>
    <w:rsid w:val="00A549EA"/>
    <w:rsid w:val="00A65253"/>
    <w:rsid w:val="00A65844"/>
    <w:rsid w:val="00A70868"/>
    <w:rsid w:val="00A75047"/>
    <w:rsid w:val="00A76BC3"/>
    <w:rsid w:val="00A82232"/>
    <w:rsid w:val="00A822CD"/>
    <w:rsid w:val="00A84ADF"/>
    <w:rsid w:val="00A942F4"/>
    <w:rsid w:val="00A94A47"/>
    <w:rsid w:val="00A953E6"/>
    <w:rsid w:val="00AA4F88"/>
    <w:rsid w:val="00AA5102"/>
    <w:rsid w:val="00AB534F"/>
    <w:rsid w:val="00AC1FF1"/>
    <w:rsid w:val="00AC4BBD"/>
    <w:rsid w:val="00AD17F9"/>
    <w:rsid w:val="00AD57D8"/>
    <w:rsid w:val="00AE1D07"/>
    <w:rsid w:val="00AF06DE"/>
    <w:rsid w:val="00AF2392"/>
    <w:rsid w:val="00AF6C1C"/>
    <w:rsid w:val="00B03022"/>
    <w:rsid w:val="00B06360"/>
    <w:rsid w:val="00B13A50"/>
    <w:rsid w:val="00B20D8F"/>
    <w:rsid w:val="00B24136"/>
    <w:rsid w:val="00B26095"/>
    <w:rsid w:val="00B312DD"/>
    <w:rsid w:val="00B32B56"/>
    <w:rsid w:val="00B32EC5"/>
    <w:rsid w:val="00B35A88"/>
    <w:rsid w:val="00B35B3B"/>
    <w:rsid w:val="00B4200E"/>
    <w:rsid w:val="00B445EA"/>
    <w:rsid w:val="00B45D73"/>
    <w:rsid w:val="00B45EAD"/>
    <w:rsid w:val="00B55F10"/>
    <w:rsid w:val="00B60EF2"/>
    <w:rsid w:val="00B616E3"/>
    <w:rsid w:val="00B621B1"/>
    <w:rsid w:val="00B64362"/>
    <w:rsid w:val="00B64A17"/>
    <w:rsid w:val="00B659B9"/>
    <w:rsid w:val="00B66C50"/>
    <w:rsid w:val="00B70A14"/>
    <w:rsid w:val="00B76047"/>
    <w:rsid w:val="00B8274B"/>
    <w:rsid w:val="00B8349C"/>
    <w:rsid w:val="00B841FB"/>
    <w:rsid w:val="00B849E7"/>
    <w:rsid w:val="00B84AEB"/>
    <w:rsid w:val="00B84B89"/>
    <w:rsid w:val="00B85D72"/>
    <w:rsid w:val="00B919CE"/>
    <w:rsid w:val="00B97781"/>
    <w:rsid w:val="00BA0C6F"/>
    <w:rsid w:val="00BA333D"/>
    <w:rsid w:val="00BA728F"/>
    <w:rsid w:val="00BB0D8B"/>
    <w:rsid w:val="00BB0F87"/>
    <w:rsid w:val="00BB22F0"/>
    <w:rsid w:val="00BB263F"/>
    <w:rsid w:val="00BB2D4B"/>
    <w:rsid w:val="00BB54BF"/>
    <w:rsid w:val="00BB6C3F"/>
    <w:rsid w:val="00BB74E5"/>
    <w:rsid w:val="00BC1502"/>
    <w:rsid w:val="00BC4AD5"/>
    <w:rsid w:val="00BD435E"/>
    <w:rsid w:val="00BE4560"/>
    <w:rsid w:val="00BE62A2"/>
    <w:rsid w:val="00BE7556"/>
    <w:rsid w:val="00BF088C"/>
    <w:rsid w:val="00BF0AE2"/>
    <w:rsid w:val="00BF0BEA"/>
    <w:rsid w:val="00BF3FA0"/>
    <w:rsid w:val="00C02A9A"/>
    <w:rsid w:val="00C05E6E"/>
    <w:rsid w:val="00C1508D"/>
    <w:rsid w:val="00C178E1"/>
    <w:rsid w:val="00C20990"/>
    <w:rsid w:val="00C268CC"/>
    <w:rsid w:val="00C330DB"/>
    <w:rsid w:val="00C33427"/>
    <w:rsid w:val="00C336C0"/>
    <w:rsid w:val="00C47959"/>
    <w:rsid w:val="00C47C3F"/>
    <w:rsid w:val="00C51495"/>
    <w:rsid w:val="00C51D6D"/>
    <w:rsid w:val="00C56E9B"/>
    <w:rsid w:val="00C60987"/>
    <w:rsid w:val="00C60E04"/>
    <w:rsid w:val="00C649F1"/>
    <w:rsid w:val="00C75004"/>
    <w:rsid w:val="00C75DBA"/>
    <w:rsid w:val="00C854CC"/>
    <w:rsid w:val="00C86999"/>
    <w:rsid w:val="00C87805"/>
    <w:rsid w:val="00CA03AB"/>
    <w:rsid w:val="00CA4060"/>
    <w:rsid w:val="00CB023A"/>
    <w:rsid w:val="00CB1FF3"/>
    <w:rsid w:val="00CB504F"/>
    <w:rsid w:val="00CC11CD"/>
    <w:rsid w:val="00CC57B5"/>
    <w:rsid w:val="00CD0605"/>
    <w:rsid w:val="00CD4817"/>
    <w:rsid w:val="00CE1528"/>
    <w:rsid w:val="00CE6E7F"/>
    <w:rsid w:val="00D002B8"/>
    <w:rsid w:val="00D01D3D"/>
    <w:rsid w:val="00D02D9E"/>
    <w:rsid w:val="00D0320B"/>
    <w:rsid w:val="00D06B6C"/>
    <w:rsid w:val="00D13AD9"/>
    <w:rsid w:val="00D13BE9"/>
    <w:rsid w:val="00D262F5"/>
    <w:rsid w:val="00D26EB6"/>
    <w:rsid w:val="00D3005C"/>
    <w:rsid w:val="00D31610"/>
    <w:rsid w:val="00D347CF"/>
    <w:rsid w:val="00D3785E"/>
    <w:rsid w:val="00D420B8"/>
    <w:rsid w:val="00D42E14"/>
    <w:rsid w:val="00D445FF"/>
    <w:rsid w:val="00D57DF2"/>
    <w:rsid w:val="00D60ED9"/>
    <w:rsid w:val="00D63249"/>
    <w:rsid w:val="00D66388"/>
    <w:rsid w:val="00D70840"/>
    <w:rsid w:val="00D713CF"/>
    <w:rsid w:val="00D7307C"/>
    <w:rsid w:val="00D75881"/>
    <w:rsid w:val="00D800B8"/>
    <w:rsid w:val="00D81697"/>
    <w:rsid w:val="00D8265D"/>
    <w:rsid w:val="00D8451A"/>
    <w:rsid w:val="00D8532A"/>
    <w:rsid w:val="00D8649B"/>
    <w:rsid w:val="00D87B8B"/>
    <w:rsid w:val="00D9407D"/>
    <w:rsid w:val="00D94124"/>
    <w:rsid w:val="00DA1867"/>
    <w:rsid w:val="00DC291B"/>
    <w:rsid w:val="00DC6C8D"/>
    <w:rsid w:val="00DD1619"/>
    <w:rsid w:val="00DD1BE6"/>
    <w:rsid w:val="00DD523C"/>
    <w:rsid w:val="00DD7CAD"/>
    <w:rsid w:val="00DE21CB"/>
    <w:rsid w:val="00DE4C8F"/>
    <w:rsid w:val="00DE61CF"/>
    <w:rsid w:val="00DF23F7"/>
    <w:rsid w:val="00DF508C"/>
    <w:rsid w:val="00E060AE"/>
    <w:rsid w:val="00E30CF9"/>
    <w:rsid w:val="00E34EE7"/>
    <w:rsid w:val="00E36487"/>
    <w:rsid w:val="00E43569"/>
    <w:rsid w:val="00E54A14"/>
    <w:rsid w:val="00E54D07"/>
    <w:rsid w:val="00E55B53"/>
    <w:rsid w:val="00E56E91"/>
    <w:rsid w:val="00E56EFB"/>
    <w:rsid w:val="00E57385"/>
    <w:rsid w:val="00E616DA"/>
    <w:rsid w:val="00E734AD"/>
    <w:rsid w:val="00E914F2"/>
    <w:rsid w:val="00EA153F"/>
    <w:rsid w:val="00EA271C"/>
    <w:rsid w:val="00EA4630"/>
    <w:rsid w:val="00EA4BE5"/>
    <w:rsid w:val="00EA663C"/>
    <w:rsid w:val="00EB4B42"/>
    <w:rsid w:val="00EB4FAA"/>
    <w:rsid w:val="00EB54A9"/>
    <w:rsid w:val="00EC111C"/>
    <w:rsid w:val="00EC2B2D"/>
    <w:rsid w:val="00EC4750"/>
    <w:rsid w:val="00ED6C1A"/>
    <w:rsid w:val="00EE08C8"/>
    <w:rsid w:val="00EF0816"/>
    <w:rsid w:val="00EF0FCC"/>
    <w:rsid w:val="00EF1DD0"/>
    <w:rsid w:val="00EF30BF"/>
    <w:rsid w:val="00EF3DE6"/>
    <w:rsid w:val="00F02CDB"/>
    <w:rsid w:val="00F037C2"/>
    <w:rsid w:val="00F10B9D"/>
    <w:rsid w:val="00F127DD"/>
    <w:rsid w:val="00F14BE0"/>
    <w:rsid w:val="00F14D61"/>
    <w:rsid w:val="00F15B2E"/>
    <w:rsid w:val="00F237D3"/>
    <w:rsid w:val="00F30451"/>
    <w:rsid w:val="00F309D7"/>
    <w:rsid w:val="00F3168D"/>
    <w:rsid w:val="00F34B58"/>
    <w:rsid w:val="00F36AA5"/>
    <w:rsid w:val="00F445B0"/>
    <w:rsid w:val="00F47039"/>
    <w:rsid w:val="00F4717C"/>
    <w:rsid w:val="00F47484"/>
    <w:rsid w:val="00F571EE"/>
    <w:rsid w:val="00F612BF"/>
    <w:rsid w:val="00F61ABE"/>
    <w:rsid w:val="00F64640"/>
    <w:rsid w:val="00F64EAC"/>
    <w:rsid w:val="00F662C6"/>
    <w:rsid w:val="00F850FA"/>
    <w:rsid w:val="00F86067"/>
    <w:rsid w:val="00F9558D"/>
    <w:rsid w:val="00F96FEA"/>
    <w:rsid w:val="00FA18C3"/>
    <w:rsid w:val="00FA2E63"/>
    <w:rsid w:val="00FC0D13"/>
    <w:rsid w:val="00FC5A18"/>
    <w:rsid w:val="00FC68DB"/>
    <w:rsid w:val="00FE03B7"/>
    <w:rsid w:val="00FF00BE"/>
    <w:rsid w:val="00FF284D"/>
    <w:rsid w:val="00FF35B7"/>
    <w:rsid w:val="00FF4CB7"/>
    <w:rsid w:val="01CA5480"/>
    <w:rsid w:val="01CE1023"/>
    <w:rsid w:val="028F7F32"/>
    <w:rsid w:val="03722ADB"/>
    <w:rsid w:val="04465998"/>
    <w:rsid w:val="049F5EA2"/>
    <w:rsid w:val="05065269"/>
    <w:rsid w:val="054216EB"/>
    <w:rsid w:val="05FA6A26"/>
    <w:rsid w:val="063262D5"/>
    <w:rsid w:val="069A4FE2"/>
    <w:rsid w:val="06B436E4"/>
    <w:rsid w:val="06F64D3D"/>
    <w:rsid w:val="07276A4D"/>
    <w:rsid w:val="0795425D"/>
    <w:rsid w:val="083D0A4D"/>
    <w:rsid w:val="08734990"/>
    <w:rsid w:val="08936710"/>
    <w:rsid w:val="091108A1"/>
    <w:rsid w:val="093A4032"/>
    <w:rsid w:val="096C70CD"/>
    <w:rsid w:val="09710D25"/>
    <w:rsid w:val="098531DC"/>
    <w:rsid w:val="099E6096"/>
    <w:rsid w:val="09A45C60"/>
    <w:rsid w:val="0A0226F5"/>
    <w:rsid w:val="0B31710A"/>
    <w:rsid w:val="0B894CBE"/>
    <w:rsid w:val="0BB371D4"/>
    <w:rsid w:val="0C104C1F"/>
    <w:rsid w:val="0C43014D"/>
    <w:rsid w:val="0C4C3D84"/>
    <w:rsid w:val="0CD0364E"/>
    <w:rsid w:val="0CE265BB"/>
    <w:rsid w:val="0D1768D2"/>
    <w:rsid w:val="0E3B2892"/>
    <w:rsid w:val="0E87566C"/>
    <w:rsid w:val="0EA2194C"/>
    <w:rsid w:val="0F582EF8"/>
    <w:rsid w:val="0FAD1102"/>
    <w:rsid w:val="0FDF60FA"/>
    <w:rsid w:val="0FF47CF9"/>
    <w:rsid w:val="104C54FE"/>
    <w:rsid w:val="11991213"/>
    <w:rsid w:val="119B49EC"/>
    <w:rsid w:val="12442D06"/>
    <w:rsid w:val="1305687C"/>
    <w:rsid w:val="13F60424"/>
    <w:rsid w:val="13FD5BE5"/>
    <w:rsid w:val="146A3D45"/>
    <w:rsid w:val="14F97F72"/>
    <w:rsid w:val="15421385"/>
    <w:rsid w:val="15AF654E"/>
    <w:rsid w:val="165560DE"/>
    <w:rsid w:val="16683AC0"/>
    <w:rsid w:val="168340BC"/>
    <w:rsid w:val="16D759EE"/>
    <w:rsid w:val="16FF01B3"/>
    <w:rsid w:val="175A45E0"/>
    <w:rsid w:val="17BB6B70"/>
    <w:rsid w:val="180313EE"/>
    <w:rsid w:val="197427DA"/>
    <w:rsid w:val="1A4F7983"/>
    <w:rsid w:val="1A6835A0"/>
    <w:rsid w:val="1B0E0298"/>
    <w:rsid w:val="1B1D5E2D"/>
    <w:rsid w:val="1BCF76A0"/>
    <w:rsid w:val="1C330BCB"/>
    <w:rsid w:val="1C756626"/>
    <w:rsid w:val="1C943EFF"/>
    <w:rsid w:val="1CAA7387"/>
    <w:rsid w:val="1D4B176C"/>
    <w:rsid w:val="1D553FAD"/>
    <w:rsid w:val="1D920A3C"/>
    <w:rsid w:val="1DE33F41"/>
    <w:rsid w:val="1DE82C14"/>
    <w:rsid w:val="1E05000F"/>
    <w:rsid w:val="1EE76E2E"/>
    <w:rsid w:val="20066B4C"/>
    <w:rsid w:val="20495505"/>
    <w:rsid w:val="208F1EA6"/>
    <w:rsid w:val="20C3633B"/>
    <w:rsid w:val="20EC67DE"/>
    <w:rsid w:val="20F46CC4"/>
    <w:rsid w:val="20FF54A7"/>
    <w:rsid w:val="21A54D02"/>
    <w:rsid w:val="21E50D2B"/>
    <w:rsid w:val="22A24A10"/>
    <w:rsid w:val="22CD5FFC"/>
    <w:rsid w:val="22F415C1"/>
    <w:rsid w:val="236263A8"/>
    <w:rsid w:val="24106A58"/>
    <w:rsid w:val="249E3F77"/>
    <w:rsid w:val="26386C7D"/>
    <w:rsid w:val="26F91F87"/>
    <w:rsid w:val="272C4C86"/>
    <w:rsid w:val="27A46AC2"/>
    <w:rsid w:val="28582515"/>
    <w:rsid w:val="28E005D3"/>
    <w:rsid w:val="296E4696"/>
    <w:rsid w:val="2BBF7053"/>
    <w:rsid w:val="2C031907"/>
    <w:rsid w:val="2C365954"/>
    <w:rsid w:val="2C4836AB"/>
    <w:rsid w:val="2E6211AD"/>
    <w:rsid w:val="2E78237A"/>
    <w:rsid w:val="2F8A3F76"/>
    <w:rsid w:val="304E02C8"/>
    <w:rsid w:val="30710775"/>
    <w:rsid w:val="30C93B1B"/>
    <w:rsid w:val="31846DAE"/>
    <w:rsid w:val="31F20F2F"/>
    <w:rsid w:val="329F46D9"/>
    <w:rsid w:val="33A64F10"/>
    <w:rsid w:val="33A7188C"/>
    <w:rsid w:val="33D75D39"/>
    <w:rsid w:val="3404570C"/>
    <w:rsid w:val="34490CDD"/>
    <w:rsid w:val="348012C9"/>
    <w:rsid w:val="34E6166B"/>
    <w:rsid w:val="35377B08"/>
    <w:rsid w:val="35B76C73"/>
    <w:rsid w:val="36166428"/>
    <w:rsid w:val="37711602"/>
    <w:rsid w:val="37A51688"/>
    <w:rsid w:val="37B94CC6"/>
    <w:rsid w:val="37C554CC"/>
    <w:rsid w:val="37F80289"/>
    <w:rsid w:val="380D6756"/>
    <w:rsid w:val="387534A3"/>
    <w:rsid w:val="393A66C4"/>
    <w:rsid w:val="3A6B1B6F"/>
    <w:rsid w:val="3AC86AB8"/>
    <w:rsid w:val="3B932B0B"/>
    <w:rsid w:val="3CDE1881"/>
    <w:rsid w:val="3CF931F0"/>
    <w:rsid w:val="3D4C046D"/>
    <w:rsid w:val="3D764B63"/>
    <w:rsid w:val="3E381C85"/>
    <w:rsid w:val="3E5154EC"/>
    <w:rsid w:val="3E79568B"/>
    <w:rsid w:val="3E7B7CA9"/>
    <w:rsid w:val="3EBD1F77"/>
    <w:rsid w:val="3EDA6ED4"/>
    <w:rsid w:val="3F405057"/>
    <w:rsid w:val="3FFE66E1"/>
    <w:rsid w:val="406C6550"/>
    <w:rsid w:val="407B53DA"/>
    <w:rsid w:val="41852126"/>
    <w:rsid w:val="42E4125C"/>
    <w:rsid w:val="432B1D72"/>
    <w:rsid w:val="43D63B27"/>
    <w:rsid w:val="442B2FE3"/>
    <w:rsid w:val="45A93DBF"/>
    <w:rsid w:val="469A50F2"/>
    <w:rsid w:val="469C2A71"/>
    <w:rsid w:val="47225BA1"/>
    <w:rsid w:val="4754730D"/>
    <w:rsid w:val="47A903E3"/>
    <w:rsid w:val="47FF5C15"/>
    <w:rsid w:val="488A0E08"/>
    <w:rsid w:val="49800BFA"/>
    <w:rsid w:val="4A24773D"/>
    <w:rsid w:val="4A6E2BA0"/>
    <w:rsid w:val="4B5D2FA4"/>
    <w:rsid w:val="4B9F5E17"/>
    <w:rsid w:val="4BE54974"/>
    <w:rsid w:val="4BF62F86"/>
    <w:rsid w:val="4C067565"/>
    <w:rsid w:val="4CF5694E"/>
    <w:rsid w:val="4D17249B"/>
    <w:rsid w:val="4D41465D"/>
    <w:rsid w:val="4E3F15F2"/>
    <w:rsid w:val="4E592489"/>
    <w:rsid w:val="4E7445BE"/>
    <w:rsid w:val="4F492D6F"/>
    <w:rsid w:val="4F683249"/>
    <w:rsid w:val="4F744EC4"/>
    <w:rsid w:val="502F2C25"/>
    <w:rsid w:val="50E963C7"/>
    <w:rsid w:val="516156A1"/>
    <w:rsid w:val="519E2DF3"/>
    <w:rsid w:val="53307806"/>
    <w:rsid w:val="53FE4CEB"/>
    <w:rsid w:val="54105DF7"/>
    <w:rsid w:val="542A77F7"/>
    <w:rsid w:val="54FF095A"/>
    <w:rsid w:val="56CB40A9"/>
    <w:rsid w:val="574A3486"/>
    <w:rsid w:val="575E0485"/>
    <w:rsid w:val="57A11700"/>
    <w:rsid w:val="585B5083"/>
    <w:rsid w:val="59135FFF"/>
    <w:rsid w:val="594427A6"/>
    <w:rsid w:val="59970545"/>
    <w:rsid w:val="599A02C2"/>
    <w:rsid w:val="59AC0C05"/>
    <w:rsid w:val="5A66425D"/>
    <w:rsid w:val="5A9B3A99"/>
    <w:rsid w:val="5AA3381D"/>
    <w:rsid w:val="5AD92379"/>
    <w:rsid w:val="5AF815CD"/>
    <w:rsid w:val="5B7D4EA6"/>
    <w:rsid w:val="5BC15C55"/>
    <w:rsid w:val="5C1942C5"/>
    <w:rsid w:val="5C355496"/>
    <w:rsid w:val="5C5045FE"/>
    <w:rsid w:val="5DE55498"/>
    <w:rsid w:val="5E022AFC"/>
    <w:rsid w:val="5ED33579"/>
    <w:rsid w:val="5F75627B"/>
    <w:rsid w:val="5F926458"/>
    <w:rsid w:val="5F9452A3"/>
    <w:rsid w:val="60150B48"/>
    <w:rsid w:val="60AB1E8C"/>
    <w:rsid w:val="61023CAB"/>
    <w:rsid w:val="616E7E4E"/>
    <w:rsid w:val="619C4A11"/>
    <w:rsid w:val="619D2136"/>
    <w:rsid w:val="61A30482"/>
    <w:rsid w:val="61AE2228"/>
    <w:rsid w:val="634A7AF2"/>
    <w:rsid w:val="64CB0D02"/>
    <w:rsid w:val="64E90EF6"/>
    <w:rsid w:val="6521617A"/>
    <w:rsid w:val="656D765A"/>
    <w:rsid w:val="658B705F"/>
    <w:rsid w:val="65A17D86"/>
    <w:rsid w:val="65A62477"/>
    <w:rsid w:val="65B67F82"/>
    <w:rsid w:val="66F82152"/>
    <w:rsid w:val="66F824FD"/>
    <w:rsid w:val="67446A26"/>
    <w:rsid w:val="686E14EF"/>
    <w:rsid w:val="689226CF"/>
    <w:rsid w:val="68CE387D"/>
    <w:rsid w:val="69070FEC"/>
    <w:rsid w:val="697375A1"/>
    <w:rsid w:val="698E7F66"/>
    <w:rsid w:val="69943784"/>
    <w:rsid w:val="69C00BA5"/>
    <w:rsid w:val="6B5E570B"/>
    <w:rsid w:val="6BA472C2"/>
    <w:rsid w:val="6BFA091E"/>
    <w:rsid w:val="6C541FA6"/>
    <w:rsid w:val="6C734376"/>
    <w:rsid w:val="6CA42141"/>
    <w:rsid w:val="6DBD494E"/>
    <w:rsid w:val="6E076DA5"/>
    <w:rsid w:val="6F15379B"/>
    <w:rsid w:val="6F4025C3"/>
    <w:rsid w:val="6F4415E3"/>
    <w:rsid w:val="6F5263DA"/>
    <w:rsid w:val="6F543D73"/>
    <w:rsid w:val="6F967545"/>
    <w:rsid w:val="70ED1B5F"/>
    <w:rsid w:val="71F374A0"/>
    <w:rsid w:val="720B020B"/>
    <w:rsid w:val="732876EA"/>
    <w:rsid w:val="73DE3C77"/>
    <w:rsid w:val="74BB5EE0"/>
    <w:rsid w:val="74D656FA"/>
    <w:rsid w:val="753F45FA"/>
    <w:rsid w:val="758229C0"/>
    <w:rsid w:val="759235A3"/>
    <w:rsid w:val="75FA74C0"/>
    <w:rsid w:val="777A542D"/>
    <w:rsid w:val="77DA67C1"/>
    <w:rsid w:val="786E2C33"/>
    <w:rsid w:val="788F2ACB"/>
    <w:rsid w:val="78B53697"/>
    <w:rsid w:val="78BE2756"/>
    <w:rsid w:val="78E04E8D"/>
    <w:rsid w:val="793D1389"/>
    <w:rsid w:val="79B91E24"/>
    <w:rsid w:val="79C42F28"/>
    <w:rsid w:val="7A385910"/>
    <w:rsid w:val="7AB373D6"/>
    <w:rsid w:val="7B0879A3"/>
    <w:rsid w:val="7C2740B5"/>
    <w:rsid w:val="7CAA04DB"/>
    <w:rsid w:val="7DB11EF6"/>
    <w:rsid w:val="7E940344"/>
    <w:rsid w:val="7EB40507"/>
    <w:rsid w:val="7EB541F9"/>
    <w:rsid w:val="7F1D25DA"/>
    <w:rsid w:val="7F440F59"/>
    <w:rsid w:val="7F461BFC"/>
    <w:rsid w:val="7F7139AD"/>
    <w:rsid w:val="7FCD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bCs/>
    </w:rPr>
  </w:style>
  <w:style w:type="character" w:styleId="10">
    <w:name w:val="page number"/>
    <w:basedOn w:val="8"/>
    <w:qFormat/>
    <w:uiPriority w:val="0"/>
  </w:style>
  <w:style w:type="character" w:styleId="11">
    <w:name w:val="annotation reference"/>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8E35E-C158-4979-8E02-8FC92D82222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9023</Words>
  <Characters>9257</Characters>
  <Lines>61</Lines>
  <Paragraphs>17</Paragraphs>
  <TotalTime>116</TotalTime>
  <ScaleCrop>false</ScaleCrop>
  <LinksUpToDate>false</LinksUpToDate>
  <CharactersWithSpaces>9541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2022-03-01T03:32:00Z</dcterms:created>
  <dc:creator>User</dc:creator>
  <cp:lastModifiedBy>王英</cp:lastModifiedBy>
  <cp:lastPrinted>2023-03-08T07:50:00Z</cp:lastPrinted>
  <dcterms:modified xsi:type="dcterms:W3CDTF">2023-03-09T00:57:28Z</dcterms:modified>
  <dc:title>关于建立养老机构安全生产绩效与养老床位运营补贴挂钩机制的通知</dc:title>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7E322AFB7FEE42B88EC625E41DBF4207</vt:lpwstr>
  </property>
</Properties>
</file>