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pacing w:val="20"/>
          <w:sz w:val="44"/>
          <w:highlight w:val="none"/>
        </w:rPr>
      </w:pPr>
    </w:p>
    <w:p>
      <w:pPr>
        <w:jc w:val="center"/>
        <w:rPr>
          <w:rFonts w:hint="eastAsia" w:ascii="宋体" w:hAnsi="宋体" w:eastAsia="宋体" w:cs="宋体"/>
          <w:b/>
          <w:color w:val="auto"/>
          <w:spacing w:val="20"/>
          <w:sz w:val="44"/>
          <w:highlight w:val="none"/>
        </w:rPr>
      </w:pPr>
    </w:p>
    <w:p>
      <w:pPr>
        <w:jc w:val="center"/>
        <w:rPr>
          <w:rFonts w:hint="eastAsia" w:ascii="宋体" w:hAnsi="宋体" w:cs="宋体"/>
          <w:b/>
          <w:color w:val="auto"/>
          <w:spacing w:val="20"/>
          <w:sz w:val="44"/>
          <w:highlight w:val="none"/>
          <w:lang w:val="en-US" w:eastAsia="zh-CN"/>
        </w:rPr>
      </w:pPr>
      <w:r>
        <w:rPr>
          <w:rFonts w:hint="eastAsia" w:ascii="宋体" w:hAnsi="宋体" w:cs="宋体"/>
          <w:b/>
          <w:color w:val="auto"/>
          <w:spacing w:val="20"/>
          <w:sz w:val="44"/>
          <w:highlight w:val="none"/>
          <w:lang w:val="en-US" w:eastAsia="zh-CN"/>
        </w:rPr>
        <w:t>启东市火车站出站通道照明项目</w:t>
      </w:r>
    </w:p>
    <w:p>
      <w:pPr>
        <w:jc w:val="both"/>
        <w:rPr>
          <w:rFonts w:hint="eastAsia" w:ascii="宋体" w:hAnsi="宋体" w:eastAsia="宋体" w:cs="宋体"/>
          <w:b/>
          <w:color w:val="auto"/>
          <w:spacing w:val="20"/>
          <w:sz w:val="44"/>
          <w:highlight w:val="none"/>
        </w:rPr>
      </w:pPr>
    </w:p>
    <w:p>
      <w:pPr>
        <w:jc w:val="both"/>
        <w:rPr>
          <w:rFonts w:hint="eastAsia" w:ascii="宋体" w:hAnsi="宋体" w:eastAsia="宋体" w:cs="宋体"/>
          <w:b/>
          <w:color w:val="auto"/>
          <w:spacing w:val="20"/>
          <w:sz w:val="44"/>
          <w:highlight w:val="none"/>
        </w:rPr>
      </w:pPr>
    </w:p>
    <w:p>
      <w:pPr>
        <w:pStyle w:val="2"/>
        <w:rPr>
          <w:rFonts w:hint="eastAsia"/>
        </w:rPr>
      </w:pPr>
    </w:p>
    <w:p>
      <w:pPr>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w:t>
      </w:r>
      <w:r>
        <w:rPr>
          <w:rFonts w:hint="eastAsia" w:ascii="宋体" w:hAnsi="宋体" w:eastAsia="宋体" w:cs="宋体"/>
          <w:b/>
          <w:color w:val="auto"/>
          <w:sz w:val="100"/>
          <w:szCs w:val="100"/>
          <w:highlight w:val="none"/>
          <w:lang w:eastAsia="zh-CN"/>
        </w:rPr>
        <w:t>询价</w:t>
      </w:r>
      <w:r>
        <w:rPr>
          <w:rFonts w:hint="eastAsia" w:ascii="宋体" w:hAnsi="宋体" w:eastAsia="宋体" w:cs="宋体"/>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pStyle w:val="2"/>
        <w:rPr>
          <w:rFonts w:hint="eastAsia"/>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adjustRightInd w:val="0"/>
        <w:spacing w:before="120" w:after="120" w:line="500" w:lineRule="exact"/>
        <w:ind w:left="-2" w:right="120"/>
        <w:jc w:val="center"/>
        <w:textAlignment w:val="baseline"/>
        <w:rPr>
          <w:rFonts w:hint="eastAsia" w:ascii="宋体" w:hAnsi="宋体" w:eastAsia="宋体" w:cs="宋体"/>
          <w:b/>
          <w:color w:val="auto"/>
          <w:spacing w:val="20"/>
          <w:sz w:val="44"/>
          <w:highlight w:val="none"/>
          <w:lang w:val="en-US" w:eastAsia="zh-CN"/>
        </w:rPr>
      </w:pPr>
      <w:r>
        <w:rPr>
          <w:rFonts w:hint="eastAsia" w:ascii="宋体" w:hAnsi="宋体" w:cs="宋体"/>
          <w:b/>
          <w:color w:val="auto"/>
          <w:spacing w:val="20"/>
          <w:sz w:val="44"/>
          <w:highlight w:val="none"/>
          <w:lang w:val="en-US" w:eastAsia="zh-CN"/>
        </w:rPr>
        <w:t>启东市交通事业发展中心</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r>
        <w:rPr>
          <w:rFonts w:hint="eastAsia" w:ascii="宋体" w:hAnsi="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u w:val="single"/>
          <w:lang w:val="en-US" w:eastAsia="zh-CN"/>
        </w:rPr>
        <w:t>202</w:t>
      </w:r>
      <w:r>
        <w:rPr>
          <w:rFonts w:hint="eastAsia" w:ascii="宋体" w:hAnsi="宋体" w:cs="宋体"/>
          <w:b/>
          <w:bCs/>
          <w:color w:val="auto"/>
          <w:kern w:val="0"/>
          <w:sz w:val="32"/>
          <w:highlight w:val="none"/>
          <w:u w:val="single"/>
          <w:lang w:val="en-US" w:eastAsia="zh-CN"/>
        </w:rPr>
        <w:t>4</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年</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cs="宋体"/>
          <w:b/>
          <w:bCs/>
          <w:color w:val="auto"/>
          <w:kern w:val="0"/>
          <w:sz w:val="32"/>
          <w:highlight w:val="none"/>
          <w:u w:val="single"/>
          <w:lang w:val="en-US" w:eastAsia="zh-CN"/>
        </w:rPr>
        <w:t xml:space="preserve">06 </w:t>
      </w:r>
      <w:r>
        <w:rPr>
          <w:rFonts w:hint="eastAsia" w:ascii="宋体" w:hAnsi="宋体" w:eastAsia="宋体" w:cs="宋体"/>
          <w:b/>
          <w:bCs/>
          <w:color w:val="auto"/>
          <w:kern w:val="0"/>
          <w:sz w:val="32"/>
          <w:highlight w:val="none"/>
        </w:rPr>
        <w:t>月</w:t>
      </w:r>
      <w:r>
        <w:rPr>
          <w:rFonts w:hint="eastAsia" w:ascii="宋体" w:hAnsi="宋体" w:cs="宋体"/>
          <w:b/>
          <w:bCs/>
          <w:color w:val="auto"/>
          <w:kern w:val="0"/>
          <w:sz w:val="32"/>
          <w:highlight w:val="none"/>
          <w:u w:val="single"/>
          <w:lang w:val="en-US" w:eastAsia="zh-CN"/>
        </w:rPr>
        <w:t xml:space="preserve"> 11 </w:t>
      </w:r>
      <w:r>
        <w:rPr>
          <w:rFonts w:hint="eastAsia" w:ascii="宋体" w:hAnsi="宋体" w:eastAsia="宋体" w:cs="宋体"/>
          <w:b/>
          <w:bCs/>
          <w:color w:val="auto"/>
          <w:kern w:val="0"/>
          <w:sz w:val="32"/>
          <w:highlight w:val="none"/>
        </w:rPr>
        <w:t>日</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p>
    <w:p>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p>
    <w:p>
      <w:pPr>
        <w:adjustRightInd w:val="0"/>
        <w:snapToGrid w:val="0"/>
        <w:ind w:left="-158" w:leftChars="-75"/>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地址:</w:t>
      </w:r>
      <w:r>
        <w:rPr>
          <w:rFonts w:hint="eastAsia" w:ascii="宋体" w:hAnsi="宋体" w:eastAsia="宋体" w:cs="宋体"/>
          <w:b/>
          <w:snapToGrid w:val="0"/>
          <w:color w:val="auto"/>
          <w:sz w:val="28"/>
          <w:szCs w:val="28"/>
          <w:highlight w:val="none"/>
          <w:lang w:val="en-US" w:eastAsia="zh-CN"/>
        </w:rPr>
        <w:t>南通市启东市汇龙镇世纪大道2099号</w:t>
      </w:r>
      <w:r>
        <w:rPr>
          <w:rFonts w:hint="eastAsia" w:ascii="宋体" w:hAnsi="宋体" w:cs="宋体"/>
          <w:b/>
          <w:snapToGrid w:val="0"/>
          <w:color w:val="auto"/>
          <w:sz w:val="28"/>
          <w:szCs w:val="28"/>
          <w:highlight w:val="none"/>
          <w:lang w:val="en-US" w:eastAsia="zh-CN"/>
        </w:rPr>
        <w:t xml:space="preserve">         </w:t>
      </w:r>
      <w:r>
        <w:rPr>
          <w:rFonts w:hint="eastAsia" w:ascii="宋体" w:hAnsi="宋体" w:eastAsia="宋体" w:cs="宋体"/>
          <w:b/>
          <w:snapToGrid w:val="0"/>
          <w:color w:val="auto"/>
          <w:sz w:val="28"/>
          <w:szCs w:val="28"/>
          <w:highlight w:val="none"/>
        </w:rPr>
        <w:t xml:space="preserve"> 邮政编码：226200        </w:t>
      </w:r>
    </w:p>
    <w:p>
      <w:pPr>
        <w:adjustRightInd w:val="0"/>
        <w:snapToGrid w:val="0"/>
        <w:ind w:left="-158" w:leftChars="-75"/>
        <w:rPr>
          <w:rFonts w:hint="eastAsia" w:ascii="宋体" w:hAnsi="宋体" w:eastAsia="宋体" w:cs="宋体"/>
          <w:color w:val="auto"/>
          <w:sz w:val="28"/>
          <w:szCs w:val="28"/>
          <w:highlight w:val="none"/>
          <w:lang w:val="zh-CN" w:eastAsia="zh-CN"/>
        </w:rPr>
      </w:pPr>
      <w:r>
        <w:rPr>
          <w:rFonts w:hint="eastAsia" w:ascii="宋体" w:hAnsi="宋体" w:eastAsia="宋体" w:cs="宋体"/>
          <w:b/>
          <w:snapToGrid w:val="0"/>
          <w:color w:val="auto"/>
          <w:sz w:val="28"/>
          <w:szCs w:val="28"/>
          <w:highlight w:val="none"/>
        </w:rPr>
        <w:t>网址：</w:t>
      </w:r>
      <w:r>
        <w:rPr>
          <w:rFonts w:hint="eastAsia" w:ascii="宋体" w:hAnsi="宋体" w:cs="宋体"/>
          <w:b/>
          <w:snapToGrid w:val="0"/>
          <w:color w:val="auto"/>
          <w:sz w:val="28"/>
          <w:szCs w:val="28"/>
          <w:highlight w:val="none"/>
          <w:lang w:eastAsia="zh-CN"/>
        </w:rPr>
        <w:t>启东市人民政府网</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pPr>
        <w:pStyle w:val="2"/>
        <w:adjustRightInd w:val="0"/>
        <w:snapToGrid w:val="0"/>
        <w:spacing w:after="0" w:line="360" w:lineRule="auto"/>
        <w:rPr>
          <w:rFonts w:hint="eastAsia" w:ascii="宋体" w:hAnsi="宋体" w:eastAsia="宋体" w:cs="宋体"/>
          <w:color w:val="auto"/>
          <w:highlight w:val="none"/>
        </w:rPr>
      </w:pP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宋体" w:hAnsi="宋体" w:eastAsia="宋体" w:cs="宋体"/>
          <w:color w:val="auto"/>
          <w:sz w:val="36"/>
          <w:szCs w:val="36"/>
          <w:highlight w:val="none"/>
        </w:rPr>
        <w:t>第一部分  询价采购公告</w:t>
      </w:r>
      <w:bookmarkEnd w:id="0"/>
      <w:bookmarkEnd w:id="1"/>
    </w:p>
    <w:p>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5"/>
      <w:bookmarkStart w:id="4" w:name="OLE_LINK3"/>
      <w:bookmarkStart w:id="5" w:name="OLE_LINK6"/>
      <w:bookmarkStart w:id="6" w:name="OLE_LINK2"/>
      <w:r>
        <w:rPr>
          <w:rFonts w:hint="eastAsia" w:ascii="宋体" w:hAnsi="宋体" w:eastAsia="宋体" w:cs="宋体"/>
          <w:color w:val="auto"/>
          <w:sz w:val="28"/>
          <w:szCs w:val="28"/>
          <w:highlight w:val="none"/>
          <w:lang w:val="en-US" w:eastAsia="zh-CN"/>
        </w:rPr>
        <w:t>受[</w:t>
      </w:r>
      <w:r>
        <w:rPr>
          <w:rFonts w:hint="eastAsia" w:ascii="宋体" w:hAnsi="宋体" w:cs="宋体"/>
          <w:color w:val="auto"/>
          <w:sz w:val="28"/>
          <w:szCs w:val="28"/>
          <w:highlight w:val="none"/>
          <w:lang w:val="en-US" w:eastAsia="zh-CN"/>
        </w:rPr>
        <w:t>启东市交通事业发展中心</w:t>
      </w:r>
      <w:r>
        <w:rPr>
          <w:rFonts w:hint="eastAsia" w:ascii="宋体" w:hAnsi="宋体" w:eastAsia="宋体" w:cs="宋体"/>
          <w:color w:val="auto"/>
          <w:sz w:val="28"/>
          <w:szCs w:val="28"/>
          <w:highlight w:val="none"/>
          <w:lang w:val="en-US" w:eastAsia="zh-CN"/>
        </w:rPr>
        <w:t>]的委托，就[</w:t>
      </w:r>
      <w:r>
        <w:rPr>
          <w:rFonts w:hint="eastAsia" w:ascii="宋体" w:hAnsi="宋体" w:cs="宋体"/>
          <w:color w:val="auto"/>
          <w:sz w:val="28"/>
          <w:szCs w:val="28"/>
          <w:highlight w:val="none"/>
          <w:lang w:val="en-US" w:eastAsia="zh-CN"/>
        </w:rPr>
        <w:t>启东市火车站出站通道照明项目</w:t>
      </w:r>
      <w:r>
        <w:rPr>
          <w:rFonts w:hint="eastAsia" w:ascii="宋体" w:hAnsi="宋体" w:eastAsia="宋体" w:cs="宋体"/>
          <w:color w:val="auto"/>
          <w:sz w:val="28"/>
          <w:szCs w:val="28"/>
          <w:highlight w:val="none"/>
          <w:lang w:val="en-US" w:eastAsia="zh-CN"/>
        </w:rPr>
        <w:t>]进</w:t>
      </w:r>
      <w:r>
        <w:rPr>
          <w:rFonts w:hint="eastAsia" w:ascii="宋体" w:hAnsi="宋体" w:eastAsia="宋体" w:cs="宋体"/>
          <w:color w:val="auto"/>
          <w:sz w:val="28"/>
          <w:szCs w:val="28"/>
          <w:highlight w:val="none"/>
        </w:rPr>
        <w:t>行询价采购，欢迎符合条件的供应商响应。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bookmarkStart w:id="7" w:name="_Toc82505652"/>
      <w:r>
        <w:rPr>
          <w:rFonts w:hint="eastAsia" w:ascii="宋体" w:hAnsi="宋体" w:eastAsia="宋体" w:cs="宋体"/>
          <w:b w:val="0"/>
          <w:bCs w:val="0"/>
          <w:color w:val="auto"/>
          <w:sz w:val="28"/>
          <w:szCs w:val="28"/>
          <w:highlight w:val="none"/>
        </w:rPr>
        <w:t>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[启东市火车站出站通道照明项目]的潜在响应供应商应在启东市人民政府网获取采购文件，并于2024年06月17日9点</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0分（北京时间）前递交响应文件</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一、项目基本情况</w:t>
      </w:r>
      <w:bookmarkEnd w:id="7"/>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启东市火车站出站通道照明项目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color w:val="auto"/>
          <w:lang w:val="en-US" w:eastAsia="zh-CN"/>
        </w:rPr>
      </w:pPr>
      <w:r>
        <w:rPr>
          <w:rFonts w:hint="eastAsia" w:ascii="宋体" w:hAnsi="宋体" w:eastAsia="宋体" w:cs="宋体"/>
          <w:color w:val="auto"/>
          <w:sz w:val="28"/>
          <w:szCs w:val="28"/>
          <w:highlight w:val="none"/>
        </w:rPr>
        <w:t>所属行业：</w:t>
      </w:r>
      <w:r>
        <w:rPr>
          <w:rFonts w:hint="eastAsia" w:ascii="宋体" w:hAnsi="宋体" w:cs="宋体"/>
          <w:color w:val="auto"/>
          <w:sz w:val="28"/>
          <w:szCs w:val="28"/>
          <w:highlight w:val="none"/>
          <w:lang w:val="en-US" w:eastAsia="zh-CN"/>
        </w:rPr>
        <w:t>工业</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预算金额：</w:t>
      </w:r>
      <w:r>
        <w:rPr>
          <w:rFonts w:hint="eastAsia" w:ascii="宋体" w:hAnsi="宋体" w:cs="宋体"/>
          <w:color w:val="auto"/>
          <w:sz w:val="28"/>
          <w:szCs w:val="28"/>
          <w:highlight w:val="none"/>
          <w:lang w:val="en-US" w:eastAsia="zh-CN"/>
        </w:rPr>
        <w:t>36万元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36万元</w:t>
      </w:r>
      <w:r>
        <w:rPr>
          <w:rFonts w:hint="eastAsia" w:ascii="宋体" w:hAnsi="宋体" w:eastAsia="宋体" w:cs="宋体"/>
          <w:color w:val="auto"/>
          <w:sz w:val="28"/>
          <w:szCs w:val="28"/>
          <w:highlight w:val="none"/>
          <w:lang w:val="en-US" w:eastAsia="zh-CN"/>
        </w:rPr>
        <w:t>，投标报价大于最高限价的为无效报价</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采</w:t>
      </w:r>
      <w:r>
        <w:rPr>
          <w:rFonts w:hint="eastAsia" w:ascii="宋体" w:hAnsi="宋体" w:eastAsia="宋体" w:cs="宋体"/>
          <w:color w:val="auto"/>
          <w:sz w:val="28"/>
          <w:szCs w:val="28"/>
          <w:highlight w:val="none"/>
          <w:lang w:val="en-US" w:eastAsia="zh-CN"/>
        </w:rPr>
        <w:t>购需求：详见采购文件，请仔细研究</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合同履行期限：</w:t>
      </w:r>
      <w:r>
        <w:rPr>
          <w:rFonts w:hint="eastAsia" w:ascii="宋体" w:hAnsi="宋体" w:eastAsia="宋体" w:cs="宋体"/>
          <w:sz w:val="28"/>
          <w:szCs w:val="28"/>
          <w:highlight w:val="none"/>
        </w:rPr>
        <w:t>（详见</w:t>
      </w:r>
      <w:r>
        <w:rPr>
          <w:rFonts w:hint="eastAsia" w:ascii="宋体" w:hAnsi="宋体" w:cs="宋体"/>
          <w:sz w:val="28"/>
          <w:szCs w:val="28"/>
          <w:highlight w:val="none"/>
          <w:lang w:eastAsia="zh-CN"/>
        </w:rPr>
        <w:t>采购</w:t>
      </w:r>
      <w:r>
        <w:rPr>
          <w:rFonts w:hint="eastAsia" w:ascii="宋体" w:hAnsi="宋体" w:eastAsia="宋体" w:cs="宋体"/>
          <w:sz w:val="28"/>
          <w:szCs w:val="28"/>
          <w:highlight w:val="none"/>
        </w:rPr>
        <w:t>文件第三部分项目需求）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是否</w:t>
      </w:r>
      <w:r>
        <w:rPr>
          <w:rFonts w:hint="eastAsia" w:ascii="宋体" w:hAnsi="宋体" w:eastAsia="宋体" w:cs="宋体"/>
          <w:color w:val="auto"/>
          <w:sz w:val="28"/>
          <w:szCs w:val="28"/>
          <w:highlight w:val="none"/>
        </w:rPr>
        <w:t>接受联合体</w:t>
      </w:r>
      <w:r>
        <w:rPr>
          <w:rFonts w:hint="eastAsia" w:ascii="宋体" w:hAnsi="宋体" w:cs="宋体"/>
          <w:color w:val="auto"/>
          <w:sz w:val="28"/>
          <w:szCs w:val="28"/>
          <w:highlight w:val="none"/>
          <w:lang w:eastAsia="zh-CN"/>
        </w:rPr>
        <w:t>：否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是否</w:t>
      </w:r>
      <w:r>
        <w:rPr>
          <w:rFonts w:hint="eastAsia" w:ascii="宋体" w:hAnsi="宋体" w:eastAsia="宋体" w:cs="宋体"/>
          <w:color w:val="auto"/>
          <w:sz w:val="28"/>
          <w:szCs w:val="28"/>
          <w:highlight w:val="none"/>
        </w:rPr>
        <w:t>接受分包</w:t>
      </w:r>
      <w:r>
        <w:rPr>
          <w:rFonts w:hint="eastAsia" w:ascii="宋体" w:hAnsi="宋体" w:cs="宋体"/>
          <w:color w:val="auto"/>
          <w:sz w:val="28"/>
          <w:szCs w:val="28"/>
          <w:highlight w:val="none"/>
          <w:lang w:eastAsia="zh-CN"/>
        </w:rPr>
        <w:t>：否</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bookmarkStart w:id="9" w:name="_Toc82505654"/>
      <w:r>
        <w:rPr>
          <w:rFonts w:hint="eastAsia" w:ascii="宋体" w:hAnsi="宋体" w:eastAsia="宋体" w:cs="宋体"/>
          <w:color w:val="auto"/>
          <w:sz w:val="28"/>
          <w:szCs w:val="28"/>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3.本项目特定资格要求：未被“信用中国”网站（www.creditchina.gov.cn）列入失信被执行人、重大税收违法案件当事人名单、政府采购严重失信行为记录名单；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4.供应商具有有效的营业执照；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5.本项目不接受联合体投标。</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时间：自本公告发布之日起至</w:t>
      </w:r>
      <w:r>
        <w:rPr>
          <w:rFonts w:hint="eastAsia" w:ascii="宋体" w:hAnsi="宋体" w:cs="宋体"/>
          <w:color w:val="auto"/>
          <w:sz w:val="28"/>
          <w:szCs w:val="28"/>
          <w:highlight w:val="none"/>
          <w:lang w:val="en-US" w:eastAsia="zh-CN"/>
        </w:rPr>
        <w:t>2024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点</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分</w:t>
      </w:r>
      <w:r>
        <w:rPr>
          <w:rFonts w:hint="eastAsia" w:ascii="宋体" w:hAnsi="宋体" w:cs="宋体"/>
          <w:color w:val="auto"/>
          <w:sz w:val="28"/>
          <w:szCs w:val="28"/>
          <w:highlight w:val="none"/>
          <w:lang w:val="en-US" w:eastAsia="zh-CN"/>
        </w:rPr>
        <w:t>。</w:t>
      </w:r>
      <w:bookmarkStart w:id="59" w:name="_GoBack"/>
      <w:bookmarkEnd w:id="59"/>
    </w:p>
    <w:p>
      <w:pPr>
        <w:keepNext w:val="0"/>
        <w:keepLines w:val="0"/>
        <w:pageBreakBefore w:val="0"/>
        <w:widowControl/>
        <w:shd w:val="clear" w:color="auto" w:fill="FFFFFF"/>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val="en-US" w:eastAsia="zh-CN"/>
        </w:rPr>
        <w:t>获取的地点、方式：供应商登录启东市人民政府网进行下载操作。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售价：询价文件工本费每套100元，无论是否中标，均不退还工本费。</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0" w:name="_Toc82505655"/>
      <w:r>
        <w:rPr>
          <w:rFonts w:hint="eastAsia" w:ascii="宋体" w:hAnsi="宋体" w:eastAsia="宋体" w:cs="宋体"/>
          <w:b/>
          <w:bCs/>
          <w:color w:val="auto"/>
          <w:sz w:val="28"/>
          <w:szCs w:val="28"/>
          <w:highlight w:val="none"/>
        </w:rPr>
        <w:t>四、响应文件提交</w:t>
      </w:r>
      <w:bookmarkEnd w:id="10"/>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bookmarkStart w:id="11" w:name="_Toc82505656"/>
      <w:r>
        <w:rPr>
          <w:rFonts w:hint="eastAsia" w:ascii="宋体" w:hAnsi="宋体" w:eastAsia="宋体" w:cs="宋体"/>
          <w:color w:val="auto"/>
          <w:sz w:val="28"/>
          <w:szCs w:val="28"/>
          <w:highlight w:val="none"/>
          <w:lang w:val="en-US" w:eastAsia="zh-CN"/>
        </w:rPr>
        <w:t>投标截止时间：202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17日上</w:t>
      </w:r>
      <w:r>
        <w:rPr>
          <w:rFonts w:hint="eastAsia" w:ascii="宋体" w:hAnsi="宋体" w:eastAsia="宋体" w:cs="宋体"/>
          <w:color w:val="auto"/>
          <w:sz w:val="28"/>
          <w:szCs w:val="28"/>
          <w:highlight w:val="none"/>
          <w:lang w:val="en-US" w:eastAsia="zh-CN"/>
        </w:rPr>
        <w:t>午</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（北京时间）</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17日上</w:t>
      </w:r>
      <w:r>
        <w:rPr>
          <w:rFonts w:hint="eastAsia" w:ascii="宋体" w:hAnsi="宋体" w:eastAsia="宋体" w:cs="宋体"/>
          <w:color w:val="auto"/>
          <w:sz w:val="28"/>
          <w:szCs w:val="28"/>
          <w:highlight w:val="none"/>
          <w:lang w:val="en-US" w:eastAsia="zh-CN"/>
        </w:rPr>
        <w:t>午</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（北京时间）</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开标地点：</w:t>
      </w:r>
      <w:r>
        <w:rPr>
          <w:rFonts w:hint="eastAsia" w:ascii="宋体" w:hAnsi="宋体" w:eastAsia="宋体" w:cs="宋体"/>
          <w:b/>
          <w:bCs/>
          <w:color w:val="auto"/>
          <w:sz w:val="28"/>
          <w:szCs w:val="28"/>
          <w:highlight w:val="none"/>
          <w:lang w:val="en-US" w:eastAsia="zh-CN"/>
        </w:rPr>
        <w:t>启东市世纪大道 2099号11号楼404室并登记(只接受直接送达),逾时则不予受理</w:t>
      </w:r>
      <w:r>
        <w:rPr>
          <w:rFonts w:hint="eastAsia" w:ascii="宋体" w:hAnsi="宋体" w:cs="宋体"/>
          <w:b/>
          <w:bCs/>
          <w:color w:val="auto"/>
          <w:sz w:val="28"/>
          <w:szCs w:val="28"/>
          <w:highlight w:val="none"/>
          <w:lang w:val="en-US" w:eastAsia="zh-CN"/>
        </w:rPr>
        <w:t>。</w:t>
      </w:r>
    </w:p>
    <w:bookmarkEnd w:id="11"/>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2" w:name="_Toc82505657"/>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3" w:name="_Toc82505658"/>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2.项目开标活动模式：不见面开标模式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3.项目演示、样品、答辩等：</w:t>
      </w:r>
      <w:r>
        <w:rPr>
          <w:rFonts w:hint="eastAsia" w:ascii="宋体" w:hAnsi="宋体" w:cs="宋体"/>
          <w:b w:val="0"/>
          <w:bCs w:val="0"/>
          <w:color w:val="auto"/>
          <w:sz w:val="28"/>
          <w:szCs w:val="28"/>
          <w:highlight w:val="none"/>
          <w:lang w:eastAsia="zh-CN"/>
        </w:rPr>
        <w:t>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14" w:name="_Toc82505660"/>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、凡对本次采购提出询问，请按以下方式联系</w:t>
      </w:r>
      <w:bookmarkEnd w:id="14"/>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val="en-US" w:eastAsia="zh-CN"/>
        </w:rPr>
        <w:t>启东市交通事业发展中心</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地址：南通市启东市汇龙镇世纪大道2099号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联系人：郁文杰　</w:t>
      </w:r>
      <w:r>
        <w:rPr>
          <w:rFonts w:hint="eastAsia" w:ascii="宋体" w:hAnsi="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联系方式：13912263799</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val="en-US" w:eastAsia="zh-CN"/>
        </w:rPr>
        <w:t>江苏天宏华信工程投资管理咨询有限公司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启东市南苑西路1168号国动产业园2号楼402室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陈佩芬</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0513-83248588</w:t>
      </w:r>
    </w:p>
    <w:p>
      <w:pPr>
        <w:adjustRightInd w:val="0"/>
        <w:snapToGrid w:val="0"/>
        <w:spacing w:line="500" w:lineRule="exact"/>
        <w:ind w:firstLine="560" w:firstLineChars="200"/>
        <w:rPr>
          <w:rFonts w:hint="eastAsia" w:ascii="宋体" w:hAnsi="宋体" w:eastAsia="宋体" w:cs="宋体"/>
          <w:color w:val="auto"/>
          <w:sz w:val="28"/>
          <w:szCs w:val="28"/>
          <w:highlight w:val="none"/>
        </w:rPr>
      </w:pPr>
    </w:p>
    <w:p>
      <w:pPr>
        <w:spacing w:line="500" w:lineRule="exact"/>
        <w:ind w:firstLine="482" w:firstLineChars="200"/>
        <w:jc w:val="right"/>
        <w:rPr>
          <w:rFonts w:hint="eastAsia" w:ascii="宋体" w:hAnsi="宋体"/>
          <w:b/>
          <w:bCs/>
          <w:color w:val="auto"/>
          <w:sz w:val="24"/>
          <w:szCs w:val="24"/>
          <w:highlight w:val="none"/>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项目采购文件</w:t>
      </w:r>
      <w:bookmarkEnd w:id="2"/>
      <w:bookmarkEnd w:id="3"/>
      <w:bookmarkEnd w:id="4"/>
      <w:bookmarkEnd w:id="5"/>
      <w:bookmarkEnd w:id="6"/>
      <w:bookmarkStart w:id="15" w:name="_Toc82505661"/>
      <w:bookmarkStart w:id="16" w:name="_Toc22736"/>
    </w:p>
    <w:p>
      <w:pPr>
        <w:keepNext w:val="0"/>
        <w:keepLines w:val="0"/>
        <w:pageBreakBefore w:val="0"/>
        <w:widowControl w:val="0"/>
        <w:kinsoku/>
        <w:wordWrap/>
        <w:overflowPunct/>
        <w:topLinePunct w:val="0"/>
        <w:autoSpaceDE/>
        <w:autoSpaceDN/>
        <w:bidi w:val="0"/>
        <w:adjustRightInd w:val="0"/>
        <w:snapToGrid w:val="0"/>
        <w:spacing w:line="500" w:lineRule="exact"/>
        <w:ind w:firstLine="843" w:firstLineChars="3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图纸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br w:type="page"/>
      </w:r>
    </w:p>
    <w:bookmarkEnd w:id="15"/>
    <w:bookmarkEnd w:id="16"/>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7" w:name="_Toc82505664"/>
      <w:bookmarkStart w:id="18" w:name="_Toc11926"/>
      <w:r>
        <w:rPr>
          <w:rFonts w:hint="eastAsia" w:ascii="宋体" w:hAnsi="宋体" w:eastAsia="宋体" w:cs="宋体"/>
          <w:b w:val="0"/>
          <w:color w:val="auto"/>
          <w:sz w:val="36"/>
          <w:szCs w:val="36"/>
          <w:highlight w:val="none"/>
        </w:rPr>
        <w:t>第二部分  响应须知</w:t>
      </w:r>
      <w:bookmarkEnd w:id="17"/>
      <w:bookmarkEnd w:id="18"/>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9" w:name="_Toc458694821"/>
      <w:bookmarkStart w:id="20" w:name="_Toc513029204"/>
      <w:bookmarkStart w:id="21" w:name="_Toc20823276"/>
      <w:bookmarkStart w:id="22" w:name="_Toc16938520"/>
      <w:r>
        <w:rPr>
          <w:rFonts w:hint="eastAsia" w:ascii="宋体" w:hAnsi="宋体" w:eastAsia="宋体" w:cs="宋体"/>
          <w:color w:val="auto"/>
          <w:sz w:val="28"/>
          <w:szCs w:val="28"/>
          <w:highlight w:val="none"/>
        </w:rPr>
        <w:t>1</w:t>
      </w:r>
      <w:bookmarkEnd w:id="19"/>
      <w:r>
        <w:rPr>
          <w:rFonts w:hint="eastAsia" w:ascii="宋体" w:hAnsi="宋体" w:eastAsia="宋体" w:cs="宋体"/>
          <w:color w:val="auto"/>
          <w:sz w:val="28"/>
          <w:szCs w:val="28"/>
          <w:highlight w:val="none"/>
        </w:rPr>
        <w:t>.采购方式</w:t>
      </w:r>
      <w:bookmarkEnd w:id="20"/>
      <w:bookmarkEnd w:id="21"/>
      <w:bookmarkEnd w:id="22"/>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3" w:name="_Toc16938521"/>
      <w:bookmarkStart w:id="24" w:name="_Toc513029205"/>
      <w:bookmarkStart w:id="25" w:name="_Toc20823277"/>
      <w:r>
        <w:rPr>
          <w:rFonts w:hint="eastAsia" w:ascii="宋体" w:hAnsi="宋体" w:eastAsia="宋体" w:cs="宋体"/>
          <w:color w:val="auto"/>
          <w:sz w:val="28"/>
          <w:szCs w:val="28"/>
          <w:highlight w:val="none"/>
        </w:rPr>
        <w:t>2.合格的</w:t>
      </w:r>
      <w:bookmarkEnd w:id="23"/>
      <w:bookmarkEnd w:id="24"/>
      <w:bookmarkEnd w:id="25"/>
      <w:r>
        <w:rPr>
          <w:rFonts w:hint="eastAsia" w:ascii="宋体" w:hAnsi="宋体" w:eastAsia="宋体" w:cs="宋体"/>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6" w:name="_Toc20823278"/>
      <w:bookmarkStart w:id="27" w:name="_Toc513029206"/>
      <w:bookmarkStart w:id="28" w:name="_Toc16938522"/>
      <w:r>
        <w:rPr>
          <w:rFonts w:hint="eastAsia" w:ascii="宋体" w:hAnsi="宋体" w:eastAsia="宋体" w:cs="宋体"/>
          <w:color w:val="auto"/>
          <w:sz w:val="28"/>
          <w:szCs w:val="28"/>
          <w:highlight w:val="none"/>
        </w:rPr>
        <w:t>3.适用法律</w:t>
      </w:r>
      <w:bookmarkEnd w:id="26"/>
      <w:bookmarkEnd w:id="27"/>
      <w:bookmarkEnd w:id="28"/>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9" w:name="_Toc16938523"/>
      <w:bookmarkStart w:id="30" w:name="_Toc513029207"/>
      <w:bookmarkStart w:id="31" w:name="_Toc20823279"/>
      <w:bookmarkStart w:id="32" w:name="_Toc462564067"/>
      <w:r>
        <w:rPr>
          <w:rFonts w:hint="eastAsia" w:ascii="宋体" w:hAnsi="宋体" w:eastAsia="宋体" w:cs="宋体"/>
          <w:color w:val="auto"/>
          <w:sz w:val="28"/>
          <w:szCs w:val="28"/>
          <w:highlight w:val="none"/>
        </w:rPr>
        <w:t>4.响应费用</w:t>
      </w:r>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本项目为固定综合单价合同。合同价包括①货物的材料价：包括原材料费、辅助材料费、利润、增值税专用发票；②货物的运杂费：货物运至最终目的地的运输费、装车费、卸车费（含业主要求分多批次进行供货,同一批次卸货地点可以有多个地点，供应商考虑上述因素后进行综合报价）、有关部门的手续费、采购与保管费、包装费；③货物的安装费：含管线预埋、基础工程、安装调试、地面修复至原样、垃圾清运等）、现场相关配合费；④风险费:原材料的涨价、政策性调整等风险；⑤如取得合同，对货物将支付的任何销售税和其他税费；⑥验收、税金、检测、售后服务等所有相关费用；请各供应商在报价时充分考虑上述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与代理机构</w:t>
      </w:r>
      <w:r>
        <w:rPr>
          <w:rFonts w:hint="eastAsia" w:ascii="宋体" w:hAnsi="宋体" w:eastAsia="宋体" w:cs="宋体"/>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3" w:name="_Toc462564071"/>
      <w:bookmarkStart w:id="34" w:name="_Toc513029212"/>
      <w:bookmarkStart w:id="35" w:name="_Toc20823284"/>
      <w:bookmarkStart w:id="36" w:name="_Toc16938528"/>
      <w:r>
        <w:rPr>
          <w:rFonts w:hint="eastAsia" w:ascii="宋体" w:hAnsi="宋体" w:eastAsia="宋体" w:cs="宋体"/>
          <w:color w:val="auto"/>
          <w:sz w:val="28"/>
          <w:szCs w:val="28"/>
          <w:highlight w:val="none"/>
        </w:rPr>
        <w:t>3.询价采购文件的修改</w:t>
      </w:r>
      <w:bookmarkEnd w:id="33"/>
      <w:bookmarkEnd w:id="34"/>
      <w:bookmarkEnd w:id="35"/>
      <w:bookmarkEnd w:id="36"/>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7" w:name="_Toc20823286"/>
      <w:bookmarkStart w:id="38" w:name="_Toc462564073"/>
      <w:bookmarkStart w:id="39" w:name="_Toc513029214"/>
      <w:bookmarkStart w:id="40" w:name="_Toc16938530"/>
      <w:r>
        <w:rPr>
          <w:rFonts w:hint="eastAsia" w:ascii="宋体" w:hAnsi="宋体" w:eastAsia="宋体" w:cs="宋体"/>
          <w:bCs/>
          <w:color w:val="auto"/>
          <w:sz w:val="28"/>
          <w:szCs w:val="28"/>
          <w:highlight w:val="none"/>
        </w:rPr>
        <w:t>1.响应文件的语言及度量衡单位</w:t>
      </w:r>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cs="宋体"/>
          <w:bCs/>
          <w:color w:val="auto"/>
          <w:sz w:val="28"/>
          <w:szCs w:val="28"/>
          <w:highlight w:val="none"/>
          <w:lang w:eastAsia="zh-CN"/>
        </w:rPr>
        <w:t>采购人或</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1" w:name="_Toc20823287"/>
      <w:bookmarkStart w:id="42" w:name="_Toc16938531"/>
      <w:bookmarkStart w:id="43" w:name="_Toc462564074"/>
      <w:bookmarkStart w:id="44" w:name="_Toc513029215"/>
      <w:r>
        <w:rPr>
          <w:rFonts w:hint="eastAsia" w:ascii="宋体" w:hAnsi="宋体" w:eastAsia="宋体" w:cs="宋体"/>
          <w:bCs/>
          <w:color w:val="auto"/>
          <w:sz w:val="28"/>
          <w:szCs w:val="28"/>
          <w:highlight w:val="none"/>
        </w:rPr>
        <w:t>2.响应文件构成</w:t>
      </w:r>
      <w:bookmarkEnd w:id="41"/>
      <w:bookmarkEnd w:id="42"/>
      <w:bookmarkEnd w:id="43"/>
      <w:bookmarkEnd w:id="4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5" w:name="_Hlt26954838"/>
      <w:bookmarkEnd w:id="45"/>
      <w:bookmarkStart w:id="46" w:name="_Hlt26668975"/>
      <w:bookmarkEnd w:id="46"/>
      <w:bookmarkStart w:id="47" w:name="_Hlt26670360"/>
      <w:bookmarkEnd w:id="47"/>
      <w:bookmarkStart w:id="48" w:name="_Toc49090511"/>
      <w:bookmarkStart w:id="49" w:name="_Toc14577360"/>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文件统一采用顺丰快递方式提交（不得采用到付方式）。</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8"/>
      <w:bookmarkEnd w:id="4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cs="宋体"/>
          <w:bCs/>
          <w:color w:val="auto"/>
          <w:sz w:val="28"/>
          <w:szCs w:val="28"/>
          <w:highlight w:val="none"/>
          <w:lang w:eastAsia="zh-CN"/>
        </w:rPr>
        <w:t>采购人或</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0" w:name="_Toc513029227"/>
      <w:bookmarkStart w:id="51" w:name="_Toc20823299"/>
      <w:bookmarkStart w:id="52" w:name="_Toc16938543"/>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供应商应充分考虑天气、路程等因素，如因供应商自身原因造成的</w:t>
      </w:r>
      <w:r>
        <w:rPr>
          <w:rFonts w:hint="eastAsia" w:ascii="宋体" w:hAnsi="宋体" w:eastAsia="宋体" w:cs="宋体"/>
          <w:color w:val="auto"/>
          <w:sz w:val="28"/>
          <w:szCs w:val="28"/>
          <w:highlight w:val="none"/>
          <w:lang w:eastAsia="zh-CN"/>
        </w:rPr>
        <w:t>后果</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供应商自行承担全部责任。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50"/>
      <w:bookmarkEnd w:id="51"/>
      <w:bookmarkEnd w:id="52"/>
      <w:r>
        <w:rPr>
          <w:rFonts w:hint="eastAsia" w:ascii="宋体" w:hAnsi="宋体" w:eastAsia="宋体" w:cs="宋体"/>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3" w:name="_Toc20823300"/>
      <w:bookmarkStart w:id="54" w:name="_Toc16938544"/>
      <w:bookmarkStart w:id="55" w:name="_Toc513029228"/>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达的响应文件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3"/>
      <w:bookmarkEnd w:id="54"/>
      <w:bookmarkEnd w:id="5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420"/>
        <w:jc w:val="left"/>
        <w:rPr>
          <w:rFonts w:ascii="Times New Roman" w:hAnsi="Times New Roman" w:eastAsia="方正仿宋_GBK"/>
          <w:sz w:val="28"/>
          <w:szCs w:val="28"/>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将告知其未通过资格性审查或符合性审查的原因，评审结束后，</w:t>
      </w:r>
      <w:r>
        <w:rPr>
          <w:rFonts w:hint="eastAsia" w:ascii="宋体" w:hAnsi="宋体" w:cs="宋体"/>
          <w:color w:val="auto"/>
          <w:sz w:val="28"/>
          <w:szCs w:val="28"/>
          <w:highlight w:val="none"/>
          <w:lang w:eastAsia="zh-CN"/>
        </w:rPr>
        <w:t>代理机构</w:t>
      </w:r>
      <w:r>
        <w:rPr>
          <w:rFonts w:hint="eastAsia" w:ascii="宋体" w:hAnsi="宋体" w:eastAsia="宋体" w:cs="宋体"/>
          <w:color w:val="auto"/>
          <w:sz w:val="28"/>
          <w:szCs w:val="28"/>
          <w:highlight w:val="none"/>
        </w:rPr>
        <w:t>将不再告知未通过资格审查或符合性审查的原因。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内容与响应文件中相应内容不一致的，以</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w:t>
      </w:r>
      <w:r>
        <w:rPr>
          <w:rFonts w:hint="eastAsia" w:ascii="宋体" w:hAnsi="宋体" w:eastAsia="宋体" w:cs="宋体"/>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w:t>
      </w:r>
      <w:r>
        <w:rPr>
          <w:rFonts w:hint="eastAsia" w:ascii="宋体" w:hAnsi="宋体" w:cs="宋体"/>
          <w:color w:val="auto"/>
          <w:sz w:val="28"/>
          <w:szCs w:val="28"/>
          <w:highlight w:val="none"/>
          <w:lang w:val="en-US" w:eastAsia="zh-CN"/>
        </w:rPr>
        <w:t>复印</w:t>
      </w:r>
      <w:r>
        <w:rPr>
          <w:rFonts w:hint="eastAsia" w:ascii="宋体" w:hAnsi="宋体" w:eastAsia="宋体" w:cs="宋体"/>
          <w:color w:val="auto"/>
          <w:sz w:val="28"/>
          <w:szCs w:val="28"/>
          <w:highlight w:val="none"/>
        </w:rPr>
        <w:t>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）其他法律、法规及本采购文件规定的属无效响应的情形。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询价小组将从质量和服务均能满足采购文件实质性响应要求的供应商中，按照报价由低到高顺序推荐1名成交候选供应商，并编写评审报告。采购人从评审报告提出的成交候选供应商中，根据质量和服务均能满足采购文件实质性响应要求且报价最低的原则确定成交供应商或授权询价小组直接确定成交供应商。</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 对小微型企业、监狱企业和残疾人福利单位的价格扣除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（1）小微型企业价格扣除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本项目对小型和微型企业产品给予10%的扣除价格，用扣除后的价格参与评审。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②供应商需按照采购文件的要求提供相应的《中小企业声明函》。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③企业标准请参照《关于印发中小企业划型标准规定的通知》（工信部联企业[2011]300号）文件规定自行填写。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（2）残疾人福利单位价格扣除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本项目对残疾人福利性单位视同小型、微型企业，给予10%的价格扣除，用扣除后的价格参与评审。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②残疾人福利单位需按照采购文件的要求提供《残疾人福利性单位声明函》。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③残疾人福利单位标准请参照《关于促进残疾人就业政府采购政策的通知》（财库〔2017〕141号）。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（3）监狱和戒毒企业价格扣除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1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本项目对监狱和戒毒企业（简称监狱企业）视同小型、微型企业，给予10%的价格扣除，用扣除后的价格参与评审。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③监狱企业标准请参照《关于政府采购支持监狱企业发展有关问题的通知》（财库[2014]68号）。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（4）残疾人福利单位、监狱企业属于小型、微型企业的，不重复享受政策。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（6）联合体各方均为小型、微型企业（残疾人福利单位、监狱企业）的，联合体享受10%价格扣除，用扣除后的价格参与评审。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（7）专门面向中小企业采购的项目或者采购包，不再执行价格评审优惠的扶持政策。</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1.3如出现供应商最低报价相同的情况，则优先采购“环境标志产品”或“节能产品”。</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1.4如出现供应商最低报价相同的情况，且响应产品均不是“环境标志产品”或“节能产品”，则将优先采购交货期短者。</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pPr>
        <w:pStyle w:val="41"/>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w:t>
      </w:r>
      <w:r>
        <w:rPr>
          <w:rFonts w:hint="eastAsia" w:ascii="宋体" w:hAnsi="宋体" w:cs="宋体"/>
          <w:color w:val="auto"/>
          <w:sz w:val="28"/>
          <w:szCs w:val="28"/>
          <w:highlight w:val="none"/>
          <w:lang w:eastAsia="zh-CN"/>
        </w:rPr>
        <w:t>人</w:t>
      </w:r>
      <w:r>
        <w:rPr>
          <w:rFonts w:hint="eastAsia" w:ascii="宋体" w:hAnsi="宋体" w:eastAsia="宋体" w:cs="宋体"/>
          <w:bCs/>
          <w:color w:val="auto"/>
          <w:sz w:val="28"/>
          <w:szCs w:val="28"/>
          <w:highlight w:val="none"/>
        </w:rPr>
        <w:t>向成交供应商发放成交通知书。</w:t>
      </w:r>
    </w:p>
    <w:p>
      <w:pPr>
        <w:pStyle w:val="41"/>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6"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7"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技术要求是指对采购标的功能和质量要求，包括性能、材料、结构、外观、安全，或者服务内容和标准等</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其内容包含：</w:t>
      </w:r>
    </w:p>
    <w:p>
      <w:pPr>
        <w:adjustRightInd w:val="0"/>
        <w:snapToGrid w:val="0"/>
        <w:spacing w:line="500" w:lineRule="exact"/>
        <w:ind w:firstLine="562" w:firstLineChars="200"/>
        <w:rPr>
          <w:rFonts w:hint="eastAsia" w:cs="Times New Roman" w:asciiTheme="minorEastAsia" w:hAnsiTheme="minorEastAsia" w:eastAsiaTheme="minorEastAsia"/>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一、</w:t>
      </w:r>
      <w:r>
        <w:rPr>
          <w:rFonts w:hint="eastAsia" w:cs="Times New Roman" w:asciiTheme="minorEastAsia" w:hAnsiTheme="minorEastAsia" w:eastAsiaTheme="minorEastAsia"/>
          <w:b/>
          <w:bCs/>
          <w:color w:val="auto"/>
          <w:sz w:val="28"/>
          <w:szCs w:val="28"/>
          <w:highlight w:val="none"/>
          <w:lang w:val="zh-CN" w:eastAsia="zh-CN"/>
        </w:rPr>
        <w:t>本项目采购需求一览表：</w:t>
      </w:r>
    </w:p>
    <w:tbl>
      <w:tblPr>
        <w:tblStyle w:val="18"/>
        <w:tblW w:w="988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72"/>
        <w:gridCol w:w="5472"/>
        <w:gridCol w:w="672"/>
        <w:gridCol w:w="90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0"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1272"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项目名称</w:t>
            </w:r>
          </w:p>
        </w:tc>
        <w:tc>
          <w:tcPr>
            <w:tcW w:w="5472"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规格</w:t>
            </w:r>
          </w:p>
        </w:tc>
        <w:tc>
          <w:tcPr>
            <w:tcW w:w="672"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单位</w:t>
            </w:r>
          </w:p>
        </w:tc>
        <w:tc>
          <w:tcPr>
            <w:tcW w:w="900"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数量</w:t>
            </w:r>
          </w:p>
        </w:tc>
        <w:tc>
          <w:tcPr>
            <w:tcW w:w="1104" w:type="dxa"/>
            <w:shd w:val="clear" w:color="FFFFFF"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是否为主要标的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2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拆除项目</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1、名称：吸顶灯，筒灯</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2、规格：架空层顶部部分吸顶灯损坏，拆除</w:t>
            </w: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28</w:t>
            </w:r>
          </w:p>
        </w:tc>
        <w:tc>
          <w:tcPr>
            <w:tcW w:w="11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2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线条灯1</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1、名称：线条灯1</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2、规格：输入功率：12W（±1W以内）；相关色温：3500K（±100K以内）；显色指数≥80；功率因数≥0.9；500小时光通维持率≥100%（正常燃点方式，不接受推算等快速方法）；外形尺寸：1000*32*32mm。</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注：灯具的外观与样品图要求的外观一致，尺寸大小允许偏差在±5%以内（含±5%）</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★投标时提供由国家电光源质量监督检验中心或国家电光源质量检验检测中心出具的样品检测报告【检测报告的封面必须带有 CMA及CNAS标志、有电子版报告的二维码、内页附有样品照片及外形尺寸，且技术参数符合设计要求】。</w:t>
            </w: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494</w:t>
            </w:r>
          </w:p>
        </w:tc>
        <w:tc>
          <w:tcPr>
            <w:tcW w:w="11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线条灯2</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1、名称：线条灯2</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2、规格：输入功率：6W,灯长0.5米,DC24V,LED光源,色温3500K;铝合金灯体</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55</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柔性灯带</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1、名称：柔性灯带</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2、规格：输入功率：9W（±1W以内）；相关色温：4000K（±100K以内）；显色指数≥80；功率因数≥0.9；500小时光通维持率≥100%（正常燃点方式，不接受推算等快速方法）；</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外形尺寸：1000*16*16mm</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注：灯具的外观与样品图要求的外观一致，尺寸大小允许偏差在±5%以内（含±5%）</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28</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吸顶灯</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1、名称：吸顶灯</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2、规格：36W，AC220V，LED光源，色温4000K</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8</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筒灯</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1、名称：筒灯</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2、规格：30W,AC220V,LED光源,色温4000K;铝合金灯体</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50</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开关电源</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1、名称：开关电源</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2、规格：DC24V,400W</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个</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34</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开关电源箱</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1、名称：开关电源箱</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2、规格：不锈钢箱体</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34</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9</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智能配电箱</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1、名称：配电箱</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2、规格：不锈钢箱体,含智能控制器、避雷装置等</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电力电缆</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YJV-5*6mm2</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100</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11</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电力电缆</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YJV-3*4mm2</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556</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12</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电力电缆</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RVV-2*4mm2</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382</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13</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电力电缆</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RVV-3*1.5mm2</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42</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14</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铝合金线槽</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MR50*50</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15</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铝合金线槽</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MR40*30</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556</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16</w:t>
            </w:r>
          </w:p>
        </w:tc>
        <w:tc>
          <w:tcPr>
            <w:tcW w:w="12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铝合金线槽</w:t>
            </w:r>
          </w:p>
        </w:tc>
        <w:tc>
          <w:tcPr>
            <w:tcW w:w="5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MR30*20</w:t>
            </w:r>
          </w:p>
        </w:tc>
        <w:tc>
          <w:tcPr>
            <w:tcW w:w="672"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m</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424</w:t>
            </w:r>
          </w:p>
        </w:tc>
        <w:tc>
          <w:tcPr>
            <w:tcW w:w="11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80" w:type="dxa"/>
            <w:gridSpan w:val="6"/>
            <w:noWrap w:val="0"/>
            <w:vAlign w:val="center"/>
          </w:tcPr>
          <w:p>
            <w:pPr>
              <w:spacing w:line="240" w:lineRule="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注：1.本项目核心产品为：</w:t>
            </w:r>
            <w:r>
              <w:rPr>
                <w:rFonts w:hint="eastAsia" w:ascii="宋体" w:hAnsi="宋体" w:cs="宋体"/>
                <w:b w:val="0"/>
                <w:bCs w:val="0"/>
                <w:color w:val="auto"/>
                <w:sz w:val="24"/>
                <w:szCs w:val="24"/>
                <w:highlight w:val="none"/>
                <w:lang w:val="en-US" w:eastAsia="zh-CN"/>
              </w:rPr>
              <w:t>线条灯1。</w:t>
            </w:r>
          </w:p>
          <w:p>
            <w:pPr>
              <w:spacing w:line="240" w:lineRule="auto"/>
              <w:ind w:firstLine="482"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eastAsia="zh-CN"/>
              </w:rPr>
              <w:t>提供上述采购需求一览表中标★项证明材料，否则视为未实质响应报价文件要求。</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二、项目具体需求说明</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rPr>
        <w:t>1、投标样品一套（线条灯1：1套）：</w:t>
      </w:r>
      <w:r>
        <w:rPr>
          <w:rFonts w:hint="eastAsia" w:ascii="宋体" w:hAnsi="宋体" w:eastAsia="宋体" w:cs="宋体"/>
          <w:color w:val="auto"/>
          <w:kern w:val="2"/>
          <w:sz w:val="28"/>
          <w:szCs w:val="28"/>
          <w:highlight w:val="none"/>
          <w:lang w:val="en-US" w:eastAsia="zh-CN" w:bidi="ar-SA"/>
        </w:rPr>
        <w:t>为满足工期、质量要求，成交供应商候选人须在成交结果公告公示期结束后三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的或没在规定时间内递交样品的则取消其成交资格，并记入不良信用记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2、样品提交要求：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①样品上贴上标签，所有灯具样品的技术参数不低于询价文件中的要求。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②提供国家电光源质量监督检验中心或国家电光源质量检验检测中心出具的样品检测报告原件【检测报告的封面必须带有 CMA及CNAS标志、有电子版报告的二维码、内页附有样品照片及外形尺寸】，且技术参数符合设计要求。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③报价供应商提供的样品及产品必须选用采购单位的推荐品牌[灯具：深圳升宏、深圳明宇光、常州德荣、无锡朗辉、济南三星、深圳明之辉]。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④凡是本工程询价文件对主要材料、设备推荐参考品牌的，投标人需按推荐参考品牌进行投标报价（投标时需明确所选品牌）。</w:t>
      </w:r>
    </w:p>
    <w:p>
      <w:pPr>
        <w:pStyle w:val="15"/>
        <w:spacing w:before="0" w:beforeAutospacing="0" w:after="0" w:afterAutospacing="0" w:line="520" w:lineRule="exact"/>
        <w:ind w:firstLine="562" w:firstLineChars="200"/>
        <w:jc w:val="both"/>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注：项目中的推荐品牌，只是推荐所采购产品（设备）的档次。报价供应商如拟投产品不在推荐品牌之列的，报价货物品牌的技术参数不得低于推荐的品牌，同时报价供应商应当在</w:t>
      </w:r>
      <w:r>
        <w:rPr>
          <w:rFonts w:hint="eastAsia" w:ascii="宋体" w:hAnsi="宋体" w:cs="宋体"/>
          <w:b/>
          <w:bCs/>
          <w:color w:val="auto"/>
          <w:sz w:val="28"/>
          <w:szCs w:val="28"/>
          <w:highlight w:val="none"/>
          <w:lang w:val="en-US" w:eastAsia="zh-CN"/>
        </w:rPr>
        <w:t>2024年6月14日17</w:t>
      </w:r>
      <w:r>
        <w:rPr>
          <w:rFonts w:hint="eastAsia" w:ascii="宋体" w:hAnsi="宋体" w:cs="宋体"/>
          <w:b/>
          <w:bCs/>
          <w:color w:val="auto"/>
          <w:sz w:val="28"/>
          <w:szCs w:val="28"/>
          <w:lang w:val="en-US" w:eastAsia="zh-CN"/>
        </w:rPr>
        <w:t>时前</w:t>
      </w:r>
      <w:r>
        <w:rPr>
          <w:rFonts w:hint="eastAsia" w:ascii="宋体" w:hAnsi="宋体" w:eastAsia="宋体" w:cs="宋体"/>
          <w:b/>
          <w:bCs/>
          <w:color w:val="auto"/>
          <w:kern w:val="2"/>
          <w:sz w:val="28"/>
          <w:szCs w:val="28"/>
          <w:lang w:val="en-US" w:eastAsia="zh-CN"/>
        </w:rPr>
        <w:t>，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推荐品牌档次的，则不予受理。投标文件中报价品牌、型号为非推荐品牌且未在规定时间内经采购单位评审通过以补充通知形式发布的，将被视作无效报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cs="宋体"/>
          <w:b/>
          <w:bCs/>
          <w:color w:val="auto"/>
          <w:sz w:val="28"/>
          <w:szCs w:val="28"/>
          <w:highlight w:val="none"/>
          <w:lang w:val="en-US" w:eastAsia="zh-CN"/>
        </w:rPr>
      </w:pPr>
      <w:r>
        <w:rPr>
          <w:rFonts w:hint="eastAsia" w:ascii="宋体" w:hAnsi="宋体" w:eastAsia="宋体" w:cs="宋体"/>
          <w:color w:val="auto"/>
          <w:kern w:val="2"/>
          <w:sz w:val="28"/>
          <w:szCs w:val="28"/>
          <w:lang w:val="en-US" w:eastAsia="zh-CN"/>
        </w:rPr>
        <w:t>主要技术参数：为鼓励不同品牌的充分竞争，如某主要技术参数属于个别品牌专有，则该主要技术参数不具有限制性，成交供应商可对该参数说明调整的理由，经采购单位同意后方可调整。</w:t>
      </w:r>
    </w:p>
    <w:p>
      <w:pPr>
        <w:pStyle w:val="15"/>
        <w:spacing w:before="0" w:beforeAutospacing="0" w:after="0" w:afterAutospacing="0" w:line="520" w:lineRule="exact"/>
        <w:ind w:firstLine="562" w:firstLineChars="200"/>
        <w:jc w:val="both"/>
        <w:rPr>
          <w:rFonts w:hint="eastAsia" w:ascii="宋体" w:hAnsi="宋体" w:eastAsia="宋体" w:cs="宋体"/>
          <w:color w:val="auto"/>
          <w:kern w:val="2"/>
          <w:sz w:val="28"/>
          <w:szCs w:val="28"/>
          <w:lang w:val="en-US" w:eastAsia="zh-CN"/>
        </w:rPr>
      </w:pPr>
      <w:r>
        <w:rPr>
          <w:rFonts w:hint="eastAsia" w:ascii="宋体" w:hAnsi="宋体" w:cs="宋体"/>
          <w:b/>
          <w:bCs/>
          <w:color w:val="auto"/>
          <w:kern w:val="2"/>
          <w:sz w:val="28"/>
          <w:szCs w:val="28"/>
          <w:lang w:val="en-US" w:eastAsia="zh-CN"/>
        </w:rPr>
        <w:t>三、</w:t>
      </w:r>
      <w:r>
        <w:rPr>
          <w:rFonts w:hint="eastAsia" w:ascii="宋体" w:hAnsi="宋体" w:eastAsia="宋体" w:cs="宋体"/>
          <w:b/>
          <w:bCs/>
          <w:color w:val="auto"/>
          <w:kern w:val="2"/>
          <w:sz w:val="28"/>
          <w:szCs w:val="28"/>
          <w:lang w:val="en-US" w:eastAsia="zh-CN"/>
        </w:rPr>
        <w:t>服务周期:</w:t>
      </w:r>
      <w:r>
        <w:rPr>
          <w:rFonts w:hint="eastAsia" w:ascii="宋体" w:hAnsi="宋体" w:eastAsia="宋体" w:cs="宋体"/>
          <w:color w:val="auto"/>
          <w:kern w:val="2"/>
          <w:sz w:val="28"/>
          <w:szCs w:val="28"/>
          <w:lang w:val="en-US" w:eastAsia="zh-CN"/>
        </w:rPr>
        <w:t>60个日历天（实际进场时间以采购单位通知为准）。如不能及时提供符合标准的灯具并且完成安装的，则按延期每天1000元进行扣款，所发生的所有损失由供货商承担。</w:t>
      </w:r>
    </w:p>
    <w:p>
      <w:pPr>
        <w:pStyle w:val="15"/>
        <w:spacing w:before="0" w:beforeAutospacing="0" w:after="0" w:afterAutospacing="0" w:line="520" w:lineRule="exact"/>
        <w:ind w:firstLine="562"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b/>
          <w:bCs/>
          <w:color w:val="auto"/>
          <w:kern w:val="2"/>
          <w:sz w:val="28"/>
          <w:szCs w:val="28"/>
          <w:lang w:val="en-US" w:eastAsia="zh-CN"/>
        </w:rPr>
        <w:t>四、交货、安装地点：</w:t>
      </w:r>
      <w:r>
        <w:rPr>
          <w:rFonts w:hint="eastAsia" w:ascii="宋体" w:hAnsi="宋体" w:eastAsia="宋体" w:cs="宋体"/>
          <w:color w:val="auto"/>
          <w:kern w:val="2"/>
          <w:sz w:val="28"/>
          <w:szCs w:val="28"/>
          <w:lang w:val="en-US" w:eastAsia="zh-CN"/>
        </w:rPr>
        <w:t>成交供应商应按照采购单位的要求将货物运至采购单位指定地点，在指定位置安装，确保正常使用。</w:t>
      </w:r>
    </w:p>
    <w:p>
      <w:pPr>
        <w:pStyle w:val="15"/>
        <w:spacing w:before="0" w:beforeAutospacing="0" w:after="0" w:afterAutospacing="0" w:line="520" w:lineRule="exact"/>
        <w:ind w:firstLine="562" w:firstLineChars="200"/>
        <w:jc w:val="both"/>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五、商务部分要求：</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15"/>
        <w:spacing w:before="0" w:beforeAutospacing="0" w:after="0" w:afterAutospacing="0" w:line="520" w:lineRule="exact"/>
        <w:ind w:firstLine="562" w:firstLineChars="200"/>
        <w:jc w:val="both"/>
        <w:rPr>
          <w:rFonts w:hint="eastAsia" w:ascii="宋体" w:hAnsi="宋体" w:eastAsia="宋体" w:cs="宋体"/>
          <w:color w:val="auto"/>
          <w:kern w:val="2"/>
          <w:sz w:val="28"/>
          <w:szCs w:val="28"/>
          <w:lang w:val="en-US" w:eastAsia="zh-CN"/>
        </w:rPr>
      </w:pPr>
      <w:r>
        <w:rPr>
          <w:rFonts w:hint="eastAsia" w:ascii="宋体" w:hAnsi="宋体" w:cs="宋体"/>
          <w:b/>
          <w:bCs/>
          <w:color w:val="auto"/>
          <w:kern w:val="2"/>
          <w:sz w:val="28"/>
          <w:szCs w:val="28"/>
          <w:lang w:val="en-US" w:eastAsia="zh-CN"/>
        </w:rPr>
        <w:t>1.</w:t>
      </w:r>
      <w:r>
        <w:rPr>
          <w:rFonts w:hint="eastAsia" w:ascii="宋体" w:hAnsi="宋体" w:eastAsia="宋体" w:cs="宋体"/>
          <w:b/>
          <w:bCs/>
          <w:color w:val="auto"/>
          <w:kern w:val="2"/>
          <w:sz w:val="28"/>
          <w:szCs w:val="28"/>
          <w:lang w:val="en-US" w:eastAsia="zh-CN"/>
        </w:rPr>
        <w:t>质量要求：</w:t>
      </w:r>
      <w:r>
        <w:rPr>
          <w:rFonts w:hint="eastAsia" w:ascii="宋体" w:hAnsi="宋体" w:eastAsia="宋体" w:cs="宋体"/>
          <w:color w:val="auto"/>
          <w:kern w:val="2"/>
          <w:sz w:val="28"/>
          <w:szCs w:val="28"/>
          <w:lang w:val="en-US" w:eastAsia="zh-CN"/>
        </w:rPr>
        <w:t>产品必须是全新、未使用过的原装合格正品，完全符合采购文件规定的质量、规格和性能的要求，与中标后提供的灯具样品完全一致，达到国家或行业规定的标准。</w:t>
      </w:r>
    </w:p>
    <w:p>
      <w:pPr>
        <w:pStyle w:val="15"/>
        <w:spacing w:before="0" w:beforeAutospacing="0" w:after="0" w:afterAutospacing="0" w:line="520" w:lineRule="exact"/>
        <w:ind w:firstLine="562" w:firstLineChars="200"/>
        <w:jc w:val="both"/>
        <w:rPr>
          <w:rFonts w:hint="eastAsia" w:ascii="宋体" w:hAnsi="宋体" w:eastAsia="宋体" w:cs="宋体"/>
          <w:color w:val="auto"/>
          <w:kern w:val="2"/>
          <w:sz w:val="28"/>
          <w:szCs w:val="28"/>
          <w:lang w:val="en-US" w:eastAsia="zh-CN"/>
        </w:rPr>
      </w:pPr>
      <w:r>
        <w:rPr>
          <w:rFonts w:hint="eastAsia" w:ascii="宋体" w:hAnsi="宋体" w:cs="宋体"/>
          <w:b/>
          <w:bCs/>
          <w:color w:val="auto"/>
          <w:kern w:val="2"/>
          <w:sz w:val="28"/>
          <w:szCs w:val="28"/>
          <w:lang w:val="en-US" w:eastAsia="zh-CN"/>
        </w:rPr>
        <w:t>2.</w:t>
      </w:r>
      <w:r>
        <w:rPr>
          <w:rFonts w:hint="eastAsia" w:ascii="宋体" w:hAnsi="宋体" w:eastAsia="宋体" w:cs="宋体"/>
          <w:b/>
          <w:bCs/>
          <w:color w:val="auto"/>
          <w:kern w:val="2"/>
          <w:sz w:val="28"/>
          <w:szCs w:val="28"/>
          <w:lang w:val="en-US" w:eastAsia="zh-CN"/>
        </w:rPr>
        <w:t>质保要求：</w:t>
      </w:r>
      <w:r>
        <w:rPr>
          <w:rFonts w:hint="eastAsia" w:ascii="宋体" w:hAnsi="宋体" w:eastAsia="宋体" w:cs="宋体"/>
          <w:color w:val="auto"/>
          <w:kern w:val="2"/>
          <w:sz w:val="28"/>
          <w:szCs w:val="28"/>
          <w:lang w:val="en-US" w:eastAsia="zh-CN"/>
        </w:rPr>
        <w:t>质保期二年，自验收合格报告签字确认日起，开始进入质保期。</w:t>
      </w:r>
    </w:p>
    <w:p>
      <w:pPr>
        <w:pStyle w:val="15"/>
        <w:spacing w:before="0" w:beforeAutospacing="0" w:after="0" w:afterAutospacing="0" w:line="520" w:lineRule="exact"/>
        <w:ind w:firstLine="562" w:firstLineChars="200"/>
        <w:jc w:val="both"/>
        <w:rPr>
          <w:rFonts w:hint="eastAsia" w:ascii="宋体" w:hAnsi="宋体" w:eastAsia="宋体" w:cs="宋体"/>
          <w:color w:val="auto"/>
          <w:kern w:val="2"/>
          <w:sz w:val="28"/>
          <w:szCs w:val="28"/>
          <w:lang w:val="en-US" w:eastAsia="zh-CN"/>
        </w:rPr>
      </w:pPr>
      <w:r>
        <w:rPr>
          <w:rFonts w:hint="eastAsia" w:ascii="宋体" w:hAnsi="宋体" w:cs="宋体"/>
          <w:b/>
          <w:bCs/>
          <w:color w:val="auto"/>
          <w:kern w:val="2"/>
          <w:sz w:val="28"/>
          <w:szCs w:val="28"/>
          <w:lang w:val="en-US" w:eastAsia="zh-CN"/>
        </w:rPr>
        <w:t>3.</w:t>
      </w:r>
      <w:r>
        <w:rPr>
          <w:rFonts w:hint="eastAsia" w:ascii="宋体" w:hAnsi="宋体" w:eastAsia="宋体" w:cs="宋体"/>
          <w:b/>
          <w:bCs/>
          <w:color w:val="auto"/>
          <w:kern w:val="2"/>
          <w:sz w:val="28"/>
          <w:szCs w:val="28"/>
          <w:lang w:val="en-US" w:eastAsia="zh-CN"/>
        </w:rPr>
        <w:t>售后服务要求：</w:t>
      </w:r>
      <w:r>
        <w:rPr>
          <w:rFonts w:hint="eastAsia" w:ascii="宋体" w:hAnsi="宋体" w:eastAsia="宋体" w:cs="宋体"/>
          <w:color w:val="auto"/>
          <w:kern w:val="2"/>
          <w:sz w:val="28"/>
          <w:szCs w:val="28"/>
          <w:lang w:val="en-US" w:eastAsia="zh-CN"/>
        </w:rPr>
        <w:t>在质保期内，同一商品、同一质量问题连续两次维修仍无法正常使用，供应商无条件给予全套更新或退货。在免费质保期内，供应商在接到用户单位电话通知后，必须在4小时之内上门服务，并在8小时内负责修复。如需更换货物或送修，必须在12小时内提供备用货物，并在7个工作日内负责对送修货物维修完毕并送至用户单位处。</w:t>
      </w:r>
    </w:p>
    <w:p>
      <w:pPr>
        <w:pStyle w:val="15"/>
        <w:spacing w:before="0" w:beforeAutospacing="0" w:after="0" w:afterAutospacing="0" w:line="52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六、验收要求：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成交供应商签订合同后在采购人规定的时间内，必须将符合询价文件要求的所有合格货物送到指定地点，由采购人相关人员对所供货物进行数量清点和外观检查，并组织验收小组根据询价文件和供应商投标文件对供应商所供货物进行验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必要时，采购单位可邀请相关质量监督部门或第三方检测机构对成交供应商所供货物进行验收及检测，因检测发生的一切费用由成交供应商负责。如验收或检测发现所供货物不合格或鉴定为假冒的货物，采购人有权拒收、部分拒收、退货、部分退货直至解除本合同，并要求中标供应商支付因此造成的所有损失。破拆部件由中标供应商负责补齐且采购人不支付任何补偿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3.成交供应商出现违约情形,应当及时纠正或补偿；造成损失的，按合同约定追究违约责任；发现有假冒、伪劣、走私产品、商业贿赂等违法情形的，应由采购人移交工商、质监、公安等行政执法部门依法查处。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本项目为固定综合单价合同。合同价包括①货物的材料价：包括原材料费、辅助材料费、利润、增值税专用发票；②货物的运杂费：货物运至最终目的地的运输费、装车费、卸车费（含业主要求分多批次进行供货,同一批次卸货地点可以有多个地点，供应商考虑上述因素后进行综合报价）、有关部门的手续费、采购与保管费、包装费；③货物的安装费：含管线预埋、基础工程、安装调试、地面修复至原样、垃圾清运等）、现场相关配合费；④风险费:原材料的涨价、政策性调整等风险；⑤如取得合同，对货物将支付的任何销售税和其他税费；⑥验收、税金、检测、售后服务等所有相关费用；请各供应商在报价时充分考虑上述各种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八、采购标的的其他技术、服务等要求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1.商品包装环保要求：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（1）商品包装层数不得超过 3 层，空隙率不大于 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（2）商品包装尽可能使用单一材质的包装材料，如因功能需求必需使用不同材质，不同材质间应便于分离；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（3）商品包装中铅、汞、镉、六价铬的总含量应不大于100mg/kg；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（4）商品包装印刷使用的油墨中挥发性有机化合物(VOCs)含量应不大于 5%（以重量计）；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（5）塑料材质商品包装上呈现的印刷颜色不得超过 6 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（6）纸质商品包装应使用 75%以上的可再生纤维原料生产；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（7）木质商品包装的原料应来源于可持续性森林。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2.快递包装环保要求：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（1）快递包装中重金属（铅、汞、镉、六价铬）总量应不大于 100mg/kg；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（2）快递包装印刷使用的油墨中不应添加邻苯二甲酸酯，其挥发性有机化合物(VOCs)含量应不大于5%（以重量计）；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（3）快递包装中使用纸基材的包装材料，纸基材中的有机氯的含量应不大于 150 mg/kg；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（4）快递包装中使用塑料基材的包装材料不得使用邻苯二甲酸二异壬酯、邻苯二甲酸二正辛酯、邻苯二甲酸二(2-乙基)己酯、邻苯二甲酸二异癸酯、邻苯二甲酸丁基苄基酯、邻苯二甲酸二丁酯等作为增塑剂；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（5）快递中使用的塑料包装袋不得使用聚氯乙烯作为原料，且原料应为单一材质制成，生物分解率大于60%；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（6）快递中使用的充气类填充物不得使用聚氯乙烯作为 原料，且原料为单一材质制成，生物分解率大于60%；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（7）快递中使用的集装袋应为单一材质制成，其重复使用次数应不小于 80 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（8）快递中应使用幅宽不大于45mm 的生物降解胶带；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（9）快递包装中不得使用溶剂型胶粘剂；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（11）快递应使用电子面单；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（12）直接使用商品包装作为快递包装的商品，其商品包装满足《商品包装政府采购需求标准（试行）》即可；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（13）快递包装产品质量和封装方式应符合相关国家或行业标准技术指标要求。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3.绿色数据中心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4.低挥发性有机化合物产品：本项目中如有涉及涂料、胶黏剂、油墨、清洗剂等挥发性有机物产品的，属于强制性标准的，供应商应当执行国家和我省VOCs含量限制标准。供应商提供符合推荐性标准的涂料、胶黏剂、油墨、清洗剂等挥发性有机物产品的，予以评审优惠。在通用类货物、家具、印刷、公务车辆维修等采购项目中，供应商应优先使用低挥发性原辅材料，将使用低VOCs含量的涂料、胶黏剂等纳入合同条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5.节能环保产品：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lang w:val="zh-CN" w:eastAsia="zh-CN"/>
        </w:rPr>
        <w:t>、</w:t>
      </w:r>
      <w:r>
        <w:rPr>
          <w:rFonts w:hint="eastAsia" w:ascii="宋体" w:hAnsi="宋体" w:eastAsia="宋体" w:cs="宋体"/>
          <w:b/>
          <w:bCs/>
          <w:color w:val="auto"/>
          <w:sz w:val="28"/>
          <w:szCs w:val="28"/>
          <w:highlight w:val="none"/>
          <w:lang w:val="zh-CN" w:eastAsia="zh-CN"/>
        </w:rPr>
        <w:t>付款方式：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eastAsia="zh-CN"/>
        </w:rPr>
        <w:t>合同签订后，货物运送到采购方指定地点安装完成，并经业主组织验收通过合格后支付合同价的80%，验收合格满一年后付至合同价的97%，余款在质保期满且无质量问题后付清。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rPr>
        <w:t>注：</w:t>
      </w:r>
      <w:r>
        <w:rPr>
          <w:rFonts w:hint="eastAsia" w:ascii="宋体" w:hAnsi="宋体" w:eastAsia="宋体" w:cs="宋体"/>
          <w:b/>
          <w:bCs/>
          <w:color w:val="auto"/>
          <w:kern w:val="0"/>
          <w:sz w:val="28"/>
          <w:szCs w:val="28"/>
          <w:highlight w:val="none"/>
          <w:lang w:val="zh-CN" w:eastAsia="zh-CN"/>
        </w:rPr>
        <w:t>成交供应商出具合格的税制发票和经双方确认的合同履行报支。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kern w:val="2"/>
          <w:sz w:val="28"/>
          <w:szCs w:val="28"/>
          <w:lang w:val="en-US" w:eastAsia="zh-CN" w:bidi="ar-SA"/>
        </w:rPr>
        <w:t>十</w:t>
      </w:r>
      <w:r>
        <w:rPr>
          <w:rFonts w:hint="eastAsia" w:ascii="宋体" w:hAnsi="宋体" w:eastAsia="宋体" w:cs="宋体"/>
          <w:b/>
          <w:bCs/>
          <w:color w:val="auto"/>
          <w:kern w:val="2"/>
          <w:sz w:val="28"/>
          <w:szCs w:val="28"/>
          <w:lang w:val="zh-CN" w:eastAsia="zh-CN" w:bidi="ar-SA"/>
        </w:rPr>
        <w:t>、</w:t>
      </w:r>
      <w:r>
        <w:rPr>
          <w:rFonts w:hint="eastAsia" w:ascii="宋体" w:hAnsi="宋体" w:eastAsia="宋体" w:cs="宋体"/>
          <w:b/>
          <w:bCs/>
          <w:color w:val="auto"/>
          <w:sz w:val="28"/>
          <w:szCs w:val="28"/>
          <w:highlight w:val="none"/>
          <w:lang w:val="zh-CN" w:eastAsia="zh-CN"/>
        </w:rPr>
        <w:t>履约保证金：</w:t>
      </w:r>
      <w:bookmarkEnd w:id="57"/>
      <w:bookmarkStart w:id="58" w:name="_Toc82505665"/>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color w:val="auto"/>
          <w:sz w:val="28"/>
          <w:szCs w:val="28"/>
          <w:highlight w:val="none"/>
          <w:lang w:val="zh-CN" w:eastAsia="zh-CN"/>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zh-CN" w:eastAsia="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color w:val="auto"/>
          <w:sz w:val="28"/>
          <w:szCs w:val="28"/>
          <w:highlight w:val="none"/>
          <w:lang w:val="zh-CN" w:eastAsia="zh-CN"/>
        </w:rPr>
      </w:pP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lang w:val="zh-CN" w:eastAsia="zh-CN"/>
        </w:rPr>
        <w:t>成交供应商全部履约合同义务，经采购单位验收合格无质量、进度等问题的，采购人在验收合格后一次性退还履约保证金，采购人若逾期退还履约保证金的，按照逾期部分的每日0.05%支付违约金。</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color w:val="auto"/>
          <w:sz w:val="28"/>
          <w:szCs w:val="28"/>
          <w:highlight w:val="none"/>
          <w:lang w:val="zh-CN" w:eastAsia="zh-CN"/>
        </w:rPr>
      </w:pPr>
      <w:r>
        <w:rPr>
          <w:rFonts w:hint="eastAsia" w:ascii="宋体" w:hAnsi="宋体" w:cs="宋体"/>
          <w:b w:val="0"/>
          <w:bCs w:val="0"/>
          <w:color w:val="auto"/>
          <w:sz w:val="28"/>
          <w:szCs w:val="28"/>
          <w:highlight w:val="none"/>
          <w:lang w:val="en-US" w:eastAsia="zh-CN"/>
        </w:rPr>
        <w:t>3.</w:t>
      </w:r>
      <w:r>
        <w:rPr>
          <w:rFonts w:hint="eastAsia" w:ascii="宋体" w:hAnsi="宋体" w:cs="宋体"/>
          <w:b w:val="0"/>
          <w:bCs w:val="0"/>
          <w:color w:val="auto"/>
          <w:sz w:val="28"/>
          <w:szCs w:val="28"/>
          <w:highlight w:val="none"/>
          <w:lang w:val="zh-CN" w:eastAsia="zh-CN"/>
        </w:rPr>
        <w:t>发生以下情况的，履约保证金不予退还或部分退还：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color w:val="auto"/>
          <w:sz w:val="28"/>
          <w:szCs w:val="28"/>
          <w:highlight w:val="none"/>
          <w:lang w:val="zh-CN" w:eastAsia="zh-CN"/>
        </w:rPr>
      </w:pPr>
      <w:r>
        <w:rPr>
          <w:rFonts w:hint="eastAsia" w:ascii="宋体" w:hAnsi="宋体" w:cs="宋体"/>
          <w:b w:val="0"/>
          <w:bCs w:val="0"/>
          <w:color w:val="auto"/>
          <w:sz w:val="28"/>
          <w:szCs w:val="28"/>
          <w:highlight w:val="none"/>
          <w:lang w:val="zh-CN" w:eastAsia="zh-CN"/>
        </w:rPr>
        <w:t>a.签订合同后，成交供应商不履行合同义务的，采购单位有权全额扣除履约保证金，全额不予退还，同时采购单位亦有权终止合同，成交供应商还须承担相应的法律赔偿责任。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cs="宋体"/>
          <w:b w:val="0"/>
          <w:bCs w:val="0"/>
          <w:color w:val="auto"/>
          <w:sz w:val="28"/>
          <w:szCs w:val="28"/>
          <w:highlight w:val="none"/>
          <w:lang w:val="zh-CN" w:eastAsia="zh-CN"/>
        </w:rPr>
        <w:t>b.成交供应</w:t>
      </w:r>
      <w:r>
        <w:rPr>
          <w:rFonts w:hint="eastAsia" w:ascii="宋体" w:hAnsi="宋体" w:eastAsia="宋体" w:cs="宋体"/>
          <w:b w:val="0"/>
          <w:bCs w:val="0"/>
          <w:color w:val="auto"/>
          <w:sz w:val="28"/>
          <w:szCs w:val="28"/>
          <w:highlight w:val="none"/>
          <w:lang w:val="zh-CN" w:eastAsia="zh-CN"/>
        </w:rPr>
        <w:t>商在履约过程中发生违约行为，给采购单位造成损失的，采购单位有权在成交供应商缴纳的履约保证金中予以扣款，以弥补采购单位经济损失，不足的部分成交供应商另外补齐。</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十一、本项目不接受进口产品响应。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十二、合同条款</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ascii="宋体" w:hAnsi="宋体" w:cs="宋体"/>
          <w:color w:val="auto"/>
          <w:sz w:val="24"/>
        </w:rPr>
      </w:pPr>
      <w:r>
        <w:rPr>
          <w:rFonts w:hint="eastAsia" w:ascii="宋体" w:hAnsi="宋体" w:cs="宋体"/>
          <w:color w:val="auto"/>
          <w:sz w:val="24"/>
          <w:lang w:val="en-US" w:eastAsia="zh-CN"/>
        </w:rPr>
        <w:t>采购方</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eastAsia="zh-CN"/>
        </w:rPr>
        <w:t>启东市交通事业发展中心</w:t>
      </w:r>
      <w:r>
        <w:rPr>
          <w:rFonts w:hint="eastAsia" w:ascii="宋体" w:hAnsi="宋体" w:cs="宋体"/>
          <w:color w:val="auto"/>
          <w:sz w:val="24"/>
          <w:u w:val="single"/>
        </w:rPr>
        <w:t xml:space="preserve"> </w:t>
      </w:r>
      <w:r>
        <w:rPr>
          <w:rFonts w:hint="eastAsia" w:ascii="宋体" w:hAnsi="宋体" w:cs="宋体"/>
          <w:color w:val="auto"/>
          <w:sz w:val="24"/>
        </w:rPr>
        <w:t>（下称</w:t>
      </w:r>
      <w:r>
        <w:rPr>
          <w:rFonts w:hint="eastAsia" w:ascii="宋体" w:hAnsi="宋体" w:cs="宋体"/>
          <w:color w:val="auto"/>
          <w:sz w:val="24"/>
          <w:lang w:val="en-US" w:eastAsia="zh-CN"/>
        </w:rPr>
        <w:t>需方</w:t>
      </w:r>
      <w:r>
        <w:rPr>
          <w:rFonts w:hint="eastAsia" w:ascii="宋体" w:hAnsi="宋体" w:cs="宋体"/>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cs="宋体"/>
          <w:color w:val="auto"/>
          <w:kern w:val="0"/>
          <w:sz w:val="24"/>
        </w:rPr>
      </w:pPr>
      <w:r>
        <w:rPr>
          <w:rFonts w:hint="eastAsia" w:ascii="宋体" w:hAnsi="宋体" w:cs="宋体"/>
          <w:color w:val="auto"/>
          <w:sz w:val="24"/>
          <w:lang w:val="en-US" w:eastAsia="zh-CN"/>
        </w:rPr>
        <w:t>供货方</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（下称</w:t>
      </w:r>
      <w:r>
        <w:rPr>
          <w:rFonts w:hint="eastAsia" w:ascii="宋体" w:hAnsi="宋体" w:cs="宋体"/>
          <w:color w:val="auto"/>
          <w:sz w:val="24"/>
          <w:lang w:val="en-US" w:eastAsia="zh-CN"/>
        </w:rPr>
        <w:t>供方</w:t>
      </w:r>
      <w:r>
        <w:rPr>
          <w:rFonts w:hint="eastAsia" w:ascii="宋体" w:hAnsi="宋体" w:cs="宋体"/>
          <w:color w:val="auto"/>
          <w:sz w:val="24"/>
        </w:rPr>
        <w:t>）</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color w:val="auto"/>
          <w:sz w:val="24"/>
        </w:rPr>
      </w:pPr>
      <w:r>
        <w:rPr>
          <w:rFonts w:hint="eastAsia" w:ascii="宋体" w:hAnsi="宋体" w:cs="宋体"/>
          <w:color w:val="auto"/>
          <w:sz w:val="24"/>
        </w:rPr>
        <w:t>签订地点:</w:t>
      </w:r>
      <w:r>
        <w:rPr>
          <w:rFonts w:hint="eastAsia" w:ascii="宋体" w:hAnsi="宋体" w:cs="宋体"/>
          <w:color w:val="auto"/>
          <w:sz w:val="24"/>
          <w:u w:val="single"/>
          <w:lang w:eastAsia="zh-CN"/>
        </w:rPr>
        <w:t>启东市交通事业发展中心</w:t>
      </w:r>
      <w:r>
        <w:rPr>
          <w:rFonts w:hint="eastAsia" w:ascii="宋体" w:hAnsi="宋体" w:cs="宋体"/>
          <w:color w:val="auto"/>
          <w:sz w:val="24"/>
          <w:u w:val="none"/>
        </w:rPr>
        <w:t xml:space="preserve">  </w:t>
      </w:r>
      <w:r>
        <w:rPr>
          <w:rFonts w:hint="eastAsia" w:ascii="宋体" w:hAnsi="宋体" w:cs="宋体"/>
          <w:color w:val="auto"/>
          <w:sz w:val="24"/>
        </w:rPr>
        <w:t>签订时间: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ascii="宋体" w:hAnsi="宋体" w:cs="宋体"/>
          <w:color w:val="auto"/>
          <w:sz w:val="24"/>
        </w:rPr>
      </w:pPr>
      <w:r>
        <w:rPr>
          <w:rFonts w:hint="eastAsia" w:ascii="宋体" w:hAnsi="宋体"/>
          <w:color w:val="auto"/>
          <w:sz w:val="24"/>
        </w:rPr>
        <w:t xml:space="preserve"> 依据《中华人民共和国民法典》及其他有关法律、行政法规，遵循平等、自愿、公平和诚实信用的原则，对</w:t>
      </w:r>
      <w:r>
        <w:rPr>
          <w:rFonts w:hint="eastAsia" w:ascii="宋体" w:hAnsi="宋体"/>
          <w:color w:val="auto"/>
          <w:sz w:val="24"/>
          <w:u w:val="single"/>
        </w:rPr>
        <w:t xml:space="preserve"> </w:t>
      </w:r>
      <w:r>
        <w:rPr>
          <w:rFonts w:hint="eastAsia" w:ascii="宋体" w:hAnsi="宋体"/>
          <w:color w:val="auto"/>
          <w:sz w:val="24"/>
          <w:u w:val="single"/>
          <w:lang w:val="en-US" w:eastAsia="zh-CN"/>
        </w:rPr>
        <w:t>启东市火车站出站通道照明项目</w:t>
      </w:r>
      <w:r>
        <w:rPr>
          <w:rFonts w:hint="eastAsia" w:ascii="宋体" w:hAnsi="宋体"/>
          <w:color w:val="auto"/>
          <w:sz w:val="24"/>
          <w:u w:val="single"/>
        </w:rPr>
        <w:t xml:space="preserve"> </w:t>
      </w:r>
      <w:r>
        <w:rPr>
          <w:rFonts w:hint="eastAsia" w:ascii="宋体" w:hAnsi="宋体"/>
          <w:color w:val="auto"/>
          <w:sz w:val="24"/>
        </w:rPr>
        <w:t>进行</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询价 </w:t>
      </w:r>
      <w:r>
        <w:rPr>
          <w:rFonts w:hint="eastAsia" w:ascii="宋体" w:hAnsi="宋体"/>
          <w:color w:val="auto"/>
          <w:sz w:val="24"/>
          <w:u w:val="single"/>
          <w:lang w:val="en-US" w:eastAsia="zh-CN"/>
        </w:rPr>
        <w:t xml:space="preserve"> </w:t>
      </w:r>
      <w:r>
        <w:rPr>
          <w:rFonts w:hint="eastAsia" w:ascii="宋体" w:hAnsi="宋体"/>
          <w:color w:val="auto"/>
          <w:sz w:val="24"/>
        </w:rPr>
        <w:t>采购，经过评委的严格审核评定，确定</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w:t>
      </w:r>
      <w:r>
        <w:rPr>
          <w:rFonts w:hint="eastAsia" w:ascii="宋体" w:hAnsi="宋体"/>
          <w:color w:val="auto"/>
          <w:sz w:val="24"/>
          <w:u w:val="single"/>
          <w:lang w:eastAsia="zh-CN"/>
        </w:rPr>
        <w:t>供方</w:t>
      </w:r>
      <w:r>
        <w:rPr>
          <w:rFonts w:hint="eastAsia" w:ascii="宋体" w:hAnsi="宋体"/>
          <w:color w:val="auto"/>
          <w:sz w:val="24"/>
          <w:u w:val="single"/>
        </w:rPr>
        <w:t xml:space="preserve">单位名称）  </w:t>
      </w:r>
      <w:r>
        <w:rPr>
          <w:rFonts w:hint="eastAsia" w:ascii="宋体" w:hAnsi="宋体"/>
          <w:color w:val="auto"/>
          <w:sz w:val="24"/>
        </w:rPr>
        <w:t>为本次</w:t>
      </w:r>
      <w:r>
        <w:rPr>
          <w:rFonts w:hint="eastAsia" w:ascii="宋体" w:hAnsi="宋体"/>
          <w:color w:val="auto"/>
          <w:sz w:val="24"/>
          <w:lang w:eastAsia="zh-CN"/>
        </w:rPr>
        <w:t>供方</w:t>
      </w:r>
      <w:r>
        <w:rPr>
          <w:rFonts w:hint="eastAsia" w:ascii="宋体" w:hAnsi="宋体"/>
          <w:color w:val="auto"/>
          <w:sz w:val="24"/>
        </w:rPr>
        <w:t>。现就本次</w:t>
      </w:r>
      <w:r>
        <w:rPr>
          <w:rFonts w:hint="eastAsia" w:ascii="宋体" w:hAnsi="宋体"/>
          <w:color w:val="auto"/>
          <w:sz w:val="24"/>
          <w:lang w:val="en-US" w:eastAsia="zh-CN"/>
        </w:rPr>
        <w:t>采购</w:t>
      </w:r>
      <w:r>
        <w:rPr>
          <w:rFonts w:hint="eastAsia" w:ascii="宋体" w:hAnsi="宋体"/>
          <w:color w:val="auto"/>
          <w:sz w:val="24"/>
        </w:rPr>
        <w:t>事宜订立如下合同</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500" w:lineRule="exact"/>
        <w:ind w:left="555"/>
        <w:textAlignment w:val="auto"/>
        <w:rPr>
          <w:rFonts w:hint="eastAsia" w:ascii="宋体" w:hAnsi="宋体" w:eastAsia="宋体" w:cs="宋体"/>
          <w:b/>
          <w:bCs/>
          <w:sz w:val="28"/>
          <w:szCs w:val="28"/>
          <w:lang w:eastAsia="zh-CN"/>
        </w:rPr>
      </w:pPr>
      <w:r>
        <w:rPr>
          <w:rFonts w:hint="eastAsia" w:ascii="宋体" w:hAnsi="宋体" w:cs="宋体"/>
          <w:b/>
          <w:bCs/>
          <w:color w:val="auto"/>
          <w:sz w:val="24"/>
        </w:rPr>
        <w:t>第一条 货物</w:t>
      </w:r>
      <w:r>
        <w:rPr>
          <w:rFonts w:hint="eastAsia" w:ascii="宋体" w:hAnsi="宋体" w:eastAsia="宋体" w:cs="宋体"/>
          <w:b/>
          <w:bCs/>
          <w:color w:val="auto"/>
          <w:sz w:val="24"/>
        </w:rPr>
        <w:t>供应明细</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具体详见</w:t>
      </w:r>
      <w:r>
        <w:rPr>
          <w:rFonts w:hint="eastAsia" w:ascii="宋体" w:hAnsi="宋体" w:eastAsia="宋体" w:cs="宋体"/>
          <w:b/>
          <w:bCs/>
          <w:color w:val="auto"/>
          <w:sz w:val="24"/>
          <w:lang w:val="en-US" w:eastAsia="zh-CN"/>
        </w:rPr>
        <w:t>报价表。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b w:val="0"/>
          <w:bCs w:val="0"/>
          <w:sz w:val="24"/>
          <w:szCs w:val="24"/>
          <w:highlight w:val="none"/>
          <w:lang w:eastAsia="zh-CN"/>
        </w:rPr>
        <w:t>合同金额：</w:t>
      </w:r>
      <w:r>
        <w:rPr>
          <w:rFonts w:hint="eastAsia" w:ascii="宋体" w:hAnsi="宋体" w:eastAsia="宋体" w:cs="宋体"/>
          <w:b w:val="0"/>
          <w:bCs w:val="0"/>
          <w:color w:val="auto"/>
          <w:sz w:val="24"/>
          <w:highlight w:val="none"/>
        </w:rPr>
        <w:t>人</w:t>
      </w:r>
      <w:r>
        <w:rPr>
          <w:rFonts w:hint="eastAsia" w:ascii="宋体" w:hAnsi="宋体" w:eastAsia="宋体" w:cs="宋体"/>
          <w:color w:val="auto"/>
          <w:sz w:val="24"/>
          <w:highlight w:val="none"/>
        </w:rPr>
        <w:t>民币（大写）：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元</w:t>
      </w:r>
      <w:r>
        <w:rPr>
          <w:rFonts w:hint="eastAsia" w:ascii="宋体" w:hAnsi="宋体" w:cs="宋体"/>
          <w:color w:val="auto"/>
          <w:sz w:val="24"/>
          <w:highlight w:val="none"/>
          <w:u w:val="none"/>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注：</w:t>
      </w:r>
      <w:r>
        <w:rPr>
          <w:rFonts w:hint="eastAsia" w:ascii="宋体" w:hAnsi="宋体" w:eastAsia="宋体" w:cs="Times New Roman"/>
          <w:color w:val="auto"/>
          <w:sz w:val="24"/>
          <w:lang w:val="en-US" w:eastAsia="zh-CN"/>
        </w:rPr>
        <w:t>本项目为固定综合单价合同。合同价包括①货物的材料价：包括原材料费、辅助材料费、利润、增值税专用发票；②货物的运杂费：货物运至最终目的地的运输费、装车费、卸车费（含</w:t>
      </w:r>
      <w:r>
        <w:rPr>
          <w:rFonts w:hint="eastAsia" w:ascii="宋体" w:hAnsi="宋体" w:cs="Times New Roman"/>
          <w:color w:val="auto"/>
          <w:sz w:val="24"/>
          <w:lang w:val="en-US" w:eastAsia="zh-CN"/>
        </w:rPr>
        <w:t>需方</w:t>
      </w:r>
      <w:r>
        <w:rPr>
          <w:rFonts w:hint="eastAsia" w:ascii="宋体" w:hAnsi="宋体" w:eastAsia="宋体" w:cs="Times New Roman"/>
          <w:color w:val="auto"/>
          <w:sz w:val="24"/>
          <w:lang w:val="en-US" w:eastAsia="zh-CN"/>
        </w:rPr>
        <w:t>要求分多批次进行供货,同一批次卸货地点可以有多个地点，</w:t>
      </w:r>
      <w:r>
        <w:rPr>
          <w:rFonts w:hint="eastAsia" w:ascii="宋体" w:hAnsi="宋体" w:cs="Times New Roman"/>
          <w:color w:val="auto"/>
          <w:sz w:val="24"/>
          <w:lang w:val="en-US" w:eastAsia="zh-CN"/>
        </w:rPr>
        <w:t>供方</w:t>
      </w:r>
      <w:r>
        <w:rPr>
          <w:rFonts w:hint="eastAsia" w:ascii="宋体" w:hAnsi="宋体" w:eastAsia="宋体" w:cs="Times New Roman"/>
          <w:color w:val="auto"/>
          <w:sz w:val="24"/>
          <w:lang w:val="en-US" w:eastAsia="zh-CN"/>
        </w:rPr>
        <w:t>考虑上述因素后进行综合报价）、有关部门的手续费、采购与保管费、包装费；③货物的安装费：含管线预埋、基础工程、安装调试、地面修复至原样、垃圾清运等）、现场相关配合费；④风险费:原材料的涨价、政策性调整等风险；⑤如取得合同，对货物将支付的任何销售税和其他税费；⑥验收、税金、检测、售后服务等所有相关费用；请各</w:t>
      </w:r>
      <w:r>
        <w:rPr>
          <w:rFonts w:hint="eastAsia" w:ascii="宋体" w:hAnsi="宋体" w:cs="Times New Roman"/>
          <w:color w:val="auto"/>
          <w:sz w:val="24"/>
          <w:lang w:val="en-US" w:eastAsia="zh-CN"/>
        </w:rPr>
        <w:t>供方</w:t>
      </w:r>
      <w:r>
        <w:rPr>
          <w:rFonts w:hint="eastAsia" w:ascii="宋体" w:hAnsi="宋体" w:eastAsia="宋体" w:cs="Times New Roman"/>
          <w:color w:val="auto"/>
          <w:sz w:val="24"/>
          <w:lang w:val="en-US" w:eastAsia="zh-CN"/>
        </w:rPr>
        <w:t>在报价时充分考虑上述各种因素。</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二</w:t>
      </w:r>
      <w:r>
        <w:rPr>
          <w:rFonts w:hint="eastAsia" w:ascii="宋体" w:hAnsi="宋体" w:cs="宋体"/>
          <w:b/>
          <w:bCs/>
          <w:color w:val="auto"/>
          <w:sz w:val="24"/>
        </w:rPr>
        <w:t>条 质量要求及供方对质量负责的条件和期限</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1、质量要求：产品必须是全新、未使用过的原装合格正品，完全符合采购文件规定的质量、规格和性能的要求，与中标后提供的灯具样品完全一致，达到国家或行业规定的标准。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2、质保要求：质保期二年，自验收合格报告签字确认日起，开始进入质保期。</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3、售后服务要求：在质保期内，同一商品、同一质量问题连续两次维修仍无法正常使用，供方无条件给予全套更新或退货。在免费质保期内，供方在接到用户单位电话通知后，必须在4小时之内上门服务，并在8小时内负责修复。如需更换货物或送修，必须在12小时内提供备用货物，并在7个工作日内负责对送修货物维修完毕并送至用户单位处。</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b/>
          <w:bCs/>
          <w:color w:val="auto"/>
          <w:sz w:val="24"/>
          <w:lang w:val="en-US" w:eastAsia="zh-CN"/>
        </w:rPr>
      </w:pPr>
      <w:r>
        <w:rPr>
          <w:rFonts w:hint="eastAsia" w:ascii="宋体" w:hAnsi="宋体" w:cs="宋体"/>
          <w:b/>
          <w:bCs/>
          <w:color w:val="auto"/>
          <w:sz w:val="24"/>
        </w:rPr>
        <w:t>第</w:t>
      </w:r>
      <w:r>
        <w:rPr>
          <w:rFonts w:hint="eastAsia" w:ascii="宋体" w:hAnsi="宋体" w:cs="宋体"/>
          <w:b/>
          <w:bCs/>
          <w:color w:val="auto"/>
          <w:sz w:val="24"/>
          <w:lang w:val="en-US" w:eastAsia="zh-CN"/>
        </w:rPr>
        <w:t>三</w:t>
      </w:r>
      <w:r>
        <w:rPr>
          <w:rFonts w:hint="eastAsia" w:ascii="宋体" w:hAnsi="宋体" w:cs="宋体"/>
          <w:b/>
          <w:bCs/>
          <w:color w:val="auto"/>
          <w:sz w:val="24"/>
        </w:rPr>
        <w:t xml:space="preserve">条 </w:t>
      </w:r>
      <w:r>
        <w:rPr>
          <w:rFonts w:hint="eastAsia" w:ascii="宋体" w:hAnsi="宋体"/>
          <w:b/>
          <w:bCs/>
          <w:color w:val="auto"/>
          <w:sz w:val="24"/>
          <w:lang w:val="en-US" w:eastAsia="zh-CN"/>
        </w:rPr>
        <w:t>服务周期及交货安装地点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1.服务周期：60个日历天（实际进场时间以需方通知为准）。如不能及时提供符合标准的灯具并且完成安装的，则按延期每天1000元进行扣款，所发生的所有损失由供方承担。</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olor w:val="auto"/>
          <w:sz w:val="24"/>
          <w:lang w:val="en-US" w:eastAsia="zh-CN"/>
        </w:rPr>
      </w:pPr>
      <w:r>
        <w:rPr>
          <w:rFonts w:hint="eastAsia" w:ascii="宋体" w:hAnsi="宋体" w:eastAsia="宋体" w:cs="Times New Roman"/>
          <w:color w:val="auto"/>
          <w:sz w:val="24"/>
          <w:lang w:val="en-US" w:eastAsia="zh-CN"/>
        </w:rPr>
        <w:t>2.交货、安装地点：供方</w:t>
      </w:r>
      <w:r>
        <w:rPr>
          <w:rFonts w:hint="eastAsia" w:ascii="宋体" w:hAnsi="宋体"/>
          <w:color w:val="auto"/>
          <w:sz w:val="24"/>
          <w:lang w:val="en-US" w:eastAsia="zh-CN"/>
        </w:rPr>
        <w:t>应按照需方的要求将货物运至需方指定地点，在指定位置安装，确保正常使用。</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rPr>
        <w:t xml:space="preserve">第四条 </w:t>
      </w:r>
      <w:r>
        <w:rPr>
          <w:rFonts w:hint="eastAsia" w:ascii="宋体" w:hAnsi="宋体" w:cs="宋体"/>
          <w:b/>
          <w:bCs/>
          <w:color w:val="auto"/>
          <w:sz w:val="24"/>
          <w:lang w:val="en-US" w:eastAsia="zh-CN"/>
        </w:rPr>
        <w:t>验收方法</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供方签订合同后在需方规定的时间内，必须将符合询价文件要求的所有合格货物送到指定地点，由需方相关人员对所供货物进行数量清点和外观检查，并组织验收小组根据询价文件和供方投标文件对供方所供货物进行验收。</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必要时，需方可邀请相关质量监督部门或第三方检测机构对供方所供货物进行验收及检测，因检测发生的一切费用由供方负责。如验收或检测发现所供货物不合格或鉴定为假冒的货物，需方有权拒收、部分拒收、退货、部分退货直至解除本合同，并要求供方支付因此造成的所有损失。破拆部件由供方负责补齐且需方不支付任何补偿费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3.供方出现违约情形,应当及时纠正或补偿；造成损失的，按合同约定追究违约责任；发现有假冒、伪劣、走私产品、商业贿赂等违法情形的，应由需方移交工商、质监、公安等行政执法部门依法查处。</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宋体" w:hAnsi="宋体" w:cs="宋体"/>
          <w:color w:val="auto"/>
          <w:sz w:val="24"/>
        </w:rPr>
      </w:pPr>
      <w:r>
        <w:rPr>
          <w:rFonts w:hint="eastAsia" w:ascii="宋体" w:hAnsi="宋体" w:cs="宋体"/>
          <w:b/>
          <w:bCs/>
          <w:color w:val="auto"/>
          <w:sz w:val="24"/>
        </w:rPr>
        <w:t>第五条 结算方式和期限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合同签订后，货物运送到需方指定地点安装完成，并经需方组织验收通过合格后支付合同价的80%，验收合格满一年后付至合同价的97%，余款在质保期满且无质量问题后付清。</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color w:val="auto"/>
          <w:sz w:val="24"/>
        </w:rPr>
      </w:pPr>
      <w:r>
        <w:rPr>
          <w:rFonts w:hint="eastAsia" w:ascii="宋体" w:hAnsi="宋体"/>
          <w:b/>
          <w:bCs/>
          <w:color w:val="auto"/>
          <w:sz w:val="24"/>
          <w:lang w:val="zh-CN"/>
        </w:rPr>
        <w:t>注：</w:t>
      </w:r>
      <w:r>
        <w:rPr>
          <w:rFonts w:hint="eastAsia" w:ascii="宋体" w:hAnsi="宋体"/>
          <w:b/>
          <w:bCs/>
          <w:color w:val="auto"/>
          <w:sz w:val="24"/>
          <w:lang w:val="en-US" w:eastAsia="zh-CN"/>
        </w:rPr>
        <w:t>供方出具合格的税制发票和经双方确认的合同履行报支。</w:t>
      </w:r>
      <w:r>
        <w:rPr>
          <w:rFonts w:hint="eastAsia" w:ascii="宋体" w:hAnsi="宋体" w:cs="宋体"/>
          <w:b/>
          <w:bCs/>
          <w:color w:val="auto"/>
          <w:sz w:val="24"/>
        </w:rPr>
        <w:t xml:space="preserve">  </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spacing w:line="520" w:lineRule="exact"/>
        <w:ind w:firstLine="482"/>
        <w:textAlignment w:val="auto"/>
        <w:rPr>
          <w:rFonts w:ascii="宋体" w:hAnsi="宋体"/>
          <w:b/>
          <w:bCs/>
          <w:color w:val="auto"/>
          <w:sz w:val="24"/>
        </w:rPr>
      </w:pPr>
      <w:r>
        <w:rPr>
          <w:rFonts w:hint="eastAsia" w:ascii="宋体" w:hAnsi="宋体"/>
          <w:b/>
          <w:bCs/>
          <w:color w:val="auto"/>
          <w:sz w:val="24"/>
        </w:rPr>
        <w:t>第</w:t>
      </w:r>
      <w:r>
        <w:rPr>
          <w:rFonts w:hint="eastAsia" w:ascii="宋体" w:hAnsi="宋体"/>
          <w:b/>
          <w:bCs/>
          <w:color w:val="auto"/>
          <w:sz w:val="24"/>
          <w:lang w:val="en-US" w:eastAsia="zh-CN"/>
        </w:rPr>
        <w:t>六</w:t>
      </w:r>
      <w:r>
        <w:rPr>
          <w:rFonts w:hint="eastAsia" w:ascii="宋体" w:hAnsi="宋体"/>
          <w:b/>
          <w:bCs/>
          <w:color w:val="auto"/>
          <w:sz w:val="24"/>
        </w:rPr>
        <w:t xml:space="preserve">条 </w:t>
      </w:r>
      <w:r>
        <w:rPr>
          <w:rFonts w:hint="eastAsia" w:ascii="宋体" w:hAnsi="宋体"/>
          <w:b/>
          <w:bCs/>
          <w:color w:val="auto"/>
          <w:sz w:val="24"/>
          <w:lang w:val="en-US" w:eastAsia="zh-CN"/>
        </w:rPr>
        <w:t>履约保证金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1.本项目成交后的履约保证金为项目成交价的10%（</w:t>
      </w:r>
      <w:r>
        <w:rPr>
          <w:rFonts w:hint="eastAsia" w:ascii="宋体" w:hAnsi="宋体" w:eastAsia="宋体"/>
          <w:color w:val="auto"/>
          <w:sz w:val="24"/>
          <w:u w:val="single"/>
          <w:lang w:val="en-US" w:eastAsia="zh-CN"/>
        </w:rPr>
        <w:t xml:space="preserve">      </w:t>
      </w:r>
      <w:r>
        <w:rPr>
          <w:rFonts w:hint="eastAsia" w:ascii="宋体" w:hAnsi="宋体" w:eastAsia="宋体"/>
          <w:color w:val="auto"/>
          <w:sz w:val="24"/>
          <w:lang w:val="en-US" w:eastAsia="zh-CN"/>
        </w:rPr>
        <w:t>元），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（2）供方全部履约合同义务，经需方验收合格无质量、进度等问题的，需方在验收合格后一次性退还履约保证金，需方若逾期退还履约保证金的，按照逾期部分的每日0.05%支付违约金。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cs="宋体"/>
          <w:color w:val="auto"/>
          <w:spacing w:val="-6"/>
          <w:kern w:val="0"/>
          <w:sz w:val="24"/>
          <w:lang w:val="en-US" w:eastAsia="zh-CN"/>
        </w:rPr>
      </w:pPr>
      <w:r>
        <w:rPr>
          <w:rFonts w:hint="eastAsia" w:ascii="宋体" w:hAnsi="宋体" w:eastAsia="宋体"/>
          <w:color w:val="auto"/>
          <w:sz w:val="24"/>
          <w:lang w:val="en-US" w:eastAsia="zh-CN"/>
        </w:rPr>
        <w:t>（3）发生以下情况的，履约保证金不予退还或部分退还：</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a.签订合同后，供方不履行合同义务的，需方有权全额扣除履约保证金，全额不予退还，同时需方亦有权终止合同，供方还须承担相应的法律赔偿责任。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b.供方在履约过程中发生违约行为，给需方造成损失的，需方有权在供方缴纳的履约保证金中予以扣款，以弥补需方经济损失，不足的部分供方另外补齐。</w:t>
      </w:r>
    </w:p>
    <w:p>
      <w:pPr>
        <w:keepNext w:val="0"/>
        <w:keepLines w:val="0"/>
        <w:pageBreakBefore w:val="0"/>
        <w:widowControl w:val="0"/>
        <w:kinsoku/>
        <w:wordWrap/>
        <w:overflowPunct/>
        <w:topLinePunct w:val="0"/>
        <w:autoSpaceDE/>
        <w:autoSpaceDN/>
        <w:bidi w:val="0"/>
        <w:spacing w:line="520" w:lineRule="exact"/>
        <w:ind w:firstLine="482"/>
        <w:textAlignment w:val="auto"/>
        <w:rPr>
          <w:rFonts w:ascii="宋体" w:hAnsi="宋体"/>
          <w:b/>
          <w:bCs/>
          <w:color w:val="auto"/>
          <w:sz w:val="24"/>
        </w:rPr>
      </w:pPr>
      <w:r>
        <w:rPr>
          <w:rFonts w:hint="eastAsia" w:ascii="宋体" w:hAnsi="宋体"/>
          <w:b/>
          <w:bCs/>
          <w:color w:val="auto"/>
          <w:sz w:val="24"/>
        </w:rPr>
        <w:t>第七条 税金</w:t>
      </w:r>
    </w:p>
    <w:p>
      <w:pPr>
        <w:keepNext w:val="0"/>
        <w:keepLines w:val="0"/>
        <w:pageBreakBefore w:val="0"/>
        <w:widowControl w:val="0"/>
        <w:kinsoku/>
        <w:wordWrap/>
        <w:overflowPunct/>
        <w:topLinePunct w:val="0"/>
        <w:autoSpaceDE/>
        <w:autoSpaceDN/>
        <w:bidi w:val="0"/>
        <w:spacing w:line="520" w:lineRule="exact"/>
        <w:ind w:firstLine="456"/>
        <w:jc w:val="left"/>
        <w:textAlignment w:val="auto"/>
        <w:rPr>
          <w:rFonts w:ascii="宋体" w:cs="宋体"/>
          <w:color w:val="auto"/>
          <w:spacing w:val="-6"/>
          <w:kern w:val="0"/>
          <w:sz w:val="24"/>
        </w:rPr>
      </w:pPr>
      <w:r>
        <w:rPr>
          <w:rFonts w:hint="eastAsia" w:ascii="宋体" w:cs="宋体"/>
          <w:color w:val="auto"/>
          <w:spacing w:val="-6"/>
          <w:kern w:val="0"/>
          <w:sz w:val="24"/>
        </w:rPr>
        <w:t>1.根据国家现行税法对</w:t>
      </w:r>
      <w:r>
        <w:rPr>
          <w:rFonts w:hint="eastAsia" w:ascii="宋体" w:cs="宋体"/>
          <w:color w:val="auto"/>
          <w:spacing w:val="-6"/>
          <w:kern w:val="0"/>
          <w:sz w:val="24"/>
          <w:lang w:eastAsia="zh-CN"/>
        </w:rPr>
        <w:t>供方</w:t>
      </w:r>
      <w:r>
        <w:rPr>
          <w:rFonts w:hint="eastAsia" w:ascii="宋体" w:cs="宋体"/>
          <w:color w:val="auto"/>
          <w:spacing w:val="-6"/>
          <w:kern w:val="0"/>
          <w:sz w:val="24"/>
        </w:rPr>
        <w:t>征收的与本合同有关的一切税费均由</w:t>
      </w:r>
      <w:r>
        <w:rPr>
          <w:rFonts w:hint="eastAsia" w:ascii="宋体" w:cs="宋体"/>
          <w:color w:val="auto"/>
          <w:spacing w:val="-6"/>
          <w:kern w:val="0"/>
          <w:sz w:val="24"/>
          <w:lang w:val="en-US" w:eastAsia="zh-CN"/>
        </w:rPr>
        <w:t>供方</w:t>
      </w:r>
      <w:r>
        <w:rPr>
          <w:rFonts w:hint="eastAsia" w:ascii="宋体" w:cs="宋体"/>
          <w:color w:val="auto"/>
          <w:spacing w:val="-6"/>
          <w:kern w:val="0"/>
          <w:sz w:val="24"/>
        </w:rPr>
        <w:t>负担。</w:t>
      </w:r>
    </w:p>
    <w:p>
      <w:pPr>
        <w:keepNext w:val="0"/>
        <w:keepLines w:val="0"/>
        <w:pageBreakBefore w:val="0"/>
        <w:widowControl w:val="0"/>
        <w:kinsoku/>
        <w:wordWrap/>
        <w:overflowPunct/>
        <w:topLinePunct w:val="0"/>
        <w:autoSpaceDE/>
        <w:autoSpaceDN/>
        <w:bidi w:val="0"/>
        <w:spacing w:line="520" w:lineRule="exact"/>
        <w:ind w:firstLine="480"/>
        <w:jc w:val="left"/>
        <w:textAlignment w:val="auto"/>
        <w:rPr>
          <w:rFonts w:ascii="宋体" w:cs="宋体"/>
          <w:color w:val="auto"/>
          <w:kern w:val="0"/>
          <w:sz w:val="24"/>
        </w:rPr>
      </w:pPr>
      <w:r>
        <w:rPr>
          <w:rFonts w:hint="eastAsia" w:ascii="宋体" w:cs="宋体"/>
          <w:color w:val="auto"/>
          <w:kern w:val="0"/>
          <w:sz w:val="24"/>
        </w:rPr>
        <w:t>2.在中国境外发生的与本合同执行有关的一切税费均由</w:t>
      </w:r>
      <w:r>
        <w:rPr>
          <w:rFonts w:hint="eastAsia" w:ascii="宋体" w:cs="宋体"/>
          <w:color w:val="auto"/>
          <w:kern w:val="0"/>
          <w:sz w:val="24"/>
          <w:lang w:val="en-US" w:eastAsia="zh-CN"/>
        </w:rPr>
        <w:t>供方</w:t>
      </w:r>
      <w:r>
        <w:rPr>
          <w:rFonts w:hint="eastAsia" w:ascii="宋体" w:cs="宋体"/>
          <w:color w:val="auto"/>
          <w:kern w:val="0"/>
          <w:sz w:val="24"/>
        </w:rPr>
        <w:t>负担。</w:t>
      </w:r>
    </w:p>
    <w:p>
      <w:pPr>
        <w:keepNext w:val="0"/>
        <w:keepLines w:val="0"/>
        <w:pageBreakBefore w:val="0"/>
        <w:widowControl w:val="0"/>
        <w:kinsoku/>
        <w:wordWrap/>
        <w:overflowPunct/>
        <w:topLinePunct w:val="0"/>
        <w:autoSpaceDE/>
        <w:autoSpaceDN/>
        <w:bidi w:val="0"/>
        <w:spacing w:line="520" w:lineRule="exact"/>
        <w:ind w:firstLine="482"/>
        <w:textAlignment w:val="auto"/>
        <w:rPr>
          <w:rFonts w:ascii="宋体" w:hAnsi="宋体"/>
          <w:color w:val="auto"/>
          <w:sz w:val="24"/>
        </w:rPr>
      </w:pPr>
      <w:r>
        <w:rPr>
          <w:rFonts w:hint="eastAsia" w:ascii="宋体" w:hAnsi="宋体"/>
          <w:b/>
          <w:bCs/>
          <w:color w:val="auto"/>
          <w:sz w:val="24"/>
        </w:rPr>
        <w:t>第</w:t>
      </w:r>
      <w:r>
        <w:rPr>
          <w:rFonts w:hint="eastAsia" w:ascii="宋体" w:hAnsi="宋体"/>
          <w:b/>
          <w:bCs/>
          <w:color w:val="auto"/>
          <w:sz w:val="24"/>
          <w:lang w:val="en-US" w:eastAsia="zh-CN"/>
        </w:rPr>
        <w:t>八</w:t>
      </w:r>
      <w:r>
        <w:rPr>
          <w:rFonts w:hint="eastAsia" w:ascii="宋体" w:hAnsi="宋体"/>
          <w:b/>
          <w:bCs/>
          <w:color w:val="auto"/>
          <w:sz w:val="24"/>
        </w:rPr>
        <w:t>条 违约责任：</w:t>
      </w:r>
      <w:r>
        <w:rPr>
          <w:rFonts w:hint="eastAsia" w:ascii="宋体" w:hAnsi="宋体"/>
          <w:color w:val="auto"/>
          <w:sz w:val="24"/>
        </w:rPr>
        <w:t>任何一方违约,均须依照下列约定向对方支付违约金。</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如供方不能及时提供符合标准的灯具并且完成安装的，则按延期每天1000元进行扣款，所发生的所有损失由供方承担</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供方</w:t>
      </w:r>
      <w:r>
        <w:rPr>
          <w:rFonts w:hint="eastAsia" w:ascii="宋体" w:hAnsi="宋体"/>
          <w:color w:val="auto"/>
          <w:sz w:val="24"/>
        </w:rPr>
        <w:t>交付货物时质量不符合规定的，应在</w:t>
      </w:r>
      <w:r>
        <w:rPr>
          <w:rFonts w:hint="eastAsia" w:ascii="宋体" w:hAnsi="宋体"/>
          <w:color w:val="auto"/>
          <w:sz w:val="24"/>
          <w:lang w:eastAsia="zh-CN"/>
        </w:rPr>
        <w:t>需方</w:t>
      </w:r>
      <w:r>
        <w:rPr>
          <w:rFonts w:hint="eastAsia" w:ascii="宋体" w:hAnsi="宋体"/>
          <w:color w:val="auto"/>
          <w:sz w:val="24"/>
        </w:rPr>
        <w:t>规定时间内再次供货，逾期供货或再次提交货物质量仍不符合规定的，</w:t>
      </w:r>
      <w:r>
        <w:rPr>
          <w:rFonts w:hint="eastAsia" w:ascii="宋体" w:hAnsi="宋体"/>
          <w:color w:val="auto"/>
          <w:sz w:val="24"/>
          <w:lang w:eastAsia="zh-CN"/>
        </w:rPr>
        <w:t>需方</w:t>
      </w:r>
      <w:r>
        <w:rPr>
          <w:rFonts w:hint="eastAsia" w:ascii="宋体" w:hAnsi="宋体"/>
          <w:color w:val="auto"/>
          <w:sz w:val="24"/>
        </w:rPr>
        <w:t>有权终止本合同，并要求</w:t>
      </w:r>
      <w:r>
        <w:rPr>
          <w:rFonts w:hint="eastAsia" w:ascii="宋体" w:hAnsi="宋体"/>
          <w:color w:val="auto"/>
          <w:sz w:val="24"/>
          <w:lang w:eastAsia="zh-CN"/>
        </w:rPr>
        <w:t>供方</w:t>
      </w:r>
      <w:r>
        <w:rPr>
          <w:rFonts w:hint="eastAsia" w:ascii="宋体" w:hAnsi="宋体"/>
          <w:color w:val="auto"/>
          <w:sz w:val="24"/>
        </w:rPr>
        <w:t>赔偿</w:t>
      </w:r>
      <w:r>
        <w:rPr>
          <w:rFonts w:hint="eastAsia" w:ascii="宋体" w:hAnsi="宋体"/>
          <w:color w:val="auto"/>
          <w:sz w:val="24"/>
          <w:lang w:eastAsia="zh-CN"/>
        </w:rPr>
        <w:t>需方</w:t>
      </w:r>
      <w:r>
        <w:rPr>
          <w:rFonts w:hint="eastAsia" w:ascii="宋体" w:hAnsi="宋体"/>
          <w:color w:val="auto"/>
          <w:sz w:val="24"/>
        </w:rPr>
        <w:t>由此造成的损失。</w:t>
      </w:r>
    </w:p>
    <w:p>
      <w:pPr>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b/>
          <w:bCs/>
          <w:color w:val="auto"/>
          <w:sz w:val="24"/>
        </w:rPr>
      </w:pPr>
      <w:r>
        <w:rPr>
          <w:rFonts w:hint="eastAsia" w:ascii="宋体" w:hAnsi="宋体"/>
          <w:b/>
          <w:bCs/>
          <w:color w:val="auto"/>
          <w:sz w:val="24"/>
        </w:rPr>
        <w:t>第</w:t>
      </w:r>
      <w:r>
        <w:rPr>
          <w:rFonts w:hint="eastAsia" w:ascii="宋体" w:hAnsi="宋体"/>
          <w:b/>
          <w:bCs/>
          <w:color w:val="auto"/>
          <w:sz w:val="24"/>
          <w:lang w:val="en-US" w:eastAsia="zh-CN"/>
        </w:rPr>
        <w:t>九</w:t>
      </w:r>
      <w:r>
        <w:rPr>
          <w:rFonts w:hint="eastAsia" w:ascii="宋体" w:hAnsi="宋体"/>
          <w:b/>
          <w:bCs/>
          <w:color w:val="auto"/>
          <w:sz w:val="24"/>
        </w:rPr>
        <w:t>条</w:t>
      </w:r>
      <w:r>
        <w:rPr>
          <w:rFonts w:hint="eastAsia" w:ascii="宋体" w:hAnsi="宋体"/>
          <w:b/>
          <w:bCs/>
          <w:color w:val="auto"/>
          <w:sz w:val="24"/>
          <w:lang w:val="en-US" w:eastAsia="zh-CN"/>
        </w:rPr>
        <w:t xml:space="preserve"> </w:t>
      </w:r>
      <w:r>
        <w:rPr>
          <w:rFonts w:hint="eastAsia" w:ascii="宋体" w:hAnsi="宋体"/>
          <w:b/>
          <w:bCs/>
          <w:color w:val="auto"/>
          <w:sz w:val="24"/>
        </w:rPr>
        <w:t>其它约定事项</w:t>
      </w:r>
    </w:p>
    <w:p>
      <w:pPr>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供、需双方如在本合同的履行过程中，对标的物的质量问题发生争议时，以质量技术监督部门或有权鉴定部门的质量鉴定结果为准，由此所产生的一切费用由</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承担</w:t>
      </w:r>
      <w:r>
        <w:rPr>
          <w:rFonts w:hint="eastAsia" w:ascii="宋体" w:hAnsi="宋体" w:cs="宋体"/>
          <w:sz w:val="24"/>
          <w:szCs w:val="24"/>
          <w:highlight w:val="none"/>
          <w:lang w:eastAsia="zh-CN"/>
        </w:rPr>
        <w:t>。</w:t>
      </w:r>
    </w:p>
    <w:p>
      <w:pPr>
        <w:spacing w:line="52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如</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不履行本合同第</w:t>
      </w: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条的质量要求及供方对质量负责的条件和期限，则</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有权另行聘请其他维修单位进行维修及后续服务，所支出的合理的维修和服务费用在</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的履约保证金中扣付或</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直接向</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索取，如</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的履约保证金不足以支付该维修及后续服务的费用，则</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有权继续向</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追偿。</w:t>
      </w:r>
    </w:p>
    <w:p>
      <w:pPr>
        <w:spacing w:line="52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除不可抗力的原因外，</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超过合同规定的履行期限十日内仍不能交付本合同项目货物的，则视为不能交货，</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有权选择决定是否继续履行本合同，如</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决定终止本合同的履行，则</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必须承担不能交货的违约责任，履约保证金不予退还，同时双方出具书面材料报鉴证机关备案。</w:t>
      </w:r>
    </w:p>
    <w:p>
      <w:pPr>
        <w:spacing w:line="52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ascii="宋体" w:hAnsi="宋体"/>
          <w:b/>
          <w:bCs/>
          <w:color w:val="auto"/>
          <w:sz w:val="24"/>
        </w:rPr>
      </w:pPr>
      <w:r>
        <w:rPr>
          <w:rFonts w:hint="eastAsia" w:ascii="宋体" w:hAnsi="宋体"/>
          <w:b/>
          <w:bCs/>
          <w:color w:val="auto"/>
          <w:sz w:val="24"/>
        </w:rPr>
        <w:t>第</w:t>
      </w:r>
      <w:r>
        <w:rPr>
          <w:rFonts w:hint="eastAsia" w:ascii="宋体" w:hAnsi="宋体"/>
          <w:b/>
          <w:bCs/>
          <w:color w:val="auto"/>
          <w:sz w:val="24"/>
          <w:lang w:val="en-US" w:eastAsia="zh-CN"/>
        </w:rPr>
        <w:t>十</w:t>
      </w:r>
      <w:r>
        <w:rPr>
          <w:rFonts w:hint="eastAsia" w:ascii="宋体" w:hAnsi="宋体"/>
          <w:b/>
          <w:bCs/>
          <w:color w:val="auto"/>
          <w:sz w:val="24"/>
        </w:rPr>
        <w:t>条</w:t>
      </w:r>
      <w:r>
        <w:rPr>
          <w:rFonts w:hint="eastAsia" w:ascii="宋体" w:hAnsi="宋体"/>
          <w:b/>
          <w:bCs/>
          <w:color w:val="auto"/>
          <w:sz w:val="24"/>
          <w:lang w:val="en-US" w:eastAsia="zh-CN"/>
        </w:rPr>
        <w:t xml:space="preserve"> </w:t>
      </w:r>
      <w:r>
        <w:rPr>
          <w:rFonts w:hint="eastAsia" w:ascii="宋体" w:hAnsi="宋体"/>
          <w:b/>
          <w:bCs/>
          <w:color w:val="auto"/>
          <w:sz w:val="24"/>
        </w:rPr>
        <w:t>解决合同争议的方式</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ascii="宋体" w:hAnsi="宋体"/>
          <w:color w:val="auto"/>
          <w:sz w:val="24"/>
        </w:rPr>
      </w:pPr>
      <w:r>
        <w:rPr>
          <w:rFonts w:hint="eastAsia" w:ascii="宋体" w:hAnsi="宋体"/>
          <w:color w:val="auto"/>
          <w:sz w:val="24"/>
        </w:rPr>
        <w:t>本合同履行过程中如发生争议，</w:t>
      </w:r>
      <w:r>
        <w:rPr>
          <w:rFonts w:hint="eastAsia" w:ascii="宋体" w:hAnsi="宋体"/>
          <w:color w:val="auto"/>
          <w:sz w:val="24"/>
          <w:lang w:val="en-US" w:eastAsia="zh-CN"/>
        </w:rPr>
        <w:t>供、需</w:t>
      </w:r>
      <w:r>
        <w:rPr>
          <w:rFonts w:hint="eastAsia" w:ascii="宋体" w:hAnsi="宋体"/>
          <w:color w:val="auto"/>
          <w:sz w:val="24"/>
        </w:rPr>
        <w:t>双方应协商解决，如协商不成，则任何一方均可向</w:t>
      </w:r>
      <w:r>
        <w:rPr>
          <w:rFonts w:hint="eastAsia" w:ascii="宋体" w:hAnsi="宋体"/>
          <w:color w:val="auto"/>
          <w:sz w:val="24"/>
          <w:u w:val="single"/>
        </w:rPr>
        <w:t xml:space="preserve">  启东市  </w:t>
      </w:r>
      <w:r>
        <w:rPr>
          <w:rFonts w:hint="eastAsia" w:ascii="宋体" w:hAnsi="宋体"/>
          <w:color w:val="auto"/>
          <w:sz w:val="24"/>
        </w:rPr>
        <w:t>人民法院提起诉讼。</w:t>
      </w:r>
    </w:p>
    <w:p>
      <w:pPr>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ascii="宋体" w:hAnsi="宋体" w:cs="宋体"/>
          <w:color w:val="auto"/>
          <w:sz w:val="24"/>
        </w:rPr>
      </w:pPr>
      <w:r>
        <w:rPr>
          <w:rFonts w:hint="eastAsia" w:ascii="宋体" w:hAnsi="宋体"/>
          <w:b/>
          <w:bCs/>
          <w:color w:val="auto"/>
          <w:sz w:val="24"/>
        </w:rPr>
        <w:t>第十</w:t>
      </w:r>
      <w:r>
        <w:rPr>
          <w:rFonts w:hint="eastAsia" w:ascii="宋体" w:hAnsi="宋体"/>
          <w:b/>
          <w:bCs/>
          <w:color w:val="auto"/>
          <w:sz w:val="24"/>
          <w:lang w:val="en-US" w:eastAsia="zh-CN"/>
        </w:rPr>
        <w:t>一</w:t>
      </w:r>
      <w:r>
        <w:rPr>
          <w:rFonts w:hint="eastAsia" w:ascii="宋体" w:hAnsi="宋体"/>
          <w:b/>
          <w:bCs/>
          <w:color w:val="auto"/>
          <w:sz w:val="24"/>
        </w:rPr>
        <w:t>条</w:t>
      </w:r>
      <w:r>
        <w:rPr>
          <w:rFonts w:hint="eastAsia" w:ascii="宋体" w:hAnsi="宋体"/>
          <w:color w:val="auto"/>
          <w:sz w:val="24"/>
        </w:rPr>
        <w:t xml:space="preserve"> 本合同由</w:t>
      </w:r>
      <w:r>
        <w:rPr>
          <w:rFonts w:hint="eastAsia" w:ascii="宋体" w:hAnsi="宋体"/>
          <w:color w:val="auto"/>
          <w:sz w:val="24"/>
          <w:lang w:val="en-US" w:eastAsia="zh-CN"/>
        </w:rPr>
        <w:t>供、需</w:t>
      </w:r>
      <w:r>
        <w:rPr>
          <w:rFonts w:hint="eastAsia" w:ascii="宋体" w:hAnsi="宋体"/>
          <w:color w:val="auto"/>
          <w:sz w:val="24"/>
        </w:rPr>
        <w:t>双方签订并加盖公章（同时双方应加盖骑缝章）后生效，合同一式陆份（</w:t>
      </w:r>
      <w:r>
        <w:rPr>
          <w:rFonts w:hint="eastAsia" w:ascii="宋体" w:hAnsi="宋体"/>
          <w:color w:val="auto"/>
          <w:sz w:val="24"/>
          <w:lang w:val="en-US" w:eastAsia="zh-CN"/>
        </w:rPr>
        <w:t>供需</w:t>
      </w:r>
      <w:r>
        <w:rPr>
          <w:rFonts w:hint="eastAsia" w:ascii="宋体" w:hAnsi="宋体"/>
          <w:color w:val="auto"/>
          <w:sz w:val="24"/>
        </w:rPr>
        <w:t>双方各执叁份）。</w:t>
      </w:r>
    </w:p>
    <w:p>
      <w:pPr>
        <w:spacing w:line="360" w:lineRule="auto"/>
        <w:ind w:firstLine="720" w:firstLineChars="300"/>
        <w:rPr>
          <w:rFonts w:hint="eastAsia" w:ascii="宋体" w:hAnsi="宋体" w:cs="宋体"/>
          <w:color w:val="auto"/>
          <w:sz w:val="24"/>
          <w:lang w:eastAsia="zh-CN"/>
        </w:rPr>
      </w:pPr>
    </w:p>
    <w:p>
      <w:pPr>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lang w:eastAsia="zh-CN"/>
        </w:rPr>
        <w:t>需方</w:t>
      </w:r>
      <w:r>
        <w:rPr>
          <w:rFonts w:hint="eastAsia" w:ascii="宋体" w:hAnsi="宋体" w:eastAsia="宋体" w:cs="Times New Roman"/>
          <w:color w:val="auto"/>
          <w:sz w:val="24"/>
        </w:rPr>
        <w:t xml:space="preserve">（盖章）：                    </w:t>
      </w:r>
      <w:r>
        <w:rPr>
          <w:rFonts w:hint="eastAsia" w:ascii="宋体" w:hAnsi="宋体" w:cs="Times New Roman"/>
          <w:color w:val="auto"/>
          <w:sz w:val="24"/>
          <w:lang w:val="en-US" w:eastAsia="zh-CN"/>
        </w:rPr>
        <w:t xml:space="preserve"> </w:t>
      </w:r>
      <w:r>
        <w:rPr>
          <w:rFonts w:hint="eastAsia" w:ascii="宋体" w:hAnsi="宋体" w:eastAsia="宋体" w:cs="Times New Roman"/>
          <w:color w:val="auto"/>
          <w:sz w:val="24"/>
          <w:lang w:eastAsia="zh-CN"/>
        </w:rPr>
        <w:t>供方</w:t>
      </w:r>
      <w:r>
        <w:rPr>
          <w:rFonts w:hint="eastAsia" w:ascii="宋体" w:hAnsi="宋体" w:eastAsia="宋体" w:cs="Times New Roman"/>
          <w:color w:val="auto"/>
          <w:sz w:val="24"/>
        </w:rPr>
        <w:t xml:space="preserve">（盖章）：            </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  法定代表人：                      法定代表人：             </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  委托代理人：                      委托代理人：            </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  联系电话：                        联系电话：              </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  开户银行：                        开户银行：</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r>
        <w:rPr>
          <w:rFonts w:hint="eastAsia" w:ascii="宋体" w:hAnsi="宋体" w:eastAsia="宋体" w:cs="Times New Roman"/>
          <w:color w:val="auto"/>
          <w:sz w:val="24"/>
        </w:rPr>
        <w:t xml:space="preserve">  银行账号：                        银行账号：</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p>
    <w:p/>
    <w:p>
      <w:pPr>
        <w:keepNext w:val="0"/>
        <w:keepLines w:val="0"/>
        <w:pageBreakBefore w:val="0"/>
        <w:widowControl w:val="0"/>
        <w:kinsoku/>
        <w:wordWrap/>
        <w:overflowPunct/>
        <w:topLinePunct w:val="0"/>
        <w:autoSpaceDE/>
        <w:autoSpaceDN/>
        <w:bidi w:val="0"/>
        <w:adjustRightInd w:val="0"/>
        <w:snapToGrid w:val="0"/>
        <w:spacing w:line="500" w:lineRule="exact"/>
        <w:ind w:firstLine="720" w:firstLineChars="200"/>
        <w:textAlignment w:val="auto"/>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6"/>
      <w:r>
        <w:rPr>
          <w:rFonts w:hint="eastAsia" w:ascii="宋体" w:hAnsi="宋体" w:eastAsia="宋体" w:cs="宋体"/>
          <w:b w:val="0"/>
          <w:color w:val="auto"/>
          <w:sz w:val="36"/>
          <w:szCs w:val="36"/>
          <w:highlight w:val="none"/>
        </w:rPr>
        <w:t>组成</w:t>
      </w:r>
      <w:bookmarkEnd w:id="58"/>
    </w:p>
    <w:p>
      <w:pPr>
        <w:adjustRightInd w:val="0"/>
        <w:snapToGrid w:val="0"/>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1.投标人符合《政府采购法》第二十二条规定条件的声明函（格式见附件1）（如分公司参加投标的，另需提供总公司的授权证明）；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color w:val="auto"/>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.有效的营业执照</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加盖报价单位公章</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提供由国家电光源质量监督检验中心或国家电光源质量检验检测中心出具的样品【线条灯1】检测报告复印件并加盖单位公章【检测报告的封面必须带有 CMA及CNAS标志、有电子版报告的二维码、内页附有样品照片及外形尺寸，且技术参数符合设计要求】；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6.质保承诺书</w:t>
      </w:r>
      <w:r>
        <w:rPr>
          <w:rFonts w:hint="eastAsia" w:ascii="宋体" w:hAnsi="宋体" w:eastAsia="宋体" w:cs="宋体"/>
          <w:color w:val="auto"/>
          <w:sz w:val="28"/>
          <w:szCs w:val="28"/>
          <w:highlight w:val="none"/>
          <w:lang w:val="zh-CN" w:eastAsia="zh-CN"/>
        </w:rPr>
        <w:t>（格式见附件</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zh-CN" w:eastAsia="zh-CN"/>
        </w:rPr>
        <w:t>.商务部分正负偏离表；（格式见附件</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技术部分正负偏离表；（格式见附件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填制正负偏离表，完全响应的，请以空白表列示。不完全响应的，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必须在偏离表中列示；列示不全的，视同故意隐瞒。</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zh-CN"/>
        </w:rPr>
        <w:t>.报价</w:t>
      </w:r>
      <w:r>
        <w:rPr>
          <w:rFonts w:hint="eastAsia" w:ascii="宋体" w:hAnsi="宋体" w:cs="宋体"/>
          <w:color w:val="auto"/>
          <w:sz w:val="28"/>
          <w:szCs w:val="28"/>
          <w:highlight w:val="none"/>
          <w:lang w:val="zh-CN"/>
        </w:rPr>
        <w:t>总</w:t>
      </w:r>
      <w:r>
        <w:rPr>
          <w:rFonts w:hint="eastAsia" w:ascii="宋体" w:hAnsi="宋体" w:eastAsia="宋体" w:cs="宋体"/>
          <w:color w:val="auto"/>
          <w:sz w:val="28"/>
          <w:szCs w:val="28"/>
          <w:highlight w:val="none"/>
          <w:lang w:val="zh-CN"/>
        </w:rPr>
        <w:t>表（格式见附件</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val="zh-CN"/>
        </w:rPr>
        <w:t>.分项报价明细表（格式见附件</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zh-CN"/>
        </w:rPr>
        <w:t>.中小企业声明函（</w:t>
      </w:r>
      <w:r>
        <w:rPr>
          <w:rFonts w:hint="eastAsia" w:ascii="宋体" w:hAnsi="宋体" w:cs="宋体"/>
          <w:color w:val="auto"/>
          <w:sz w:val="28"/>
          <w:szCs w:val="28"/>
          <w:highlight w:val="none"/>
          <w:lang w:val="zh-CN"/>
        </w:rPr>
        <w:t>如有，</w:t>
      </w:r>
      <w:r>
        <w:rPr>
          <w:rFonts w:hint="eastAsia" w:ascii="宋体" w:hAnsi="宋体" w:eastAsia="宋体" w:cs="宋体"/>
          <w:color w:val="auto"/>
          <w:sz w:val="28"/>
          <w:szCs w:val="28"/>
          <w:highlight w:val="none"/>
          <w:lang w:val="zh-CN"/>
        </w:rPr>
        <w:t>格式见附件</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.残疾人福利性单位声明函（</w:t>
      </w:r>
      <w:r>
        <w:rPr>
          <w:rFonts w:hint="eastAsia" w:ascii="宋体" w:hAnsi="宋体" w:cs="宋体"/>
          <w:color w:val="auto"/>
          <w:sz w:val="28"/>
          <w:szCs w:val="28"/>
          <w:highlight w:val="none"/>
          <w:lang w:val="zh-CN"/>
        </w:rPr>
        <w:t>如有，</w:t>
      </w:r>
      <w:r>
        <w:rPr>
          <w:rFonts w:hint="eastAsia" w:ascii="宋体" w:hAnsi="宋体" w:eastAsia="宋体" w:cs="宋体"/>
          <w:color w:val="auto"/>
          <w:sz w:val="28"/>
          <w:szCs w:val="28"/>
          <w:highlight w:val="none"/>
          <w:lang w:val="zh-CN"/>
        </w:rPr>
        <w:t>格式见附件</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.监狱和戒毒企业证明材料（</w:t>
      </w:r>
      <w:r>
        <w:rPr>
          <w:rFonts w:hint="eastAsia" w:ascii="宋体" w:hAnsi="宋体" w:cs="宋体"/>
          <w:color w:val="auto"/>
          <w:sz w:val="28"/>
          <w:szCs w:val="28"/>
          <w:highlight w:val="none"/>
          <w:lang w:val="zh-CN"/>
        </w:rPr>
        <w:t>如有，</w:t>
      </w:r>
      <w:r>
        <w:rPr>
          <w:rFonts w:hint="eastAsia" w:ascii="宋体" w:hAnsi="宋体" w:eastAsia="宋体" w:cs="宋体"/>
          <w:color w:val="auto"/>
          <w:sz w:val="28"/>
          <w:szCs w:val="28"/>
          <w:highlight w:val="none"/>
          <w:lang w:val="zh-CN"/>
        </w:rPr>
        <w:t>格式见附件</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（项目名称）</w:t>
      </w:r>
      <w:r>
        <w:rPr>
          <w:rFonts w:hint="eastAsia" w:ascii="宋体" w:hAnsi="宋体"/>
          <w:bCs/>
          <w:color w:val="auto"/>
          <w:sz w:val="24"/>
          <w:szCs w:val="21"/>
          <w:highlight w:val="none"/>
        </w:rPr>
        <w:t>，</w:t>
      </w:r>
      <w:r>
        <w:rPr>
          <w:rFonts w:hint="eastAsia" w:ascii="宋体" w:hAnsi="宋体"/>
          <w:bCs/>
          <w:color w:val="auto"/>
          <w:sz w:val="24"/>
          <w:szCs w:val="21"/>
          <w:highlight w:val="none"/>
          <w:u w:val="single"/>
          <w:lang w:val="en-US" w:eastAsia="zh-CN"/>
        </w:rPr>
        <w:t xml:space="preserve">                </w:t>
      </w:r>
      <w:r>
        <w:rPr>
          <w:rFonts w:hint="eastAsia" w:ascii="宋体" w:hAnsi="宋体"/>
          <w:bCs/>
          <w:color w:val="auto"/>
          <w:sz w:val="24"/>
          <w:szCs w:val="21"/>
          <w:highlight w:val="none"/>
        </w:rPr>
        <w:t>（项目）</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pPr>
        <w:spacing w:line="500" w:lineRule="exact"/>
        <w:ind w:firstLine="482"/>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bCs/>
          <w:color w:val="auto"/>
          <w:sz w:val="24"/>
          <w:szCs w:val="21"/>
          <w:highlight w:val="none"/>
        </w:rPr>
      </w:pPr>
    </w:p>
    <w:p>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pPr>
        <w:spacing w:line="360" w:lineRule="auto"/>
        <w:rPr>
          <w:rFonts w:hint="eastAsia" w:ascii="宋体" w:hAnsi="宋体" w:eastAsia="宋体" w:cs="宋体"/>
          <w:bCs/>
          <w:color w:val="auto"/>
          <w:sz w:val="28"/>
          <w:szCs w:val="22"/>
          <w:highlight w:val="none"/>
        </w:rPr>
      </w:pPr>
    </w:p>
    <w:p>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spacing w:line="480" w:lineRule="exact"/>
        <w:rPr>
          <w:rFonts w:hint="eastAsia" w:ascii="宋体" w:hAnsi="宋体" w:eastAsia="宋体" w:cs="宋体"/>
          <w:color w:val="auto"/>
          <w:sz w:val="24"/>
          <w:highlight w:val="none"/>
        </w:rPr>
      </w:pPr>
    </w:p>
    <w:p>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pPr>
        <w:spacing w:line="480" w:lineRule="exact"/>
        <w:ind w:firstLine="480"/>
        <w:rPr>
          <w:rFonts w:hint="eastAsia" w:ascii="宋体" w:hAnsi="宋体" w:eastAsia="宋体" w:cs="宋体"/>
          <w:color w:val="auto"/>
          <w:sz w:val="24"/>
          <w:highlight w:val="none"/>
        </w:rPr>
      </w:pPr>
    </w:p>
    <w:p>
      <w:pPr>
        <w:adjustRightInd w:val="0"/>
        <w:spacing w:line="480" w:lineRule="auto"/>
        <w:ind w:left="3255" w:leftChars="155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pacing w:line="48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复印件盖单位公章</w:t>
      </w:r>
    </w:p>
    <w:p>
      <w:pPr>
        <w:adjustRightInd w:val="0"/>
        <w:snapToGrid w:val="0"/>
        <w:spacing w:line="312" w:lineRule="auto"/>
        <w:jc w:val="left"/>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3</w:t>
      </w:r>
    </w:p>
    <w:p>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启东市交通事业发展中心</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 xml:space="preserve"> 启东市火车站出站通道照明项目 </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Pr>
        <w:spacing w:line="440" w:lineRule="exact"/>
        <w:jc w:val="left"/>
        <w:rPr>
          <w:rFonts w:hint="eastAsia" w:ascii="宋体" w:hAnsi="宋体" w:eastAsia="宋体" w:cs="宋体"/>
          <w:b/>
          <w:color w:val="auto"/>
          <w:kern w:val="0"/>
          <w:sz w:val="24"/>
          <w:szCs w:val="24"/>
          <w:highlight w:val="none"/>
        </w:rPr>
      </w:pPr>
    </w:p>
    <w:p>
      <w:pPr>
        <w:jc w:val="left"/>
        <w:rPr>
          <w:rFonts w:hint="eastAsia" w:ascii="宋体" w:hAnsi="宋体" w:eastAsia="宋体" w:cs="宋体"/>
          <w:b/>
          <w:bCs/>
          <w:color w:val="auto"/>
          <w:sz w:val="24"/>
          <w:szCs w:val="24"/>
          <w:highlight w:val="none"/>
          <w:lang w:bidi="ar"/>
        </w:rPr>
      </w:pP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宋体" w:hAnsi="宋体" w:cs="宋体"/>
          <w:color w:val="auto"/>
          <w:sz w:val="36"/>
          <w:szCs w:val="36"/>
          <w:highlight w:val="none"/>
        </w:rPr>
      </w:pPr>
      <w:r>
        <w:rPr>
          <w:rFonts w:hint="eastAsia" w:ascii="宋体" w:hAnsi="宋体" w:cs="宋体"/>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启东市交通事业发展中心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（报价供应商全称）</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（姓  名）（职  务）</w:t>
      </w:r>
      <w:r>
        <w:rPr>
          <w:rFonts w:hint="eastAsia" w:ascii="宋体" w:hAnsi="宋体" w:eastAsia="宋体" w:cs="宋体"/>
          <w:color w:val="auto"/>
          <w:sz w:val="24"/>
          <w:szCs w:val="24"/>
          <w:highlight w:val="none"/>
        </w:rPr>
        <w:t>为全权代表，参加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启东市火车站出站通道照明项目 </w:t>
      </w:r>
      <w:r>
        <w:rPr>
          <w:rFonts w:hint="eastAsia" w:ascii="宋体" w:hAnsi="宋体" w:eastAsia="宋体" w:cs="宋体"/>
          <w:color w:val="auto"/>
          <w:sz w:val="24"/>
          <w:szCs w:val="24"/>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val="en-US" w:eastAsia="zh-CN"/>
        </w:rPr>
        <w:t>质保期二年，自验收合格报告签字确认日起，开始进入质保期</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在质保期内，同一商品、同一质量问题连续两次维修仍无法正常使用，</w:t>
      </w:r>
      <w:r>
        <w:rPr>
          <w:rFonts w:hint="eastAsia" w:ascii="宋体" w:hAnsi="宋体" w:cs="宋体"/>
          <w:color w:val="auto"/>
          <w:sz w:val="24"/>
          <w:szCs w:val="24"/>
          <w:highlight w:val="none"/>
          <w:lang w:val="en-US" w:eastAsia="zh-CN"/>
        </w:rPr>
        <w:t>我方</w:t>
      </w:r>
      <w:r>
        <w:rPr>
          <w:rFonts w:hint="eastAsia" w:ascii="宋体" w:hAnsi="宋体" w:eastAsia="宋体" w:cs="宋体"/>
          <w:color w:val="auto"/>
          <w:sz w:val="24"/>
          <w:szCs w:val="24"/>
          <w:highlight w:val="none"/>
          <w:lang w:val="en-US" w:eastAsia="zh-CN"/>
        </w:rPr>
        <w:t>无条件给予全套更新或退货。在免费质保期内，</w:t>
      </w:r>
      <w:r>
        <w:rPr>
          <w:rFonts w:hint="eastAsia" w:ascii="宋体" w:hAnsi="宋体" w:cs="宋体"/>
          <w:color w:val="auto"/>
          <w:sz w:val="24"/>
          <w:szCs w:val="24"/>
          <w:highlight w:val="none"/>
          <w:lang w:val="en-US" w:eastAsia="zh-CN"/>
        </w:rPr>
        <w:t>我方</w:t>
      </w:r>
      <w:r>
        <w:rPr>
          <w:rFonts w:hint="eastAsia" w:ascii="宋体" w:hAnsi="宋体" w:eastAsia="宋体" w:cs="宋体"/>
          <w:color w:val="auto"/>
          <w:sz w:val="24"/>
          <w:szCs w:val="24"/>
          <w:highlight w:val="none"/>
          <w:lang w:val="en-US" w:eastAsia="zh-CN"/>
        </w:rPr>
        <w:t>在接到用户单位电话通知后，必须在4小时之内上门服务，并在8小时内负责修复。如需更换货物或送修，必须在12小时内提供备用货物，并在7个工作日内负责对送修货物维修完毕并送至用户单位处。</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lang w:val="en-US" w:eastAsia="zh-CN"/>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在交货时我方将提供产品的合格证和产品说明书。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与本项目有关的一切往来通讯请寄：</w:t>
      </w:r>
    </w:p>
    <w:p>
      <w:pPr>
        <w:pStyle w:val="2"/>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邮编：</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传真：</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代表移动电话：</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pPr>
        <w:snapToGrid w:val="0"/>
        <w:spacing w:line="30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pP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br w:type="page"/>
      </w:r>
    </w:p>
    <w:p>
      <w:pPr>
        <w:rPr>
          <w:rFonts w:ascii="Times New Roman" w:hAnsi="Times New Roman" w:eastAsia="方正黑体_GBK"/>
          <w:sz w:val="32"/>
          <w:szCs w:val="32"/>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pPr>
        <w:snapToGrid w:val="0"/>
        <w:spacing w:line="300" w:lineRule="auto"/>
        <w:contextualSpacing/>
        <w:jc w:val="center"/>
        <w:rPr>
          <w:rFonts w:ascii="宋体" w:hAnsi="宋体"/>
          <w:b/>
          <w:sz w:val="32"/>
          <w:szCs w:val="32"/>
        </w:rPr>
      </w:pPr>
      <w:r>
        <w:rPr>
          <w:rFonts w:hint="eastAsia" w:ascii="宋体" w:hAnsi="宋体"/>
          <w:b/>
          <w:sz w:val="32"/>
          <w:szCs w:val="32"/>
        </w:rPr>
        <w:t>商务部分正负偏离表</w:t>
      </w:r>
    </w:p>
    <w:p>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1974"/>
        <w:gridCol w:w="2979"/>
        <w:gridCol w:w="2226"/>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pPr>
              <w:spacing w:line="340" w:lineRule="exact"/>
              <w:jc w:val="center"/>
              <w:rPr>
                <w:rFonts w:ascii="宋体" w:hAnsi="宋体"/>
                <w:sz w:val="28"/>
                <w:szCs w:val="28"/>
              </w:rPr>
            </w:pPr>
          </w:p>
          <w:p>
            <w:pPr>
              <w:spacing w:line="340" w:lineRule="exact"/>
              <w:jc w:val="center"/>
              <w:rPr>
                <w:rFonts w:ascii="宋体" w:hAnsi="宋体"/>
                <w:sz w:val="28"/>
                <w:szCs w:val="28"/>
              </w:rPr>
            </w:pPr>
            <w:r>
              <w:rPr>
                <w:rFonts w:hint="eastAsia" w:ascii="宋体" w:hAnsi="宋体"/>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bl>
    <w:p>
      <w:pPr>
        <w:snapToGrid w:val="0"/>
        <w:spacing w:line="300" w:lineRule="auto"/>
        <w:contextualSpacing/>
        <w:rPr>
          <w:rFonts w:ascii="宋体" w:hAnsi="宋体"/>
          <w:b/>
          <w:sz w:val="28"/>
          <w:szCs w:val="28"/>
        </w:rPr>
      </w:pPr>
      <w:r>
        <w:rPr>
          <w:rFonts w:hint="eastAsia" w:ascii="宋体" w:hAnsi="宋体"/>
          <w:b/>
          <w:sz w:val="28"/>
          <w:szCs w:val="28"/>
        </w:rPr>
        <w:t>注：</w:t>
      </w:r>
    </w:p>
    <w:p>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1.如响应供应商提交的响应文件与采购文件第三部分“项目需求”中的商务部分的要求有偏离的，应逐条填列在偏离表中。未填写的内容视为完全响应本采购文件要求。</w:t>
      </w:r>
    </w:p>
    <w:p>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pPr>
        <w:snapToGrid w:val="0"/>
        <w:spacing w:line="400" w:lineRule="exact"/>
        <w:ind w:firstLine="540" w:firstLineChars="192"/>
        <w:contextualSpacing/>
        <w:rPr>
          <w:rFonts w:ascii="宋体" w:hAnsi="宋体" w:cs="宋体"/>
          <w:b/>
          <w:kern w:val="0"/>
          <w:sz w:val="28"/>
          <w:szCs w:val="28"/>
        </w:rPr>
      </w:pPr>
    </w:p>
    <w:p>
      <w:pPr>
        <w:spacing w:line="312" w:lineRule="auto"/>
        <w:ind w:firstLine="807" w:firstLineChars="287"/>
        <w:rPr>
          <w:rFonts w:ascii="宋体" w:hAnsi="宋体" w:cs="宋体"/>
          <w:b/>
          <w:sz w:val="28"/>
          <w:szCs w:val="28"/>
        </w:rPr>
      </w:pPr>
    </w:p>
    <w:p>
      <w:pPr>
        <w:spacing w:line="360" w:lineRule="auto"/>
        <w:ind w:firstLine="3360" w:firstLineChars="1200"/>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rPr>
          <w:rFonts w:ascii="Times New Roman" w:hAnsi="Times New Roman" w:eastAsia="方正黑体_GBK"/>
          <w:sz w:val="32"/>
          <w:szCs w:val="32"/>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pPr>
        <w:snapToGrid w:val="0"/>
        <w:spacing w:line="300" w:lineRule="auto"/>
        <w:contextualSpacing/>
        <w:jc w:val="center"/>
        <w:rPr>
          <w:rFonts w:ascii="宋体" w:hAnsi="宋体"/>
          <w:b/>
          <w:sz w:val="32"/>
          <w:szCs w:val="32"/>
        </w:rPr>
      </w:pPr>
      <w:r>
        <w:rPr>
          <w:rFonts w:hint="eastAsia" w:ascii="宋体" w:hAnsi="宋体"/>
          <w:b/>
          <w:sz w:val="32"/>
          <w:szCs w:val="32"/>
        </w:rPr>
        <w:t>技术部分正负偏离表</w:t>
      </w:r>
    </w:p>
    <w:p>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1974"/>
        <w:gridCol w:w="2979"/>
        <w:gridCol w:w="2226"/>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pPr>
              <w:spacing w:line="340" w:lineRule="exact"/>
              <w:jc w:val="center"/>
              <w:rPr>
                <w:rFonts w:ascii="宋体" w:hAnsi="宋体"/>
                <w:sz w:val="28"/>
                <w:szCs w:val="28"/>
              </w:rPr>
            </w:pPr>
          </w:p>
          <w:p>
            <w:pPr>
              <w:spacing w:line="340" w:lineRule="exact"/>
              <w:jc w:val="center"/>
              <w:rPr>
                <w:rFonts w:ascii="宋体" w:hAnsi="宋体"/>
                <w:sz w:val="28"/>
                <w:szCs w:val="28"/>
              </w:rPr>
            </w:pPr>
            <w:r>
              <w:rPr>
                <w:rFonts w:hint="eastAsia" w:ascii="宋体" w:hAnsi="宋体"/>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sz w:val="28"/>
                <w:szCs w:val="28"/>
              </w:rPr>
            </w:pPr>
          </w:p>
        </w:tc>
      </w:tr>
    </w:tbl>
    <w:p>
      <w:pPr>
        <w:snapToGrid w:val="0"/>
        <w:spacing w:line="300" w:lineRule="auto"/>
        <w:contextualSpacing/>
        <w:rPr>
          <w:rFonts w:ascii="宋体" w:hAnsi="宋体"/>
          <w:b/>
          <w:sz w:val="28"/>
          <w:szCs w:val="28"/>
        </w:rPr>
      </w:pPr>
      <w:r>
        <w:rPr>
          <w:rFonts w:hint="eastAsia" w:ascii="宋体" w:hAnsi="宋体"/>
          <w:b/>
          <w:sz w:val="28"/>
          <w:szCs w:val="28"/>
        </w:rPr>
        <w:t>注：</w:t>
      </w:r>
    </w:p>
    <w:p>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1.如响应供应商提交的响应文件与采购文件第三部分“项目需求”中的技术部分的要求有偏离的，应逐条填列在偏离表中。未填写的内容视为完全响应本采购文件要求。</w:t>
      </w:r>
    </w:p>
    <w:p>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pPr>
        <w:spacing w:line="312" w:lineRule="auto"/>
        <w:ind w:firstLine="2520" w:firstLineChars="900"/>
        <w:rPr>
          <w:rFonts w:hint="eastAsia" w:ascii="宋体" w:hAnsi="宋体" w:cs="宋体"/>
          <w:sz w:val="28"/>
          <w:szCs w:val="28"/>
        </w:rPr>
      </w:pPr>
    </w:p>
    <w:p>
      <w:pPr>
        <w:spacing w:line="360" w:lineRule="auto"/>
        <w:ind w:firstLine="3360" w:firstLineChars="1200"/>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spacing w:line="312" w:lineRule="auto"/>
        <w:rPr>
          <w:rFonts w:hint="eastAsia" w:ascii="宋体" w:hAnsi="宋体" w:eastAsia="宋体" w:cs="宋体"/>
          <w:color w:val="auto"/>
          <w:sz w:val="32"/>
          <w:szCs w:val="32"/>
          <w:highlight w:val="none"/>
          <w:lang w:eastAsia="zh-CN"/>
        </w:rPr>
      </w:pPr>
    </w:p>
    <w:p>
      <w:pPr>
        <w:rPr>
          <w:rFonts w:hint="eastAsia"/>
          <w:b/>
          <w:bCs/>
          <w:sz w:val="32"/>
          <w:szCs w:val="40"/>
          <w:highlight w:val="yellow"/>
        </w:rPr>
      </w:pPr>
      <w:r>
        <w:rPr>
          <w:rFonts w:hint="eastAsia"/>
          <w:b/>
          <w:bCs/>
          <w:sz w:val="32"/>
          <w:szCs w:val="40"/>
          <w:highlight w:val="yellow"/>
        </w:rPr>
        <w:br w:type="page"/>
      </w:r>
    </w:p>
    <w:p>
      <w:pPr>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报价</w:t>
      </w:r>
      <w:r>
        <w:rPr>
          <w:rFonts w:hint="eastAsia" w:ascii="宋体" w:hAnsi="宋体" w:cs="宋体"/>
          <w:b/>
          <w:bCs/>
          <w:color w:val="auto"/>
          <w:sz w:val="32"/>
          <w:szCs w:val="40"/>
          <w:highlight w:val="none"/>
          <w:lang w:val="zh-CN"/>
        </w:rPr>
        <w:t>总</w:t>
      </w:r>
      <w:r>
        <w:rPr>
          <w:rFonts w:hint="eastAsia" w:ascii="宋体" w:hAnsi="宋体" w:eastAsia="宋体" w:cs="宋体"/>
          <w:b/>
          <w:bCs/>
          <w:color w:val="auto"/>
          <w:sz w:val="32"/>
          <w:szCs w:val="40"/>
          <w:highlight w:val="none"/>
          <w:lang w:val="zh-CN"/>
        </w:rPr>
        <w:t>表</w:t>
      </w:r>
    </w:p>
    <w:tbl>
      <w:tblPr>
        <w:tblStyle w:val="18"/>
        <w:tblpPr w:leftFromText="180" w:rightFromText="180" w:vertAnchor="text" w:horzAnchor="page" w:tblpXSpec="center" w:tblpY="335"/>
        <w:tblOverlap w:val="never"/>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6"/>
        <w:gridCol w:w="4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14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jc w:val="center"/>
              <w:textAlignment w:val="bottom"/>
              <w:rPr>
                <w:rFonts w:ascii="宋体" w:hAnsi="宋体" w:cs="仿宋"/>
                <w:b/>
                <w:bCs/>
                <w:color w:val="auto"/>
                <w:sz w:val="24"/>
                <w:highlight w:val="none"/>
                <w:lang w:eastAsia="en-US"/>
              </w:rPr>
            </w:pPr>
            <w:r>
              <w:rPr>
                <w:rFonts w:hint="eastAsia" w:ascii="宋体" w:hAnsi="宋体" w:cs="仿宋"/>
                <w:b/>
                <w:bCs/>
                <w:color w:val="auto"/>
                <w:sz w:val="24"/>
                <w:highlight w:val="none"/>
              </w:rPr>
              <w:t>项目名称</w:t>
            </w:r>
          </w:p>
        </w:tc>
        <w:tc>
          <w:tcPr>
            <w:tcW w:w="492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hanging="1"/>
              <w:jc w:val="center"/>
              <w:textAlignment w:val="bottom"/>
              <w:rPr>
                <w:rFonts w:ascii="宋体" w:hAnsi="宋体" w:cs="仿宋"/>
                <w:b/>
                <w:bCs/>
                <w:color w:val="auto"/>
                <w:sz w:val="24"/>
                <w:highlight w:val="none"/>
              </w:rPr>
            </w:pPr>
            <w:r>
              <w:rPr>
                <w:rFonts w:hint="eastAsia" w:ascii="宋体" w:hAnsi="宋体" w:cs="仿宋"/>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6" w:hRule="atLeast"/>
        </w:trPr>
        <w:tc>
          <w:tcPr>
            <w:tcW w:w="414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firstLine="26" w:firstLineChars="11"/>
              <w:jc w:val="center"/>
              <w:textAlignment w:val="bottom"/>
              <w:rPr>
                <w:rFonts w:hint="eastAsia" w:ascii="宋体" w:hAnsi="宋体" w:cs="仿宋"/>
                <w:color w:val="auto"/>
                <w:kern w:val="0"/>
                <w:sz w:val="24"/>
                <w:highlight w:val="none"/>
              </w:rPr>
            </w:pPr>
            <w:r>
              <w:rPr>
                <w:rFonts w:hint="eastAsia" w:ascii="宋体" w:hAnsi="宋体"/>
                <w:color w:val="auto"/>
                <w:sz w:val="24"/>
                <w:highlight w:val="none"/>
                <w:lang w:val="en-US" w:eastAsia="zh-CN"/>
              </w:rPr>
              <w:t>启东市火车站出站通道照明项目</w:t>
            </w:r>
          </w:p>
        </w:tc>
        <w:tc>
          <w:tcPr>
            <w:tcW w:w="4926"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1" w:firstLine="266" w:firstLineChars="111"/>
              <w:textAlignment w:val="bottom"/>
              <w:rPr>
                <w:rFonts w:ascii="宋体" w:hAnsi="宋体" w:cs="仿宋"/>
                <w:color w:val="auto"/>
                <w:kern w:val="0"/>
                <w:sz w:val="24"/>
                <w:highlight w:val="none"/>
              </w:rPr>
            </w:pPr>
          </w:p>
          <w:p>
            <w:pPr>
              <w:spacing w:line="360" w:lineRule="exact"/>
              <w:ind w:left="1" w:firstLine="266" w:firstLineChars="111"/>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大写 ：</w:t>
            </w:r>
            <w:r>
              <w:rPr>
                <w:rFonts w:hint="eastAsia" w:ascii="宋体" w:hAnsi="宋体" w:cs="仿宋"/>
                <w:color w:val="auto"/>
                <w:kern w:val="0"/>
                <w:sz w:val="24"/>
                <w:highlight w:val="none"/>
                <w:u w:val="single"/>
              </w:rPr>
              <w:t xml:space="preserve">               元</w:t>
            </w:r>
          </w:p>
          <w:p>
            <w:pPr>
              <w:spacing w:after="120"/>
              <w:rPr>
                <w:rFonts w:ascii="宋体" w:hAnsi="宋体"/>
                <w:color w:val="auto"/>
                <w:kern w:val="0"/>
                <w:sz w:val="24"/>
                <w:highlight w:val="none"/>
              </w:rPr>
            </w:pPr>
          </w:p>
          <w:p>
            <w:pPr>
              <w:spacing w:line="360" w:lineRule="exact"/>
              <w:ind w:firstLine="240" w:firstLineChars="100"/>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小写 ：</w:t>
            </w:r>
            <w:r>
              <w:rPr>
                <w:rFonts w:hint="eastAsia" w:ascii="宋体" w:hAnsi="宋体" w:cs="宋体"/>
                <w:color w:val="auto"/>
                <w:kern w:val="0"/>
                <w:sz w:val="24"/>
                <w:highlight w:val="none"/>
                <w:u w:val="single"/>
              </w:rPr>
              <w:t>￥</w:t>
            </w:r>
            <w:r>
              <w:rPr>
                <w:rFonts w:hint="eastAsia" w:ascii="宋体" w:hAnsi="宋体" w:cs="仿宋"/>
                <w:color w:val="auto"/>
                <w:kern w:val="0"/>
                <w:sz w:val="24"/>
                <w:highlight w:val="none"/>
                <w:u w:val="single"/>
              </w:rPr>
              <w:t xml:space="preserve">            元</w:t>
            </w:r>
          </w:p>
          <w:p>
            <w:pPr>
              <w:spacing w:line="360" w:lineRule="exact"/>
              <w:ind w:firstLine="960" w:firstLineChars="400"/>
              <w:jc w:val="center"/>
              <w:textAlignment w:val="bottom"/>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1" w:hRule="atLeast"/>
        </w:trPr>
        <w:tc>
          <w:tcPr>
            <w:tcW w:w="9072" w:type="dxa"/>
            <w:gridSpan w:val="2"/>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440" w:lineRule="exact"/>
              <w:rPr>
                <w:rFonts w:hint="eastAsia" w:ascii="宋体" w:hAnsi="宋体"/>
                <w:b/>
                <w:color w:val="auto"/>
                <w:sz w:val="24"/>
                <w:highlight w:val="none"/>
              </w:rPr>
            </w:pPr>
            <w:r>
              <w:rPr>
                <w:rFonts w:hint="eastAsia" w:ascii="宋体" w:hAnsi="宋体"/>
                <w:b/>
                <w:color w:val="auto"/>
                <w:sz w:val="24"/>
                <w:highlight w:val="none"/>
              </w:rPr>
              <w:t>备注：1.报价表须按照以上格式填写。</w:t>
            </w:r>
          </w:p>
          <w:p>
            <w:pPr>
              <w:ind w:firstLine="723" w:firstLineChars="300"/>
              <w:rPr>
                <w:rFonts w:ascii="宋体" w:hAnsi="宋体" w:cs="仿宋"/>
                <w:color w:val="auto"/>
                <w:kern w:val="0"/>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本项目为固定综合单价合同。合同价包括①货物的材料价：包括原材料费、辅助材料费、利润、增值税专用发票；②货物的运杂费：货物运至最终目的地的运输费、装车费、卸车费（含业主要求分多批次进行供货,同一批次卸货地点可以有多个地点，供应商考虑上述因素后进行综合报价）、有关部门的手续费、采购与保管费、包装费；③货物的安装费：含管线预埋、基础工程、安装调试、地面修复至原样、垃圾清运等）、现场相关配合费；④风险费:原材料的涨价、政策性调整等风险；⑤如取得合同，对货物将支付的任何销售税和其他税费；⑥验收、税金、检测、售后服务等所有相关费用；请各供应商在报价时充分考虑上述各种因素。</w:t>
            </w:r>
          </w:p>
        </w:tc>
      </w:tr>
    </w:tbl>
    <w:p>
      <w:pPr>
        <w:pStyle w:val="11"/>
        <w:ind w:left="0" w:leftChars="0"/>
        <w:rPr>
          <w:rFonts w:hint="eastAsia"/>
          <w:color w:val="auto"/>
          <w:highlight w:val="none"/>
        </w:rPr>
      </w:pPr>
    </w:p>
    <w:p>
      <w:pPr>
        <w:spacing w:line="400" w:lineRule="exact"/>
        <w:ind w:left="-142"/>
        <w:rPr>
          <w:rFonts w:hint="eastAsia" w:ascii="楷体_GB2312" w:eastAsia="楷体_GB2312"/>
          <w:color w:val="auto"/>
          <w:highlight w:val="none"/>
        </w:rPr>
      </w:pPr>
    </w:p>
    <w:p>
      <w:pPr>
        <w:pStyle w:val="11"/>
        <w:ind w:left="1260"/>
        <w:rPr>
          <w:rFonts w:hint="eastAsia"/>
          <w:color w:val="auto"/>
          <w:highlight w:val="none"/>
        </w:rPr>
      </w:pPr>
    </w:p>
    <w:p>
      <w:pPr>
        <w:spacing w:line="440" w:lineRule="exact"/>
        <w:jc w:val="left"/>
        <w:rPr>
          <w:rFonts w:hint="eastAsia" w:ascii="宋体" w:hAnsi="宋体" w:eastAsia="宋体" w:cs="宋体"/>
          <w:color w:val="auto"/>
          <w:spacing w:val="4"/>
          <w:sz w:val="28"/>
          <w:szCs w:val="28"/>
          <w:highlight w:val="none"/>
          <w:lang w:val="en-US" w:eastAsia="zh-CN"/>
        </w:rPr>
      </w:pP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417" w:bottom="1440" w:left="1587" w:header="851" w:footer="992" w:gutter="0"/>
          <w:pgBorders>
            <w:top w:val="none" w:sz="0" w:space="0"/>
            <w:left w:val="none" w:sz="0" w:space="0"/>
            <w:bottom w:val="none" w:sz="0" w:space="0"/>
            <w:right w:val="none" w:sz="0" w:space="0"/>
          </w:pgBorders>
          <w:pgNumType w:fmt="decimal"/>
          <w:cols w:space="720" w:num="1"/>
          <w:docGrid w:linePitch="360" w:charSpace="0"/>
        </w:sectPr>
      </w:pPr>
    </w:p>
    <w:p>
      <w:pPr>
        <w:rPr>
          <w:rFonts w:ascii="Times New Roman" w:hAnsi="Times New Roman" w:eastAsia="方正黑体_GBK"/>
          <w:sz w:val="32"/>
          <w:szCs w:val="32"/>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pPr>
        <w:jc w:val="center"/>
        <w:rPr>
          <w:rFonts w:hint="eastAsia"/>
          <w:b/>
          <w:bCs/>
          <w:sz w:val="32"/>
          <w:szCs w:val="40"/>
          <w:highlight w:val="yellow"/>
        </w:rPr>
      </w:pPr>
    </w:p>
    <w:p>
      <w:pPr>
        <w:jc w:val="center"/>
        <w:rPr>
          <w:b/>
          <w:bCs/>
          <w:sz w:val="32"/>
          <w:szCs w:val="40"/>
          <w:highlight w:val="none"/>
        </w:rPr>
      </w:pPr>
      <w:r>
        <w:rPr>
          <w:rFonts w:hint="eastAsia"/>
          <w:b/>
          <w:bCs/>
          <w:sz w:val="32"/>
          <w:szCs w:val="40"/>
          <w:highlight w:val="none"/>
        </w:rPr>
        <w:t>分项报价明细表</w:t>
      </w:r>
    </w:p>
    <w:tbl>
      <w:tblPr>
        <w:tblStyle w:val="18"/>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080"/>
        <w:gridCol w:w="1192"/>
        <w:gridCol w:w="837"/>
        <w:gridCol w:w="958"/>
        <w:gridCol w:w="709"/>
        <w:gridCol w:w="708"/>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1248"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序号</w:t>
            </w:r>
          </w:p>
        </w:tc>
        <w:tc>
          <w:tcPr>
            <w:tcW w:w="1080"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lang w:eastAsia="zh-CN"/>
              </w:rPr>
              <w:t>项目</w:t>
            </w:r>
            <w:r>
              <w:rPr>
                <w:rFonts w:hint="eastAsia" w:ascii="宋体" w:hAnsi="宋体" w:cs="宋体"/>
                <w:b/>
                <w:bCs/>
                <w:kern w:val="0"/>
                <w:sz w:val="21"/>
                <w:szCs w:val="21"/>
                <w:highlight w:val="none"/>
              </w:rPr>
              <w:t>名称</w:t>
            </w:r>
          </w:p>
        </w:tc>
        <w:tc>
          <w:tcPr>
            <w:tcW w:w="1192"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规格型号</w:t>
            </w:r>
          </w:p>
        </w:tc>
        <w:tc>
          <w:tcPr>
            <w:tcW w:w="837"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品牌</w:t>
            </w:r>
          </w:p>
        </w:tc>
        <w:tc>
          <w:tcPr>
            <w:tcW w:w="958" w:type="dxa"/>
          </w:tcPr>
          <w:p>
            <w:pPr>
              <w:snapToGrid w:val="0"/>
              <w:spacing w:line="240" w:lineRule="auto"/>
              <w:jc w:val="center"/>
              <w:rPr>
                <w:rFonts w:ascii="宋体" w:hAnsi="宋体"/>
                <w:b/>
                <w:color w:val="000000"/>
                <w:sz w:val="21"/>
                <w:szCs w:val="21"/>
                <w:highlight w:val="none"/>
              </w:rPr>
            </w:pPr>
            <w:r>
              <w:rPr>
                <w:rFonts w:hint="eastAsia" w:ascii="宋体" w:hAnsi="宋体"/>
                <w:b/>
                <w:color w:val="000000"/>
                <w:sz w:val="21"/>
                <w:szCs w:val="21"/>
                <w:highlight w:val="none"/>
              </w:rPr>
              <w:t>生产</w:t>
            </w:r>
            <w:r>
              <w:rPr>
                <w:rFonts w:ascii="宋体" w:hAnsi="宋体"/>
                <w:b/>
                <w:color w:val="000000"/>
                <w:sz w:val="21"/>
                <w:szCs w:val="21"/>
                <w:highlight w:val="none"/>
              </w:rPr>
              <w:t>厂家名称</w:t>
            </w:r>
          </w:p>
        </w:tc>
        <w:tc>
          <w:tcPr>
            <w:tcW w:w="709"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单位</w:t>
            </w:r>
          </w:p>
        </w:tc>
        <w:tc>
          <w:tcPr>
            <w:tcW w:w="708"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数量</w:t>
            </w:r>
          </w:p>
        </w:tc>
        <w:tc>
          <w:tcPr>
            <w:tcW w:w="886" w:type="dxa"/>
            <w:noWrap/>
            <w:vAlign w:val="center"/>
          </w:tcPr>
          <w:p>
            <w:pPr>
              <w:spacing w:line="240" w:lineRule="auto"/>
              <w:jc w:val="center"/>
              <w:rPr>
                <w:rFonts w:hint="eastAsia" w:ascii="宋体" w:hAnsi="宋体" w:eastAsia="宋体" w:cs="宋体"/>
                <w:b/>
                <w:bCs/>
                <w:kern w:val="0"/>
                <w:sz w:val="21"/>
                <w:szCs w:val="21"/>
                <w:highlight w:val="none"/>
                <w:lang w:eastAsia="zh-CN"/>
              </w:rPr>
            </w:pPr>
            <w:r>
              <w:rPr>
                <w:rFonts w:hint="eastAsia" w:ascii="宋体" w:hAnsi="宋体" w:cs="宋体"/>
                <w:b/>
                <w:bCs/>
                <w:kern w:val="0"/>
                <w:sz w:val="21"/>
                <w:szCs w:val="21"/>
                <w:highlight w:val="none"/>
              </w:rPr>
              <w:t>单价</w:t>
            </w:r>
            <w:r>
              <w:rPr>
                <w:rFonts w:hint="eastAsia" w:ascii="宋体" w:hAnsi="宋体" w:cs="宋体"/>
                <w:b/>
                <w:bCs/>
                <w:kern w:val="0"/>
                <w:sz w:val="21"/>
                <w:szCs w:val="21"/>
                <w:highlight w:val="none"/>
                <w:lang w:eastAsia="zh-CN"/>
              </w:rPr>
              <w:t>（元）</w:t>
            </w:r>
          </w:p>
        </w:tc>
        <w:tc>
          <w:tcPr>
            <w:tcW w:w="1399" w:type="dxa"/>
            <w:noWrap/>
            <w:vAlign w:val="center"/>
          </w:tcPr>
          <w:p>
            <w:pPr>
              <w:spacing w:line="240" w:lineRule="auto"/>
              <w:jc w:val="center"/>
              <w:rPr>
                <w:rFonts w:hint="eastAsia" w:ascii="宋体" w:hAnsi="宋体" w:eastAsia="宋体" w:cs="宋体"/>
                <w:b/>
                <w:bCs/>
                <w:kern w:val="0"/>
                <w:sz w:val="21"/>
                <w:szCs w:val="21"/>
                <w:highlight w:val="none"/>
                <w:lang w:eastAsia="zh-CN"/>
              </w:rPr>
            </w:pPr>
            <w:r>
              <w:rPr>
                <w:rFonts w:hint="eastAsia" w:ascii="宋体" w:hAnsi="宋体" w:cs="宋体"/>
                <w:b/>
                <w:bCs/>
                <w:kern w:val="0"/>
                <w:sz w:val="21"/>
                <w:szCs w:val="21"/>
                <w:highlight w:val="none"/>
              </w:rPr>
              <w:t>金额小计</w:t>
            </w:r>
            <w:r>
              <w:rPr>
                <w:rFonts w:hint="eastAsia" w:ascii="宋体" w:hAnsi="宋体" w:cs="宋体"/>
                <w:b/>
                <w:bCs/>
                <w:kern w:val="0"/>
                <w:sz w:val="21"/>
                <w:szCs w:val="21"/>
                <w:highlight w:val="none"/>
                <w:lang w:eastAsia="zh-CN"/>
              </w:rPr>
              <w:t>（元）</w:t>
            </w:r>
          </w:p>
        </w:tc>
        <w:tc>
          <w:tcPr>
            <w:tcW w:w="1506" w:type="dxa"/>
            <w:noWrap/>
            <w:vAlign w:val="center"/>
          </w:tcPr>
          <w:p>
            <w:pPr>
              <w:spacing w:line="240" w:lineRule="auto"/>
              <w:jc w:val="center"/>
              <w:rPr>
                <w:rFonts w:ascii="宋体" w:hAnsi="宋体" w:cs="宋体"/>
                <w:b/>
                <w:bCs/>
                <w:kern w:val="0"/>
                <w:sz w:val="21"/>
                <w:szCs w:val="21"/>
                <w:highlight w:val="none"/>
              </w:rPr>
            </w:pPr>
            <w:r>
              <w:rPr>
                <w:rFonts w:hint="eastAsia" w:ascii="宋体" w:hAnsi="宋体" w:cs="宋体"/>
                <w:b/>
                <w:bCs/>
                <w:kern w:val="0"/>
                <w:sz w:val="21"/>
                <w:szCs w:val="21"/>
                <w:highlight w:val="none"/>
              </w:rPr>
              <w:t>备注</w:t>
            </w:r>
            <w:r>
              <w:rPr>
                <w:rFonts w:hint="eastAsia" w:ascii="宋体" w:hAnsi="宋体"/>
                <w:b/>
                <w:color w:val="FF0000"/>
                <w:sz w:val="21"/>
                <w:szCs w:val="21"/>
                <w:highlight w:val="none"/>
              </w:rPr>
              <w:t>（是否为主要标的）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1080" w:type="dxa"/>
            <w:noWrap/>
            <w:vAlign w:val="center"/>
          </w:tcPr>
          <w:p>
            <w:pPr>
              <w:jc w:val="center"/>
              <w:rPr>
                <w:rFonts w:ascii="宋体" w:hAnsi="宋体" w:cs="宋体"/>
                <w:kern w:val="0"/>
                <w:sz w:val="21"/>
                <w:szCs w:val="21"/>
                <w:highlight w:val="none"/>
              </w:rPr>
            </w:pPr>
          </w:p>
        </w:tc>
        <w:tc>
          <w:tcPr>
            <w:tcW w:w="1192" w:type="dxa"/>
            <w:noWrap/>
            <w:vAlign w:val="center"/>
          </w:tcPr>
          <w:p>
            <w:pPr>
              <w:jc w:val="center"/>
              <w:rPr>
                <w:rFonts w:ascii="宋体" w:hAnsi="宋体" w:cs="宋体"/>
                <w:kern w:val="0"/>
                <w:sz w:val="21"/>
                <w:szCs w:val="21"/>
                <w:highlight w:val="none"/>
              </w:rPr>
            </w:pPr>
          </w:p>
        </w:tc>
        <w:tc>
          <w:tcPr>
            <w:tcW w:w="837" w:type="dxa"/>
            <w:noWrap/>
            <w:vAlign w:val="center"/>
          </w:tcPr>
          <w:p>
            <w:pPr>
              <w:jc w:val="center"/>
              <w:rPr>
                <w:rFonts w:ascii="宋体" w:hAnsi="宋体" w:cs="宋体"/>
                <w:kern w:val="0"/>
                <w:sz w:val="21"/>
                <w:szCs w:val="21"/>
                <w:highlight w:val="none"/>
              </w:rPr>
            </w:pPr>
          </w:p>
        </w:tc>
        <w:tc>
          <w:tcPr>
            <w:tcW w:w="958" w:type="dxa"/>
          </w:tcPr>
          <w:p>
            <w:pPr>
              <w:jc w:val="center"/>
              <w:rPr>
                <w:rFonts w:ascii="宋体" w:hAnsi="宋体" w:cs="宋体"/>
                <w:kern w:val="0"/>
                <w:sz w:val="21"/>
                <w:szCs w:val="21"/>
                <w:highlight w:val="none"/>
              </w:rPr>
            </w:pPr>
          </w:p>
        </w:tc>
        <w:tc>
          <w:tcPr>
            <w:tcW w:w="709" w:type="dxa"/>
            <w:noWrap/>
            <w:vAlign w:val="center"/>
          </w:tcPr>
          <w:p>
            <w:pPr>
              <w:jc w:val="center"/>
              <w:rPr>
                <w:rFonts w:ascii="宋体" w:hAnsi="宋体" w:cs="宋体"/>
                <w:kern w:val="0"/>
                <w:sz w:val="21"/>
                <w:szCs w:val="21"/>
                <w:highlight w:val="none"/>
              </w:rPr>
            </w:pPr>
          </w:p>
        </w:tc>
        <w:tc>
          <w:tcPr>
            <w:tcW w:w="708" w:type="dxa"/>
            <w:noWrap/>
            <w:vAlign w:val="center"/>
          </w:tcPr>
          <w:p>
            <w:pPr>
              <w:jc w:val="center"/>
              <w:rPr>
                <w:rFonts w:ascii="宋体" w:hAnsi="宋体" w:cs="宋体"/>
                <w:kern w:val="0"/>
                <w:sz w:val="21"/>
                <w:szCs w:val="21"/>
                <w:highlight w:val="none"/>
              </w:rPr>
            </w:pPr>
          </w:p>
        </w:tc>
        <w:tc>
          <w:tcPr>
            <w:tcW w:w="886" w:type="dxa"/>
            <w:noWrap/>
            <w:vAlign w:val="center"/>
          </w:tcPr>
          <w:p>
            <w:pPr>
              <w:jc w:val="center"/>
              <w:rPr>
                <w:rFonts w:ascii="宋体" w:hAnsi="宋体" w:cs="宋体"/>
                <w:kern w:val="0"/>
                <w:sz w:val="21"/>
                <w:szCs w:val="21"/>
                <w:highlight w:val="none"/>
              </w:rPr>
            </w:pPr>
          </w:p>
        </w:tc>
        <w:tc>
          <w:tcPr>
            <w:tcW w:w="1399" w:type="dxa"/>
            <w:noWrap/>
            <w:vAlign w:val="center"/>
          </w:tcPr>
          <w:p>
            <w:pPr>
              <w:jc w:val="center"/>
              <w:rPr>
                <w:rFonts w:ascii="宋体" w:hAnsi="宋体" w:cs="宋体"/>
                <w:kern w:val="0"/>
                <w:sz w:val="21"/>
                <w:szCs w:val="21"/>
                <w:highlight w:val="none"/>
              </w:rPr>
            </w:pPr>
          </w:p>
        </w:tc>
        <w:tc>
          <w:tcPr>
            <w:tcW w:w="1506" w:type="dxa"/>
            <w:noWrap/>
            <w:vAlign w:val="center"/>
          </w:tcPr>
          <w:p>
            <w:pPr>
              <w:jc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080" w:type="dxa"/>
            <w:noWrap/>
            <w:vAlign w:val="center"/>
          </w:tcPr>
          <w:p>
            <w:pPr>
              <w:jc w:val="center"/>
              <w:rPr>
                <w:rFonts w:ascii="宋体" w:hAnsi="宋体" w:cs="宋体"/>
                <w:kern w:val="0"/>
                <w:sz w:val="21"/>
                <w:szCs w:val="21"/>
                <w:highlight w:val="none"/>
              </w:rPr>
            </w:pPr>
          </w:p>
        </w:tc>
        <w:tc>
          <w:tcPr>
            <w:tcW w:w="1192" w:type="dxa"/>
            <w:noWrap/>
            <w:vAlign w:val="center"/>
          </w:tcPr>
          <w:p>
            <w:pPr>
              <w:jc w:val="center"/>
              <w:rPr>
                <w:rFonts w:ascii="宋体" w:hAnsi="宋体" w:cs="宋体"/>
                <w:kern w:val="0"/>
                <w:sz w:val="21"/>
                <w:szCs w:val="21"/>
                <w:highlight w:val="none"/>
              </w:rPr>
            </w:pPr>
          </w:p>
        </w:tc>
        <w:tc>
          <w:tcPr>
            <w:tcW w:w="837" w:type="dxa"/>
            <w:noWrap/>
            <w:vAlign w:val="center"/>
          </w:tcPr>
          <w:p>
            <w:pPr>
              <w:jc w:val="center"/>
              <w:rPr>
                <w:rFonts w:ascii="宋体" w:hAnsi="宋体" w:cs="宋体"/>
                <w:kern w:val="0"/>
                <w:sz w:val="21"/>
                <w:szCs w:val="21"/>
                <w:highlight w:val="none"/>
              </w:rPr>
            </w:pPr>
          </w:p>
        </w:tc>
        <w:tc>
          <w:tcPr>
            <w:tcW w:w="958" w:type="dxa"/>
          </w:tcPr>
          <w:p>
            <w:pPr>
              <w:jc w:val="center"/>
              <w:rPr>
                <w:rFonts w:ascii="宋体" w:hAnsi="宋体" w:cs="宋体"/>
                <w:kern w:val="0"/>
                <w:sz w:val="21"/>
                <w:szCs w:val="21"/>
                <w:highlight w:val="none"/>
              </w:rPr>
            </w:pPr>
          </w:p>
        </w:tc>
        <w:tc>
          <w:tcPr>
            <w:tcW w:w="709" w:type="dxa"/>
            <w:noWrap/>
            <w:vAlign w:val="center"/>
          </w:tcPr>
          <w:p>
            <w:pPr>
              <w:jc w:val="center"/>
              <w:rPr>
                <w:rFonts w:ascii="宋体" w:hAnsi="宋体" w:cs="宋体"/>
                <w:kern w:val="0"/>
                <w:sz w:val="21"/>
                <w:szCs w:val="21"/>
                <w:highlight w:val="none"/>
              </w:rPr>
            </w:pPr>
          </w:p>
        </w:tc>
        <w:tc>
          <w:tcPr>
            <w:tcW w:w="708" w:type="dxa"/>
            <w:noWrap/>
            <w:vAlign w:val="center"/>
          </w:tcPr>
          <w:p>
            <w:pPr>
              <w:jc w:val="center"/>
              <w:rPr>
                <w:rFonts w:ascii="宋体" w:hAnsi="宋体" w:cs="宋体"/>
                <w:kern w:val="0"/>
                <w:sz w:val="21"/>
                <w:szCs w:val="21"/>
                <w:highlight w:val="none"/>
              </w:rPr>
            </w:pPr>
          </w:p>
        </w:tc>
        <w:tc>
          <w:tcPr>
            <w:tcW w:w="886" w:type="dxa"/>
            <w:noWrap/>
            <w:vAlign w:val="center"/>
          </w:tcPr>
          <w:p>
            <w:pPr>
              <w:jc w:val="center"/>
              <w:rPr>
                <w:rFonts w:ascii="宋体" w:hAnsi="宋体" w:cs="宋体"/>
                <w:kern w:val="0"/>
                <w:sz w:val="21"/>
                <w:szCs w:val="21"/>
                <w:highlight w:val="none"/>
              </w:rPr>
            </w:pPr>
          </w:p>
        </w:tc>
        <w:tc>
          <w:tcPr>
            <w:tcW w:w="1399" w:type="dxa"/>
            <w:noWrap/>
            <w:vAlign w:val="center"/>
          </w:tcPr>
          <w:p>
            <w:pPr>
              <w:jc w:val="center"/>
              <w:rPr>
                <w:rFonts w:ascii="宋体" w:hAnsi="宋体" w:cs="宋体"/>
                <w:kern w:val="0"/>
                <w:sz w:val="21"/>
                <w:szCs w:val="21"/>
                <w:highlight w:val="none"/>
              </w:rPr>
            </w:pPr>
          </w:p>
        </w:tc>
        <w:tc>
          <w:tcPr>
            <w:tcW w:w="1506" w:type="dxa"/>
            <w:noWrap/>
            <w:vAlign w:val="center"/>
          </w:tcPr>
          <w:p>
            <w:pPr>
              <w:jc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1080" w:type="dxa"/>
            <w:noWrap/>
            <w:vAlign w:val="center"/>
          </w:tcPr>
          <w:p>
            <w:pPr>
              <w:jc w:val="center"/>
              <w:rPr>
                <w:rFonts w:ascii="宋体" w:hAnsi="宋体" w:cs="宋体"/>
                <w:kern w:val="0"/>
                <w:sz w:val="21"/>
                <w:szCs w:val="21"/>
                <w:highlight w:val="none"/>
              </w:rPr>
            </w:pPr>
          </w:p>
        </w:tc>
        <w:tc>
          <w:tcPr>
            <w:tcW w:w="1192" w:type="dxa"/>
            <w:noWrap/>
            <w:vAlign w:val="center"/>
          </w:tcPr>
          <w:p>
            <w:pPr>
              <w:jc w:val="center"/>
              <w:rPr>
                <w:rFonts w:ascii="宋体" w:hAnsi="宋体" w:cs="宋体"/>
                <w:kern w:val="0"/>
                <w:sz w:val="21"/>
                <w:szCs w:val="21"/>
                <w:highlight w:val="none"/>
              </w:rPr>
            </w:pPr>
          </w:p>
        </w:tc>
        <w:tc>
          <w:tcPr>
            <w:tcW w:w="837" w:type="dxa"/>
            <w:noWrap/>
            <w:vAlign w:val="center"/>
          </w:tcPr>
          <w:p>
            <w:pPr>
              <w:jc w:val="center"/>
              <w:rPr>
                <w:rFonts w:ascii="宋体" w:hAnsi="宋体" w:cs="宋体"/>
                <w:kern w:val="0"/>
                <w:sz w:val="21"/>
                <w:szCs w:val="21"/>
                <w:highlight w:val="none"/>
              </w:rPr>
            </w:pPr>
          </w:p>
        </w:tc>
        <w:tc>
          <w:tcPr>
            <w:tcW w:w="958" w:type="dxa"/>
          </w:tcPr>
          <w:p>
            <w:pPr>
              <w:jc w:val="center"/>
              <w:rPr>
                <w:rFonts w:ascii="宋体" w:hAnsi="宋体" w:cs="宋体"/>
                <w:kern w:val="0"/>
                <w:sz w:val="21"/>
                <w:szCs w:val="21"/>
                <w:highlight w:val="none"/>
              </w:rPr>
            </w:pPr>
          </w:p>
        </w:tc>
        <w:tc>
          <w:tcPr>
            <w:tcW w:w="709" w:type="dxa"/>
            <w:noWrap/>
            <w:vAlign w:val="center"/>
          </w:tcPr>
          <w:p>
            <w:pPr>
              <w:jc w:val="center"/>
              <w:rPr>
                <w:rFonts w:ascii="宋体" w:hAnsi="宋体" w:cs="宋体"/>
                <w:kern w:val="0"/>
                <w:sz w:val="21"/>
                <w:szCs w:val="21"/>
                <w:highlight w:val="none"/>
              </w:rPr>
            </w:pPr>
          </w:p>
        </w:tc>
        <w:tc>
          <w:tcPr>
            <w:tcW w:w="708" w:type="dxa"/>
            <w:noWrap/>
            <w:vAlign w:val="center"/>
          </w:tcPr>
          <w:p>
            <w:pPr>
              <w:jc w:val="center"/>
              <w:rPr>
                <w:rFonts w:ascii="宋体" w:hAnsi="宋体" w:cs="宋体"/>
                <w:kern w:val="0"/>
                <w:sz w:val="21"/>
                <w:szCs w:val="21"/>
                <w:highlight w:val="none"/>
              </w:rPr>
            </w:pPr>
          </w:p>
        </w:tc>
        <w:tc>
          <w:tcPr>
            <w:tcW w:w="886" w:type="dxa"/>
            <w:noWrap/>
            <w:vAlign w:val="center"/>
          </w:tcPr>
          <w:p>
            <w:pPr>
              <w:jc w:val="center"/>
              <w:rPr>
                <w:rFonts w:ascii="宋体" w:hAnsi="宋体" w:cs="宋体"/>
                <w:kern w:val="0"/>
                <w:sz w:val="21"/>
                <w:szCs w:val="21"/>
                <w:highlight w:val="none"/>
              </w:rPr>
            </w:pPr>
          </w:p>
        </w:tc>
        <w:tc>
          <w:tcPr>
            <w:tcW w:w="1399" w:type="dxa"/>
            <w:noWrap/>
            <w:vAlign w:val="center"/>
          </w:tcPr>
          <w:p>
            <w:pPr>
              <w:jc w:val="center"/>
              <w:rPr>
                <w:rFonts w:ascii="宋体" w:hAnsi="宋体" w:cs="宋体"/>
                <w:kern w:val="0"/>
                <w:sz w:val="21"/>
                <w:szCs w:val="21"/>
                <w:highlight w:val="none"/>
              </w:rPr>
            </w:pPr>
          </w:p>
        </w:tc>
        <w:tc>
          <w:tcPr>
            <w:tcW w:w="1506" w:type="dxa"/>
            <w:noWrap/>
            <w:vAlign w:val="center"/>
          </w:tcPr>
          <w:p>
            <w:pPr>
              <w:jc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ascii="宋体" w:hAnsi="宋体" w:cs="宋体"/>
                <w:sz w:val="21"/>
                <w:szCs w:val="21"/>
                <w:highlight w:val="none"/>
              </w:rPr>
            </w:pPr>
          </w:p>
        </w:tc>
        <w:tc>
          <w:tcPr>
            <w:tcW w:w="1080" w:type="dxa"/>
            <w:noWrap/>
            <w:vAlign w:val="center"/>
          </w:tcPr>
          <w:p>
            <w:pPr>
              <w:snapToGrid w:val="0"/>
              <w:spacing w:line="360" w:lineRule="auto"/>
              <w:jc w:val="center"/>
              <w:rPr>
                <w:rFonts w:ascii="宋体" w:hAnsi="宋体" w:cs="宋体"/>
                <w:sz w:val="21"/>
                <w:szCs w:val="21"/>
                <w:highlight w:val="none"/>
              </w:rPr>
            </w:pPr>
          </w:p>
        </w:tc>
        <w:tc>
          <w:tcPr>
            <w:tcW w:w="1192" w:type="dxa"/>
            <w:noWrap/>
            <w:vAlign w:val="center"/>
          </w:tcPr>
          <w:p>
            <w:pPr>
              <w:snapToGrid w:val="0"/>
              <w:spacing w:line="360" w:lineRule="auto"/>
              <w:jc w:val="center"/>
              <w:rPr>
                <w:rFonts w:ascii="宋体" w:hAnsi="宋体" w:cs="宋体"/>
                <w:sz w:val="21"/>
                <w:szCs w:val="21"/>
                <w:highlight w:val="none"/>
              </w:rPr>
            </w:pPr>
          </w:p>
        </w:tc>
        <w:tc>
          <w:tcPr>
            <w:tcW w:w="837" w:type="dxa"/>
            <w:noWrap/>
            <w:vAlign w:val="center"/>
          </w:tcPr>
          <w:p>
            <w:pPr>
              <w:snapToGrid w:val="0"/>
              <w:spacing w:line="360" w:lineRule="auto"/>
              <w:jc w:val="center"/>
              <w:rPr>
                <w:rFonts w:ascii="宋体" w:hAnsi="宋体" w:cs="宋体"/>
                <w:sz w:val="21"/>
                <w:szCs w:val="21"/>
                <w:highlight w:val="none"/>
              </w:rPr>
            </w:pPr>
          </w:p>
        </w:tc>
        <w:tc>
          <w:tcPr>
            <w:tcW w:w="958" w:type="dxa"/>
          </w:tcPr>
          <w:p>
            <w:pPr>
              <w:snapToGrid w:val="0"/>
              <w:spacing w:line="360" w:lineRule="auto"/>
              <w:jc w:val="center"/>
              <w:rPr>
                <w:rFonts w:ascii="宋体" w:hAnsi="宋体" w:cs="宋体"/>
                <w:sz w:val="21"/>
                <w:szCs w:val="21"/>
                <w:highlight w:val="none"/>
              </w:rPr>
            </w:pPr>
          </w:p>
        </w:tc>
        <w:tc>
          <w:tcPr>
            <w:tcW w:w="709" w:type="dxa"/>
            <w:noWrap/>
            <w:vAlign w:val="center"/>
          </w:tcPr>
          <w:p>
            <w:pPr>
              <w:snapToGrid w:val="0"/>
              <w:spacing w:line="360" w:lineRule="auto"/>
              <w:jc w:val="center"/>
              <w:rPr>
                <w:rFonts w:ascii="宋体" w:hAnsi="宋体" w:cs="宋体"/>
                <w:sz w:val="21"/>
                <w:szCs w:val="21"/>
                <w:highlight w:val="none"/>
              </w:rPr>
            </w:pPr>
          </w:p>
        </w:tc>
        <w:tc>
          <w:tcPr>
            <w:tcW w:w="708" w:type="dxa"/>
            <w:noWrap/>
            <w:vAlign w:val="center"/>
          </w:tcPr>
          <w:p>
            <w:pPr>
              <w:snapToGrid w:val="0"/>
              <w:spacing w:line="360" w:lineRule="auto"/>
              <w:jc w:val="center"/>
              <w:rPr>
                <w:rFonts w:ascii="宋体" w:hAnsi="宋体" w:cs="宋体"/>
                <w:sz w:val="21"/>
                <w:szCs w:val="21"/>
                <w:highlight w:val="none"/>
              </w:rPr>
            </w:pPr>
          </w:p>
        </w:tc>
        <w:tc>
          <w:tcPr>
            <w:tcW w:w="886" w:type="dxa"/>
            <w:noWrap/>
            <w:vAlign w:val="center"/>
          </w:tcPr>
          <w:p>
            <w:pPr>
              <w:snapToGrid w:val="0"/>
              <w:spacing w:line="360" w:lineRule="auto"/>
              <w:jc w:val="center"/>
              <w:rPr>
                <w:rFonts w:ascii="宋体" w:hAnsi="宋体" w:cs="宋体"/>
                <w:sz w:val="21"/>
                <w:szCs w:val="21"/>
                <w:highlight w:val="none"/>
              </w:rPr>
            </w:pPr>
          </w:p>
        </w:tc>
        <w:tc>
          <w:tcPr>
            <w:tcW w:w="1399" w:type="dxa"/>
            <w:noWrap/>
            <w:vAlign w:val="center"/>
          </w:tcPr>
          <w:p>
            <w:pPr>
              <w:snapToGrid w:val="0"/>
              <w:spacing w:line="360" w:lineRule="auto"/>
              <w:jc w:val="center"/>
              <w:rPr>
                <w:rFonts w:ascii="宋体" w:hAnsi="宋体" w:cs="宋体"/>
                <w:sz w:val="21"/>
                <w:szCs w:val="21"/>
                <w:highlight w:val="none"/>
              </w:rPr>
            </w:pPr>
          </w:p>
        </w:tc>
        <w:tc>
          <w:tcPr>
            <w:tcW w:w="1506" w:type="dxa"/>
            <w:noWrap/>
            <w:vAlign w:val="center"/>
          </w:tcPr>
          <w:p>
            <w:pPr>
              <w:snapToGrid w:val="0"/>
              <w:spacing w:line="360"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ascii="宋体" w:hAnsi="宋体" w:cs="宋体"/>
                <w:sz w:val="21"/>
                <w:szCs w:val="21"/>
                <w:highlight w:val="none"/>
              </w:rPr>
            </w:pPr>
            <w:r>
              <w:rPr>
                <w:rFonts w:hint="eastAsia" w:ascii="宋体" w:hAnsi="宋体" w:cs="宋体"/>
                <w:b/>
                <w:bCs/>
                <w:sz w:val="21"/>
                <w:szCs w:val="21"/>
                <w:highlight w:val="none"/>
              </w:rPr>
              <w:t>金额合计</w:t>
            </w:r>
          </w:p>
        </w:tc>
        <w:tc>
          <w:tcPr>
            <w:tcW w:w="9275" w:type="dxa"/>
            <w:gridSpan w:val="9"/>
            <w:vAlign w:val="center"/>
          </w:tcPr>
          <w:p>
            <w:pPr>
              <w:snapToGrid w:val="0"/>
              <w:spacing w:line="360" w:lineRule="auto"/>
              <w:jc w:val="center"/>
              <w:rPr>
                <w:rFonts w:ascii="宋体" w:hAnsi="宋体" w:cs="宋体"/>
                <w:sz w:val="21"/>
                <w:szCs w:val="21"/>
                <w:highlight w:val="none"/>
              </w:rPr>
            </w:pPr>
          </w:p>
        </w:tc>
      </w:tr>
    </w:tbl>
    <w:p>
      <w:pPr>
        <w:snapToGrid w:val="0"/>
        <w:spacing w:line="400" w:lineRule="exact"/>
        <w:ind w:left="984" w:hanging="984" w:hangingChars="350"/>
        <w:rPr>
          <w:rFonts w:ascii="仿宋_GB2312" w:eastAsia="仿宋_GB2312"/>
          <w:b/>
          <w:bCs/>
          <w:sz w:val="28"/>
          <w:szCs w:val="28"/>
          <w:highlight w:val="yellow"/>
        </w:rPr>
      </w:pPr>
    </w:p>
    <w:p>
      <w:pPr>
        <w:snapToGrid w:val="0"/>
        <w:spacing w:line="360" w:lineRule="auto"/>
        <w:rPr>
          <w:rFonts w:ascii="宋体" w:hAnsi="宋体" w:cs="宋体"/>
          <w:b/>
          <w:sz w:val="24"/>
          <w:lang w:val="zh-CN"/>
        </w:rPr>
      </w:pPr>
      <w:r>
        <w:rPr>
          <w:rFonts w:hint="eastAsia" w:ascii="宋体" w:hAnsi="宋体" w:cs="宋体"/>
          <w:b/>
          <w:sz w:val="24"/>
        </w:rPr>
        <w:t>注： 1.本项目一次性报价，</w:t>
      </w:r>
      <w:r>
        <w:rPr>
          <w:rFonts w:hint="eastAsia" w:ascii="宋体" w:hAnsi="宋体" w:cs="宋体"/>
          <w:b/>
          <w:sz w:val="24"/>
          <w:lang w:val="zh-CN"/>
        </w:rPr>
        <w:t>供应商必须详细报出采购清单中各个子项的名称、品牌、生产</w:t>
      </w:r>
      <w:r>
        <w:rPr>
          <w:rFonts w:ascii="宋体" w:hAnsi="宋体" w:cs="宋体"/>
          <w:b/>
          <w:sz w:val="24"/>
          <w:lang w:val="zh-CN"/>
        </w:rPr>
        <w:t>厂家名称</w:t>
      </w:r>
      <w:r>
        <w:rPr>
          <w:rFonts w:hint="eastAsia" w:ascii="宋体" w:hAnsi="宋体" w:cs="宋体"/>
          <w:b/>
          <w:sz w:val="24"/>
          <w:lang w:val="zh-CN"/>
        </w:rPr>
        <w:t>、规格型号、数量、单价、备注中的内容等，且本表各分项报价合计应当与报价总表中的响应总报价相等。请各供应商务必按照以上要求填报，否则作为无效投标处理。</w:t>
      </w:r>
    </w:p>
    <w:p>
      <w:pPr>
        <w:adjustRightInd w:val="0"/>
        <w:snapToGrid w:val="0"/>
        <w:spacing w:line="360" w:lineRule="auto"/>
        <w:ind w:firstLine="602" w:firstLineChars="250"/>
        <w:jc w:val="left"/>
        <w:rPr>
          <w:rFonts w:ascii="宋体" w:hAnsi="宋体" w:cs="宋体"/>
          <w:b/>
          <w:bCs/>
          <w:sz w:val="24"/>
        </w:rPr>
      </w:pPr>
      <w:r>
        <w:rPr>
          <w:rFonts w:hint="eastAsia" w:ascii="宋体" w:hAnsi="宋体" w:cs="宋体"/>
          <w:b/>
          <w:bCs/>
          <w:sz w:val="24"/>
        </w:rPr>
        <w:t>2.</w:t>
      </w:r>
      <w:r>
        <w:rPr>
          <w:rFonts w:hint="eastAsia" w:ascii="宋体" w:hAnsi="宋体" w:cs="宋体"/>
          <w:b/>
          <w:sz w:val="24"/>
          <w:lang w:val="zh-CN"/>
        </w:rPr>
        <w:t xml:space="preserve"> 供应商须详细备注主要标的信息，内容不实的，属于提供虚假材料谋取中标、成交，依照《中华人民共和国政府采购法》等国家有关规定追究相应责任。</w:t>
      </w:r>
    </w:p>
    <w:p>
      <w:pPr>
        <w:adjustRightInd w:val="0"/>
        <w:snapToGrid w:val="0"/>
        <w:spacing w:line="360" w:lineRule="auto"/>
        <w:ind w:firstLine="3360" w:firstLineChars="1400"/>
        <w:jc w:val="left"/>
        <w:rPr>
          <w:rFonts w:hint="eastAsia" w:ascii="宋体" w:hAnsi="宋体" w:cs="宋体"/>
          <w:sz w:val="24"/>
          <w:szCs w:val="24"/>
        </w:rPr>
      </w:pPr>
    </w:p>
    <w:p>
      <w:pPr>
        <w:spacing w:line="360" w:lineRule="auto"/>
        <w:ind w:firstLine="3360" w:firstLineChars="1200"/>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p>
    <w:p>
      <w:pPr>
        <w:spacing w:line="360" w:lineRule="auto"/>
        <w:ind w:firstLine="3360" w:firstLineChars="1200"/>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11"/>
        <w:ind w:left="0" w:leftChars="0"/>
        <w:rPr>
          <w:rFonts w:hint="eastAsia"/>
          <w:color w:val="auto"/>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5" w:type="default"/>
          <w:footerReference r:id="rId6" w:type="even"/>
          <w:pgSz w:w="11906" w:h="16838"/>
          <w:pgMar w:top="1440" w:right="1417" w:bottom="1440" w:left="1587" w:header="851" w:footer="992" w:gutter="0"/>
          <w:pgBorders>
            <w:top w:val="none" w:sz="0" w:space="0"/>
            <w:left w:val="none" w:sz="0" w:space="0"/>
            <w:bottom w:val="none" w:sz="0" w:space="0"/>
            <w:right w:val="none" w:sz="0" w:space="0"/>
          </w:pgBorders>
          <w:pgNumType w:fmt="decimal"/>
          <w:cols w:space="720" w:num="1"/>
          <w:docGrid w:linePitch="360" w:charSpace="0"/>
        </w:sectPr>
      </w:pPr>
    </w:p>
    <w:p>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cs="宋体"/>
          <w:color w:val="auto"/>
          <w:sz w:val="28"/>
          <w:szCs w:val="28"/>
          <w:highlight w:val="none"/>
          <w:u w:val="single"/>
          <w:lang w:val="en-US" w:bidi="zh-CN"/>
        </w:rPr>
        <w:t xml:space="preserve">    </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cs="宋体"/>
          <w:color w:val="auto"/>
          <w:sz w:val="28"/>
          <w:szCs w:val="28"/>
          <w:highlight w:val="none"/>
          <w:u w:val="single"/>
          <w:lang w:val="en-US" w:bidi="zh-CN"/>
        </w:rPr>
        <w:t xml:space="preserve">       </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注：1.从业人员、营业收入、资产总额填报上一年度数据，无上一年度数据的新成立企业可不填报。</w:t>
      </w: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2.投标供应商须根据上述要求，详细列明货物清单中所有产品制造商的具体情况，否则不能享受中小企业扶持政策。</w:t>
      </w:r>
    </w:p>
    <w:p>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3.供应商按照本办法规定提供声明函内容不实的，属于提供虚假材料谋取中标、成交，依照《中华人民共和国政府采购法》等国家有关规定追究相应责任。</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10</w:t>
      </w:r>
    </w:p>
    <w:p>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rPr>
        <w:t>______单位的</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spacing w:line="588" w:lineRule="exact"/>
        <w:ind w:firstLine="560" w:firstLineChars="200"/>
        <w:rPr>
          <w:rFonts w:hint="eastAsia" w:ascii="宋体" w:hAnsi="宋体" w:eastAsia="宋体" w:cs="宋体"/>
          <w:color w:val="auto"/>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pacing w:line="588" w:lineRule="exact"/>
        <w:ind w:firstLine="560"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pacing w:line="588" w:lineRule="exact"/>
        <w:ind w:firstLine="584" w:firstLineChars="200"/>
        <w:rPr>
          <w:rFonts w:hint="eastAsia" w:ascii="宋体" w:hAnsi="宋体" w:eastAsia="宋体" w:cs="宋体"/>
          <w:color w:val="auto"/>
          <w:spacing w:val="6"/>
          <w:sz w:val="28"/>
          <w:szCs w:val="28"/>
          <w:highlight w:val="none"/>
        </w:rPr>
      </w:pPr>
    </w:p>
    <w:p>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pPr>
        <w:snapToGrid w:val="0"/>
        <w:spacing w:line="300" w:lineRule="auto"/>
        <w:outlineLvl w:val="0"/>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11</w:t>
      </w:r>
    </w:p>
    <w:p>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napToGrid w:val="0"/>
        <w:spacing w:line="30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ascii="宋体" w:hAnsi="宋体" w:eastAsia="宋体" w:cs="宋体"/>
          <w:bCs/>
          <w:color w:val="auto"/>
          <w:sz w:val="32"/>
          <w:szCs w:val="32"/>
          <w:highlight w:val="none"/>
          <w:lang w:bidi="ar"/>
        </w:rPr>
      </w:pPr>
      <w:r>
        <w:rPr>
          <w:rFonts w:hint="eastAsia" w:ascii="宋体" w:hAnsi="宋体" w:eastAsia="宋体" w:cs="宋体"/>
          <w:bCs/>
          <w:color w:val="auto"/>
          <w:sz w:val="32"/>
          <w:szCs w:val="32"/>
          <w:highlight w:val="none"/>
          <w:lang w:bidi="ar"/>
        </w:rPr>
        <w:br w:type="page"/>
      </w:r>
    </w:p>
    <w:p>
      <w:pPr>
        <w:rPr>
          <w:rFonts w:hint="default"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12</w:t>
      </w:r>
    </w:p>
    <w:p>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pPr>
        <w:adjustRightInd w:val="0"/>
        <w:snapToGrid w:val="0"/>
        <w:spacing w:line="312" w:lineRule="auto"/>
        <w:rPr>
          <w:rFonts w:hint="eastAsia" w:ascii="宋体" w:hAnsi="宋体" w:eastAsia="宋体" w:cs="宋体"/>
          <w:color w:val="auto"/>
          <w:sz w:val="28"/>
          <w:szCs w:val="28"/>
          <w:highlight w:val="none"/>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pPr>
        <w:adjustRightInd w:val="0"/>
        <w:snapToGrid w:val="0"/>
        <w:spacing w:line="312" w:lineRule="auto"/>
        <w:rPr>
          <w:rFonts w:hint="eastAsia" w:ascii="宋体" w:hAnsi="宋体" w:eastAsia="宋体" w:cs="宋体"/>
          <w:color w:val="auto"/>
          <w:sz w:val="28"/>
          <w:szCs w:val="28"/>
          <w:highlight w:val="none"/>
          <w:u w:val="dotted"/>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288"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ind w:firstLine="458" w:firstLineChars="100"/>
        <w:jc w:val="center"/>
        <w:rPr>
          <w:rFonts w:hint="eastAsia" w:ascii="宋体" w:hAnsi="宋体" w:cs="宋体"/>
          <w:b/>
          <w:color w:val="auto"/>
          <w:spacing w:val="-11"/>
          <w:sz w:val="48"/>
          <w:szCs w:val="48"/>
          <w:highlight w:val="none"/>
          <w:lang w:val="zh-TW" w:eastAsia="zh-CN"/>
        </w:rPr>
      </w:pP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Times New Roman"/>
          <w:color w:val="auto"/>
          <w:sz w:val="24"/>
        </w:rPr>
      </w:pPr>
    </w:p>
    <w:sectPr>
      <w:headerReference r:id="rId7" w:type="default"/>
      <w:footerReference r:id="rId8" w:type="default"/>
      <w:pgSz w:w="11915" w:h="16840"/>
      <w:pgMar w:top="1440" w:right="1417" w:bottom="1304" w:left="1587" w:header="851" w:footer="850"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WZhMTBkYTBjYjk1NzgwYTdhMGY2OTA2OTUwOGI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37586"/>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31FCA"/>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2D212D8"/>
    <w:rsid w:val="03863E70"/>
    <w:rsid w:val="03A3046B"/>
    <w:rsid w:val="040A2CF3"/>
    <w:rsid w:val="04231D23"/>
    <w:rsid w:val="04951247"/>
    <w:rsid w:val="049525BD"/>
    <w:rsid w:val="04A15406"/>
    <w:rsid w:val="04A8035C"/>
    <w:rsid w:val="051E6A56"/>
    <w:rsid w:val="05353DA0"/>
    <w:rsid w:val="054A784B"/>
    <w:rsid w:val="055204AE"/>
    <w:rsid w:val="05685F23"/>
    <w:rsid w:val="057B186A"/>
    <w:rsid w:val="0591547A"/>
    <w:rsid w:val="05976809"/>
    <w:rsid w:val="05EA04B2"/>
    <w:rsid w:val="060D4AB0"/>
    <w:rsid w:val="06336531"/>
    <w:rsid w:val="06F207A1"/>
    <w:rsid w:val="06FA7309"/>
    <w:rsid w:val="075020E6"/>
    <w:rsid w:val="07585B24"/>
    <w:rsid w:val="075A2B50"/>
    <w:rsid w:val="078A58ED"/>
    <w:rsid w:val="08167EB9"/>
    <w:rsid w:val="08297BEC"/>
    <w:rsid w:val="082F4AD6"/>
    <w:rsid w:val="083245C7"/>
    <w:rsid w:val="08430582"/>
    <w:rsid w:val="085A3487"/>
    <w:rsid w:val="0878647D"/>
    <w:rsid w:val="089963F4"/>
    <w:rsid w:val="08B651F8"/>
    <w:rsid w:val="08E73603"/>
    <w:rsid w:val="08EC29C7"/>
    <w:rsid w:val="09491BC8"/>
    <w:rsid w:val="09646A02"/>
    <w:rsid w:val="09B62700"/>
    <w:rsid w:val="09D43B87"/>
    <w:rsid w:val="09E013D8"/>
    <w:rsid w:val="09F353A7"/>
    <w:rsid w:val="0A1026E6"/>
    <w:rsid w:val="0A2368BD"/>
    <w:rsid w:val="0A355414"/>
    <w:rsid w:val="0A5E78F5"/>
    <w:rsid w:val="0A821835"/>
    <w:rsid w:val="0A862501"/>
    <w:rsid w:val="0A894972"/>
    <w:rsid w:val="0ABB08A3"/>
    <w:rsid w:val="0ACE05D7"/>
    <w:rsid w:val="0AE0030A"/>
    <w:rsid w:val="0B3568A8"/>
    <w:rsid w:val="0B496E86"/>
    <w:rsid w:val="0B56577A"/>
    <w:rsid w:val="0B685928"/>
    <w:rsid w:val="0B700E0C"/>
    <w:rsid w:val="0BE502CE"/>
    <w:rsid w:val="0C1C35C4"/>
    <w:rsid w:val="0C460641"/>
    <w:rsid w:val="0C4C0FA5"/>
    <w:rsid w:val="0C550884"/>
    <w:rsid w:val="0C774C9E"/>
    <w:rsid w:val="0C7D22B4"/>
    <w:rsid w:val="0CC32F3E"/>
    <w:rsid w:val="0CC41FE6"/>
    <w:rsid w:val="0D15073F"/>
    <w:rsid w:val="0D474670"/>
    <w:rsid w:val="0D7C0F42"/>
    <w:rsid w:val="0D8E04F1"/>
    <w:rsid w:val="0DA96F8C"/>
    <w:rsid w:val="0E211365"/>
    <w:rsid w:val="0E3B3D37"/>
    <w:rsid w:val="0E867A2B"/>
    <w:rsid w:val="0EF10D38"/>
    <w:rsid w:val="0EF45FEF"/>
    <w:rsid w:val="0F2904D1"/>
    <w:rsid w:val="0F8D3FF6"/>
    <w:rsid w:val="0F9D4A1B"/>
    <w:rsid w:val="0FA1275E"/>
    <w:rsid w:val="0FFC0273"/>
    <w:rsid w:val="100F6863"/>
    <w:rsid w:val="101F6CD7"/>
    <w:rsid w:val="106A2B50"/>
    <w:rsid w:val="107B45E5"/>
    <w:rsid w:val="107C30FC"/>
    <w:rsid w:val="10DE1449"/>
    <w:rsid w:val="11185E54"/>
    <w:rsid w:val="111E1B8C"/>
    <w:rsid w:val="114A0BD3"/>
    <w:rsid w:val="116E1E80"/>
    <w:rsid w:val="117B2B3A"/>
    <w:rsid w:val="118C4D48"/>
    <w:rsid w:val="11FF551A"/>
    <w:rsid w:val="122B4561"/>
    <w:rsid w:val="12487CE3"/>
    <w:rsid w:val="125E66E4"/>
    <w:rsid w:val="127C39BF"/>
    <w:rsid w:val="12A762DD"/>
    <w:rsid w:val="12E60488"/>
    <w:rsid w:val="13255FEB"/>
    <w:rsid w:val="135C3EE8"/>
    <w:rsid w:val="13645F7C"/>
    <w:rsid w:val="13944495"/>
    <w:rsid w:val="13FF3EF7"/>
    <w:rsid w:val="14025795"/>
    <w:rsid w:val="14045069"/>
    <w:rsid w:val="14060DE1"/>
    <w:rsid w:val="14086E96"/>
    <w:rsid w:val="14105202"/>
    <w:rsid w:val="14593E59"/>
    <w:rsid w:val="147C10A3"/>
    <w:rsid w:val="15A8272D"/>
    <w:rsid w:val="15CC70C4"/>
    <w:rsid w:val="16276709"/>
    <w:rsid w:val="16314110"/>
    <w:rsid w:val="164825DB"/>
    <w:rsid w:val="164976AB"/>
    <w:rsid w:val="166E2C6E"/>
    <w:rsid w:val="170B670F"/>
    <w:rsid w:val="171E28E6"/>
    <w:rsid w:val="174165D4"/>
    <w:rsid w:val="174E602D"/>
    <w:rsid w:val="176C2274"/>
    <w:rsid w:val="179130B8"/>
    <w:rsid w:val="17967F85"/>
    <w:rsid w:val="17B500E2"/>
    <w:rsid w:val="17EC6540"/>
    <w:rsid w:val="18357AA5"/>
    <w:rsid w:val="189270E7"/>
    <w:rsid w:val="19113420"/>
    <w:rsid w:val="191856DA"/>
    <w:rsid w:val="19597C05"/>
    <w:rsid w:val="199E386A"/>
    <w:rsid w:val="19D340CF"/>
    <w:rsid w:val="19F94F44"/>
    <w:rsid w:val="1A3B49D3"/>
    <w:rsid w:val="1A4F2DB6"/>
    <w:rsid w:val="1A6C1BBA"/>
    <w:rsid w:val="1A840CB2"/>
    <w:rsid w:val="1A8854F8"/>
    <w:rsid w:val="1AB1581F"/>
    <w:rsid w:val="1AD339E7"/>
    <w:rsid w:val="1AE17EB2"/>
    <w:rsid w:val="1AE23C2A"/>
    <w:rsid w:val="1AF44089"/>
    <w:rsid w:val="1B0D514B"/>
    <w:rsid w:val="1B100797"/>
    <w:rsid w:val="1B3A5814"/>
    <w:rsid w:val="1B525A3A"/>
    <w:rsid w:val="1BD15BBA"/>
    <w:rsid w:val="1BDE43F2"/>
    <w:rsid w:val="1BF60EA2"/>
    <w:rsid w:val="1C101741"/>
    <w:rsid w:val="1C3D27D9"/>
    <w:rsid w:val="1D061E52"/>
    <w:rsid w:val="1D305121"/>
    <w:rsid w:val="1D3A1AFC"/>
    <w:rsid w:val="1D42363E"/>
    <w:rsid w:val="1D507571"/>
    <w:rsid w:val="1D6512B9"/>
    <w:rsid w:val="1DC97EE6"/>
    <w:rsid w:val="1DFE3E65"/>
    <w:rsid w:val="1E2C56DB"/>
    <w:rsid w:val="1E326C77"/>
    <w:rsid w:val="1E3B5B2B"/>
    <w:rsid w:val="1E524B92"/>
    <w:rsid w:val="1E7B23CC"/>
    <w:rsid w:val="1E854FF8"/>
    <w:rsid w:val="1E8C45D9"/>
    <w:rsid w:val="1EA82360"/>
    <w:rsid w:val="1F022AED"/>
    <w:rsid w:val="1F234F3D"/>
    <w:rsid w:val="1F464788"/>
    <w:rsid w:val="1F4B3C4B"/>
    <w:rsid w:val="1FA45952"/>
    <w:rsid w:val="1FA65675"/>
    <w:rsid w:val="1FFE5062"/>
    <w:rsid w:val="2004056C"/>
    <w:rsid w:val="20114408"/>
    <w:rsid w:val="2024799D"/>
    <w:rsid w:val="20801F1B"/>
    <w:rsid w:val="20847C5E"/>
    <w:rsid w:val="208E288A"/>
    <w:rsid w:val="20A2014B"/>
    <w:rsid w:val="20B816B5"/>
    <w:rsid w:val="210D5718"/>
    <w:rsid w:val="21182154"/>
    <w:rsid w:val="2136082C"/>
    <w:rsid w:val="21411C9A"/>
    <w:rsid w:val="2155573C"/>
    <w:rsid w:val="2190618E"/>
    <w:rsid w:val="21A460DD"/>
    <w:rsid w:val="21DC4F15"/>
    <w:rsid w:val="220D6F29"/>
    <w:rsid w:val="2245341D"/>
    <w:rsid w:val="224D2894"/>
    <w:rsid w:val="22993768"/>
    <w:rsid w:val="22A81D4C"/>
    <w:rsid w:val="22C036A0"/>
    <w:rsid w:val="22F369D5"/>
    <w:rsid w:val="22F866E1"/>
    <w:rsid w:val="22FC48E1"/>
    <w:rsid w:val="23243032"/>
    <w:rsid w:val="23566F63"/>
    <w:rsid w:val="23A97579"/>
    <w:rsid w:val="23C91E2B"/>
    <w:rsid w:val="23DA1943"/>
    <w:rsid w:val="23EE53EE"/>
    <w:rsid w:val="240D1D18"/>
    <w:rsid w:val="24AF1021"/>
    <w:rsid w:val="24F52D0A"/>
    <w:rsid w:val="250A26FB"/>
    <w:rsid w:val="253432D4"/>
    <w:rsid w:val="256F266F"/>
    <w:rsid w:val="259C5AEB"/>
    <w:rsid w:val="25A247EC"/>
    <w:rsid w:val="25B3069D"/>
    <w:rsid w:val="25C40AFC"/>
    <w:rsid w:val="26061132"/>
    <w:rsid w:val="260C3935"/>
    <w:rsid w:val="2650413E"/>
    <w:rsid w:val="2685584E"/>
    <w:rsid w:val="268B161A"/>
    <w:rsid w:val="26B40B71"/>
    <w:rsid w:val="26C50688"/>
    <w:rsid w:val="26EC20B9"/>
    <w:rsid w:val="271B299E"/>
    <w:rsid w:val="272A0E33"/>
    <w:rsid w:val="275B2D9A"/>
    <w:rsid w:val="276205CD"/>
    <w:rsid w:val="27A02EA3"/>
    <w:rsid w:val="27E014F2"/>
    <w:rsid w:val="281C4C20"/>
    <w:rsid w:val="2852419D"/>
    <w:rsid w:val="286001FB"/>
    <w:rsid w:val="28724840"/>
    <w:rsid w:val="288325A9"/>
    <w:rsid w:val="28FD7399"/>
    <w:rsid w:val="29283150"/>
    <w:rsid w:val="296D5007"/>
    <w:rsid w:val="297168A5"/>
    <w:rsid w:val="298962E5"/>
    <w:rsid w:val="29950680"/>
    <w:rsid w:val="29AC3D81"/>
    <w:rsid w:val="29D137E8"/>
    <w:rsid w:val="29DD15B8"/>
    <w:rsid w:val="29E452C9"/>
    <w:rsid w:val="29F6324E"/>
    <w:rsid w:val="2A0B0AA8"/>
    <w:rsid w:val="2A1738F0"/>
    <w:rsid w:val="2ADC2293"/>
    <w:rsid w:val="2AE92B8B"/>
    <w:rsid w:val="2AF7102C"/>
    <w:rsid w:val="2AFD0A94"/>
    <w:rsid w:val="2B185933"/>
    <w:rsid w:val="2B82123D"/>
    <w:rsid w:val="2B990335"/>
    <w:rsid w:val="2BAF1907"/>
    <w:rsid w:val="2C0C0B07"/>
    <w:rsid w:val="2C251BC9"/>
    <w:rsid w:val="2C311191"/>
    <w:rsid w:val="2C416D72"/>
    <w:rsid w:val="2C4209CD"/>
    <w:rsid w:val="2C5A7AC4"/>
    <w:rsid w:val="2C736DD8"/>
    <w:rsid w:val="2CA376BD"/>
    <w:rsid w:val="2D016192"/>
    <w:rsid w:val="2D494239"/>
    <w:rsid w:val="2D6501FC"/>
    <w:rsid w:val="2D86592F"/>
    <w:rsid w:val="2DA21723"/>
    <w:rsid w:val="2DA60AE7"/>
    <w:rsid w:val="2DB17BB8"/>
    <w:rsid w:val="2DBB4593"/>
    <w:rsid w:val="2E6C46A3"/>
    <w:rsid w:val="2E861327"/>
    <w:rsid w:val="2E9F3EB4"/>
    <w:rsid w:val="2EA72180"/>
    <w:rsid w:val="2ED33B5E"/>
    <w:rsid w:val="2F532796"/>
    <w:rsid w:val="2F5C288F"/>
    <w:rsid w:val="2F742938"/>
    <w:rsid w:val="2F9C1554"/>
    <w:rsid w:val="2FC961C2"/>
    <w:rsid w:val="2FF40230"/>
    <w:rsid w:val="30607673"/>
    <w:rsid w:val="30C96FC7"/>
    <w:rsid w:val="30D20571"/>
    <w:rsid w:val="30FB127B"/>
    <w:rsid w:val="311346E6"/>
    <w:rsid w:val="31140B8A"/>
    <w:rsid w:val="31342FDA"/>
    <w:rsid w:val="3182062E"/>
    <w:rsid w:val="31842C04"/>
    <w:rsid w:val="31905D36"/>
    <w:rsid w:val="319B4CA7"/>
    <w:rsid w:val="31A517E2"/>
    <w:rsid w:val="31AD4B3A"/>
    <w:rsid w:val="31C4449A"/>
    <w:rsid w:val="31E56082"/>
    <w:rsid w:val="31F2254D"/>
    <w:rsid w:val="32145A07"/>
    <w:rsid w:val="323D7C6C"/>
    <w:rsid w:val="32456E89"/>
    <w:rsid w:val="324A4137"/>
    <w:rsid w:val="326A6587"/>
    <w:rsid w:val="32A61CB5"/>
    <w:rsid w:val="32E12CEE"/>
    <w:rsid w:val="32F36749"/>
    <w:rsid w:val="33150BE9"/>
    <w:rsid w:val="33721B98"/>
    <w:rsid w:val="33CA5530"/>
    <w:rsid w:val="33DC5263"/>
    <w:rsid w:val="33E60411"/>
    <w:rsid w:val="33F407FF"/>
    <w:rsid w:val="34040130"/>
    <w:rsid w:val="34140EA1"/>
    <w:rsid w:val="342F5CDB"/>
    <w:rsid w:val="348451A1"/>
    <w:rsid w:val="348879C7"/>
    <w:rsid w:val="349C3C37"/>
    <w:rsid w:val="34A15F56"/>
    <w:rsid w:val="34EF0FC6"/>
    <w:rsid w:val="34F80BFA"/>
    <w:rsid w:val="353335A8"/>
    <w:rsid w:val="354E3F3E"/>
    <w:rsid w:val="356203CC"/>
    <w:rsid w:val="35A41DB0"/>
    <w:rsid w:val="35C52022"/>
    <w:rsid w:val="35CF1523"/>
    <w:rsid w:val="35EF72F8"/>
    <w:rsid w:val="361E2B75"/>
    <w:rsid w:val="368D0A96"/>
    <w:rsid w:val="36E0506A"/>
    <w:rsid w:val="37896C52"/>
    <w:rsid w:val="37AD13F0"/>
    <w:rsid w:val="37C11B7B"/>
    <w:rsid w:val="37DA5F5D"/>
    <w:rsid w:val="37F9175D"/>
    <w:rsid w:val="38072EB2"/>
    <w:rsid w:val="381274A5"/>
    <w:rsid w:val="3814321D"/>
    <w:rsid w:val="384D4565"/>
    <w:rsid w:val="386677F1"/>
    <w:rsid w:val="38A26A7B"/>
    <w:rsid w:val="38E075A3"/>
    <w:rsid w:val="38FE5C7B"/>
    <w:rsid w:val="391536F1"/>
    <w:rsid w:val="39E62997"/>
    <w:rsid w:val="39FA4695"/>
    <w:rsid w:val="39FA6443"/>
    <w:rsid w:val="3A100A68"/>
    <w:rsid w:val="3A15327D"/>
    <w:rsid w:val="3A7D77A0"/>
    <w:rsid w:val="3A8F302F"/>
    <w:rsid w:val="3AA23689"/>
    <w:rsid w:val="3AAC27E9"/>
    <w:rsid w:val="3AB74334"/>
    <w:rsid w:val="3AC45F0F"/>
    <w:rsid w:val="3B1F784B"/>
    <w:rsid w:val="3B8C7321"/>
    <w:rsid w:val="3B9052B1"/>
    <w:rsid w:val="3BD74C8E"/>
    <w:rsid w:val="3BF53076"/>
    <w:rsid w:val="3C0B4511"/>
    <w:rsid w:val="3C2B1619"/>
    <w:rsid w:val="3C313FF4"/>
    <w:rsid w:val="3C3D6ABB"/>
    <w:rsid w:val="3C477110"/>
    <w:rsid w:val="3C6F136A"/>
    <w:rsid w:val="3C7945AF"/>
    <w:rsid w:val="3C940DD1"/>
    <w:rsid w:val="3C942B7F"/>
    <w:rsid w:val="3CAC46F6"/>
    <w:rsid w:val="3CAD59EE"/>
    <w:rsid w:val="3CCC056A"/>
    <w:rsid w:val="3CD3774B"/>
    <w:rsid w:val="3CEB6517"/>
    <w:rsid w:val="3CF7310E"/>
    <w:rsid w:val="3CFB49AC"/>
    <w:rsid w:val="3D4F4CF8"/>
    <w:rsid w:val="3DA9265A"/>
    <w:rsid w:val="3DB039E8"/>
    <w:rsid w:val="3DB41ED8"/>
    <w:rsid w:val="3DBB5DC7"/>
    <w:rsid w:val="3E1F3398"/>
    <w:rsid w:val="3E5A3606"/>
    <w:rsid w:val="3E611D45"/>
    <w:rsid w:val="3E636CAD"/>
    <w:rsid w:val="3E6B5B61"/>
    <w:rsid w:val="3EA51C60"/>
    <w:rsid w:val="3F2A574E"/>
    <w:rsid w:val="3F2D1069"/>
    <w:rsid w:val="3F5F4168"/>
    <w:rsid w:val="3F8A0269"/>
    <w:rsid w:val="3FAB3A69"/>
    <w:rsid w:val="3FB35A12"/>
    <w:rsid w:val="3FB452E6"/>
    <w:rsid w:val="40041DC9"/>
    <w:rsid w:val="40267F92"/>
    <w:rsid w:val="40664832"/>
    <w:rsid w:val="40880C4C"/>
    <w:rsid w:val="408B4299"/>
    <w:rsid w:val="40953369"/>
    <w:rsid w:val="40A40D4F"/>
    <w:rsid w:val="40B732E0"/>
    <w:rsid w:val="40BA656D"/>
    <w:rsid w:val="40D23C76"/>
    <w:rsid w:val="40D914A8"/>
    <w:rsid w:val="40F36293"/>
    <w:rsid w:val="40F7192E"/>
    <w:rsid w:val="411249BA"/>
    <w:rsid w:val="413606A8"/>
    <w:rsid w:val="416E7E42"/>
    <w:rsid w:val="417A10C5"/>
    <w:rsid w:val="419B2E13"/>
    <w:rsid w:val="41B415CD"/>
    <w:rsid w:val="42201879"/>
    <w:rsid w:val="422F6EA6"/>
    <w:rsid w:val="42611755"/>
    <w:rsid w:val="4286740D"/>
    <w:rsid w:val="429733C9"/>
    <w:rsid w:val="42A46716"/>
    <w:rsid w:val="4324703D"/>
    <w:rsid w:val="43253ED4"/>
    <w:rsid w:val="43254A44"/>
    <w:rsid w:val="43544E16"/>
    <w:rsid w:val="435A4607"/>
    <w:rsid w:val="43E22422"/>
    <w:rsid w:val="43FD36FF"/>
    <w:rsid w:val="440B0B14"/>
    <w:rsid w:val="443F11DE"/>
    <w:rsid w:val="44654E01"/>
    <w:rsid w:val="447D039C"/>
    <w:rsid w:val="44A43B7B"/>
    <w:rsid w:val="44B1265C"/>
    <w:rsid w:val="45284A5E"/>
    <w:rsid w:val="45482758"/>
    <w:rsid w:val="45676B0B"/>
    <w:rsid w:val="456B6431"/>
    <w:rsid w:val="457F1EF2"/>
    <w:rsid w:val="45935775"/>
    <w:rsid w:val="45C1250B"/>
    <w:rsid w:val="462C2760"/>
    <w:rsid w:val="4642364B"/>
    <w:rsid w:val="469320F9"/>
    <w:rsid w:val="46A81E16"/>
    <w:rsid w:val="46DF70EC"/>
    <w:rsid w:val="46E01A12"/>
    <w:rsid w:val="46F10BCE"/>
    <w:rsid w:val="47874EA9"/>
    <w:rsid w:val="47A02DC8"/>
    <w:rsid w:val="47B44676"/>
    <w:rsid w:val="4803701A"/>
    <w:rsid w:val="480A548C"/>
    <w:rsid w:val="480F3951"/>
    <w:rsid w:val="48367B09"/>
    <w:rsid w:val="488E0DCA"/>
    <w:rsid w:val="48D83DF3"/>
    <w:rsid w:val="48DF1625"/>
    <w:rsid w:val="48F83920"/>
    <w:rsid w:val="48FD7CFE"/>
    <w:rsid w:val="491237A9"/>
    <w:rsid w:val="49530312"/>
    <w:rsid w:val="49583186"/>
    <w:rsid w:val="496D4E83"/>
    <w:rsid w:val="49725FF6"/>
    <w:rsid w:val="49951CE4"/>
    <w:rsid w:val="49B77EAC"/>
    <w:rsid w:val="49C8668D"/>
    <w:rsid w:val="49ED64C9"/>
    <w:rsid w:val="4A873D23"/>
    <w:rsid w:val="4AA30431"/>
    <w:rsid w:val="4AEE7440"/>
    <w:rsid w:val="4AF36E2F"/>
    <w:rsid w:val="4B3C4B0D"/>
    <w:rsid w:val="4B48499E"/>
    <w:rsid w:val="4B4B6AFE"/>
    <w:rsid w:val="4B876D4C"/>
    <w:rsid w:val="4BB943B0"/>
    <w:rsid w:val="4BBF129A"/>
    <w:rsid w:val="4BC0573E"/>
    <w:rsid w:val="4BDB5372"/>
    <w:rsid w:val="4BE331DB"/>
    <w:rsid w:val="4C7A32E7"/>
    <w:rsid w:val="4C9B3AB5"/>
    <w:rsid w:val="4CB2104D"/>
    <w:rsid w:val="4CBF59F6"/>
    <w:rsid w:val="4D05239A"/>
    <w:rsid w:val="4D447CA9"/>
    <w:rsid w:val="4D677E3B"/>
    <w:rsid w:val="4D6A3FBD"/>
    <w:rsid w:val="4D9A596F"/>
    <w:rsid w:val="4DC4703C"/>
    <w:rsid w:val="4E023E15"/>
    <w:rsid w:val="4E760336"/>
    <w:rsid w:val="4E790CDB"/>
    <w:rsid w:val="4F100820"/>
    <w:rsid w:val="4F1638C7"/>
    <w:rsid w:val="4F5148FF"/>
    <w:rsid w:val="4F6E54B1"/>
    <w:rsid w:val="4F8545A9"/>
    <w:rsid w:val="4F90786D"/>
    <w:rsid w:val="4FA964E9"/>
    <w:rsid w:val="50175B49"/>
    <w:rsid w:val="502D711A"/>
    <w:rsid w:val="503E30D6"/>
    <w:rsid w:val="505C3C79"/>
    <w:rsid w:val="507A635B"/>
    <w:rsid w:val="508722C5"/>
    <w:rsid w:val="50B6598C"/>
    <w:rsid w:val="50C23E09"/>
    <w:rsid w:val="50D21A70"/>
    <w:rsid w:val="50D70E34"/>
    <w:rsid w:val="514207FD"/>
    <w:rsid w:val="51597A9B"/>
    <w:rsid w:val="5176064D"/>
    <w:rsid w:val="51A73905"/>
    <w:rsid w:val="51B11685"/>
    <w:rsid w:val="51C13FBE"/>
    <w:rsid w:val="52102850"/>
    <w:rsid w:val="52232583"/>
    <w:rsid w:val="522D179F"/>
    <w:rsid w:val="523B7A5A"/>
    <w:rsid w:val="52A31916"/>
    <w:rsid w:val="52A5743C"/>
    <w:rsid w:val="52C74869"/>
    <w:rsid w:val="52EC1BFF"/>
    <w:rsid w:val="53111CCF"/>
    <w:rsid w:val="53A616BE"/>
    <w:rsid w:val="53BC7CB1"/>
    <w:rsid w:val="53CA4C80"/>
    <w:rsid w:val="53DA1367"/>
    <w:rsid w:val="53DB2795"/>
    <w:rsid w:val="5402266C"/>
    <w:rsid w:val="54896BD1"/>
    <w:rsid w:val="54DB230D"/>
    <w:rsid w:val="55944C0E"/>
    <w:rsid w:val="55A90FF1"/>
    <w:rsid w:val="56097CE2"/>
    <w:rsid w:val="56206DD9"/>
    <w:rsid w:val="569752EE"/>
    <w:rsid w:val="56F664B8"/>
    <w:rsid w:val="571B7CCD"/>
    <w:rsid w:val="571C1C97"/>
    <w:rsid w:val="574C257C"/>
    <w:rsid w:val="576D3087"/>
    <w:rsid w:val="57B343A9"/>
    <w:rsid w:val="57B974E6"/>
    <w:rsid w:val="587B46E8"/>
    <w:rsid w:val="58823D7B"/>
    <w:rsid w:val="58FC58DC"/>
    <w:rsid w:val="593A06B5"/>
    <w:rsid w:val="595E0345"/>
    <w:rsid w:val="596C7895"/>
    <w:rsid w:val="59CF4D9E"/>
    <w:rsid w:val="59DB1995"/>
    <w:rsid w:val="5A366989"/>
    <w:rsid w:val="5A5D684E"/>
    <w:rsid w:val="5A655703"/>
    <w:rsid w:val="5A762450"/>
    <w:rsid w:val="5A7871E4"/>
    <w:rsid w:val="5A981634"/>
    <w:rsid w:val="5AC35A6B"/>
    <w:rsid w:val="5AD76600"/>
    <w:rsid w:val="5B2829B8"/>
    <w:rsid w:val="5B392E17"/>
    <w:rsid w:val="5B4D0671"/>
    <w:rsid w:val="5B7F4EBD"/>
    <w:rsid w:val="5B950584"/>
    <w:rsid w:val="5B991B08"/>
    <w:rsid w:val="5B9E2C7A"/>
    <w:rsid w:val="5BBC75A4"/>
    <w:rsid w:val="5BD111F4"/>
    <w:rsid w:val="5BF44F90"/>
    <w:rsid w:val="5C0E40B2"/>
    <w:rsid w:val="5C107875"/>
    <w:rsid w:val="5C1E3DBB"/>
    <w:rsid w:val="5C31012F"/>
    <w:rsid w:val="5C367357"/>
    <w:rsid w:val="5CC86EA4"/>
    <w:rsid w:val="5CE5193F"/>
    <w:rsid w:val="5CF214D0"/>
    <w:rsid w:val="5D221689"/>
    <w:rsid w:val="5D883BE2"/>
    <w:rsid w:val="5DA652DB"/>
    <w:rsid w:val="5DF72B16"/>
    <w:rsid w:val="5E23390B"/>
    <w:rsid w:val="5E3D507A"/>
    <w:rsid w:val="5E3E6996"/>
    <w:rsid w:val="5E543AC4"/>
    <w:rsid w:val="5EEB4428"/>
    <w:rsid w:val="5EF57055"/>
    <w:rsid w:val="5F155949"/>
    <w:rsid w:val="5F243677"/>
    <w:rsid w:val="5F3062DF"/>
    <w:rsid w:val="5F4A16A1"/>
    <w:rsid w:val="5F571ABE"/>
    <w:rsid w:val="5F5F6BC4"/>
    <w:rsid w:val="5F957A86"/>
    <w:rsid w:val="5F9C69B7"/>
    <w:rsid w:val="5FBE1B3D"/>
    <w:rsid w:val="60017C7C"/>
    <w:rsid w:val="60231201"/>
    <w:rsid w:val="605E50CE"/>
    <w:rsid w:val="6093308E"/>
    <w:rsid w:val="60D31618"/>
    <w:rsid w:val="6130766C"/>
    <w:rsid w:val="613F280A"/>
    <w:rsid w:val="615362B5"/>
    <w:rsid w:val="61722BDF"/>
    <w:rsid w:val="6186668A"/>
    <w:rsid w:val="618A352C"/>
    <w:rsid w:val="61A82AA5"/>
    <w:rsid w:val="61DC7186"/>
    <w:rsid w:val="61E11B13"/>
    <w:rsid w:val="621F0086"/>
    <w:rsid w:val="623844F4"/>
    <w:rsid w:val="62491A44"/>
    <w:rsid w:val="624D0C1C"/>
    <w:rsid w:val="62766E03"/>
    <w:rsid w:val="629E17B2"/>
    <w:rsid w:val="62A019CE"/>
    <w:rsid w:val="62D11B87"/>
    <w:rsid w:val="63531F8D"/>
    <w:rsid w:val="638C227F"/>
    <w:rsid w:val="639B7CD8"/>
    <w:rsid w:val="63BC2837"/>
    <w:rsid w:val="63BD1701"/>
    <w:rsid w:val="63D336DD"/>
    <w:rsid w:val="63E43B3C"/>
    <w:rsid w:val="63E47698"/>
    <w:rsid w:val="63F01943"/>
    <w:rsid w:val="64256973"/>
    <w:rsid w:val="643C5726"/>
    <w:rsid w:val="645D4B3A"/>
    <w:rsid w:val="647E0EAE"/>
    <w:rsid w:val="64901CDF"/>
    <w:rsid w:val="64E102CB"/>
    <w:rsid w:val="64E12312"/>
    <w:rsid w:val="64EC4A56"/>
    <w:rsid w:val="64F34037"/>
    <w:rsid w:val="650A5824"/>
    <w:rsid w:val="65A34405"/>
    <w:rsid w:val="65AD7581"/>
    <w:rsid w:val="65D5373C"/>
    <w:rsid w:val="65DB74FA"/>
    <w:rsid w:val="6646288C"/>
    <w:rsid w:val="66495C69"/>
    <w:rsid w:val="66AF21DF"/>
    <w:rsid w:val="66D734E4"/>
    <w:rsid w:val="66D9725C"/>
    <w:rsid w:val="66E04A8F"/>
    <w:rsid w:val="670F7122"/>
    <w:rsid w:val="67114C48"/>
    <w:rsid w:val="6716400D"/>
    <w:rsid w:val="673812B4"/>
    <w:rsid w:val="67A71109"/>
    <w:rsid w:val="67BC2278"/>
    <w:rsid w:val="67FA392E"/>
    <w:rsid w:val="67FD341E"/>
    <w:rsid w:val="68010AE7"/>
    <w:rsid w:val="68646FFA"/>
    <w:rsid w:val="687A3533"/>
    <w:rsid w:val="68802085"/>
    <w:rsid w:val="68A13DAA"/>
    <w:rsid w:val="68D96C19"/>
    <w:rsid w:val="690C1371"/>
    <w:rsid w:val="691E364C"/>
    <w:rsid w:val="692F7608"/>
    <w:rsid w:val="697212E0"/>
    <w:rsid w:val="69B30239"/>
    <w:rsid w:val="69B35505"/>
    <w:rsid w:val="69B705EC"/>
    <w:rsid w:val="69E77EE2"/>
    <w:rsid w:val="6A510DDC"/>
    <w:rsid w:val="6A694D9B"/>
    <w:rsid w:val="6A6B28C1"/>
    <w:rsid w:val="6AA81420"/>
    <w:rsid w:val="6AF059AE"/>
    <w:rsid w:val="6B014FD4"/>
    <w:rsid w:val="6B1B7E43"/>
    <w:rsid w:val="6B442F1F"/>
    <w:rsid w:val="6B59096C"/>
    <w:rsid w:val="6C0C59DE"/>
    <w:rsid w:val="6C2E3BA6"/>
    <w:rsid w:val="6C4909E0"/>
    <w:rsid w:val="6CB73B9C"/>
    <w:rsid w:val="6D254FA9"/>
    <w:rsid w:val="6D45389E"/>
    <w:rsid w:val="6DAC1227"/>
    <w:rsid w:val="6DEA61F3"/>
    <w:rsid w:val="6DEE7A91"/>
    <w:rsid w:val="6E2F3C06"/>
    <w:rsid w:val="6E39717B"/>
    <w:rsid w:val="6E9F3C9F"/>
    <w:rsid w:val="6EDD18B4"/>
    <w:rsid w:val="6F2474E3"/>
    <w:rsid w:val="6FB41C14"/>
    <w:rsid w:val="6FCA2ACC"/>
    <w:rsid w:val="6FCC795E"/>
    <w:rsid w:val="700F08C0"/>
    <w:rsid w:val="7012220E"/>
    <w:rsid w:val="703F2826"/>
    <w:rsid w:val="704F0ED7"/>
    <w:rsid w:val="704F7F89"/>
    <w:rsid w:val="705B714E"/>
    <w:rsid w:val="706477E1"/>
    <w:rsid w:val="706F2E94"/>
    <w:rsid w:val="713E0F09"/>
    <w:rsid w:val="71502811"/>
    <w:rsid w:val="718C1A9B"/>
    <w:rsid w:val="718C2951"/>
    <w:rsid w:val="71933005"/>
    <w:rsid w:val="719721EE"/>
    <w:rsid w:val="71A04648"/>
    <w:rsid w:val="71D34078"/>
    <w:rsid w:val="72086C48"/>
    <w:rsid w:val="720C2BDC"/>
    <w:rsid w:val="72C05AE3"/>
    <w:rsid w:val="72D07765"/>
    <w:rsid w:val="72DA44FF"/>
    <w:rsid w:val="72EB15F3"/>
    <w:rsid w:val="735143C5"/>
    <w:rsid w:val="735F0AE9"/>
    <w:rsid w:val="73A119A4"/>
    <w:rsid w:val="73AB01D2"/>
    <w:rsid w:val="73C3376E"/>
    <w:rsid w:val="73CB43D1"/>
    <w:rsid w:val="73CB6DD9"/>
    <w:rsid w:val="73DC213A"/>
    <w:rsid w:val="73E01848"/>
    <w:rsid w:val="74116287"/>
    <w:rsid w:val="742762A4"/>
    <w:rsid w:val="74530058"/>
    <w:rsid w:val="74A649E1"/>
    <w:rsid w:val="74E22F5B"/>
    <w:rsid w:val="74E60521"/>
    <w:rsid w:val="75821800"/>
    <w:rsid w:val="7592164A"/>
    <w:rsid w:val="75D94B83"/>
    <w:rsid w:val="7601232C"/>
    <w:rsid w:val="765C7562"/>
    <w:rsid w:val="765E777E"/>
    <w:rsid w:val="76C23869"/>
    <w:rsid w:val="76D33CC8"/>
    <w:rsid w:val="77037899"/>
    <w:rsid w:val="776C7C79"/>
    <w:rsid w:val="77AB445A"/>
    <w:rsid w:val="77DC4DFE"/>
    <w:rsid w:val="77F739E6"/>
    <w:rsid w:val="78083F5D"/>
    <w:rsid w:val="781B5927"/>
    <w:rsid w:val="782B3690"/>
    <w:rsid w:val="78564BB1"/>
    <w:rsid w:val="7901354B"/>
    <w:rsid w:val="79A74F98"/>
    <w:rsid w:val="79AD6A52"/>
    <w:rsid w:val="79B7342D"/>
    <w:rsid w:val="79E24222"/>
    <w:rsid w:val="7A24483B"/>
    <w:rsid w:val="7A2F16EC"/>
    <w:rsid w:val="7A49604F"/>
    <w:rsid w:val="7ACF18EE"/>
    <w:rsid w:val="7B000E04"/>
    <w:rsid w:val="7B05634C"/>
    <w:rsid w:val="7B0E3521"/>
    <w:rsid w:val="7B252618"/>
    <w:rsid w:val="7BB52A0C"/>
    <w:rsid w:val="7BBD0AA3"/>
    <w:rsid w:val="7BEE5100"/>
    <w:rsid w:val="7C1F52BA"/>
    <w:rsid w:val="7C280612"/>
    <w:rsid w:val="7CB974BC"/>
    <w:rsid w:val="7CE16A13"/>
    <w:rsid w:val="7CF95B0B"/>
    <w:rsid w:val="7D1D5C9D"/>
    <w:rsid w:val="7D252DA4"/>
    <w:rsid w:val="7D3E5C13"/>
    <w:rsid w:val="7D52346D"/>
    <w:rsid w:val="7D5471E5"/>
    <w:rsid w:val="7DC4436B"/>
    <w:rsid w:val="7E751B09"/>
    <w:rsid w:val="7E7A79CD"/>
    <w:rsid w:val="7EE97F06"/>
    <w:rsid w:val="7F1D01D6"/>
    <w:rsid w:val="7FAB2D41"/>
    <w:rsid w:val="7FB81CAD"/>
    <w:rsid w:val="7FC41FE6"/>
    <w:rsid w:val="7FF40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3"/>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0"/>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next w:val="16"/>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6">
    <w:name w:val="*正文"/>
    <w:basedOn w:val="1"/>
    <w:autoRedefine/>
    <w:qFormat/>
    <w:uiPriority w:val="0"/>
    <w:rPr>
      <w:rFonts w:ascii="宋体" w:hAnsi="宋体"/>
      <w:kern w:val="0"/>
      <w:szCs w:val="24"/>
    </w:r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character" w:styleId="20">
    <w:name w:val="FollowedHyperlink"/>
    <w:autoRedefine/>
    <w:qFormat/>
    <w:uiPriority w:val="0"/>
    <w:rPr>
      <w:color w:val="800080"/>
      <w:u w:val="none"/>
    </w:rPr>
  </w:style>
  <w:style w:type="character" w:styleId="21">
    <w:name w:val="HTML Definition"/>
    <w:basedOn w:val="19"/>
    <w:autoRedefine/>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0000FF"/>
      <w:u w:val="none"/>
    </w:rPr>
  </w:style>
  <w:style w:type="character" w:styleId="26">
    <w:name w:val="HTML Code"/>
    <w:basedOn w:val="19"/>
    <w:autoRedefine/>
    <w:qFormat/>
    <w:uiPriority w:val="0"/>
    <w:rPr>
      <w:rFonts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hint="default" w:ascii="monospace" w:hAnsi="monospace" w:eastAsia="monospace" w:cs="monospace"/>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3">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4">
    <w:name w:val="first-child"/>
    <w:basedOn w:val="19"/>
    <w:autoRedefine/>
    <w:qFormat/>
    <w:uiPriority w:val="0"/>
  </w:style>
  <w:style w:type="character" w:customStyle="1" w:styleId="35">
    <w:name w:val="hover2"/>
    <w:basedOn w:val="19"/>
    <w:autoRedefine/>
    <w:qFormat/>
    <w:uiPriority w:val="0"/>
    <w:rPr>
      <w:color w:val="5FB878"/>
    </w:rPr>
  </w:style>
  <w:style w:type="character" w:customStyle="1" w:styleId="36">
    <w:name w:val="hover3"/>
    <w:basedOn w:val="19"/>
    <w:autoRedefine/>
    <w:qFormat/>
    <w:uiPriority w:val="0"/>
    <w:rPr>
      <w:color w:val="5FB878"/>
    </w:rPr>
  </w:style>
  <w:style w:type="character" w:customStyle="1" w:styleId="37">
    <w:name w:val="hover4"/>
    <w:basedOn w:val="19"/>
    <w:autoRedefine/>
    <w:qFormat/>
    <w:uiPriority w:val="0"/>
    <w:rPr>
      <w:color w:val="FFFFFF"/>
    </w:rPr>
  </w:style>
  <w:style w:type="character" w:customStyle="1" w:styleId="38">
    <w:name w:val="layui-this"/>
    <w:basedOn w:val="19"/>
    <w:autoRedefine/>
    <w:qFormat/>
    <w:uiPriority w:val="0"/>
    <w:rPr>
      <w:bdr w:val="single" w:color="EEEEEE" w:sz="6" w:space="0"/>
      <w:shd w:val="clear" w:color="auto" w:fill="FFFFFF"/>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0">
    <w:name w:val="页脚 Char"/>
    <w:basedOn w:val="19"/>
    <w:link w:val="13"/>
    <w:autoRedefine/>
    <w:qFormat/>
    <w:uiPriority w:val="99"/>
    <w:rPr>
      <w:rFonts w:ascii="Calibri" w:hAnsi="Calibri"/>
      <w:kern w:val="2"/>
      <w:sz w:val="18"/>
      <w:szCs w:val="24"/>
    </w:rPr>
  </w:style>
  <w:style w:type="paragraph" w:styleId="41">
    <w:name w:val="List Paragraph"/>
    <w:basedOn w:val="1"/>
    <w:autoRedefine/>
    <w:qFormat/>
    <w:uiPriority w:val="99"/>
    <w:pPr>
      <w:ind w:firstLine="420" w:firstLineChars="200"/>
    </w:pPr>
  </w:style>
  <w:style w:type="character" w:customStyle="1" w:styleId="42">
    <w:name w:val="标题 1 Char"/>
    <w:link w:val="3"/>
    <w:autoRedefine/>
    <w:qFormat/>
    <w:uiPriority w:val="0"/>
    <w:rPr>
      <w:b/>
      <w:kern w:val="44"/>
      <w:sz w:val="44"/>
    </w:rPr>
  </w:style>
  <w:style w:type="character" w:customStyle="1" w:styleId="43">
    <w:name w:val="文档结构图 Char"/>
    <w:basedOn w:val="19"/>
    <w:link w:val="9"/>
    <w:autoRedefine/>
    <w:semiHidden/>
    <w:qFormat/>
    <w:uiPriority w:val="0"/>
    <w:rPr>
      <w:rFonts w:ascii="Microsoft YaHei UI" w:hAnsi="Calibri" w:eastAsia="Microsoft YaHei UI"/>
      <w:kern w:val="2"/>
      <w:sz w:val="18"/>
      <w:szCs w:val="18"/>
    </w:rPr>
  </w:style>
  <w:style w:type="character" w:customStyle="1" w:styleId="44">
    <w:name w:val="font21"/>
    <w:basedOn w:val="19"/>
    <w:autoRedefine/>
    <w:qFormat/>
    <w:uiPriority w:val="0"/>
    <w:rPr>
      <w:rFonts w:hint="eastAsia" w:ascii="微软雅黑" w:hAnsi="微软雅黑" w:eastAsia="微软雅黑" w:cs="微软雅黑"/>
      <w:color w:val="000000"/>
      <w:sz w:val="20"/>
      <w:szCs w:val="20"/>
      <w:u w:val="none"/>
    </w:rPr>
  </w:style>
  <w:style w:type="character" w:customStyle="1" w:styleId="45">
    <w:name w:val="font41"/>
    <w:basedOn w:val="19"/>
    <w:autoRedefine/>
    <w:qFormat/>
    <w:uiPriority w:val="0"/>
    <w:rPr>
      <w:rFonts w:ascii="Arial" w:hAnsi="Arial" w:cs="Arial"/>
      <w:color w:val="000000"/>
      <w:sz w:val="20"/>
      <w:szCs w:val="20"/>
      <w:u w:val="none"/>
    </w:rPr>
  </w:style>
  <w:style w:type="character" w:customStyle="1" w:styleId="46">
    <w:name w:val="NormalCharacter"/>
    <w:autoRedefine/>
    <w:qFormat/>
    <w:uiPriority w:val="99"/>
  </w:style>
  <w:style w:type="paragraph" w:customStyle="1" w:styleId="47">
    <w:name w:val="HtmlNormal"/>
    <w:basedOn w:val="1"/>
    <w:autoRedefine/>
    <w:qFormat/>
    <w:uiPriority w:val="0"/>
    <w:pPr>
      <w:jc w:val="left"/>
    </w:pPr>
    <w:rPr>
      <w:kern w:val="0"/>
      <w:sz w:val="24"/>
    </w:rPr>
  </w:style>
  <w:style w:type="paragraph" w:customStyle="1" w:styleId="48">
    <w:name w:val="样式 正文格式 + 行距: 多倍行距 1.25 字行"/>
    <w:basedOn w:val="49"/>
    <w:autoRedefine/>
    <w:qFormat/>
    <w:uiPriority w:val="0"/>
    <w:pPr>
      <w:spacing w:line="300" w:lineRule="auto"/>
    </w:pPr>
    <w:rPr>
      <w:rFonts w:cs="宋体"/>
    </w:rPr>
  </w:style>
  <w:style w:type="paragraph" w:customStyle="1" w:styleId="49">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0">
    <w:name w:val="font11"/>
    <w:basedOn w:val="19"/>
    <w:autoRedefine/>
    <w:qFormat/>
    <w:uiPriority w:val="0"/>
    <w:rPr>
      <w:rFonts w:hint="eastAsia" w:ascii="宋体" w:hAnsi="宋体" w:eastAsia="宋体" w:cs="宋体"/>
      <w:color w:val="000000"/>
      <w:sz w:val="24"/>
      <w:szCs w:val="24"/>
      <w:u w:val="none"/>
    </w:rPr>
  </w:style>
  <w:style w:type="character" w:customStyle="1" w:styleId="51">
    <w:name w:val="font51"/>
    <w:autoRedefine/>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20738</Words>
  <Characters>21490</Characters>
  <Lines>137</Lines>
  <Paragraphs>38</Paragraphs>
  <TotalTime>1</TotalTime>
  <ScaleCrop>false</ScaleCrop>
  <LinksUpToDate>false</LinksUpToDate>
  <CharactersWithSpaces>22930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施静怡</cp:lastModifiedBy>
  <cp:lastPrinted>2024-06-11T03:03:00Z</cp:lastPrinted>
  <dcterms:modified xsi:type="dcterms:W3CDTF">2024-06-11T04:02:49Z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7C8FBEAF8F884819BC485342CECC5DB4_13</vt:lpwstr>
  </property>
</Properties>
</file>