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59" w:beforeAutospacing="0" w:after="0" w:afterAutospacing="0" w:line="383" w:lineRule="exact"/>
        <w:ind w:left="237" w:right="0" w:firstLine="320" w:firstLineChars="1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1F1F1F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156" w:afterLines="50" w:afterAutospacing="0" w:line="550" w:lineRule="exact"/>
        <w:ind w:left="0" w:right="0" w:firstLine="300" w:firstLineChars="100"/>
        <w:jc w:val="center"/>
        <w:rPr>
          <w:rFonts w:hint="default" w:ascii="Calibri" w:hAnsi="Calibri" w:eastAsia="宋体" w:cs="Times New Roman"/>
          <w:color w:val="1F1F1F"/>
          <w:kern w:val="2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1F1F1F"/>
          <w:kern w:val="2"/>
          <w:sz w:val="30"/>
          <w:szCs w:val="30"/>
          <w:lang w:val="en-US" w:eastAsia="zh-CN" w:bidi="ar"/>
        </w:rPr>
        <w:t>《江苏省公路条例》修正案学习宣传贯彻计划</w:t>
      </w:r>
    </w:p>
    <w:bookmarkEnd w:id="0"/>
    <w:tbl>
      <w:tblPr>
        <w:tblStyle w:val="4"/>
        <w:tblW w:w="0" w:type="auto"/>
        <w:tblInd w:w="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48"/>
        <w:gridCol w:w="495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left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责任部门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中心组集中学习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局办公室、法规科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2021 年 7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机关干部学习、宣传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局法规科、执法大队、执法支队启东大队、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公路中心启东分中心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2021 年 7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重点场所，媒体、平台等宣传，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重点就《条例》修正案有关内容宣传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局法规科牵头，执法大队、执法支队启东大队、公路中心启东分中心配合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2021 年 7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重点对象宣传，向建、管、养领域企业、货物装载源头单位、道路货物运输单位公路沿线群众开展宣传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工程科、规划科、客货运科、执法大队、执法支队启东大队、公路中心启东分中心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2021 年 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《条例》修正案培训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局法规科牵头，业务部门配合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1F1F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宣传进社区等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局法规科牵头，业务部门配合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5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2021年8月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Times New Roman"/>
          <w:snapToGrid/>
          <w:color w:val="auto"/>
          <w:kern w:val="2"/>
          <w:sz w:val="32"/>
          <w:szCs w:val="32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0902"/>
    <w:rsid w:val="1DD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2021-09-23T06:54:00Z</dcterms:created>
  <dc:creator>Claire溪岩</dc:creator>
  <cp:lastModifiedBy>Claire溪岩</cp:lastModifiedBy>
  <dcterms:modified xsi:type="dcterms:W3CDTF">2021-09-23T07:00:22Z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9F70C3CDC2784B2B99E71D8E049E7F53</vt:lpwstr>
  </property>
</Properties>
</file>