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F62A2">
      <w:pPr>
        <w:ind w:firstLine="640" w:firstLineChars="200"/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适用上级执法检查业务履职标准及有关事项检查指引。根据国家和省、市相关要求，结合法律法规的制修订及时调整。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4807B1"/>
    <w:rsid w:val="4A3E56FF"/>
    <w:rsid w:val="65D9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2025-07-25T03:06:00Z</dcterms:created>
  <dc:creator>le</dc:creator>
  <cp:lastModifiedBy>周春霞</cp:lastModifiedBy>
  <dcterms:modified xsi:type="dcterms:W3CDTF">2025-07-25T03:14:42Z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eyJoZGlkIjoiNWFkZDU3OTIxOTI3NWRlZjQ2YzNhNjgzZTczMDQzYWUiLCJ1c2VySWQiOiIxNjgyNzIwNzc5In0=</vt:lpwstr>
  </property>
  <property fmtid="{D5CDD505-2E9C-101B-9397-08002B2CF9AE}" pid="4" name="ICV">
    <vt:lpwstr>751001434EC54A439041F7E86DFB6D8B_12</vt:lpwstr>
  </property>
</Properties>
</file>