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启东市行政中心消防设施设备系统维保项目</w:t>
      </w:r>
      <w:bookmarkStart w:id="0" w:name="_GoBack"/>
    </w:p>
    <w:bookmarkEnd w:id="0"/>
    <w:p>
      <w:pPr>
        <w:jc w:val="center"/>
        <w:rPr>
          <w:rFonts w:ascii="仿宋" w:hAnsi="仿宋" w:eastAsia="仿宋" w:cs="仿宋"/>
          <w:sz w:val="32"/>
          <w:szCs w:val="32"/>
        </w:rPr>
      </w:pPr>
      <w:r>
        <w:rPr>
          <w:rFonts w:hint="eastAsia" w:ascii="方正小标宋简体" w:hAnsi="方正小标宋简体" w:eastAsia="方正小标宋简体" w:cs="方正小标宋简体"/>
          <w:sz w:val="44"/>
          <w:szCs w:val="44"/>
        </w:rPr>
        <w:t>询价采购</w:t>
      </w:r>
      <w:r>
        <w:rPr>
          <w:rFonts w:hint="eastAsia" w:ascii="方正小标宋简体" w:hAnsi="方正小标宋简体" w:eastAsia="方正小标宋简体" w:cs="方正小标宋简体"/>
          <w:sz w:val="44"/>
          <w:szCs w:val="44"/>
          <w:lang w:eastAsia="zh-CN"/>
        </w:rPr>
        <w:t>二次</w:t>
      </w:r>
      <w:r>
        <w:rPr>
          <w:rFonts w:hint="eastAsia" w:ascii="方正小标宋简体" w:hAnsi="方正小标宋简体" w:eastAsia="方正小标宋简体" w:cs="方正小标宋简体"/>
          <w:sz w:val="44"/>
          <w:szCs w:val="44"/>
        </w:rPr>
        <w:t>公告</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采购项目名称：启东市行政中心消防设施设备系统维保项目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二、采购方式：询价采购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三、项目预算：6.68万元/年。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四、采购内容：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（一）服务内容：启东市行政中心消防设施设备系统，建筑面积9.8万平方。</w:t>
      </w:r>
    </w:p>
    <w:tbl>
      <w:tblPr>
        <w:tblStyle w:val="6"/>
        <w:tblW w:w="4997" w:type="pct"/>
        <w:tblInd w:w="0" w:type="dxa"/>
        <w:tblLayout w:type="autofit"/>
        <w:tblCellMar>
          <w:top w:w="0" w:type="dxa"/>
          <w:left w:w="108" w:type="dxa"/>
          <w:bottom w:w="0" w:type="dxa"/>
          <w:right w:w="108" w:type="dxa"/>
        </w:tblCellMar>
      </w:tblPr>
      <w:tblGrid>
        <w:gridCol w:w="4543"/>
        <w:gridCol w:w="2146"/>
        <w:gridCol w:w="2446"/>
      </w:tblGrid>
      <w:tr>
        <w:tblPrEx>
          <w:tblCellMar>
            <w:top w:w="0" w:type="dxa"/>
            <w:left w:w="108" w:type="dxa"/>
            <w:bottom w:w="0" w:type="dxa"/>
            <w:right w:w="108" w:type="dxa"/>
          </w:tblCellMar>
        </w:tblPrEx>
        <w:trPr>
          <w:trHeight w:val="439" w:hRule="atLeast"/>
        </w:trPr>
        <w:tc>
          <w:tcPr>
            <w:tcW w:w="2486" w:type="pct"/>
            <w:vMerge w:val="restart"/>
            <w:tcBorders>
              <w:top w:val="single" w:color="000000" w:sz="4" w:space="0"/>
              <w:left w:val="single" w:color="000000" w:sz="4" w:space="0"/>
              <w:bottom w:val="nil"/>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设备设施名称和型号</w:t>
            </w:r>
          </w:p>
        </w:tc>
        <w:tc>
          <w:tcPr>
            <w:tcW w:w="1174" w:type="pct"/>
            <w:vMerge w:val="restart"/>
            <w:tcBorders>
              <w:top w:val="single" w:color="000000" w:sz="4" w:space="0"/>
              <w:left w:val="single" w:color="000000" w:sz="4" w:space="0"/>
              <w:bottom w:val="nil"/>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生厂厂家</w:t>
            </w:r>
          </w:p>
        </w:tc>
        <w:tc>
          <w:tcPr>
            <w:tcW w:w="1338" w:type="pct"/>
            <w:vMerge w:val="restart"/>
            <w:tcBorders>
              <w:top w:val="single" w:color="000000" w:sz="4" w:space="0"/>
              <w:left w:val="single" w:color="000000" w:sz="4" w:space="0"/>
              <w:bottom w:val="nil"/>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数量</w:t>
            </w:r>
          </w:p>
        </w:tc>
      </w:tr>
      <w:tr>
        <w:tblPrEx>
          <w:tblCellMar>
            <w:top w:w="0" w:type="dxa"/>
            <w:left w:w="108" w:type="dxa"/>
            <w:bottom w:w="0" w:type="dxa"/>
            <w:right w:w="108" w:type="dxa"/>
          </w:tblCellMar>
        </w:tblPrEx>
        <w:trPr>
          <w:trHeight w:val="312" w:hRule="atLeast"/>
        </w:trPr>
        <w:tc>
          <w:tcPr>
            <w:tcW w:w="2486" w:type="pct"/>
            <w:vMerge w:val="continue"/>
            <w:tcBorders>
              <w:top w:val="single" w:color="000000" w:sz="4" w:space="0"/>
              <w:left w:val="single" w:color="000000" w:sz="4" w:space="0"/>
              <w:bottom w:val="nil"/>
              <w:right w:val="single" w:color="000000" w:sz="4" w:space="0"/>
            </w:tcBorders>
            <w:noWrap/>
            <w:vAlign w:val="center"/>
          </w:tcPr>
          <w:p>
            <w:pPr>
              <w:spacing w:line="200" w:lineRule="atLeast"/>
              <w:jc w:val="center"/>
              <w:rPr>
                <w:rFonts w:ascii="仿宋" w:hAnsi="仿宋" w:eastAsia="仿宋" w:cs="仿宋"/>
                <w:color w:val="000000"/>
                <w:sz w:val="20"/>
                <w:szCs w:val="20"/>
              </w:rPr>
            </w:pPr>
          </w:p>
        </w:tc>
        <w:tc>
          <w:tcPr>
            <w:tcW w:w="1174" w:type="pct"/>
            <w:vMerge w:val="continue"/>
            <w:tcBorders>
              <w:top w:val="single" w:color="000000" w:sz="4" w:space="0"/>
              <w:left w:val="single" w:color="000000" w:sz="4" w:space="0"/>
              <w:bottom w:val="nil"/>
              <w:right w:val="single" w:color="000000" w:sz="4" w:space="0"/>
            </w:tcBorders>
            <w:noWrap/>
            <w:vAlign w:val="center"/>
          </w:tcPr>
          <w:p>
            <w:pPr>
              <w:spacing w:line="200" w:lineRule="atLeast"/>
              <w:jc w:val="center"/>
              <w:rPr>
                <w:rFonts w:ascii="仿宋" w:hAnsi="仿宋" w:eastAsia="仿宋" w:cs="仿宋"/>
                <w:color w:val="000000"/>
                <w:sz w:val="20"/>
                <w:szCs w:val="20"/>
              </w:rPr>
            </w:pPr>
          </w:p>
        </w:tc>
        <w:tc>
          <w:tcPr>
            <w:tcW w:w="1338" w:type="pct"/>
            <w:vMerge w:val="continue"/>
            <w:tcBorders>
              <w:top w:val="single" w:color="000000" w:sz="4" w:space="0"/>
              <w:left w:val="single" w:color="000000" w:sz="4" w:space="0"/>
              <w:bottom w:val="nil"/>
              <w:right w:val="single" w:color="000000" w:sz="4" w:space="0"/>
            </w:tcBorders>
            <w:noWrap/>
            <w:vAlign w:val="center"/>
          </w:tcPr>
          <w:p>
            <w:pPr>
              <w:spacing w:line="200" w:lineRule="atLeast"/>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439" w:hRule="atLeast"/>
        </w:trPr>
        <w:tc>
          <w:tcPr>
            <w:tcW w:w="2486" w:type="pct"/>
            <w:tcBorders>
              <w:top w:val="single" w:color="000000" w:sz="4" w:space="0"/>
              <w:left w:val="single" w:color="000000" w:sz="4" w:space="0"/>
              <w:bottom w:val="nil"/>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消火栓</w:t>
            </w:r>
          </w:p>
        </w:tc>
        <w:tc>
          <w:tcPr>
            <w:tcW w:w="1174" w:type="pct"/>
            <w:tcBorders>
              <w:top w:val="single" w:color="000000" w:sz="4" w:space="0"/>
              <w:left w:val="single" w:color="000000" w:sz="4" w:space="0"/>
              <w:bottom w:val="nil"/>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芜湖华夏</w:t>
            </w:r>
          </w:p>
        </w:tc>
        <w:tc>
          <w:tcPr>
            <w:tcW w:w="1338" w:type="pct"/>
            <w:tcBorders>
              <w:top w:val="single" w:color="000000" w:sz="4" w:space="0"/>
              <w:left w:val="single" w:color="000000" w:sz="4" w:space="0"/>
              <w:bottom w:val="nil"/>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492只</w:t>
            </w:r>
          </w:p>
        </w:tc>
      </w:tr>
      <w:tr>
        <w:tblPrEx>
          <w:tblCellMar>
            <w:top w:w="0" w:type="dxa"/>
            <w:left w:w="108" w:type="dxa"/>
            <w:bottom w:w="0" w:type="dxa"/>
            <w:right w:w="108" w:type="dxa"/>
          </w:tblCellMar>
        </w:tblPrEx>
        <w:trPr>
          <w:trHeight w:val="439" w:hRule="atLeast"/>
        </w:trPr>
        <w:tc>
          <w:tcPr>
            <w:tcW w:w="2486" w:type="pct"/>
            <w:vMerge w:val="restart"/>
            <w:tcBorders>
              <w:top w:val="single" w:color="000000" w:sz="4" w:space="0"/>
              <w:left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灭火器</w:t>
            </w:r>
          </w:p>
        </w:tc>
        <w:tc>
          <w:tcPr>
            <w:tcW w:w="1174" w:type="pct"/>
            <w:tcBorders>
              <w:top w:val="single" w:color="000000" w:sz="4" w:space="0"/>
              <w:left w:val="single" w:color="000000" w:sz="4" w:space="0"/>
              <w:bottom w:val="nil"/>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徐州淮海</w:t>
            </w:r>
          </w:p>
        </w:tc>
        <w:tc>
          <w:tcPr>
            <w:tcW w:w="1338" w:type="pct"/>
            <w:tcBorders>
              <w:top w:val="single" w:color="000000" w:sz="4" w:space="0"/>
              <w:left w:val="single" w:color="000000" w:sz="4" w:space="0"/>
              <w:bottom w:val="nil"/>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1658只</w:t>
            </w:r>
          </w:p>
        </w:tc>
      </w:tr>
      <w:tr>
        <w:tblPrEx>
          <w:tblCellMar>
            <w:top w:w="0" w:type="dxa"/>
            <w:left w:w="108" w:type="dxa"/>
            <w:bottom w:w="0" w:type="dxa"/>
            <w:right w:w="108" w:type="dxa"/>
          </w:tblCellMar>
        </w:tblPrEx>
        <w:trPr>
          <w:trHeight w:val="439" w:hRule="atLeast"/>
        </w:trPr>
        <w:tc>
          <w:tcPr>
            <w:tcW w:w="2486" w:type="pct"/>
            <w:vMerge w:val="continue"/>
            <w:tcBorders>
              <w:left w:val="single" w:color="000000" w:sz="4" w:space="0"/>
              <w:bottom w:val="nil"/>
              <w:right w:val="single" w:color="000000" w:sz="4" w:space="0"/>
            </w:tcBorders>
            <w:noWrap/>
            <w:vAlign w:val="center"/>
          </w:tcPr>
          <w:p>
            <w:pPr>
              <w:spacing w:line="200" w:lineRule="atLeast"/>
              <w:jc w:val="center"/>
              <w:rPr>
                <w:rFonts w:ascii="仿宋" w:hAnsi="仿宋" w:eastAsia="仿宋" w:cs="仿宋"/>
                <w:color w:val="000000"/>
                <w:sz w:val="20"/>
                <w:szCs w:val="20"/>
              </w:rPr>
            </w:pPr>
          </w:p>
        </w:tc>
        <w:tc>
          <w:tcPr>
            <w:tcW w:w="1174" w:type="pct"/>
            <w:tcBorders>
              <w:top w:val="single" w:color="000000" w:sz="4" w:space="0"/>
              <w:left w:val="single" w:color="000000" w:sz="4" w:space="0"/>
              <w:bottom w:val="nil"/>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江苏快达</w:t>
            </w:r>
          </w:p>
        </w:tc>
        <w:tc>
          <w:tcPr>
            <w:tcW w:w="1338" w:type="pct"/>
            <w:tcBorders>
              <w:top w:val="single" w:color="000000" w:sz="4" w:space="0"/>
              <w:left w:val="single" w:color="000000" w:sz="4" w:space="0"/>
              <w:bottom w:val="nil"/>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34只</w:t>
            </w:r>
          </w:p>
        </w:tc>
      </w:tr>
      <w:tr>
        <w:tblPrEx>
          <w:tblCellMar>
            <w:top w:w="0" w:type="dxa"/>
            <w:left w:w="108" w:type="dxa"/>
            <w:bottom w:w="0" w:type="dxa"/>
            <w:right w:w="108" w:type="dxa"/>
          </w:tblCellMar>
        </w:tblPrEx>
        <w:trPr>
          <w:trHeight w:val="439" w:hRule="atLeast"/>
        </w:trPr>
        <w:tc>
          <w:tcPr>
            <w:tcW w:w="2486" w:type="pct"/>
            <w:tcBorders>
              <w:top w:val="single" w:color="000000" w:sz="4" w:space="0"/>
              <w:left w:val="single" w:color="000000" w:sz="4" w:space="0"/>
              <w:bottom w:val="nil"/>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七氟丙烷钢瓶</w:t>
            </w:r>
          </w:p>
        </w:tc>
        <w:tc>
          <w:tcPr>
            <w:tcW w:w="1174" w:type="pct"/>
            <w:tcBorders>
              <w:top w:val="single" w:color="000000" w:sz="4" w:space="0"/>
              <w:left w:val="single" w:color="000000" w:sz="4" w:space="0"/>
              <w:bottom w:val="nil"/>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上海海越</w:t>
            </w:r>
          </w:p>
        </w:tc>
        <w:tc>
          <w:tcPr>
            <w:tcW w:w="1338" w:type="pct"/>
            <w:tcBorders>
              <w:top w:val="single" w:color="000000" w:sz="4" w:space="0"/>
              <w:left w:val="single" w:color="000000" w:sz="4" w:space="0"/>
              <w:bottom w:val="nil"/>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33只</w:t>
            </w:r>
          </w:p>
        </w:tc>
      </w:tr>
      <w:tr>
        <w:tblPrEx>
          <w:tblCellMar>
            <w:top w:w="0" w:type="dxa"/>
            <w:left w:w="108" w:type="dxa"/>
            <w:bottom w:w="0" w:type="dxa"/>
            <w:right w:w="108" w:type="dxa"/>
          </w:tblCellMar>
        </w:tblPrEx>
        <w:trPr>
          <w:trHeight w:val="435" w:hRule="atLeast"/>
        </w:trPr>
        <w:tc>
          <w:tcPr>
            <w:tcW w:w="2486" w:type="pct"/>
            <w:tcBorders>
              <w:top w:val="single" w:color="000000" w:sz="4" w:space="0"/>
              <w:left w:val="single" w:color="000000" w:sz="4" w:space="0"/>
              <w:bottom w:val="nil"/>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七氟丙烷灭火系统</w:t>
            </w:r>
          </w:p>
        </w:tc>
        <w:tc>
          <w:tcPr>
            <w:tcW w:w="1174" w:type="pct"/>
            <w:tcBorders>
              <w:top w:val="single" w:color="000000" w:sz="4" w:space="0"/>
              <w:left w:val="single" w:color="000000" w:sz="4" w:space="0"/>
              <w:bottom w:val="nil"/>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四川迪威</w:t>
            </w:r>
          </w:p>
        </w:tc>
        <w:tc>
          <w:tcPr>
            <w:tcW w:w="1338" w:type="pct"/>
            <w:tcBorders>
              <w:top w:val="single" w:color="000000" w:sz="4" w:space="0"/>
              <w:left w:val="single" w:color="000000" w:sz="4" w:space="0"/>
              <w:bottom w:val="nil"/>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8只</w:t>
            </w:r>
          </w:p>
        </w:tc>
      </w:tr>
      <w:tr>
        <w:tblPrEx>
          <w:tblCellMar>
            <w:top w:w="0" w:type="dxa"/>
            <w:left w:w="108" w:type="dxa"/>
            <w:bottom w:w="0" w:type="dxa"/>
            <w:right w:w="108" w:type="dxa"/>
          </w:tblCellMar>
        </w:tblPrEx>
        <w:trPr>
          <w:trHeight w:val="439" w:hRule="atLeast"/>
        </w:trPr>
        <w:tc>
          <w:tcPr>
            <w:tcW w:w="2486" w:type="pct"/>
            <w:tcBorders>
              <w:top w:val="single" w:color="000000" w:sz="4" w:space="0"/>
              <w:left w:val="single" w:color="000000" w:sz="4" w:space="0"/>
              <w:bottom w:val="nil"/>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柜式七氟丙烷灭火装置GQQ120/2.5HY</w:t>
            </w:r>
          </w:p>
        </w:tc>
        <w:tc>
          <w:tcPr>
            <w:tcW w:w="1174" w:type="pct"/>
            <w:tcBorders>
              <w:top w:val="single" w:color="000000" w:sz="4" w:space="0"/>
              <w:left w:val="single" w:color="000000" w:sz="4" w:space="0"/>
              <w:bottom w:val="nil"/>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上海海越</w:t>
            </w:r>
          </w:p>
        </w:tc>
        <w:tc>
          <w:tcPr>
            <w:tcW w:w="1338" w:type="pct"/>
            <w:tcBorders>
              <w:top w:val="single" w:color="000000" w:sz="4" w:space="0"/>
              <w:left w:val="single" w:color="000000" w:sz="4" w:space="0"/>
              <w:bottom w:val="nil"/>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6只</w:t>
            </w:r>
          </w:p>
        </w:tc>
      </w:tr>
      <w:tr>
        <w:tblPrEx>
          <w:tblCellMar>
            <w:top w:w="0" w:type="dxa"/>
            <w:left w:w="108" w:type="dxa"/>
            <w:bottom w:w="0" w:type="dxa"/>
            <w:right w:w="108" w:type="dxa"/>
          </w:tblCellMar>
        </w:tblPrEx>
        <w:trPr>
          <w:trHeight w:val="439" w:hRule="atLeast"/>
        </w:trPr>
        <w:tc>
          <w:tcPr>
            <w:tcW w:w="2486" w:type="pct"/>
            <w:tcBorders>
              <w:top w:val="nil"/>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柜式七氟丙烷灭火装置GQQ90/2.5DW</w:t>
            </w:r>
          </w:p>
        </w:tc>
        <w:tc>
          <w:tcPr>
            <w:tcW w:w="1174" w:type="pct"/>
            <w:tcBorders>
              <w:top w:val="nil"/>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四川迪威</w:t>
            </w:r>
          </w:p>
        </w:tc>
        <w:tc>
          <w:tcPr>
            <w:tcW w:w="1338" w:type="pct"/>
            <w:tcBorders>
              <w:top w:val="nil"/>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3只（2套）</w:t>
            </w:r>
          </w:p>
        </w:tc>
      </w:tr>
      <w:tr>
        <w:trPr>
          <w:trHeight w:val="439" w:hRule="atLeast"/>
        </w:trPr>
        <w:tc>
          <w:tcPr>
            <w:tcW w:w="2486" w:type="pct"/>
            <w:tcBorders>
              <w:top w:val="single" w:color="000000" w:sz="4" w:space="0"/>
              <w:left w:val="single" w:color="000000" w:sz="4" w:space="0"/>
              <w:bottom w:val="nil"/>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应急照明电池SP12-24Ah/20hr</w:t>
            </w:r>
          </w:p>
        </w:tc>
        <w:tc>
          <w:tcPr>
            <w:tcW w:w="1174" w:type="pct"/>
            <w:tcBorders>
              <w:top w:val="single" w:color="000000" w:sz="4" w:space="0"/>
              <w:left w:val="single" w:color="000000" w:sz="4" w:space="0"/>
              <w:bottom w:val="nil"/>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山东圣阳</w:t>
            </w:r>
          </w:p>
        </w:tc>
        <w:tc>
          <w:tcPr>
            <w:tcW w:w="1338" w:type="pct"/>
            <w:tcBorders>
              <w:top w:val="single" w:color="000000" w:sz="4" w:space="0"/>
              <w:left w:val="single" w:color="000000" w:sz="4" w:space="0"/>
              <w:bottom w:val="nil"/>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18节</w:t>
            </w:r>
          </w:p>
        </w:tc>
      </w:tr>
      <w:tr>
        <w:tblPrEx>
          <w:tblCellMar>
            <w:top w:w="0" w:type="dxa"/>
            <w:left w:w="108" w:type="dxa"/>
            <w:bottom w:w="0" w:type="dxa"/>
            <w:right w:w="108" w:type="dxa"/>
          </w:tblCellMar>
        </w:tblPrEx>
        <w:trPr>
          <w:trHeight w:val="439" w:hRule="atLeast"/>
        </w:trPr>
        <w:tc>
          <w:tcPr>
            <w:tcW w:w="2486" w:type="pct"/>
            <w:tcBorders>
              <w:top w:val="nil"/>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应急照明电池SP12-80Ah/20hr</w:t>
            </w:r>
          </w:p>
        </w:tc>
        <w:tc>
          <w:tcPr>
            <w:tcW w:w="1174" w:type="pct"/>
            <w:tcBorders>
              <w:top w:val="nil"/>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山东圣阳</w:t>
            </w:r>
          </w:p>
        </w:tc>
        <w:tc>
          <w:tcPr>
            <w:tcW w:w="1338" w:type="pct"/>
            <w:tcBorders>
              <w:top w:val="nil"/>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15节</w:t>
            </w:r>
          </w:p>
        </w:tc>
      </w:tr>
      <w:tr>
        <w:tblPrEx>
          <w:tblCellMar>
            <w:top w:w="0" w:type="dxa"/>
            <w:left w:w="108" w:type="dxa"/>
            <w:bottom w:w="0" w:type="dxa"/>
            <w:right w:w="108" w:type="dxa"/>
          </w:tblCellMar>
        </w:tblPrEx>
        <w:trPr>
          <w:trHeight w:val="439" w:hRule="atLeast"/>
        </w:trPr>
        <w:tc>
          <w:tcPr>
            <w:tcW w:w="248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应急照明电池SSP12-18Ah/20hr</w:t>
            </w:r>
          </w:p>
        </w:tc>
        <w:tc>
          <w:tcPr>
            <w:tcW w:w="1174" w:type="pct"/>
            <w:tcBorders>
              <w:top w:val="single" w:color="000000" w:sz="4" w:space="0"/>
              <w:left w:val="single" w:color="000000" w:sz="4" w:space="0"/>
              <w:bottom w:val="nil"/>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山东圣阳</w:t>
            </w:r>
          </w:p>
        </w:tc>
        <w:tc>
          <w:tcPr>
            <w:tcW w:w="133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255节</w:t>
            </w:r>
          </w:p>
        </w:tc>
      </w:tr>
      <w:tr>
        <w:tblPrEx>
          <w:tblCellMar>
            <w:top w:w="0" w:type="dxa"/>
            <w:left w:w="108" w:type="dxa"/>
            <w:bottom w:w="0" w:type="dxa"/>
            <w:right w:w="108" w:type="dxa"/>
          </w:tblCellMar>
        </w:tblPrEx>
        <w:trPr>
          <w:trHeight w:val="439" w:hRule="atLeast"/>
        </w:trPr>
        <w:tc>
          <w:tcPr>
            <w:tcW w:w="248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c>
          <w:tcPr>
            <w:tcW w:w="1174" w:type="pct"/>
            <w:tcBorders>
              <w:top w:val="nil"/>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山东圣阳</w:t>
            </w:r>
          </w:p>
        </w:tc>
        <w:tc>
          <w:tcPr>
            <w:tcW w:w="1338"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439" w:hRule="atLeast"/>
        </w:trPr>
        <w:tc>
          <w:tcPr>
            <w:tcW w:w="248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ABC悬挂式干粉灭火系统</w:t>
            </w:r>
          </w:p>
        </w:tc>
        <w:tc>
          <w:tcPr>
            <w:tcW w:w="117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江西兴安</w:t>
            </w:r>
          </w:p>
        </w:tc>
        <w:tc>
          <w:tcPr>
            <w:tcW w:w="133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100只</w:t>
            </w:r>
          </w:p>
        </w:tc>
      </w:tr>
      <w:tr>
        <w:tblPrEx>
          <w:tblCellMar>
            <w:top w:w="0" w:type="dxa"/>
            <w:left w:w="108" w:type="dxa"/>
            <w:bottom w:w="0" w:type="dxa"/>
            <w:right w:w="108" w:type="dxa"/>
          </w:tblCellMar>
        </w:tblPrEx>
        <w:trPr>
          <w:trHeight w:val="312" w:hRule="atLeast"/>
        </w:trPr>
        <w:tc>
          <w:tcPr>
            <w:tcW w:w="248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c>
          <w:tcPr>
            <w:tcW w:w="117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c>
          <w:tcPr>
            <w:tcW w:w="1338"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439" w:hRule="atLeast"/>
        </w:trPr>
        <w:tc>
          <w:tcPr>
            <w:tcW w:w="248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气体灭火报警控制器JB-3208G</w:t>
            </w:r>
          </w:p>
        </w:tc>
        <w:tc>
          <w:tcPr>
            <w:tcW w:w="117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上海松江</w:t>
            </w:r>
          </w:p>
        </w:tc>
        <w:tc>
          <w:tcPr>
            <w:tcW w:w="133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1台</w:t>
            </w:r>
          </w:p>
        </w:tc>
      </w:tr>
      <w:tr>
        <w:tblPrEx>
          <w:tblCellMar>
            <w:top w:w="0" w:type="dxa"/>
            <w:left w:w="108" w:type="dxa"/>
            <w:bottom w:w="0" w:type="dxa"/>
            <w:right w:w="108" w:type="dxa"/>
          </w:tblCellMar>
        </w:tblPrEx>
        <w:trPr>
          <w:trHeight w:val="312" w:hRule="atLeast"/>
        </w:trPr>
        <w:tc>
          <w:tcPr>
            <w:tcW w:w="248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c>
          <w:tcPr>
            <w:tcW w:w="117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c>
          <w:tcPr>
            <w:tcW w:w="1338"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439" w:hRule="atLeast"/>
        </w:trPr>
        <w:tc>
          <w:tcPr>
            <w:tcW w:w="248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点型光烟感探测器JTY-GD-3005A</w:t>
            </w:r>
          </w:p>
        </w:tc>
        <w:tc>
          <w:tcPr>
            <w:tcW w:w="117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上海松江</w:t>
            </w:r>
          </w:p>
        </w:tc>
        <w:tc>
          <w:tcPr>
            <w:tcW w:w="133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2732只</w:t>
            </w:r>
          </w:p>
        </w:tc>
      </w:tr>
      <w:tr>
        <w:tblPrEx>
          <w:tblCellMar>
            <w:top w:w="0" w:type="dxa"/>
            <w:left w:w="108" w:type="dxa"/>
            <w:bottom w:w="0" w:type="dxa"/>
            <w:right w:w="108" w:type="dxa"/>
          </w:tblCellMar>
        </w:tblPrEx>
        <w:trPr>
          <w:trHeight w:val="312" w:hRule="atLeast"/>
        </w:trPr>
        <w:tc>
          <w:tcPr>
            <w:tcW w:w="248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c>
          <w:tcPr>
            <w:tcW w:w="117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c>
          <w:tcPr>
            <w:tcW w:w="1338"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r>
      <w:tr>
        <w:trPr>
          <w:trHeight w:val="439" w:hRule="atLeast"/>
        </w:trPr>
        <w:tc>
          <w:tcPr>
            <w:tcW w:w="248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温感探测器</w:t>
            </w:r>
          </w:p>
        </w:tc>
        <w:tc>
          <w:tcPr>
            <w:tcW w:w="117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上海松江</w:t>
            </w:r>
          </w:p>
        </w:tc>
        <w:tc>
          <w:tcPr>
            <w:tcW w:w="133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526只</w:t>
            </w:r>
          </w:p>
        </w:tc>
      </w:tr>
      <w:tr>
        <w:tblPrEx>
          <w:tblCellMar>
            <w:top w:w="0" w:type="dxa"/>
            <w:left w:w="108" w:type="dxa"/>
            <w:bottom w:w="0" w:type="dxa"/>
            <w:right w:w="108" w:type="dxa"/>
          </w:tblCellMar>
        </w:tblPrEx>
        <w:trPr>
          <w:trHeight w:val="312" w:hRule="atLeast"/>
        </w:trPr>
        <w:tc>
          <w:tcPr>
            <w:tcW w:w="248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c>
          <w:tcPr>
            <w:tcW w:w="117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c>
          <w:tcPr>
            <w:tcW w:w="1338"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439" w:hRule="atLeast"/>
        </w:trPr>
        <w:tc>
          <w:tcPr>
            <w:tcW w:w="248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消防泵   XBDSLS125-315</w:t>
            </w:r>
          </w:p>
        </w:tc>
        <w:tc>
          <w:tcPr>
            <w:tcW w:w="117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上海连成</w:t>
            </w:r>
          </w:p>
        </w:tc>
        <w:tc>
          <w:tcPr>
            <w:tcW w:w="133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2台</w:t>
            </w:r>
          </w:p>
        </w:tc>
      </w:tr>
      <w:tr>
        <w:tblPrEx>
          <w:tblCellMar>
            <w:top w:w="0" w:type="dxa"/>
            <w:left w:w="108" w:type="dxa"/>
            <w:bottom w:w="0" w:type="dxa"/>
            <w:right w:w="108" w:type="dxa"/>
          </w:tblCellMar>
        </w:tblPrEx>
        <w:trPr>
          <w:trHeight w:val="439" w:hRule="atLeast"/>
        </w:trPr>
        <w:tc>
          <w:tcPr>
            <w:tcW w:w="248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c>
          <w:tcPr>
            <w:tcW w:w="117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c>
          <w:tcPr>
            <w:tcW w:w="1338"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439" w:hRule="atLeast"/>
        </w:trPr>
        <w:tc>
          <w:tcPr>
            <w:tcW w:w="248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湿式报警阀  ZSFZ-150</w:t>
            </w:r>
          </w:p>
        </w:tc>
        <w:tc>
          <w:tcPr>
            <w:tcW w:w="117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浙江恒安</w:t>
            </w:r>
          </w:p>
        </w:tc>
        <w:tc>
          <w:tcPr>
            <w:tcW w:w="133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16套</w:t>
            </w:r>
          </w:p>
        </w:tc>
      </w:tr>
      <w:tr>
        <w:tblPrEx>
          <w:tblCellMar>
            <w:top w:w="0" w:type="dxa"/>
            <w:left w:w="108" w:type="dxa"/>
            <w:bottom w:w="0" w:type="dxa"/>
            <w:right w:w="108" w:type="dxa"/>
          </w:tblCellMar>
        </w:tblPrEx>
        <w:trPr>
          <w:trHeight w:val="439" w:hRule="atLeast"/>
        </w:trPr>
        <w:tc>
          <w:tcPr>
            <w:tcW w:w="248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c>
          <w:tcPr>
            <w:tcW w:w="117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c>
          <w:tcPr>
            <w:tcW w:w="1338"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439" w:hRule="atLeast"/>
        </w:trPr>
        <w:tc>
          <w:tcPr>
            <w:tcW w:w="248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消防稳压泵25JBL4-114</w:t>
            </w:r>
          </w:p>
        </w:tc>
        <w:tc>
          <w:tcPr>
            <w:tcW w:w="117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上海连成</w:t>
            </w:r>
          </w:p>
        </w:tc>
        <w:tc>
          <w:tcPr>
            <w:tcW w:w="133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2台</w:t>
            </w:r>
          </w:p>
        </w:tc>
      </w:tr>
      <w:tr>
        <w:tblPrEx>
          <w:tblCellMar>
            <w:top w:w="0" w:type="dxa"/>
            <w:left w:w="108" w:type="dxa"/>
            <w:bottom w:w="0" w:type="dxa"/>
            <w:right w:w="108" w:type="dxa"/>
          </w:tblCellMar>
        </w:tblPrEx>
        <w:trPr>
          <w:trHeight w:val="312" w:hRule="atLeast"/>
        </w:trPr>
        <w:tc>
          <w:tcPr>
            <w:tcW w:w="248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c>
          <w:tcPr>
            <w:tcW w:w="117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c>
          <w:tcPr>
            <w:tcW w:w="1338"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439" w:hRule="atLeast"/>
        </w:trPr>
        <w:tc>
          <w:tcPr>
            <w:tcW w:w="248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喷淋头</w:t>
            </w:r>
          </w:p>
        </w:tc>
        <w:tc>
          <w:tcPr>
            <w:tcW w:w="117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成都消防设备</w:t>
            </w:r>
          </w:p>
        </w:tc>
        <w:tc>
          <w:tcPr>
            <w:tcW w:w="133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11305只</w:t>
            </w:r>
          </w:p>
        </w:tc>
      </w:tr>
      <w:tr>
        <w:tblPrEx>
          <w:tblCellMar>
            <w:top w:w="0" w:type="dxa"/>
            <w:left w:w="108" w:type="dxa"/>
            <w:bottom w:w="0" w:type="dxa"/>
            <w:right w:w="108" w:type="dxa"/>
          </w:tblCellMar>
        </w:tblPrEx>
        <w:trPr>
          <w:trHeight w:val="312" w:hRule="atLeast"/>
        </w:trPr>
        <w:tc>
          <w:tcPr>
            <w:tcW w:w="248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c>
          <w:tcPr>
            <w:tcW w:w="117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c>
          <w:tcPr>
            <w:tcW w:w="1338"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439" w:hRule="atLeast"/>
        </w:trPr>
        <w:tc>
          <w:tcPr>
            <w:tcW w:w="248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c>
          <w:tcPr>
            <w:tcW w:w="117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佛山南海天意</w:t>
            </w:r>
          </w:p>
        </w:tc>
        <w:tc>
          <w:tcPr>
            <w:tcW w:w="1338"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312" w:hRule="atLeast"/>
        </w:trPr>
        <w:tc>
          <w:tcPr>
            <w:tcW w:w="248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c>
          <w:tcPr>
            <w:tcW w:w="117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c>
          <w:tcPr>
            <w:tcW w:w="1338"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439" w:hRule="atLeast"/>
        </w:trPr>
        <w:tc>
          <w:tcPr>
            <w:tcW w:w="248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应急照明灯CZ-ZI IC-IC-E3</w:t>
            </w:r>
          </w:p>
        </w:tc>
        <w:tc>
          <w:tcPr>
            <w:tcW w:w="117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崇正华盛</w:t>
            </w:r>
          </w:p>
        </w:tc>
        <w:tc>
          <w:tcPr>
            <w:tcW w:w="133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858只</w:t>
            </w:r>
          </w:p>
        </w:tc>
      </w:tr>
      <w:tr>
        <w:tblPrEx>
          <w:tblCellMar>
            <w:top w:w="0" w:type="dxa"/>
            <w:left w:w="108" w:type="dxa"/>
            <w:bottom w:w="0" w:type="dxa"/>
            <w:right w:w="108" w:type="dxa"/>
          </w:tblCellMar>
        </w:tblPrEx>
        <w:trPr>
          <w:trHeight w:val="439" w:hRule="atLeast"/>
        </w:trPr>
        <w:tc>
          <w:tcPr>
            <w:tcW w:w="248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c>
          <w:tcPr>
            <w:tcW w:w="117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c>
          <w:tcPr>
            <w:tcW w:w="1338"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439" w:hRule="atLeast"/>
        </w:trPr>
        <w:tc>
          <w:tcPr>
            <w:tcW w:w="248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疏散指示CZ-BI IC-IEIIIW</w:t>
            </w:r>
          </w:p>
        </w:tc>
        <w:tc>
          <w:tcPr>
            <w:tcW w:w="117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崇正华盛</w:t>
            </w:r>
          </w:p>
        </w:tc>
        <w:tc>
          <w:tcPr>
            <w:tcW w:w="133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771只</w:t>
            </w:r>
          </w:p>
        </w:tc>
      </w:tr>
      <w:tr>
        <w:tblPrEx>
          <w:tblCellMar>
            <w:top w:w="0" w:type="dxa"/>
            <w:left w:w="108" w:type="dxa"/>
            <w:bottom w:w="0" w:type="dxa"/>
            <w:right w:w="108" w:type="dxa"/>
          </w:tblCellMar>
        </w:tblPrEx>
        <w:trPr>
          <w:trHeight w:val="439" w:hRule="atLeast"/>
        </w:trPr>
        <w:tc>
          <w:tcPr>
            <w:tcW w:w="248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c>
          <w:tcPr>
            <w:tcW w:w="117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c>
          <w:tcPr>
            <w:tcW w:w="1338"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439" w:hRule="atLeast"/>
        </w:trPr>
        <w:tc>
          <w:tcPr>
            <w:tcW w:w="248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排烟风机PYHL-14A</w:t>
            </w:r>
          </w:p>
        </w:tc>
        <w:tc>
          <w:tcPr>
            <w:tcW w:w="117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上虞专用风机</w:t>
            </w:r>
          </w:p>
        </w:tc>
        <w:tc>
          <w:tcPr>
            <w:tcW w:w="133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3台</w:t>
            </w:r>
          </w:p>
        </w:tc>
      </w:tr>
      <w:tr>
        <w:tblPrEx>
          <w:tblCellMar>
            <w:top w:w="0" w:type="dxa"/>
            <w:left w:w="108" w:type="dxa"/>
            <w:bottom w:w="0" w:type="dxa"/>
            <w:right w:w="108" w:type="dxa"/>
          </w:tblCellMar>
        </w:tblPrEx>
        <w:trPr>
          <w:trHeight w:val="439" w:hRule="atLeast"/>
        </w:trPr>
        <w:tc>
          <w:tcPr>
            <w:tcW w:w="248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c>
          <w:tcPr>
            <w:tcW w:w="117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c>
          <w:tcPr>
            <w:tcW w:w="1338"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r>
      <w:tr>
        <w:trPr>
          <w:trHeight w:val="439" w:hRule="atLeast"/>
        </w:trPr>
        <w:tc>
          <w:tcPr>
            <w:tcW w:w="248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排烟风机HTFC-II</w:t>
            </w:r>
          </w:p>
        </w:tc>
        <w:tc>
          <w:tcPr>
            <w:tcW w:w="117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上虞专用风机</w:t>
            </w:r>
          </w:p>
        </w:tc>
        <w:tc>
          <w:tcPr>
            <w:tcW w:w="133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5台</w:t>
            </w:r>
          </w:p>
        </w:tc>
      </w:tr>
      <w:tr>
        <w:tblPrEx>
          <w:tblCellMar>
            <w:top w:w="0" w:type="dxa"/>
            <w:left w:w="108" w:type="dxa"/>
            <w:bottom w:w="0" w:type="dxa"/>
            <w:right w:w="108" w:type="dxa"/>
          </w:tblCellMar>
        </w:tblPrEx>
        <w:trPr>
          <w:trHeight w:val="439" w:hRule="atLeast"/>
        </w:trPr>
        <w:tc>
          <w:tcPr>
            <w:tcW w:w="248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c>
          <w:tcPr>
            <w:tcW w:w="117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c>
          <w:tcPr>
            <w:tcW w:w="1338"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439" w:hRule="atLeast"/>
        </w:trPr>
        <w:tc>
          <w:tcPr>
            <w:tcW w:w="248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正压送风机HL-14A-8A</w:t>
            </w:r>
          </w:p>
        </w:tc>
        <w:tc>
          <w:tcPr>
            <w:tcW w:w="117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上虞专用风机</w:t>
            </w:r>
          </w:p>
        </w:tc>
        <w:tc>
          <w:tcPr>
            <w:tcW w:w="133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1台</w:t>
            </w:r>
          </w:p>
        </w:tc>
      </w:tr>
      <w:tr>
        <w:tblPrEx>
          <w:tblCellMar>
            <w:top w:w="0" w:type="dxa"/>
            <w:left w:w="108" w:type="dxa"/>
            <w:bottom w:w="0" w:type="dxa"/>
            <w:right w:w="108" w:type="dxa"/>
          </w:tblCellMar>
        </w:tblPrEx>
        <w:trPr>
          <w:trHeight w:val="439" w:hRule="atLeast"/>
        </w:trPr>
        <w:tc>
          <w:tcPr>
            <w:tcW w:w="248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c>
          <w:tcPr>
            <w:tcW w:w="117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c>
          <w:tcPr>
            <w:tcW w:w="1338"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439" w:hRule="atLeast"/>
        </w:trPr>
        <w:tc>
          <w:tcPr>
            <w:tcW w:w="248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正压送风机HTFC-III</w:t>
            </w:r>
          </w:p>
        </w:tc>
        <w:tc>
          <w:tcPr>
            <w:tcW w:w="117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上虞专用风机</w:t>
            </w:r>
          </w:p>
        </w:tc>
        <w:tc>
          <w:tcPr>
            <w:tcW w:w="133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3台</w:t>
            </w:r>
          </w:p>
        </w:tc>
      </w:tr>
      <w:tr>
        <w:tblPrEx>
          <w:tblCellMar>
            <w:top w:w="0" w:type="dxa"/>
            <w:left w:w="108" w:type="dxa"/>
            <w:bottom w:w="0" w:type="dxa"/>
            <w:right w:w="108" w:type="dxa"/>
          </w:tblCellMar>
        </w:tblPrEx>
        <w:trPr>
          <w:trHeight w:val="439" w:hRule="atLeast"/>
        </w:trPr>
        <w:tc>
          <w:tcPr>
            <w:tcW w:w="248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c>
          <w:tcPr>
            <w:tcW w:w="117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c>
          <w:tcPr>
            <w:tcW w:w="1338"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439" w:hRule="atLeast"/>
        </w:trPr>
        <w:tc>
          <w:tcPr>
            <w:tcW w:w="248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排烟风机HTFC-III-NO22</w:t>
            </w:r>
          </w:p>
        </w:tc>
        <w:tc>
          <w:tcPr>
            <w:tcW w:w="117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上虞贝斯特</w:t>
            </w:r>
          </w:p>
        </w:tc>
        <w:tc>
          <w:tcPr>
            <w:tcW w:w="133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1台</w:t>
            </w:r>
          </w:p>
        </w:tc>
      </w:tr>
      <w:tr>
        <w:tblPrEx>
          <w:tblCellMar>
            <w:top w:w="0" w:type="dxa"/>
            <w:left w:w="108" w:type="dxa"/>
            <w:bottom w:w="0" w:type="dxa"/>
            <w:right w:w="108" w:type="dxa"/>
          </w:tblCellMar>
        </w:tblPrEx>
        <w:trPr>
          <w:trHeight w:val="439" w:hRule="atLeast"/>
        </w:trPr>
        <w:tc>
          <w:tcPr>
            <w:tcW w:w="248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c>
          <w:tcPr>
            <w:tcW w:w="117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c>
          <w:tcPr>
            <w:tcW w:w="1338"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439" w:hRule="atLeast"/>
        </w:trPr>
        <w:tc>
          <w:tcPr>
            <w:tcW w:w="248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主楼屋顶消防水箱</w:t>
            </w:r>
          </w:p>
        </w:tc>
        <w:tc>
          <w:tcPr>
            <w:tcW w:w="117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不锈钢水箱</w:t>
            </w:r>
          </w:p>
        </w:tc>
        <w:tc>
          <w:tcPr>
            <w:tcW w:w="133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36立方</w:t>
            </w:r>
          </w:p>
        </w:tc>
      </w:tr>
      <w:tr>
        <w:tblPrEx>
          <w:tblCellMar>
            <w:top w:w="0" w:type="dxa"/>
            <w:left w:w="108" w:type="dxa"/>
            <w:bottom w:w="0" w:type="dxa"/>
            <w:right w:w="108" w:type="dxa"/>
          </w:tblCellMar>
        </w:tblPrEx>
        <w:trPr>
          <w:trHeight w:val="439" w:hRule="atLeast"/>
        </w:trPr>
        <w:tc>
          <w:tcPr>
            <w:tcW w:w="248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c>
          <w:tcPr>
            <w:tcW w:w="117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c>
          <w:tcPr>
            <w:tcW w:w="1338"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860" w:hRule="atLeast"/>
        </w:trPr>
        <w:tc>
          <w:tcPr>
            <w:tcW w:w="2486"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厨房燃气探头</w:t>
            </w:r>
          </w:p>
        </w:tc>
        <w:tc>
          <w:tcPr>
            <w:tcW w:w="117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四川成都</w:t>
            </w:r>
          </w:p>
        </w:tc>
        <w:tc>
          <w:tcPr>
            <w:tcW w:w="1338"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18只</w:t>
            </w:r>
          </w:p>
        </w:tc>
      </w:tr>
      <w:tr>
        <w:tblPrEx>
          <w:tblCellMar>
            <w:top w:w="0" w:type="dxa"/>
            <w:left w:w="108" w:type="dxa"/>
            <w:bottom w:w="0" w:type="dxa"/>
            <w:right w:w="108" w:type="dxa"/>
          </w:tblCellMar>
        </w:tblPrEx>
        <w:trPr>
          <w:trHeight w:val="384" w:hRule="atLeast"/>
        </w:trPr>
        <w:tc>
          <w:tcPr>
            <w:tcW w:w="2486" w:type="pc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防火门</w:t>
            </w:r>
          </w:p>
        </w:tc>
        <w:tc>
          <w:tcPr>
            <w:tcW w:w="1174" w:type="pc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上海嘉定</w:t>
            </w:r>
          </w:p>
        </w:tc>
        <w:tc>
          <w:tcPr>
            <w:tcW w:w="1338" w:type="pc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4"/>
              </w:rPr>
            </w:pPr>
            <w:r>
              <w:rPr>
                <w:rFonts w:hint="eastAsia" w:ascii="仿宋" w:hAnsi="仿宋" w:eastAsia="仿宋" w:cs="仿宋"/>
                <w:color w:val="000000"/>
                <w:kern w:val="0"/>
                <w:sz w:val="24"/>
              </w:rPr>
              <w:t>358樘</w:t>
            </w:r>
          </w:p>
        </w:tc>
      </w:tr>
      <w:tr>
        <w:tblPrEx>
          <w:tblCellMar>
            <w:top w:w="0" w:type="dxa"/>
            <w:left w:w="108" w:type="dxa"/>
            <w:bottom w:w="0" w:type="dxa"/>
            <w:right w:w="108" w:type="dxa"/>
          </w:tblCellMar>
        </w:tblPrEx>
        <w:trPr>
          <w:trHeight w:val="860" w:hRule="atLeast"/>
        </w:trPr>
        <w:tc>
          <w:tcPr>
            <w:tcW w:w="2486" w:type="pc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防火卷帘门TFJ(W)</w:t>
            </w:r>
          </w:p>
        </w:tc>
        <w:tc>
          <w:tcPr>
            <w:tcW w:w="1174" w:type="pc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富阳市金泰</w:t>
            </w:r>
          </w:p>
        </w:tc>
        <w:tc>
          <w:tcPr>
            <w:tcW w:w="1338" w:type="pc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仿宋" w:hAnsi="仿宋" w:eastAsia="仿宋" w:cs="仿宋"/>
                <w:color w:val="000000"/>
                <w:sz w:val="24"/>
              </w:rPr>
            </w:pPr>
            <w:r>
              <w:rPr>
                <w:rFonts w:hint="eastAsia" w:ascii="仿宋" w:hAnsi="仿宋" w:eastAsia="仿宋" w:cs="仿宋"/>
                <w:color w:val="000000"/>
                <w:kern w:val="0"/>
                <w:sz w:val="24"/>
              </w:rPr>
              <w:t>18樘</w:t>
            </w:r>
          </w:p>
        </w:tc>
      </w:tr>
    </w:tbl>
    <w:p>
      <w:pPr>
        <w:spacing w:line="500" w:lineRule="exact"/>
        <w:ind w:right="960"/>
        <w:rPr>
          <w:rFonts w:ascii="仿宋" w:hAnsi="仿宋" w:eastAsia="仿宋" w:cs="仿宋"/>
          <w:color w:val="000000"/>
          <w:sz w:val="30"/>
          <w:szCs w:val="30"/>
        </w:rPr>
        <w:sectPr>
          <w:pgSz w:w="11906" w:h="16838"/>
          <w:pgMar w:top="1440" w:right="1406" w:bottom="1440" w:left="1576" w:header="851" w:footer="992" w:gutter="0"/>
          <w:cols w:space="720" w:num="1"/>
          <w:docGrid w:type="lines" w:linePitch="312" w:charSpace="0"/>
        </w:sectPr>
      </w:pPr>
    </w:p>
    <w:p>
      <w:pPr>
        <w:keepNext w:val="0"/>
        <w:keepLines w:val="0"/>
        <w:pageBreakBefore w:val="0"/>
        <w:numPr>
          <w:numId w:val="0"/>
        </w:numPr>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rPr>
        <w:t>服务要求：</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严格按照消防设施设备系统维保服务流程进行操作，符合国家及地方规定的相关标准及技术性指标。</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1、具备消防设施维修保养的相应资质、资格，依照法律法规、技术标准和执业准则，开展建筑消防设施维修保养技术服务活动，对维修保养质量负责。</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2、根据维修保养对象的具体情况，拟定具体的维修保养方案，明确项目负责人，至少指定2名以上执业人员负责实施并常驻1名执业人员。执业人员维修保养时应当认真如实填写维修保养记录。</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3、按照《建筑消防设施的维护管理》（GB25201）等消防技术标准规定的内容、程序、周期等要求，对合同约定范围内的建筑消防设施开展检查、维修、保养、测试等技术服务。</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4、每年对承担维修保养的建筑消防设施进行2次全面自我检查测试，并出具年度检测报告。</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5、在巡查、巡检中发现建筑消防设施存在问题、故障，或接到甲方通知要求维修的，维保方必须在半小时之内到现场处理，能够当场修复的应当立即修复解决；没有条件立即修复解决的，应当在12小时内组织维修，尽快排除故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6、对故障零部件提供临时备件，保障消防设施能够在紧急状态下发挥作用；对故障零部件确需更换的，向甲方提出建议，并出示更换部件报废证明，单次200元及以下更换的易损单件和外送修理费由维保单位免费提供。</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7、对甲方值班或者管理人员进行专业技术指导。</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五、响应人资格要求：</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（一）响应人必须具有合法经营资质，并提供下列资格证明材料（加盖公章）：</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color w:val="FF0000"/>
          <w:sz w:val="32"/>
          <w:szCs w:val="32"/>
          <w:highlight w:val="yellow"/>
        </w:rPr>
      </w:pPr>
      <w:r>
        <w:rPr>
          <w:rFonts w:hint="eastAsia" w:ascii="仿宋" w:hAnsi="仿宋" w:eastAsia="仿宋" w:cs="仿宋"/>
          <w:sz w:val="32"/>
          <w:szCs w:val="32"/>
        </w:rPr>
        <w:t>1、法人或其他组织的营业执照或事业单位法人证书等证明文件，自然人的身份证明；</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2、根据项目需求提供履行合同所必需的设备和专业技术能力的证明材料，且须提供拟派</w:t>
      </w:r>
      <w:r>
        <w:rPr>
          <w:rFonts w:hint="eastAsia" w:eastAsia="仿宋_GB2312" w:cs="仿宋_GB2312"/>
          <w:color w:val="000000"/>
          <w:spacing w:val="20"/>
          <w:sz w:val="32"/>
          <w:szCs w:val="32"/>
        </w:rPr>
        <w:t>现场维修保养人员的执业资格证书</w:t>
      </w:r>
      <w:r>
        <w:rPr>
          <w:rFonts w:hint="eastAsia" w:ascii="仿宋" w:hAnsi="仿宋" w:eastAsia="仿宋" w:cs="仿宋"/>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3、法人授权委托书（原件）、法人及委托代理人的身份证复印件；</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4、参加政府采购活动前 3 年内在经营活动中没有重大违法记录和失信记录的书面声明（格式见附件2）以及未被“中国政府采购网”网站（www.ccgp.gov.cn）或“信用中国”网站（www.creditchina.gov.cn）或“国家企业信用信息公示系统” 网站（www.gsxt.gov.cn）列入失信被执行人、重大税收违法案件当事人名单、政府采购严重失信行为记录名单（提供网上查验结果截图）；</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5、同类项目业绩、地点及取得的荣誉。响应人提供2022年7月1日以来（以合同签订时间为准）消防设施设备系统维保的服务案例。（提供服务合同复印件，且至少提供2个服务业绩）。</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6、法律、行政法规规定的其它条件。</w:t>
      </w:r>
    </w:p>
    <w:p>
      <w:pPr>
        <w:pStyle w:val="4"/>
        <w:keepNext w:val="0"/>
        <w:keepLines w:val="0"/>
        <w:pageBreakBefore w:val="0"/>
        <w:widowControl w:val="0"/>
        <w:kinsoku/>
        <w:overflowPunct/>
        <w:topLinePunct w:val="0"/>
        <w:autoSpaceDE/>
        <w:autoSpaceDN/>
        <w:bidi w:val="0"/>
        <w:adjustRightInd/>
        <w:snapToGrid/>
        <w:spacing w:after="0" w:line="5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注：所涉及的所有证明材料及复印件须加盖单位公章。如发现有弄虚作假的，取消中标资格。</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（二）本项目不接受联合体响应，成交后不允许分包、转包。</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六、合同期限、付款方式：</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1、付款方式：每季度凭发票结算壹次，15个工作日内甲方支付费用。</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2、服务期限：自合同签订之日起一年。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3、验收标准：按照国家及地方相关标准验收。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4、报价要求：</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报价含税费、人工费、检查费、运输费、系统正常维护费以及合同实施过程中的应预见和不预见费用等全部费用。</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其他要求：</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（1）有权核查乙方维修保养机构资质证书和现场维修保养人员执业资格证书。</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（2）按规定配备值班和管理人员，落实值班和管理措施。</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（3）掌握建筑消防设施的使用、操作规程，发现消防设施存在问题和故障并及时通知乙方修复。</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（4）根据需要及时组织更换建筑消防设施配件，承担建筑消防设施换件和安装、维修保养费用。</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七、响应须知：</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（一）响应文件构成（包括但不仅限于）</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1、资格性和符合性审查响应索引表及证明材料；</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2、询价采购报价总表（格式见附件1）及</w:t>
      </w:r>
      <w:r>
        <w:rPr>
          <w:rFonts w:hint="eastAsia" w:ascii="仿宋" w:hAnsi="仿宋" w:eastAsia="仿宋" w:cs="仿宋"/>
          <w:sz w:val="32"/>
          <w:szCs w:val="32"/>
          <w:lang w:val="zh-CN"/>
        </w:rPr>
        <w:t>分项报价明细表（</w:t>
      </w:r>
      <w:r>
        <w:rPr>
          <w:rFonts w:hint="eastAsia" w:ascii="仿宋" w:hAnsi="仿宋" w:eastAsia="仿宋" w:cs="仿宋"/>
          <w:sz w:val="32"/>
          <w:szCs w:val="32"/>
        </w:rPr>
        <w:t>格式自拟</w:t>
      </w:r>
      <w:r>
        <w:rPr>
          <w:rFonts w:hint="eastAsia" w:ascii="仿宋" w:hAnsi="仿宋" w:eastAsia="仿宋" w:cs="仿宋"/>
          <w:sz w:val="32"/>
          <w:szCs w:val="32"/>
          <w:lang w:val="zh-CN"/>
        </w:rPr>
        <w:t>）</w:t>
      </w:r>
      <w:r>
        <w:rPr>
          <w:rFonts w:hint="eastAsia" w:ascii="仿宋" w:hAnsi="仿宋" w:eastAsia="仿宋" w:cs="仿宋"/>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3、所提供的的材料均需加盖响应人公章，响应文件格式详见《响应文件格式》（附件）；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4、响应人认为其他需要说明的材料。</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提醒：请按照以上顺序及表格模板制作响应文件。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（二）以下情形视为无效响应</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1、响应人报价超出项目预算的，或存在可选择报价；</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2、对采购文件中规定的实质性要求和条件存在不符合的；</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3、对采购文件中规定的非实质性要求和条件三项及以上不响应的；</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4、参加本次采购活动前3年内在经营活动中有政府采购严重失信行为记录名单、失信被执行人、重大税收违法案件当事人名单的重大违法记录的；</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5、响应人更改报价清单内容的；</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6、一年内在本单位采购活动中履约行为出现差评的；</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7、响应文件附有采购方不能接受的条件的。</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（三）响应文件封装</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1、响应文件单独装袋密封，封口加盖响应人公章（正本1份，副本2份），响应文件应按要求内容的顺序装订成册，不允许活页装订，在响应书封面标明“正本”或“副本”字样。</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2、响应文件外包</w:t>
      </w:r>
      <w:r>
        <w:rPr>
          <w:rFonts w:hint="eastAsia" w:ascii="仿宋" w:hAnsi="仿宋" w:eastAsia="仿宋" w:cs="仿宋"/>
          <w:color w:val="000000" w:themeColor="text1"/>
          <w:sz w:val="32"/>
          <w:szCs w:val="32"/>
        </w:rPr>
        <w:t>装上要注明：项目</w:t>
      </w:r>
      <w:r>
        <w:rPr>
          <w:rFonts w:hint="eastAsia" w:ascii="仿宋" w:hAnsi="仿宋" w:eastAsia="仿宋" w:cs="仿宋"/>
          <w:sz w:val="32"/>
          <w:szCs w:val="32"/>
        </w:rPr>
        <w:t>名称</w:t>
      </w:r>
      <w:r>
        <w:rPr>
          <w:rFonts w:hint="eastAsia" w:ascii="仿宋" w:hAnsi="仿宋" w:eastAsia="仿宋" w:cs="仿宋"/>
          <w:color w:val="FF0000"/>
          <w:sz w:val="32"/>
          <w:szCs w:val="32"/>
        </w:rPr>
        <w:t>、</w:t>
      </w:r>
      <w:r>
        <w:rPr>
          <w:rFonts w:hint="eastAsia" w:ascii="仿宋" w:hAnsi="仿宋" w:eastAsia="仿宋" w:cs="仿宋"/>
          <w:sz w:val="32"/>
          <w:szCs w:val="32"/>
        </w:rPr>
        <w:t>响应人名称、联系人姓名及联系电话，并在封口处加盖骑缝章。</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3、响应文件正本与副本不一致时，以正本为准；金额大写与小写不一致时，以大写金额为准；对不同文字文本的解释有异议时，以中文文本为准。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4、未按要求递交的响应文件，采购方有权拒绝接收。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5、递交响应文件时，提供授权委托书、身份证明并核验身份。</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（四）评标办法和成交原则：</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1、评标办法：本次采购由启东市机关事务服务中心组建评标小组负责评标，评标依据为采购公告和响应文件。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2、成交原则：</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最低成交价法。满足最终采购需求、质量和服务相等且报价最低的供应商为成交供应商。有2家及以上供应商最终报价相同且均为最低报价时，由采购项目负责人按有利于项目的原则选择其中一家为成交供应商。本项目没有二次报价。</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（五）成交公告与通知书</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采购方根据询价采购结果发布成交公告，公告期为1个工作日。响应供应商对公告有异议的，在成交公告期内以书面形式向采购方提出质疑。确认无异议后，向成交方发出成交通知书。</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（六）合同与发票</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1、成交方应当自成交通知书发出之日起5日内，按照询价公告和响应文件与采购方订立书面合同。采购方和成交方不得再订立背离合同实质性内容的其他协议。</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2、成交方须开具增值税专用发票或增值税普通发票。</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themeColor="text1"/>
          <w:sz w:val="32"/>
          <w:szCs w:val="32"/>
        </w:rPr>
      </w:pPr>
      <w:r>
        <w:rPr>
          <w:rFonts w:hint="eastAsia" w:ascii="仿宋" w:hAnsi="仿宋" w:eastAsia="仿宋" w:cs="仿宋"/>
          <w:sz w:val="32"/>
          <w:szCs w:val="32"/>
        </w:rPr>
        <w:t>八、接受响应文件时间和地点</w:t>
      </w:r>
      <w:r>
        <w:rPr>
          <w:rFonts w:hint="eastAsia" w:ascii="仿宋" w:hAnsi="仿宋" w:eastAsia="仿宋" w:cs="仿宋"/>
          <w:color w:val="000000" w:themeColor="text1"/>
          <w:sz w:val="32"/>
          <w:szCs w:val="32"/>
        </w:rPr>
        <w:t>：（本项目不见面开标，请意向供应商妥善选择投递方式和时间，确保在开标时间前签收成功）</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themeColor="text1"/>
          <w:sz w:val="32"/>
          <w:szCs w:val="32"/>
        </w:rPr>
      </w:pPr>
      <w:r>
        <w:rPr>
          <w:rFonts w:hint="eastAsia" w:ascii="仿宋" w:hAnsi="仿宋" w:eastAsia="仿宋" w:cs="仿宋"/>
          <w:sz w:val="32"/>
          <w:szCs w:val="32"/>
        </w:rPr>
        <w:t>1、接收时</w:t>
      </w:r>
      <w:r>
        <w:rPr>
          <w:rFonts w:hint="eastAsia" w:ascii="仿宋" w:hAnsi="仿宋" w:eastAsia="仿宋" w:cs="仿宋"/>
          <w:color w:val="000000" w:themeColor="text1"/>
          <w:sz w:val="32"/>
          <w:szCs w:val="32"/>
        </w:rPr>
        <w:t>间：2025年6月</w:t>
      </w:r>
      <w:r>
        <w:rPr>
          <w:rFonts w:hint="eastAsia" w:ascii="仿宋" w:hAnsi="仿宋" w:eastAsia="仿宋" w:cs="仿宋"/>
          <w:color w:val="000000" w:themeColor="text1"/>
          <w:sz w:val="32"/>
          <w:szCs w:val="32"/>
          <w:lang w:val="en-US" w:eastAsia="zh-CN"/>
        </w:rPr>
        <w:t>23</w:t>
      </w:r>
      <w:r>
        <w:rPr>
          <w:rFonts w:hint="eastAsia" w:ascii="仿宋" w:hAnsi="仿宋" w:eastAsia="仿宋" w:cs="仿宋"/>
          <w:color w:val="000000" w:themeColor="text1"/>
          <w:sz w:val="32"/>
          <w:szCs w:val="32"/>
        </w:rPr>
        <w:t>日-6月</w:t>
      </w:r>
      <w:r>
        <w:rPr>
          <w:rFonts w:hint="eastAsia" w:ascii="仿宋" w:hAnsi="仿宋" w:eastAsia="仿宋" w:cs="仿宋"/>
          <w:color w:val="000000" w:themeColor="text1"/>
          <w:sz w:val="32"/>
          <w:szCs w:val="32"/>
          <w:lang w:val="en-US" w:eastAsia="zh-CN"/>
        </w:rPr>
        <w:t>30</w:t>
      </w:r>
      <w:r>
        <w:rPr>
          <w:rFonts w:hint="eastAsia" w:ascii="仿宋" w:hAnsi="仿宋" w:eastAsia="仿宋" w:cs="仿宋"/>
          <w:color w:val="000000" w:themeColor="text1"/>
          <w:sz w:val="32"/>
          <w:szCs w:val="32"/>
        </w:rPr>
        <w:t>日9:30；</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2、收件地址：启东市机关事务服务中心（江苏省南通市启东市汇龙镇世纪大道1288号菜鸟驿站）</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九、询价采购开标时间、地点：</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1、时间：2025年6月</w:t>
      </w:r>
      <w:r>
        <w:rPr>
          <w:rFonts w:hint="eastAsia" w:ascii="仿宋" w:hAnsi="仿宋" w:eastAsia="仿宋" w:cs="仿宋"/>
          <w:sz w:val="32"/>
          <w:szCs w:val="32"/>
          <w:lang w:val="en-US" w:eastAsia="zh-CN"/>
        </w:rPr>
        <w:t>30</w:t>
      </w:r>
      <w:r>
        <w:rPr>
          <w:rFonts w:hint="eastAsia" w:ascii="仿宋" w:hAnsi="仿宋" w:eastAsia="仿宋" w:cs="仿宋"/>
          <w:sz w:val="32"/>
          <w:szCs w:val="32"/>
        </w:rPr>
        <w:t>日9:30；</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2、地点：启东市机关事务服务中心526会议室；</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十、本次采购项目联系事宜</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采购方代表： 杨科长，13773880153。</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对项目需求部分的询问、质疑请向采购方代表提出，对采购组织的询问、质疑向采购方代表提出。响应人须在法定质疑期内一次性提出针对本次采购程序环节的质疑。</w:t>
      </w:r>
    </w:p>
    <w:p>
      <w:pPr>
        <w:pStyle w:val="9"/>
        <w:rPr>
          <w:rFonts w:ascii="宋体" w:hAnsi="宋体" w:cs="宋体"/>
          <w:color w:val="auto"/>
          <w:sz w:val="32"/>
          <w:szCs w:val="32"/>
        </w:rPr>
      </w:pPr>
    </w:p>
    <w:p>
      <w:pPr>
        <w:rPr>
          <w:rFonts w:hint="eastAsia" w:ascii="宋体" w:hAnsi="宋体" w:cs="宋体"/>
          <w:sz w:val="32"/>
          <w:szCs w:val="32"/>
        </w:rPr>
      </w:pPr>
      <w:r>
        <w:rPr>
          <w:rFonts w:hint="eastAsia" w:ascii="宋体" w:hAnsi="宋体" w:cs="宋体"/>
          <w:sz w:val="32"/>
          <w:szCs w:val="32"/>
        </w:rPr>
        <w:br w:type="page"/>
      </w:r>
    </w:p>
    <w:p>
      <w:pPr>
        <w:spacing w:line="500" w:lineRule="exact"/>
        <w:ind w:right="960"/>
        <w:rPr>
          <w:rFonts w:ascii="宋体" w:hAnsi="宋体" w:eastAsia="宋体" w:cs="宋体"/>
          <w:color w:val="000000"/>
          <w:sz w:val="30"/>
          <w:szCs w:val="30"/>
        </w:rPr>
      </w:pPr>
      <w:r>
        <w:rPr>
          <w:rFonts w:hint="eastAsia" w:ascii="宋体" w:hAnsi="宋体" w:cs="宋体"/>
          <w:sz w:val="32"/>
          <w:szCs w:val="32"/>
        </w:rPr>
        <w:t>附件1：</w:t>
      </w:r>
      <w:r>
        <w:rPr>
          <w:rFonts w:hint="eastAsia" w:ascii="宋体" w:hAnsi="宋体" w:eastAsia="宋体" w:cs="宋体"/>
          <w:color w:val="000000"/>
          <w:sz w:val="30"/>
          <w:szCs w:val="30"/>
        </w:rPr>
        <w:t>询价采购报价表</w:t>
      </w:r>
    </w:p>
    <w:p>
      <w:pPr>
        <w:spacing w:line="560" w:lineRule="exact"/>
        <w:jc w:val="center"/>
        <w:rPr>
          <w:rFonts w:ascii="宋体" w:hAnsi="宋体" w:cs="宋体"/>
          <w:b/>
          <w:bCs/>
          <w:sz w:val="28"/>
          <w:szCs w:val="28"/>
        </w:rPr>
      </w:pPr>
      <w:r>
        <w:rPr>
          <w:rFonts w:hint="eastAsia" w:ascii="宋体" w:hAnsi="宋体" w:cs="宋体"/>
          <w:b/>
          <w:bCs/>
          <w:sz w:val="28"/>
          <w:szCs w:val="28"/>
        </w:rPr>
        <w:t>启东市行政中心消防设施设备系统维保项目</w:t>
      </w:r>
    </w:p>
    <w:p>
      <w:pPr>
        <w:spacing w:line="560" w:lineRule="exact"/>
        <w:jc w:val="center"/>
        <w:rPr>
          <w:rFonts w:ascii="宋体" w:hAnsi="宋体" w:cs="宋体"/>
          <w:b/>
          <w:bCs/>
          <w:sz w:val="28"/>
          <w:szCs w:val="28"/>
        </w:rPr>
      </w:pPr>
      <w:r>
        <w:rPr>
          <w:rFonts w:hint="eastAsia" w:ascii="宋体" w:hAnsi="宋体" w:eastAsia="宋体" w:cs="宋体"/>
          <w:b/>
          <w:bCs/>
          <w:sz w:val="28"/>
          <w:szCs w:val="28"/>
        </w:rPr>
        <w:t>询价采购报价表</w:t>
      </w:r>
    </w:p>
    <w:tbl>
      <w:tblPr>
        <w:tblStyle w:val="6"/>
        <w:tblW w:w="0" w:type="auto"/>
        <w:jc w:val="center"/>
        <w:tblLayout w:type="autofit"/>
        <w:tblCellMar>
          <w:top w:w="0" w:type="dxa"/>
          <w:left w:w="108" w:type="dxa"/>
          <w:bottom w:w="0" w:type="dxa"/>
          <w:right w:w="108" w:type="dxa"/>
        </w:tblCellMar>
      </w:tblPr>
      <w:tblGrid>
        <w:gridCol w:w="462"/>
        <w:gridCol w:w="1074"/>
        <w:gridCol w:w="6008"/>
        <w:gridCol w:w="462"/>
        <w:gridCol w:w="516"/>
      </w:tblGrid>
      <w:tr>
        <w:tblPrEx>
          <w:tblCellMar>
            <w:top w:w="0" w:type="dxa"/>
            <w:left w:w="108" w:type="dxa"/>
            <w:bottom w:w="0" w:type="dxa"/>
            <w:right w:w="108" w:type="dxa"/>
          </w:tblCellMar>
        </w:tblPrEx>
        <w:trPr>
          <w:trHeight w:val="748" w:hRule="atLeast"/>
          <w:jc w:val="center"/>
        </w:trPr>
        <w:tc>
          <w:tcPr>
            <w:tcW w:w="0" w:type="auto"/>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名称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4"/>
              </w:rPr>
              <w:t>维修保养范围</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单位</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总价/元</w:t>
            </w:r>
          </w:p>
        </w:tc>
      </w:tr>
      <w:tr>
        <w:tblPrEx>
          <w:tblCellMar>
            <w:top w:w="0" w:type="dxa"/>
            <w:left w:w="108" w:type="dxa"/>
            <w:bottom w:w="0" w:type="dxa"/>
            <w:right w:w="108" w:type="dxa"/>
          </w:tblCellMar>
        </w:tblPrEx>
        <w:trPr>
          <w:trHeight w:val="5742" w:hRule="atLeast"/>
          <w:jc w:val="center"/>
        </w:trPr>
        <w:tc>
          <w:tcPr>
            <w:tcW w:w="0" w:type="auto"/>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启东市行政中心消防设施设备系统维保项目</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widowControl/>
              <w:shd w:val="clear" w:color="auto" w:fill="FFFFFF"/>
              <w:spacing w:before="0" w:beforeAutospacing="0" w:after="0" w:afterAutospacing="0" w:line="480" w:lineRule="exact"/>
              <w:rPr>
                <w:rFonts w:ascii="宋体" w:hAnsi="宋体" w:cs="宋体"/>
                <w:color w:val="000000"/>
                <w:sz w:val="21"/>
                <w:szCs w:val="21"/>
              </w:rPr>
            </w:pPr>
            <w:r>
              <w:rPr>
                <w:rFonts w:hint="eastAsia" w:ascii="宋体" w:hAnsi="宋体" w:cs="宋体"/>
                <w:color w:val="000000"/>
              </w:rPr>
              <w:t>1、消防供配电设施；2、火灾自动报警系统；3、消防供水设施；4、消火栓（消防炮）灭火系统；5、自动喷水灭火系统；6、泡沫灭火系统；7、气体灭火系统；8、防排烟系统；9、火灾应急照明和疏散指示标志；10、应急广播系统；11、消防专用电话；12、防火分隔设施；13、消防电梯；14、细水雾灭火系统；15、干粉灭火系统；16、电气火灾监控系统；17、可燃气体探测报警系统；18、灭火器；19、其他建筑消防设施：行政中心其他消防设施设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年</w:t>
            </w:r>
          </w:p>
        </w:tc>
        <w:tc>
          <w:tcPr>
            <w:tcW w:w="0" w:type="auto"/>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p>
        </w:tc>
      </w:tr>
      <w:tr>
        <w:trPr>
          <w:trHeight w:val="657" w:hRule="atLeast"/>
          <w:jc w:val="center"/>
        </w:trPr>
        <w:tc>
          <w:tcPr>
            <w:tcW w:w="0" w:type="auto"/>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合计</w:t>
            </w:r>
          </w:p>
        </w:tc>
        <w:tc>
          <w:tcPr>
            <w:tcW w:w="0" w:type="auto"/>
            <w:gridSpan w:val="3"/>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大写：                  小写：</w:t>
            </w:r>
          </w:p>
        </w:tc>
      </w:tr>
    </w:tbl>
    <w:p>
      <w:pPr>
        <w:spacing w:beforeLines="100" w:line="420" w:lineRule="exact"/>
        <w:ind w:right="1916"/>
        <w:rPr>
          <w:rFonts w:ascii="宋体" w:hAnsi="宋体" w:eastAsia="宋体" w:cs="宋体"/>
          <w:color w:val="000000"/>
          <w:sz w:val="30"/>
          <w:szCs w:val="30"/>
        </w:rPr>
      </w:pPr>
    </w:p>
    <w:p>
      <w:pPr>
        <w:spacing w:beforeLines="100" w:line="420" w:lineRule="exact"/>
        <w:ind w:right="1916"/>
        <w:rPr>
          <w:rFonts w:ascii="宋体" w:hAnsi="宋体" w:eastAsia="宋体" w:cs="宋体"/>
          <w:color w:val="000000"/>
          <w:sz w:val="30"/>
          <w:szCs w:val="30"/>
          <w:u w:val="single"/>
        </w:rPr>
      </w:pPr>
      <w:r>
        <w:rPr>
          <w:rFonts w:hint="eastAsia" w:ascii="宋体" w:hAnsi="宋体" w:eastAsia="宋体" w:cs="宋体"/>
          <w:color w:val="000000"/>
          <w:sz w:val="30"/>
          <w:szCs w:val="30"/>
        </w:rPr>
        <w:t xml:space="preserve">报价单位（盖章）： </w:t>
      </w:r>
    </w:p>
    <w:p>
      <w:pPr>
        <w:spacing w:beforeLines="100" w:line="420" w:lineRule="exact"/>
        <w:ind w:right="1916"/>
        <w:rPr>
          <w:rFonts w:ascii="宋体" w:hAnsi="宋体" w:eastAsia="宋体" w:cs="宋体"/>
          <w:color w:val="000000"/>
          <w:sz w:val="30"/>
          <w:szCs w:val="30"/>
        </w:rPr>
      </w:pPr>
      <w:r>
        <w:rPr>
          <w:rFonts w:hint="eastAsia" w:ascii="宋体" w:hAnsi="宋体" w:eastAsia="宋体" w:cs="宋体"/>
          <w:color w:val="000000"/>
          <w:sz w:val="30"/>
          <w:szCs w:val="30"/>
        </w:rPr>
        <w:t xml:space="preserve">联系人：             </w:t>
      </w:r>
    </w:p>
    <w:p>
      <w:pPr>
        <w:spacing w:beforeLines="100" w:line="420" w:lineRule="exact"/>
        <w:ind w:right="1916"/>
        <w:rPr>
          <w:rFonts w:ascii="宋体" w:hAnsi="宋体" w:eastAsia="宋体" w:cs="宋体"/>
          <w:color w:val="000000"/>
          <w:sz w:val="30"/>
          <w:szCs w:val="30"/>
        </w:rPr>
      </w:pPr>
      <w:r>
        <w:rPr>
          <w:rFonts w:hint="eastAsia" w:ascii="宋体" w:hAnsi="宋体" w:eastAsia="宋体" w:cs="宋体"/>
          <w:color w:val="000000"/>
          <w:sz w:val="30"/>
          <w:szCs w:val="30"/>
        </w:rPr>
        <w:t>联系电话：</w:t>
      </w:r>
    </w:p>
    <w:p>
      <w:pPr>
        <w:spacing w:beforeLines="100" w:line="420" w:lineRule="exact"/>
        <w:ind w:right="1916"/>
        <w:rPr>
          <w:rFonts w:ascii="宋体" w:hAnsi="宋体" w:eastAsia="宋体" w:cs="宋体"/>
          <w:color w:val="000000"/>
          <w:sz w:val="30"/>
          <w:szCs w:val="30"/>
        </w:rPr>
      </w:pPr>
      <w:r>
        <w:rPr>
          <w:rFonts w:hint="eastAsia" w:ascii="宋体" w:hAnsi="宋体" w:eastAsia="宋体" w:cs="宋体"/>
          <w:color w:val="000000"/>
          <w:sz w:val="30"/>
          <w:szCs w:val="30"/>
        </w:rPr>
        <w:t>时间： 2025 年    月    日</w:t>
      </w:r>
    </w:p>
    <w:p>
      <w:pPr>
        <w:spacing w:line="500" w:lineRule="exact"/>
        <w:jc w:val="right"/>
        <w:rPr>
          <w:rFonts w:ascii="方正仿宋_GB2312" w:hAnsi="方正仿宋_GB2312" w:eastAsia="方正仿宋_GB2312" w:cs="方正仿宋_GB2312"/>
          <w:sz w:val="30"/>
          <w:szCs w:val="30"/>
        </w:rPr>
      </w:pPr>
    </w:p>
    <w:p>
      <w:pPr>
        <w:rPr>
          <w:rFonts w:hint="eastAsia" w:ascii="宋体" w:hAnsi="宋体" w:cs="宋体"/>
          <w:sz w:val="32"/>
          <w:szCs w:val="32"/>
        </w:rPr>
      </w:pPr>
      <w:r>
        <w:rPr>
          <w:rFonts w:hint="eastAsia" w:ascii="宋体" w:hAnsi="宋体" w:cs="宋体"/>
          <w:sz w:val="32"/>
          <w:szCs w:val="32"/>
        </w:rPr>
        <w:br w:type="page"/>
      </w:r>
    </w:p>
    <w:p>
      <w:pPr>
        <w:widowControl/>
        <w:spacing w:after="100" w:afterAutospacing="1" w:line="500" w:lineRule="atLeast"/>
        <w:jc w:val="left"/>
        <w:rPr>
          <w:rFonts w:ascii="宋体" w:hAnsi="宋体" w:cs="宋体"/>
          <w:sz w:val="32"/>
          <w:szCs w:val="32"/>
        </w:rPr>
      </w:pPr>
      <w:r>
        <w:rPr>
          <w:rFonts w:hint="eastAsia" w:ascii="宋体" w:hAnsi="宋体" w:cs="宋体"/>
          <w:sz w:val="32"/>
          <w:szCs w:val="32"/>
        </w:rPr>
        <w:t>附件2</w:t>
      </w:r>
    </w:p>
    <w:p>
      <w:pPr>
        <w:spacing w:line="440" w:lineRule="exact"/>
        <w:ind w:firstLine="602" w:firstLineChars="200"/>
        <w:jc w:val="center"/>
        <w:rPr>
          <w:rFonts w:ascii="宋体" w:hAnsi="宋体" w:eastAsia="宋体" w:cs="宋体"/>
          <w:b/>
          <w:kern w:val="0"/>
          <w:sz w:val="24"/>
        </w:rPr>
      </w:pPr>
      <w:r>
        <w:rPr>
          <w:rFonts w:hint="eastAsia" w:ascii="宋体" w:hAnsi="宋体" w:eastAsia="宋体" w:cs="宋体"/>
          <w:b/>
          <w:sz w:val="30"/>
          <w:szCs w:val="30"/>
        </w:rPr>
        <w:t>参加政府采购活动前 3 年内在经营活动中没有重大违法记</w:t>
      </w:r>
      <w:r>
        <w:rPr>
          <w:rFonts w:hint="eastAsia" w:ascii="宋体" w:hAnsi="宋体" w:eastAsia="宋体" w:cs="宋体"/>
          <w:b/>
          <w:bCs/>
          <w:sz w:val="30"/>
          <w:szCs w:val="30"/>
        </w:rPr>
        <w:t>录和失信记录的书面声明</w:t>
      </w:r>
    </w:p>
    <w:p>
      <w:pPr>
        <w:spacing w:line="440" w:lineRule="exact"/>
        <w:rPr>
          <w:rFonts w:ascii="宋体" w:hAnsi="宋体" w:eastAsia="宋体" w:cs="宋体"/>
          <w:b/>
          <w:sz w:val="44"/>
          <w:szCs w:val="44"/>
        </w:rPr>
      </w:pPr>
      <w:r>
        <w:rPr>
          <w:rFonts w:hint="eastAsia" w:ascii="宋体" w:hAnsi="宋体" w:eastAsia="宋体" w:cs="宋体"/>
          <w:b/>
          <w:sz w:val="24"/>
        </w:rPr>
        <w:t xml:space="preserve">                       </w:t>
      </w:r>
      <w:r>
        <w:rPr>
          <w:rFonts w:hint="eastAsia" w:ascii="宋体" w:hAnsi="宋体" w:eastAsia="宋体" w:cs="宋体"/>
          <w:b/>
          <w:sz w:val="44"/>
          <w:szCs w:val="44"/>
        </w:rPr>
        <w:t xml:space="preserve">   </w:t>
      </w:r>
    </w:p>
    <w:p>
      <w:pPr>
        <w:spacing w:line="440" w:lineRule="exact"/>
        <w:jc w:val="center"/>
        <w:rPr>
          <w:rFonts w:ascii="宋体" w:hAnsi="宋体" w:eastAsia="宋体" w:cs="宋体"/>
          <w:b/>
          <w:sz w:val="44"/>
          <w:szCs w:val="44"/>
        </w:rPr>
      </w:pPr>
      <w:r>
        <w:rPr>
          <w:rFonts w:hint="eastAsia" w:ascii="宋体" w:hAnsi="宋体" w:eastAsia="宋体" w:cs="宋体"/>
          <w:b/>
          <w:sz w:val="44"/>
          <w:szCs w:val="44"/>
        </w:rPr>
        <w:t>声  明</w:t>
      </w:r>
    </w:p>
    <w:p>
      <w:pPr>
        <w:spacing w:line="440" w:lineRule="exact"/>
        <w:ind w:firstLine="881"/>
        <w:jc w:val="center"/>
        <w:rPr>
          <w:rFonts w:ascii="宋体" w:hAnsi="宋体" w:eastAsia="宋体" w:cs="宋体"/>
          <w:b/>
          <w:sz w:val="44"/>
          <w:szCs w:val="44"/>
        </w:rPr>
      </w:pPr>
    </w:p>
    <w:p>
      <w:pPr>
        <w:spacing w:line="600" w:lineRule="exact"/>
        <w:ind w:firstLine="482"/>
        <w:rPr>
          <w:rFonts w:ascii="宋体" w:hAnsi="宋体" w:eastAsia="宋体" w:cs="宋体"/>
          <w:bCs/>
          <w:sz w:val="28"/>
          <w:szCs w:val="28"/>
        </w:rPr>
      </w:pPr>
      <w:r>
        <w:rPr>
          <w:rFonts w:hint="eastAsia" w:ascii="宋体" w:hAnsi="宋体" w:eastAsia="宋体" w:cs="宋体"/>
          <w:bCs/>
          <w:sz w:val="28"/>
          <w:szCs w:val="28"/>
        </w:rPr>
        <w:t>我公司郑重声明：参加本次政府采购活动前 3 年内，我公司在经营活动中没有因违法经营受到刑事处罚或者责令停产停业、吊销许可证或者执照、较大数额罚款等行政处罚。</w:t>
      </w:r>
    </w:p>
    <w:p>
      <w:pPr>
        <w:spacing w:line="600" w:lineRule="exact"/>
        <w:ind w:firstLine="482"/>
        <w:rPr>
          <w:rFonts w:ascii="宋体" w:hAnsi="宋体" w:eastAsia="宋体" w:cs="宋体"/>
          <w:sz w:val="28"/>
          <w:szCs w:val="28"/>
        </w:rPr>
      </w:pPr>
      <w:r>
        <w:rPr>
          <w:rFonts w:hint="eastAsia" w:ascii="宋体" w:hAnsi="宋体" w:eastAsia="宋体" w:cs="宋体"/>
          <w:bCs/>
          <w:sz w:val="28"/>
          <w:szCs w:val="28"/>
        </w:rPr>
        <w:t>在</w:t>
      </w:r>
      <w:r>
        <w:rPr>
          <w:rFonts w:hint="eastAsia" w:ascii="宋体" w:hAnsi="宋体" w:eastAsia="宋体" w:cs="宋体"/>
          <w:sz w:val="28"/>
          <w:szCs w:val="28"/>
        </w:rPr>
        <w:t>投标截止时间节点，没有被“信用中国”、“中国政府采购网”、“信用江苏”网站列入失信被执行人、重大税收违法案件当事人名单、政府采购严重违法失信行为记录名单。</w:t>
      </w:r>
    </w:p>
    <w:p>
      <w:pPr>
        <w:pStyle w:val="4"/>
        <w:rPr>
          <w:rFonts w:ascii="宋体" w:hAnsi="宋体" w:eastAsia="宋体" w:cs="宋体"/>
          <w:sz w:val="28"/>
          <w:szCs w:val="28"/>
        </w:rPr>
      </w:pPr>
    </w:p>
    <w:p>
      <w:pPr>
        <w:pStyle w:val="4"/>
        <w:rPr>
          <w:rFonts w:ascii="宋体" w:hAnsi="宋体" w:eastAsia="宋体" w:cs="宋体"/>
          <w:sz w:val="28"/>
          <w:szCs w:val="28"/>
        </w:rPr>
      </w:pPr>
    </w:p>
    <w:p>
      <w:pPr>
        <w:spacing w:line="440" w:lineRule="exact"/>
        <w:rPr>
          <w:rFonts w:ascii="宋体" w:hAnsi="宋体" w:eastAsia="宋体" w:cs="宋体"/>
          <w:bCs/>
          <w:sz w:val="28"/>
          <w:szCs w:val="28"/>
          <w:u w:val="single"/>
        </w:rPr>
      </w:pPr>
      <w:r>
        <w:rPr>
          <w:rFonts w:hint="eastAsia" w:ascii="宋体" w:hAnsi="宋体" w:eastAsia="宋体" w:cs="宋体"/>
          <w:bCs/>
          <w:sz w:val="28"/>
          <w:szCs w:val="28"/>
        </w:rPr>
        <w:t xml:space="preserve">                          单位名称（盖公章）：</w:t>
      </w:r>
      <w:r>
        <w:rPr>
          <w:rFonts w:hint="eastAsia" w:ascii="宋体" w:hAnsi="宋体" w:eastAsia="宋体" w:cs="宋体"/>
          <w:bCs/>
          <w:sz w:val="28"/>
          <w:szCs w:val="28"/>
          <w:u w:val="single"/>
        </w:rPr>
        <w:t xml:space="preserve">           </w:t>
      </w:r>
    </w:p>
    <w:p>
      <w:pPr>
        <w:spacing w:line="440" w:lineRule="exact"/>
        <w:rPr>
          <w:rFonts w:ascii="宋体" w:hAnsi="宋体" w:eastAsia="宋体" w:cs="宋体"/>
          <w:bCs/>
          <w:sz w:val="28"/>
          <w:szCs w:val="28"/>
        </w:rPr>
      </w:pPr>
      <w:r>
        <w:rPr>
          <w:rFonts w:hint="eastAsia" w:ascii="宋体" w:hAnsi="宋体" w:eastAsia="宋体" w:cs="宋体"/>
          <w:bCs/>
          <w:sz w:val="28"/>
          <w:szCs w:val="28"/>
        </w:rPr>
        <w:t xml:space="preserve">             </w:t>
      </w:r>
      <w:r>
        <w:rPr>
          <w:rFonts w:hint="eastAsia" w:ascii="宋体" w:hAnsi="宋体" w:eastAsia="宋体" w:cs="宋体"/>
          <w:sz w:val="28"/>
          <w:szCs w:val="28"/>
        </w:rPr>
        <w:t>法定代表人或被授权人（签字或盖章）：</w:t>
      </w:r>
      <w:r>
        <w:rPr>
          <w:rFonts w:hint="eastAsia" w:ascii="宋体" w:hAnsi="宋体" w:eastAsia="宋体" w:cs="宋体"/>
          <w:bCs/>
          <w:sz w:val="28"/>
          <w:szCs w:val="28"/>
        </w:rPr>
        <w:t>_________</w:t>
      </w:r>
    </w:p>
    <w:p>
      <w:pPr>
        <w:pStyle w:val="4"/>
      </w:pPr>
      <w:r>
        <w:rPr>
          <w:rFonts w:hint="eastAsia" w:ascii="宋体" w:hAnsi="宋体" w:eastAsia="宋体" w:cs="宋体"/>
          <w:bCs/>
          <w:sz w:val="28"/>
          <w:szCs w:val="28"/>
        </w:rPr>
        <w:t xml:space="preserve">                           日期：______年</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月</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日</w:t>
      </w:r>
    </w:p>
    <w:p>
      <w:pPr>
        <w:rPr>
          <w:rFonts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New Baskerville">
    <w:altName w:val="宋体"/>
    <w:panose1 w:val="00000000000000000000"/>
    <w:charset w:val="86"/>
    <w:family w:val="roma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3</w:t>
                          </w:r>
                          <w: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5dvDtYBAAC1AwAADgAAAAAAAAABACAAAAAe&#10;AQAAZHJzL2Uyb0RvYy54bWxQSwUGAAAAAAYABgBZAQAAZg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1E05C"/>
    <w:multiLevelType w:val="singleLevel"/>
    <w:tmpl w:val="8111E05C"/>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1NzMwZTVlMzYxZGM0MThjNDUxY2YzYTI0ZTY2ZWEifQ=="/>
  </w:docVars>
  <w:rsids>
    <w:rsidRoot w:val="001E7AF9"/>
    <w:rsid w:val="00133387"/>
    <w:rsid w:val="001E7AF9"/>
    <w:rsid w:val="00586FBA"/>
    <w:rsid w:val="00D536EA"/>
    <w:rsid w:val="00D85E6F"/>
    <w:rsid w:val="016B7C73"/>
    <w:rsid w:val="01AA4765"/>
    <w:rsid w:val="02B734EB"/>
    <w:rsid w:val="043139DC"/>
    <w:rsid w:val="099B7EFF"/>
    <w:rsid w:val="0BDC6D23"/>
    <w:rsid w:val="0DD405FA"/>
    <w:rsid w:val="0E3A1990"/>
    <w:rsid w:val="0E8B67DF"/>
    <w:rsid w:val="125C296C"/>
    <w:rsid w:val="13255286"/>
    <w:rsid w:val="13CC71DD"/>
    <w:rsid w:val="168801D3"/>
    <w:rsid w:val="179C5282"/>
    <w:rsid w:val="1ADB528D"/>
    <w:rsid w:val="1C810E97"/>
    <w:rsid w:val="1F3D58D3"/>
    <w:rsid w:val="1F4703B0"/>
    <w:rsid w:val="203C5B8B"/>
    <w:rsid w:val="207215AC"/>
    <w:rsid w:val="22EA5D72"/>
    <w:rsid w:val="23FA3D93"/>
    <w:rsid w:val="277F4CDB"/>
    <w:rsid w:val="28862099"/>
    <w:rsid w:val="2920429C"/>
    <w:rsid w:val="2B520239"/>
    <w:rsid w:val="2B824D9A"/>
    <w:rsid w:val="310F0CD5"/>
    <w:rsid w:val="34E36FA0"/>
    <w:rsid w:val="375515B4"/>
    <w:rsid w:val="384B5246"/>
    <w:rsid w:val="3EC712FD"/>
    <w:rsid w:val="43C002EE"/>
    <w:rsid w:val="45B002FD"/>
    <w:rsid w:val="4645313C"/>
    <w:rsid w:val="47833F1C"/>
    <w:rsid w:val="48E5316C"/>
    <w:rsid w:val="4A1B48DF"/>
    <w:rsid w:val="4B7F2773"/>
    <w:rsid w:val="4ECD364D"/>
    <w:rsid w:val="527126FD"/>
    <w:rsid w:val="52DD6942"/>
    <w:rsid w:val="544762D1"/>
    <w:rsid w:val="551C2A10"/>
    <w:rsid w:val="562837E7"/>
    <w:rsid w:val="56C90B3B"/>
    <w:rsid w:val="575F6AA5"/>
    <w:rsid w:val="577B4C0F"/>
    <w:rsid w:val="579655A5"/>
    <w:rsid w:val="5A12517D"/>
    <w:rsid w:val="5B767BC7"/>
    <w:rsid w:val="5C6C4B26"/>
    <w:rsid w:val="5C86208C"/>
    <w:rsid w:val="5F133EEE"/>
    <w:rsid w:val="667C62AE"/>
    <w:rsid w:val="68C1269E"/>
    <w:rsid w:val="68C765FD"/>
    <w:rsid w:val="694110E9"/>
    <w:rsid w:val="6BC23398"/>
    <w:rsid w:val="6C6C4AED"/>
    <w:rsid w:val="6C764840"/>
    <w:rsid w:val="6E652F7D"/>
    <w:rsid w:val="6FD06CF4"/>
    <w:rsid w:val="701305FA"/>
    <w:rsid w:val="709C43B3"/>
    <w:rsid w:val="71237A52"/>
    <w:rsid w:val="7171103D"/>
    <w:rsid w:val="71F87130"/>
    <w:rsid w:val="76205DC2"/>
    <w:rsid w:val="762D3121"/>
    <w:rsid w:val="767B20DE"/>
    <w:rsid w:val="76EB7264"/>
    <w:rsid w:val="776E087D"/>
    <w:rsid w:val="7A1210B3"/>
    <w:rsid w:val="7ABC678B"/>
    <w:rsid w:val="7BDD2EF3"/>
    <w:rsid w:val="7E492AC2"/>
    <w:rsid w:val="7EC5039A"/>
    <w:rsid w:val="7FFE6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1"/>
    <w:pPr>
      <w:spacing w:before="2"/>
      <w:ind w:left="718"/>
    </w:pPr>
    <w:rPr>
      <w:rFonts w:ascii="楷体" w:hAnsi="楷体" w:eastAsia="楷体" w:cs="楷体"/>
      <w:bCs/>
      <w:sz w:val="30"/>
      <w:szCs w:val="30"/>
      <w:lang w:val="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Title"/>
    <w:basedOn w:val="1"/>
    <w:qFormat/>
    <w:uiPriority w:val="0"/>
    <w:pPr>
      <w:spacing w:before="240" w:after="60"/>
      <w:jc w:val="center"/>
      <w:outlineLvl w:val="0"/>
    </w:pPr>
    <w:rPr>
      <w:rFonts w:ascii="Arial" w:hAnsi="Arial"/>
      <w:b/>
    </w:rPr>
  </w:style>
  <w:style w:type="paragraph" w:styleId="4">
    <w:name w:val="Body Text"/>
    <w:basedOn w:val="1"/>
    <w:next w:val="1"/>
    <w:qFormat/>
    <w:uiPriority w:val="0"/>
    <w:pPr>
      <w:spacing w:after="120"/>
    </w:pPr>
  </w:style>
  <w:style w:type="paragraph" w:styleId="5">
    <w:name w:val="Normal (Web)"/>
    <w:basedOn w:val="1"/>
    <w:unhideWhenUsed/>
    <w:qFormat/>
    <w:uiPriority w:val="99"/>
    <w:pPr>
      <w:spacing w:before="100" w:beforeAutospacing="1" w:after="100"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Default"/>
    <w:qFormat/>
    <w:uiPriority w:val="0"/>
    <w:pPr>
      <w:widowControl w:val="0"/>
      <w:autoSpaceDE w:val="0"/>
      <w:autoSpaceDN w:val="0"/>
      <w:adjustRightInd w:val="0"/>
    </w:pPr>
    <w:rPr>
      <w:rFonts w:ascii="New Baskerville" w:hAnsi="Times New Roman" w:eastAsia="New Baskerville" w:cs="New Baskerville"/>
      <w:color w:val="000000"/>
      <w:sz w:val="24"/>
      <w:szCs w:val="24"/>
      <w:lang w:val="en-US" w:eastAsia="zh-CN" w:bidi="ar-SA"/>
    </w:rPr>
  </w:style>
  <w:style w:type="paragraph" w:customStyle="1" w:styleId="10">
    <w:name w:val="文本块1"/>
    <w:basedOn w:val="1"/>
    <w:unhideWhenUsed/>
    <w:qFormat/>
    <w:uiPriority w:val="99"/>
    <w:pPr>
      <w:spacing w:after="120"/>
      <w:ind w:left="1440" w:right="1440"/>
    </w:pPr>
  </w:style>
  <w:style w:type="character" w:customStyle="1" w:styleId="11">
    <w:name w:val="NormalCharacter1"/>
    <w:semiHidden/>
    <w:qFormat/>
    <w:uiPriority w:val="0"/>
    <w:rPr>
      <w:sz w:val="21"/>
      <w:szCs w:val="24"/>
      <w:lang w:val="en-US" w:eastAsia="zh-CN" w:bidi="ar-SA"/>
    </w:rPr>
  </w:style>
  <w:style w:type="character" w:customStyle="1" w:styleId="12">
    <w:name w:val="NormalCharacter"/>
    <w:basedOn w:val="8"/>
    <w:qFormat/>
    <w:uiPriority w:val="99"/>
  </w:style>
  <w:style w:type="paragraph" w:customStyle="1" w:styleId="13">
    <w:name w:val="页脚1"/>
    <w:basedOn w:val="1"/>
    <w:qFormat/>
    <w:uiPriority w:val="99"/>
    <w:pPr>
      <w:tabs>
        <w:tab w:val="center" w:pos="4153"/>
        <w:tab w:val="right" w:pos="8306"/>
      </w:tabs>
      <w:jc w:val="left"/>
    </w:pPr>
    <w:rPr>
      <w:sz w:val="18"/>
      <w:szCs w:val="18"/>
      <w:lang w:eastAsia="en-US"/>
    </w:rPr>
  </w:style>
  <w:style w:type="character" w:customStyle="1" w:styleId="14">
    <w:name w:val="font61"/>
    <w:basedOn w:val="8"/>
    <w:qFormat/>
    <w:uiPriority w:val="0"/>
    <w:rPr>
      <w:rFonts w:hint="eastAsia" w:ascii="宋体" w:hAnsi="宋体" w:eastAsia="宋体" w:cs="宋体"/>
      <w:color w:val="000000"/>
      <w:sz w:val="22"/>
      <w:szCs w:val="22"/>
      <w:u w:val="none"/>
    </w:rPr>
  </w:style>
  <w:style w:type="character" w:customStyle="1" w:styleId="15">
    <w:name w:val="font2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3360</Words>
  <Characters>3677</Characters>
  <Lines>31</Lines>
  <Paragraphs>8</Paragraphs>
  <TotalTime>21</TotalTime>
  <ScaleCrop>false</ScaleCrop>
  <LinksUpToDate>false</LinksUpToDate>
  <CharactersWithSpaces>3688</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2025-04-09T00:50:00Z</dcterms:created>
  <dc:creator>Lenovo</dc:creator>
  <cp:lastModifiedBy>Administrator</cp:lastModifiedBy>
  <dcterms:modified xsi:type="dcterms:W3CDTF">2025-06-24T08:31:54Z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DA53FE924CB84312BCF14AA1FD4DA081</vt:lpwstr>
  </property>
  <property fmtid="{D5CDD505-2E9C-101B-9397-08002B2CF9AE}" pid="4" name="KSOTemplateDocerSaveRecord">
    <vt:lpwstr>eyJoZGlkIjoiOWExZTE4MTg5MzYxMDk0ZjFiMzBhZTk5ODBkZWQxYmYifQ==</vt:lpwstr>
  </property>
</Properties>
</file>