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0"/>
          <w:szCs w:val="30"/>
          <w:highlight w:val="none"/>
        </w:rPr>
      </w:pPr>
      <w:r>
        <w:rPr>
          <w:rFonts w:hint="eastAsia" w:ascii="宋体" w:hAnsi="宋体" w:cs="宋体"/>
          <w:b/>
          <w:sz w:val="30"/>
          <w:szCs w:val="30"/>
          <w:highlight w:val="none"/>
        </w:rPr>
        <w:t>启东市行政中心西车棚电动自行车自动灭火装置采购项目</w:t>
      </w:r>
    </w:p>
    <w:p>
      <w:pPr>
        <w:jc w:val="center"/>
        <w:rPr>
          <w:rFonts w:ascii="宋体" w:hAnsi="宋体" w:cs="宋体"/>
          <w:b/>
          <w:sz w:val="30"/>
          <w:szCs w:val="30"/>
          <w:highlight w:val="none"/>
        </w:rPr>
      </w:pPr>
      <w:r>
        <w:rPr>
          <w:rFonts w:hint="eastAsia" w:ascii="宋体" w:hAnsi="宋体" w:cs="宋体"/>
          <w:b/>
          <w:sz w:val="30"/>
          <w:szCs w:val="30"/>
          <w:highlight w:val="none"/>
        </w:rPr>
        <w:t>采购询价公告</w:t>
      </w:r>
    </w:p>
    <w:p>
      <w:pPr>
        <w:pStyle w:val="7"/>
        <w:widowControl/>
        <w:spacing w:line="440" w:lineRule="exact"/>
        <w:ind w:firstLine="480" w:firstLineChars="200"/>
        <w:rPr>
          <w:rFonts w:ascii="宋体" w:hAnsi="宋体" w:cs="宋体"/>
          <w:kern w:val="2"/>
          <w:highlight w:val="none"/>
        </w:rPr>
      </w:pPr>
      <w:r>
        <w:rPr>
          <w:rFonts w:hint="eastAsia" w:ascii="宋体" w:hAnsi="宋体" w:cs="宋体"/>
          <w:kern w:val="2"/>
          <w:highlight w:val="none"/>
        </w:rPr>
        <w:t>启东市机关事务服务中心就启东市行政中心西车棚电动自行车自动灭火装置采购项目进行公开询价。</w:t>
      </w:r>
    </w:p>
    <w:p>
      <w:pPr>
        <w:pStyle w:val="7"/>
        <w:widowControl/>
        <w:numPr>
          <w:ilvl w:val="0"/>
          <w:numId w:val="1"/>
        </w:numPr>
        <w:spacing w:line="440" w:lineRule="exact"/>
        <w:ind w:firstLine="482" w:firstLineChars="200"/>
        <w:rPr>
          <w:rFonts w:ascii="宋体" w:hAnsi="宋体" w:cs="宋体"/>
          <w:kern w:val="2"/>
          <w:highlight w:val="none"/>
        </w:rPr>
      </w:pPr>
      <w:r>
        <w:rPr>
          <w:rFonts w:hint="eastAsia" w:ascii="宋体" w:hAnsi="宋体" w:cs="宋体"/>
          <w:b/>
          <w:bCs/>
          <w:kern w:val="2"/>
          <w:highlight w:val="none"/>
        </w:rPr>
        <w:t>采购内容：</w:t>
      </w:r>
      <w:r>
        <w:rPr>
          <w:rFonts w:hint="eastAsia" w:ascii="宋体" w:hAnsi="宋体" w:cs="宋体"/>
          <w:kern w:val="2"/>
          <w:highlight w:val="none"/>
        </w:rPr>
        <w:t>启东市行政中心西车棚电动自行车自动灭火装置采购项目，具体《采购清单》如下：</w:t>
      </w:r>
    </w:p>
    <w:tbl>
      <w:tblPr>
        <w:tblStyle w:val="16"/>
        <w:tblW w:w="91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6" w:type="dxa"/>
          <w:left w:w="96" w:type="dxa"/>
          <w:bottom w:w="56" w:type="dxa"/>
          <w:right w:w="96" w:type="dxa"/>
        </w:tblCellMar>
      </w:tblPr>
      <w:tblGrid>
        <w:gridCol w:w="708"/>
        <w:gridCol w:w="1231"/>
        <w:gridCol w:w="5828"/>
        <w:gridCol w:w="696"/>
        <w:gridCol w:w="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blHeader/>
          <w:jc w:val="center"/>
        </w:trPr>
        <w:tc>
          <w:tcPr>
            <w:tcW w:w="708" w:type="dxa"/>
            <w:tcBorders>
              <w:top w:val="single" w:color="000000" w:sz="4" w:space="0"/>
              <w:left w:val="single" w:color="000000" w:sz="4" w:space="0"/>
            </w:tcBorders>
            <w:vAlign w:val="center"/>
          </w:tcPr>
          <w:p>
            <w:pPr>
              <w:pStyle w:val="24"/>
              <w:snapToGrid w:val="0"/>
              <w:jc w:val="center"/>
              <w:rPr>
                <w:b/>
                <w:sz w:val="21"/>
                <w:szCs w:val="21"/>
                <w:highlight w:val="none"/>
              </w:rPr>
            </w:pPr>
            <w:r>
              <w:rPr>
                <w:rFonts w:hint="eastAsia"/>
                <w:b/>
                <w:bCs/>
                <w:spacing w:val="-6"/>
                <w:sz w:val="21"/>
                <w:szCs w:val="21"/>
                <w:highlight w:val="none"/>
              </w:rPr>
              <w:t>序号</w:t>
            </w:r>
          </w:p>
        </w:tc>
        <w:tc>
          <w:tcPr>
            <w:tcW w:w="1231" w:type="dxa"/>
            <w:tcBorders>
              <w:top w:val="single" w:color="000000" w:sz="4" w:space="0"/>
            </w:tcBorders>
            <w:vAlign w:val="center"/>
          </w:tcPr>
          <w:p>
            <w:pPr>
              <w:pStyle w:val="24"/>
              <w:snapToGrid w:val="0"/>
              <w:jc w:val="center"/>
              <w:rPr>
                <w:b/>
                <w:sz w:val="21"/>
                <w:szCs w:val="21"/>
                <w:highlight w:val="none"/>
              </w:rPr>
            </w:pPr>
            <w:r>
              <w:rPr>
                <w:rFonts w:hint="eastAsia"/>
                <w:b/>
                <w:bCs/>
                <w:spacing w:val="-9"/>
                <w:sz w:val="21"/>
                <w:szCs w:val="21"/>
                <w:highlight w:val="none"/>
              </w:rPr>
              <w:t>名称</w:t>
            </w:r>
          </w:p>
        </w:tc>
        <w:tc>
          <w:tcPr>
            <w:tcW w:w="5828" w:type="dxa"/>
            <w:tcBorders>
              <w:top w:val="single" w:color="000000" w:sz="4" w:space="0"/>
            </w:tcBorders>
            <w:vAlign w:val="center"/>
          </w:tcPr>
          <w:p>
            <w:pPr>
              <w:pStyle w:val="24"/>
              <w:snapToGrid w:val="0"/>
              <w:jc w:val="center"/>
              <w:rPr>
                <w:b/>
                <w:sz w:val="21"/>
                <w:szCs w:val="21"/>
                <w:highlight w:val="none"/>
              </w:rPr>
            </w:pPr>
            <w:r>
              <w:rPr>
                <w:rFonts w:hint="eastAsia"/>
                <w:b/>
                <w:bCs/>
                <w:spacing w:val="-5"/>
                <w:sz w:val="21"/>
                <w:szCs w:val="21"/>
                <w:highlight w:val="none"/>
              </w:rPr>
              <w:t>参数要求</w:t>
            </w:r>
          </w:p>
        </w:tc>
        <w:tc>
          <w:tcPr>
            <w:tcW w:w="696" w:type="dxa"/>
            <w:tcBorders>
              <w:top w:val="single" w:color="000000" w:sz="4" w:space="0"/>
            </w:tcBorders>
            <w:vAlign w:val="center"/>
          </w:tcPr>
          <w:p>
            <w:pPr>
              <w:pStyle w:val="24"/>
              <w:snapToGrid w:val="0"/>
              <w:jc w:val="center"/>
              <w:rPr>
                <w:b/>
                <w:sz w:val="21"/>
                <w:szCs w:val="21"/>
                <w:highlight w:val="none"/>
              </w:rPr>
            </w:pPr>
            <w:r>
              <w:rPr>
                <w:rFonts w:hint="eastAsia"/>
                <w:b/>
                <w:bCs/>
                <w:spacing w:val="-9"/>
                <w:sz w:val="21"/>
                <w:szCs w:val="21"/>
                <w:highlight w:val="none"/>
              </w:rPr>
              <w:t>单位</w:t>
            </w:r>
          </w:p>
        </w:tc>
        <w:tc>
          <w:tcPr>
            <w:tcW w:w="696" w:type="dxa"/>
            <w:tcBorders>
              <w:top w:val="single" w:color="000000" w:sz="4" w:space="0"/>
            </w:tcBorders>
            <w:vAlign w:val="center"/>
          </w:tcPr>
          <w:p>
            <w:pPr>
              <w:pStyle w:val="24"/>
              <w:snapToGrid w:val="0"/>
              <w:jc w:val="center"/>
              <w:rPr>
                <w:b/>
                <w:sz w:val="21"/>
                <w:szCs w:val="21"/>
                <w:highlight w:val="none"/>
              </w:rPr>
            </w:pPr>
            <w:r>
              <w:rPr>
                <w:rFonts w:hint="eastAsia"/>
                <w:b/>
                <w:bCs/>
                <w:spacing w:val="-9"/>
                <w:sz w:val="21"/>
                <w:szCs w:val="21"/>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jc w:val="center"/>
        </w:trPr>
        <w:tc>
          <w:tcPr>
            <w:tcW w:w="708" w:type="dxa"/>
            <w:tcBorders>
              <w:left w:val="single" w:color="000000" w:sz="4" w:space="0"/>
            </w:tcBorders>
            <w:vAlign w:val="center"/>
          </w:tcPr>
          <w:p>
            <w:pPr>
              <w:pStyle w:val="24"/>
              <w:snapToGrid w:val="0"/>
              <w:jc w:val="center"/>
              <w:rPr>
                <w:sz w:val="21"/>
                <w:szCs w:val="21"/>
                <w:highlight w:val="none"/>
              </w:rPr>
            </w:pPr>
            <w:r>
              <w:rPr>
                <w:rFonts w:hint="eastAsia"/>
                <w:sz w:val="21"/>
                <w:szCs w:val="21"/>
                <w:highlight w:val="none"/>
              </w:rPr>
              <w:t>1</w:t>
            </w:r>
          </w:p>
        </w:tc>
        <w:tc>
          <w:tcPr>
            <w:tcW w:w="1231" w:type="dxa"/>
            <w:vAlign w:val="center"/>
          </w:tcPr>
          <w:p>
            <w:pPr>
              <w:pStyle w:val="24"/>
              <w:snapToGrid w:val="0"/>
              <w:jc w:val="center"/>
              <w:rPr>
                <w:sz w:val="21"/>
                <w:szCs w:val="21"/>
                <w:highlight w:val="none"/>
              </w:rPr>
            </w:pPr>
            <w:r>
              <w:rPr>
                <w:spacing w:val="-1"/>
                <w:sz w:val="21"/>
                <w:szCs w:val="21"/>
                <w:highlight w:val="none"/>
              </w:rPr>
              <w:t>集中充电设施灭火装置</w:t>
            </w:r>
          </w:p>
        </w:tc>
        <w:tc>
          <w:tcPr>
            <w:tcW w:w="5828" w:type="dxa"/>
            <w:vAlign w:val="center"/>
          </w:tcPr>
          <w:p>
            <w:pPr>
              <w:pStyle w:val="24"/>
              <w:snapToGrid w:val="0"/>
              <w:jc w:val="left"/>
              <w:rPr>
                <w:sz w:val="21"/>
                <w:szCs w:val="21"/>
                <w:highlight w:val="none"/>
              </w:rPr>
            </w:pPr>
            <w:r>
              <w:rPr>
                <w:spacing w:val="1"/>
                <w:sz w:val="21"/>
                <w:szCs w:val="21"/>
                <w:highlight w:val="none"/>
              </w:rPr>
              <w:t>1）</w:t>
            </w:r>
            <w:r>
              <w:rPr>
                <w:spacing w:val="-55"/>
                <w:sz w:val="21"/>
                <w:szCs w:val="21"/>
                <w:highlight w:val="none"/>
              </w:rPr>
              <w:t xml:space="preserve"> </w:t>
            </w:r>
            <w:r>
              <w:rPr>
                <w:spacing w:val="1"/>
                <w:sz w:val="21"/>
                <w:szCs w:val="21"/>
                <w:highlight w:val="none"/>
              </w:rPr>
              <w:t>电源：</w:t>
            </w:r>
            <w:r>
              <w:rPr>
                <w:sz w:val="21"/>
                <w:szCs w:val="21"/>
                <w:highlight w:val="none"/>
              </w:rPr>
              <w:t>AC</w:t>
            </w:r>
            <w:r>
              <w:rPr>
                <w:spacing w:val="1"/>
                <w:sz w:val="21"/>
                <w:szCs w:val="21"/>
                <w:highlight w:val="none"/>
              </w:rPr>
              <w:t>220V</w:t>
            </w:r>
            <w:r>
              <w:rPr>
                <w:rFonts w:hint="eastAsia"/>
                <w:spacing w:val="1"/>
                <w:sz w:val="21"/>
                <w:szCs w:val="21"/>
                <w:highlight w:val="none"/>
              </w:rPr>
              <w:t>供电，断电时自动切换至备用电源</w:t>
            </w:r>
            <w:r>
              <w:rPr>
                <w:spacing w:val="1"/>
                <w:sz w:val="21"/>
                <w:szCs w:val="21"/>
                <w:highlight w:val="none"/>
              </w:rPr>
              <w:t xml:space="preserve"> ；</w:t>
            </w:r>
          </w:p>
          <w:p>
            <w:pPr>
              <w:pStyle w:val="24"/>
              <w:snapToGrid w:val="0"/>
              <w:jc w:val="left"/>
              <w:rPr>
                <w:spacing w:val="8"/>
                <w:sz w:val="21"/>
                <w:szCs w:val="21"/>
                <w:highlight w:val="none"/>
              </w:rPr>
            </w:pPr>
            <w:r>
              <w:rPr>
                <w:spacing w:val="8"/>
                <w:sz w:val="21"/>
                <w:szCs w:val="21"/>
                <w:highlight w:val="none"/>
              </w:rPr>
              <w:t>2）灭火剂填充量：大于</w:t>
            </w:r>
            <w:r>
              <w:rPr>
                <w:rFonts w:hint="eastAsia"/>
                <w:spacing w:val="8"/>
                <w:sz w:val="21"/>
                <w:szCs w:val="21"/>
                <w:highlight w:val="none"/>
              </w:rPr>
              <w:t>12</w:t>
            </w:r>
            <w:r>
              <w:rPr>
                <w:spacing w:val="8"/>
                <w:sz w:val="21"/>
                <w:szCs w:val="21"/>
                <w:highlight w:val="none"/>
              </w:rPr>
              <w:t>0</w:t>
            </w:r>
            <w:r>
              <w:rPr>
                <w:sz w:val="21"/>
                <w:szCs w:val="21"/>
                <w:highlight w:val="none"/>
              </w:rPr>
              <w:t>Kg</w:t>
            </w:r>
            <w:r>
              <w:rPr>
                <w:spacing w:val="8"/>
                <w:sz w:val="21"/>
                <w:szCs w:val="21"/>
                <w:highlight w:val="none"/>
              </w:rPr>
              <w:t>；</w:t>
            </w:r>
          </w:p>
          <w:p>
            <w:pPr>
              <w:pStyle w:val="24"/>
              <w:snapToGrid w:val="0"/>
              <w:jc w:val="left"/>
              <w:rPr>
                <w:spacing w:val="8"/>
                <w:sz w:val="21"/>
                <w:szCs w:val="21"/>
                <w:highlight w:val="none"/>
              </w:rPr>
            </w:pPr>
            <w:r>
              <w:rPr>
                <w:rFonts w:hint="eastAsia"/>
                <w:spacing w:val="8"/>
                <w:sz w:val="21"/>
                <w:szCs w:val="21"/>
                <w:highlight w:val="none"/>
              </w:rPr>
              <w:t>3</w:t>
            </w:r>
            <w:r>
              <w:rPr>
                <w:spacing w:val="8"/>
                <w:sz w:val="21"/>
                <w:szCs w:val="21"/>
                <w:highlight w:val="none"/>
              </w:rPr>
              <w:t>）灭火剂</w:t>
            </w:r>
            <w:r>
              <w:rPr>
                <w:rFonts w:hint="eastAsia"/>
                <w:spacing w:val="8"/>
                <w:sz w:val="21"/>
                <w:szCs w:val="21"/>
                <w:highlight w:val="none"/>
              </w:rPr>
              <w:t>效能：对锂电池起火有特殊灭火效能；</w:t>
            </w:r>
          </w:p>
          <w:p>
            <w:pPr>
              <w:pStyle w:val="24"/>
              <w:snapToGrid w:val="0"/>
              <w:jc w:val="left"/>
              <w:rPr>
                <w:sz w:val="21"/>
                <w:szCs w:val="21"/>
                <w:highlight w:val="none"/>
              </w:rPr>
            </w:pPr>
            <w:r>
              <w:rPr>
                <w:rFonts w:hint="eastAsia"/>
                <w:spacing w:val="6"/>
                <w:sz w:val="21"/>
                <w:szCs w:val="21"/>
                <w:highlight w:val="none"/>
              </w:rPr>
              <w:t>4</w:t>
            </w:r>
            <w:r>
              <w:rPr>
                <w:spacing w:val="6"/>
                <w:sz w:val="21"/>
                <w:szCs w:val="21"/>
                <w:highlight w:val="none"/>
              </w:rPr>
              <w:t>）使用温度：-2</w:t>
            </w:r>
            <w:r>
              <w:rPr>
                <w:rFonts w:hint="eastAsia"/>
                <w:spacing w:val="6"/>
                <w:sz w:val="21"/>
                <w:szCs w:val="21"/>
                <w:highlight w:val="none"/>
              </w:rPr>
              <w:t>0</w:t>
            </w:r>
            <w:r>
              <w:rPr>
                <w:spacing w:val="6"/>
                <w:sz w:val="21"/>
                <w:szCs w:val="21"/>
                <w:highlight w:val="none"/>
              </w:rPr>
              <w:t>℃ - 50℃</w:t>
            </w:r>
            <w:r>
              <w:rPr>
                <w:rFonts w:hint="eastAsia"/>
                <w:spacing w:val="6"/>
                <w:sz w:val="21"/>
                <w:szCs w:val="21"/>
                <w:highlight w:val="none"/>
              </w:rPr>
              <w:t>；</w:t>
            </w:r>
          </w:p>
          <w:p>
            <w:pPr>
              <w:pStyle w:val="24"/>
              <w:snapToGrid w:val="0"/>
              <w:jc w:val="left"/>
              <w:rPr>
                <w:spacing w:val="7"/>
                <w:sz w:val="21"/>
                <w:szCs w:val="21"/>
                <w:highlight w:val="none"/>
              </w:rPr>
            </w:pPr>
            <w:r>
              <w:rPr>
                <w:rFonts w:hint="eastAsia"/>
                <w:spacing w:val="7"/>
                <w:sz w:val="21"/>
                <w:szCs w:val="21"/>
                <w:highlight w:val="none"/>
              </w:rPr>
              <w:t>5</w:t>
            </w:r>
            <w:r>
              <w:rPr>
                <w:spacing w:val="7"/>
                <w:sz w:val="21"/>
                <w:szCs w:val="21"/>
                <w:highlight w:val="none"/>
              </w:rPr>
              <w:t>）有效喷射时间：大于1</w:t>
            </w:r>
            <w:r>
              <w:rPr>
                <w:rFonts w:hint="eastAsia"/>
                <w:spacing w:val="7"/>
                <w:sz w:val="21"/>
                <w:szCs w:val="21"/>
                <w:highlight w:val="none"/>
              </w:rPr>
              <w:t>5</w:t>
            </w:r>
            <w:r>
              <w:rPr>
                <w:spacing w:val="7"/>
                <w:sz w:val="21"/>
                <w:szCs w:val="21"/>
                <w:highlight w:val="none"/>
              </w:rPr>
              <w:t>0s</w:t>
            </w:r>
            <w:r>
              <w:rPr>
                <w:rFonts w:hint="eastAsia"/>
                <w:spacing w:val="7"/>
                <w:sz w:val="21"/>
                <w:szCs w:val="21"/>
                <w:highlight w:val="none"/>
              </w:rPr>
              <w:t>；</w:t>
            </w:r>
          </w:p>
          <w:p>
            <w:pPr>
              <w:pStyle w:val="24"/>
              <w:snapToGrid w:val="0"/>
              <w:jc w:val="left"/>
              <w:rPr>
                <w:spacing w:val="7"/>
                <w:sz w:val="21"/>
                <w:szCs w:val="21"/>
                <w:highlight w:val="none"/>
              </w:rPr>
            </w:pPr>
            <w:r>
              <w:rPr>
                <w:rFonts w:hint="eastAsia"/>
                <w:spacing w:val="7"/>
                <w:sz w:val="21"/>
                <w:szCs w:val="21"/>
                <w:highlight w:val="none"/>
              </w:rPr>
              <w:t>6) 启动方式：手动启动、自动启动、机械应急启动；</w:t>
            </w:r>
          </w:p>
          <w:p>
            <w:pPr>
              <w:pStyle w:val="24"/>
              <w:snapToGrid w:val="0"/>
              <w:jc w:val="left"/>
              <w:rPr>
                <w:color w:val="FF0000"/>
                <w:spacing w:val="7"/>
                <w:sz w:val="21"/>
                <w:szCs w:val="21"/>
                <w:highlight w:val="none"/>
              </w:rPr>
            </w:pPr>
            <w:r>
              <w:rPr>
                <w:rFonts w:hint="eastAsia"/>
                <w:spacing w:val="7"/>
                <w:sz w:val="21"/>
                <w:szCs w:val="21"/>
                <w:highlight w:val="none"/>
              </w:rPr>
              <w:t>7) 实时监测报警、压力等信号，发生异常时上传给管理平台并以短信/电话等形式通知给相应管理人员。</w:t>
            </w:r>
          </w:p>
        </w:tc>
        <w:tc>
          <w:tcPr>
            <w:tcW w:w="696" w:type="dxa"/>
            <w:vAlign w:val="center"/>
          </w:tcPr>
          <w:p>
            <w:pPr>
              <w:pStyle w:val="24"/>
              <w:snapToGrid w:val="0"/>
              <w:jc w:val="center"/>
              <w:rPr>
                <w:sz w:val="21"/>
                <w:szCs w:val="21"/>
                <w:highlight w:val="none"/>
              </w:rPr>
            </w:pPr>
            <w:r>
              <w:rPr>
                <w:sz w:val="21"/>
                <w:szCs w:val="21"/>
                <w:highlight w:val="none"/>
              </w:rPr>
              <w:t>台</w:t>
            </w:r>
          </w:p>
        </w:tc>
        <w:tc>
          <w:tcPr>
            <w:tcW w:w="696" w:type="dxa"/>
            <w:vAlign w:val="center"/>
          </w:tcPr>
          <w:p>
            <w:pPr>
              <w:pStyle w:val="24"/>
              <w:snapToGrid w:val="0"/>
              <w:jc w:val="center"/>
              <w:rPr>
                <w:sz w:val="21"/>
                <w:szCs w:val="21"/>
                <w:highlight w:val="none"/>
              </w:rPr>
            </w:pPr>
            <w:r>
              <w:rPr>
                <w:rFonts w:hint="eastAsia"/>
                <w:sz w:val="21"/>
                <w:szCs w:val="21"/>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639" w:hRule="atLeast"/>
          <w:jc w:val="center"/>
        </w:trPr>
        <w:tc>
          <w:tcPr>
            <w:tcW w:w="708" w:type="dxa"/>
            <w:tcBorders>
              <w:left w:val="single" w:color="000000" w:sz="4" w:space="0"/>
            </w:tcBorders>
            <w:vAlign w:val="center"/>
          </w:tcPr>
          <w:p>
            <w:pPr>
              <w:pStyle w:val="24"/>
              <w:snapToGrid w:val="0"/>
              <w:jc w:val="center"/>
              <w:rPr>
                <w:sz w:val="21"/>
                <w:szCs w:val="21"/>
                <w:highlight w:val="none"/>
              </w:rPr>
            </w:pPr>
            <w:r>
              <w:rPr>
                <w:rFonts w:hint="eastAsia"/>
                <w:sz w:val="21"/>
                <w:szCs w:val="21"/>
                <w:highlight w:val="none"/>
              </w:rPr>
              <w:t>2</w:t>
            </w:r>
          </w:p>
        </w:tc>
        <w:tc>
          <w:tcPr>
            <w:tcW w:w="1231" w:type="dxa"/>
            <w:vAlign w:val="center"/>
          </w:tcPr>
          <w:p>
            <w:pPr>
              <w:pStyle w:val="24"/>
              <w:snapToGrid w:val="0"/>
              <w:jc w:val="center"/>
              <w:rPr>
                <w:spacing w:val="-1"/>
                <w:sz w:val="21"/>
                <w:szCs w:val="21"/>
                <w:highlight w:val="none"/>
              </w:rPr>
            </w:pPr>
            <w:r>
              <w:rPr>
                <w:spacing w:val="-1"/>
                <w:sz w:val="21"/>
                <w:szCs w:val="21"/>
                <w:highlight w:val="none"/>
              </w:rPr>
              <w:t>消防报警主机</w:t>
            </w:r>
          </w:p>
        </w:tc>
        <w:tc>
          <w:tcPr>
            <w:tcW w:w="5828" w:type="dxa"/>
            <w:vAlign w:val="center"/>
          </w:tcPr>
          <w:p>
            <w:pPr>
              <w:pStyle w:val="24"/>
              <w:snapToGrid w:val="0"/>
              <w:jc w:val="left"/>
              <w:rPr>
                <w:spacing w:val="7"/>
                <w:sz w:val="21"/>
                <w:szCs w:val="21"/>
                <w:highlight w:val="none"/>
              </w:rPr>
            </w:pPr>
          </w:p>
          <w:p>
            <w:pPr>
              <w:pStyle w:val="24"/>
              <w:numPr>
                <w:ilvl w:val="0"/>
                <w:numId w:val="2"/>
              </w:numPr>
              <w:snapToGrid w:val="0"/>
              <w:jc w:val="left"/>
              <w:rPr>
                <w:spacing w:val="7"/>
                <w:sz w:val="21"/>
                <w:szCs w:val="21"/>
                <w:highlight w:val="none"/>
              </w:rPr>
            </w:pPr>
            <w:r>
              <w:rPr>
                <w:rFonts w:hint="eastAsia"/>
                <w:spacing w:val="7"/>
                <w:sz w:val="21"/>
                <w:szCs w:val="21"/>
                <w:highlight w:val="none"/>
              </w:rPr>
              <w:t>执⾏标准:GB4717-2005《火灾报警控制器》</w:t>
            </w:r>
          </w:p>
          <w:p>
            <w:pPr>
              <w:pStyle w:val="24"/>
              <w:snapToGrid w:val="0"/>
              <w:jc w:val="left"/>
              <w:rPr>
                <w:spacing w:val="7"/>
                <w:sz w:val="21"/>
                <w:szCs w:val="21"/>
                <w:highlight w:val="none"/>
              </w:rPr>
            </w:pPr>
          </w:p>
        </w:tc>
        <w:tc>
          <w:tcPr>
            <w:tcW w:w="696" w:type="dxa"/>
            <w:vAlign w:val="center"/>
          </w:tcPr>
          <w:p>
            <w:pPr>
              <w:pStyle w:val="24"/>
              <w:snapToGrid w:val="0"/>
              <w:jc w:val="center"/>
              <w:rPr>
                <w:sz w:val="21"/>
                <w:szCs w:val="21"/>
                <w:highlight w:val="none"/>
              </w:rPr>
            </w:pPr>
            <w:r>
              <w:rPr>
                <w:rFonts w:hint="eastAsia"/>
                <w:sz w:val="21"/>
                <w:szCs w:val="21"/>
                <w:highlight w:val="none"/>
              </w:rPr>
              <w:t>台</w:t>
            </w:r>
          </w:p>
        </w:tc>
        <w:tc>
          <w:tcPr>
            <w:tcW w:w="696" w:type="dxa"/>
            <w:vAlign w:val="center"/>
          </w:tcPr>
          <w:p>
            <w:pPr>
              <w:pStyle w:val="24"/>
              <w:snapToGrid w:val="0"/>
              <w:jc w:val="center"/>
              <w:rPr>
                <w:sz w:val="21"/>
                <w:szCs w:val="21"/>
                <w:highlight w:val="none"/>
              </w:rPr>
            </w:pPr>
            <w:r>
              <w:rPr>
                <w:rFonts w:hint="eastAsia"/>
                <w:sz w:val="21"/>
                <w:szCs w:val="21"/>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jc w:val="center"/>
        </w:trPr>
        <w:tc>
          <w:tcPr>
            <w:tcW w:w="708" w:type="dxa"/>
            <w:tcBorders>
              <w:left w:val="single" w:color="000000" w:sz="4" w:space="0"/>
            </w:tcBorders>
            <w:vAlign w:val="center"/>
          </w:tcPr>
          <w:p>
            <w:pPr>
              <w:pStyle w:val="24"/>
              <w:snapToGrid w:val="0"/>
              <w:jc w:val="center"/>
              <w:rPr>
                <w:sz w:val="21"/>
                <w:szCs w:val="21"/>
                <w:highlight w:val="none"/>
              </w:rPr>
            </w:pPr>
          </w:p>
          <w:p>
            <w:pPr>
              <w:pStyle w:val="24"/>
              <w:snapToGrid w:val="0"/>
              <w:jc w:val="center"/>
              <w:rPr>
                <w:sz w:val="21"/>
                <w:szCs w:val="21"/>
                <w:highlight w:val="none"/>
              </w:rPr>
            </w:pPr>
            <w:r>
              <w:rPr>
                <w:rFonts w:hint="eastAsia"/>
                <w:sz w:val="21"/>
                <w:szCs w:val="21"/>
                <w:highlight w:val="none"/>
              </w:rPr>
              <w:t>3</w:t>
            </w:r>
          </w:p>
        </w:tc>
        <w:tc>
          <w:tcPr>
            <w:tcW w:w="1231" w:type="dxa"/>
            <w:vAlign w:val="center"/>
          </w:tcPr>
          <w:p>
            <w:pPr>
              <w:pStyle w:val="24"/>
              <w:snapToGrid w:val="0"/>
              <w:jc w:val="center"/>
              <w:rPr>
                <w:spacing w:val="-1"/>
                <w:sz w:val="21"/>
                <w:szCs w:val="21"/>
                <w:highlight w:val="none"/>
              </w:rPr>
            </w:pPr>
            <w:r>
              <w:rPr>
                <w:spacing w:val="-1"/>
                <w:sz w:val="21"/>
                <w:szCs w:val="21"/>
                <w:highlight w:val="none"/>
              </w:rPr>
              <w:t>感烟探测器</w:t>
            </w:r>
          </w:p>
        </w:tc>
        <w:tc>
          <w:tcPr>
            <w:tcW w:w="5828" w:type="dxa"/>
            <w:vAlign w:val="center"/>
          </w:tcPr>
          <w:p>
            <w:pPr>
              <w:pStyle w:val="24"/>
              <w:snapToGrid w:val="0"/>
              <w:jc w:val="left"/>
              <w:rPr>
                <w:spacing w:val="7"/>
                <w:sz w:val="21"/>
                <w:szCs w:val="21"/>
                <w:highlight w:val="none"/>
              </w:rPr>
            </w:pPr>
            <w:r>
              <w:rPr>
                <w:rFonts w:hint="eastAsia"/>
                <w:spacing w:val="7"/>
                <w:sz w:val="21"/>
                <w:szCs w:val="21"/>
                <w:highlight w:val="none"/>
              </w:rPr>
              <w:t>1）执行标准:GB4715-2005、</w:t>
            </w:r>
          </w:p>
          <w:p>
            <w:pPr>
              <w:pStyle w:val="24"/>
              <w:snapToGrid w:val="0"/>
              <w:jc w:val="left"/>
              <w:rPr>
                <w:spacing w:val="7"/>
                <w:sz w:val="21"/>
                <w:szCs w:val="21"/>
                <w:highlight w:val="none"/>
              </w:rPr>
            </w:pPr>
            <w:r>
              <w:rPr>
                <w:rFonts w:hint="eastAsia"/>
                <w:spacing w:val="7"/>
                <w:sz w:val="21"/>
                <w:szCs w:val="21"/>
                <w:highlight w:val="none"/>
              </w:rPr>
              <w:t>GB/T0836.1-2021、GB/T3836.4- 2021</w:t>
            </w:r>
          </w:p>
        </w:tc>
        <w:tc>
          <w:tcPr>
            <w:tcW w:w="696" w:type="dxa"/>
            <w:vAlign w:val="center"/>
          </w:tcPr>
          <w:p>
            <w:pPr>
              <w:pStyle w:val="24"/>
              <w:snapToGrid w:val="0"/>
              <w:jc w:val="center"/>
              <w:rPr>
                <w:sz w:val="21"/>
                <w:szCs w:val="21"/>
                <w:highlight w:val="none"/>
              </w:rPr>
            </w:pPr>
            <w:r>
              <w:rPr>
                <w:rFonts w:hint="eastAsia"/>
                <w:sz w:val="21"/>
                <w:szCs w:val="21"/>
                <w:highlight w:val="none"/>
              </w:rPr>
              <w:t>套</w:t>
            </w:r>
          </w:p>
        </w:tc>
        <w:tc>
          <w:tcPr>
            <w:tcW w:w="696" w:type="dxa"/>
            <w:vAlign w:val="center"/>
          </w:tcPr>
          <w:p>
            <w:pPr>
              <w:pStyle w:val="24"/>
              <w:snapToGrid w:val="0"/>
              <w:jc w:val="center"/>
              <w:rPr>
                <w:sz w:val="21"/>
                <w:szCs w:val="21"/>
                <w:highlight w:val="none"/>
              </w:rPr>
            </w:pPr>
            <w:r>
              <w:rPr>
                <w:rFonts w:hint="eastAsia"/>
                <w:sz w:val="21"/>
                <w:szCs w:val="21"/>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jc w:val="center"/>
        </w:trPr>
        <w:tc>
          <w:tcPr>
            <w:tcW w:w="708" w:type="dxa"/>
            <w:tcBorders>
              <w:left w:val="single" w:color="000000" w:sz="4" w:space="0"/>
            </w:tcBorders>
            <w:vAlign w:val="center"/>
          </w:tcPr>
          <w:p>
            <w:pPr>
              <w:pStyle w:val="24"/>
              <w:snapToGrid w:val="0"/>
              <w:jc w:val="center"/>
              <w:rPr>
                <w:sz w:val="21"/>
                <w:szCs w:val="21"/>
                <w:highlight w:val="none"/>
              </w:rPr>
            </w:pPr>
          </w:p>
          <w:p>
            <w:pPr>
              <w:pStyle w:val="24"/>
              <w:snapToGrid w:val="0"/>
              <w:jc w:val="center"/>
              <w:rPr>
                <w:sz w:val="21"/>
                <w:szCs w:val="21"/>
                <w:highlight w:val="none"/>
              </w:rPr>
            </w:pPr>
            <w:r>
              <w:rPr>
                <w:rFonts w:hint="eastAsia"/>
                <w:sz w:val="21"/>
                <w:szCs w:val="21"/>
                <w:highlight w:val="none"/>
              </w:rPr>
              <w:t>4</w:t>
            </w:r>
          </w:p>
        </w:tc>
        <w:tc>
          <w:tcPr>
            <w:tcW w:w="1231" w:type="dxa"/>
            <w:vAlign w:val="center"/>
          </w:tcPr>
          <w:p>
            <w:pPr>
              <w:pStyle w:val="24"/>
              <w:snapToGrid w:val="0"/>
              <w:jc w:val="center"/>
              <w:rPr>
                <w:spacing w:val="-1"/>
                <w:sz w:val="21"/>
                <w:szCs w:val="21"/>
                <w:highlight w:val="none"/>
              </w:rPr>
            </w:pPr>
            <w:r>
              <w:rPr>
                <w:spacing w:val="-1"/>
                <w:sz w:val="21"/>
                <w:szCs w:val="21"/>
                <w:highlight w:val="none"/>
              </w:rPr>
              <w:t>感温探测器</w:t>
            </w:r>
          </w:p>
        </w:tc>
        <w:tc>
          <w:tcPr>
            <w:tcW w:w="5828" w:type="dxa"/>
            <w:vAlign w:val="center"/>
          </w:tcPr>
          <w:p>
            <w:pPr>
              <w:pStyle w:val="24"/>
              <w:snapToGrid w:val="0"/>
              <w:jc w:val="left"/>
              <w:rPr>
                <w:spacing w:val="7"/>
                <w:sz w:val="21"/>
                <w:szCs w:val="21"/>
                <w:highlight w:val="none"/>
              </w:rPr>
            </w:pPr>
            <w:r>
              <w:rPr>
                <w:rFonts w:hint="eastAsia"/>
                <w:spacing w:val="7"/>
                <w:sz w:val="21"/>
                <w:szCs w:val="21"/>
                <w:highlight w:val="none"/>
              </w:rPr>
              <w:t>1）执行标准:GB4716-2005、</w:t>
            </w:r>
          </w:p>
          <w:p>
            <w:pPr>
              <w:pStyle w:val="24"/>
              <w:snapToGrid w:val="0"/>
              <w:jc w:val="left"/>
              <w:rPr>
                <w:spacing w:val="7"/>
                <w:sz w:val="21"/>
                <w:szCs w:val="21"/>
                <w:highlight w:val="none"/>
              </w:rPr>
            </w:pPr>
            <w:r>
              <w:rPr>
                <w:rFonts w:hint="eastAsia"/>
                <w:spacing w:val="7"/>
                <w:sz w:val="21"/>
                <w:szCs w:val="21"/>
                <w:highlight w:val="none"/>
              </w:rPr>
              <w:t>GB/T3836.1-2021、GB/T3836.4- 2021</w:t>
            </w:r>
          </w:p>
        </w:tc>
        <w:tc>
          <w:tcPr>
            <w:tcW w:w="696" w:type="dxa"/>
            <w:vAlign w:val="center"/>
          </w:tcPr>
          <w:p>
            <w:pPr>
              <w:pStyle w:val="24"/>
              <w:snapToGrid w:val="0"/>
              <w:jc w:val="center"/>
              <w:rPr>
                <w:sz w:val="21"/>
                <w:szCs w:val="21"/>
                <w:highlight w:val="none"/>
              </w:rPr>
            </w:pPr>
            <w:r>
              <w:rPr>
                <w:rFonts w:hint="eastAsia"/>
                <w:sz w:val="21"/>
                <w:szCs w:val="21"/>
                <w:highlight w:val="none"/>
              </w:rPr>
              <w:t>套</w:t>
            </w:r>
          </w:p>
        </w:tc>
        <w:tc>
          <w:tcPr>
            <w:tcW w:w="696" w:type="dxa"/>
            <w:vAlign w:val="center"/>
          </w:tcPr>
          <w:p>
            <w:pPr>
              <w:pStyle w:val="24"/>
              <w:snapToGrid w:val="0"/>
              <w:jc w:val="center"/>
              <w:rPr>
                <w:sz w:val="21"/>
                <w:szCs w:val="21"/>
                <w:highlight w:val="none"/>
              </w:rPr>
            </w:pPr>
            <w:r>
              <w:rPr>
                <w:rFonts w:hint="eastAsia"/>
                <w:sz w:val="21"/>
                <w:szCs w:val="21"/>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jc w:val="center"/>
        </w:trPr>
        <w:tc>
          <w:tcPr>
            <w:tcW w:w="708" w:type="dxa"/>
            <w:tcBorders>
              <w:left w:val="single" w:color="000000" w:sz="4" w:space="0"/>
            </w:tcBorders>
            <w:vAlign w:val="center"/>
          </w:tcPr>
          <w:p>
            <w:pPr>
              <w:pStyle w:val="24"/>
              <w:snapToGrid w:val="0"/>
              <w:jc w:val="center"/>
              <w:rPr>
                <w:sz w:val="21"/>
                <w:szCs w:val="21"/>
                <w:highlight w:val="none"/>
              </w:rPr>
            </w:pPr>
            <w:r>
              <w:rPr>
                <w:rFonts w:hint="eastAsia"/>
                <w:sz w:val="21"/>
                <w:szCs w:val="21"/>
                <w:highlight w:val="none"/>
              </w:rPr>
              <w:t>5</w:t>
            </w:r>
          </w:p>
        </w:tc>
        <w:tc>
          <w:tcPr>
            <w:tcW w:w="1231" w:type="dxa"/>
            <w:vAlign w:val="center"/>
          </w:tcPr>
          <w:p>
            <w:pPr>
              <w:pStyle w:val="24"/>
              <w:snapToGrid w:val="0"/>
              <w:jc w:val="center"/>
              <w:rPr>
                <w:spacing w:val="-1"/>
                <w:sz w:val="21"/>
                <w:szCs w:val="21"/>
                <w:highlight w:val="none"/>
              </w:rPr>
            </w:pPr>
            <w:r>
              <w:rPr>
                <w:spacing w:val="-1"/>
                <w:sz w:val="21"/>
                <w:szCs w:val="21"/>
                <w:highlight w:val="none"/>
              </w:rPr>
              <w:t>手动报警按钮</w:t>
            </w:r>
          </w:p>
        </w:tc>
        <w:tc>
          <w:tcPr>
            <w:tcW w:w="5828" w:type="dxa"/>
            <w:vAlign w:val="center"/>
          </w:tcPr>
          <w:p>
            <w:pPr>
              <w:pStyle w:val="24"/>
              <w:snapToGrid w:val="0"/>
              <w:jc w:val="left"/>
              <w:rPr>
                <w:spacing w:val="7"/>
                <w:sz w:val="21"/>
                <w:szCs w:val="21"/>
                <w:highlight w:val="none"/>
              </w:rPr>
            </w:pPr>
            <w:r>
              <w:rPr>
                <w:rFonts w:hint="eastAsia"/>
                <w:spacing w:val="7"/>
                <w:sz w:val="21"/>
                <w:szCs w:val="21"/>
                <w:highlight w:val="none"/>
              </w:rPr>
              <w:t>1）启动零件型式：可重复使用型；</w:t>
            </w:r>
          </w:p>
          <w:p>
            <w:pPr>
              <w:pStyle w:val="24"/>
              <w:snapToGrid w:val="0"/>
              <w:jc w:val="left"/>
              <w:rPr>
                <w:spacing w:val="7"/>
                <w:sz w:val="21"/>
                <w:szCs w:val="21"/>
                <w:highlight w:val="none"/>
              </w:rPr>
            </w:pPr>
            <w:r>
              <w:rPr>
                <w:rFonts w:hint="eastAsia"/>
                <w:spacing w:val="7"/>
                <w:sz w:val="21"/>
                <w:szCs w:val="21"/>
                <w:highlight w:val="none"/>
              </w:rPr>
              <w:t>2）启动方式：人工按下按片；</w:t>
            </w:r>
          </w:p>
          <w:p>
            <w:pPr>
              <w:pStyle w:val="24"/>
              <w:snapToGrid w:val="0"/>
              <w:jc w:val="left"/>
              <w:rPr>
                <w:spacing w:val="7"/>
                <w:sz w:val="21"/>
                <w:szCs w:val="21"/>
                <w:highlight w:val="none"/>
              </w:rPr>
            </w:pPr>
            <w:r>
              <w:rPr>
                <w:rFonts w:hint="eastAsia"/>
                <w:spacing w:val="7"/>
                <w:sz w:val="21"/>
                <w:szCs w:val="21"/>
                <w:highlight w:val="none"/>
              </w:rPr>
              <w:t>3）复位方式：用专用钥匙复位；</w:t>
            </w:r>
          </w:p>
          <w:p>
            <w:pPr>
              <w:pStyle w:val="24"/>
              <w:snapToGrid w:val="0"/>
              <w:jc w:val="left"/>
              <w:rPr>
                <w:spacing w:val="7"/>
                <w:sz w:val="21"/>
                <w:szCs w:val="21"/>
                <w:highlight w:val="none"/>
              </w:rPr>
            </w:pPr>
            <w:r>
              <w:rPr>
                <w:rFonts w:hint="eastAsia"/>
                <w:spacing w:val="7"/>
                <w:sz w:val="21"/>
                <w:szCs w:val="21"/>
                <w:highlight w:val="none"/>
              </w:rPr>
              <w:t>4）执行标准：GB 19880-2005。</w:t>
            </w:r>
          </w:p>
        </w:tc>
        <w:tc>
          <w:tcPr>
            <w:tcW w:w="696" w:type="dxa"/>
            <w:vAlign w:val="center"/>
          </w:tcPr>
          <w:p>
            <w:pPr>
              <w:pStyle w:val="24"/>
              <w:snapToGrid w:val="0"/>
              <w:jc w:val="center"/>
              <w:rPr>
                <w:sz w:val="21"/>
                <w:szCs w:val="21"/>
                <w:highlight w:val="none"/>
              </w:rPr>
            </w:pPr>
            <w:r>
              <w:rPr>
                <w:rFonts w:hint="eastAsia"/>
                <w:sz w:val="21"/>
                <w:szCs w:val="21"/>
                <w:highlight w:val="none"/>
              </w:rPr>
              <w:t>套</w:t>
            </w:r>
          </w:p>
        </w:tc>
        <w:tc>
          <w:tcPr>
            <w:tcW w:w="696" w:type="dxa"/>
            <w:vAlign w:val="center"/>
          </w:tcPr>
          <w:p>
            <w:pPr>
              <w:pStyle w:val="24"/>
              <w:snapToGrid w:val="0"/>
              <w:jc w:val="center"/>
              <w:rPr>
                <w:sz w:val="21"/>
                <w:szCs w:val="21"/>
                <w:highlight w:val="none"/>
              </w:rPr>
            </w:pPr>
            <w:r>
              <w:rPr>
                <w:rFonts w:hint="eastAsia"/>
                <w:sz w:val="21"/>
                <w:szCs w:val="21"/>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jc w:val="center"/>
        </w:trPr>
        <w:tc>
          <w:tcPr>
            <w:tcW w:w="708" w:type="dxa"/>
            <w:tcBorders>
              <w:left w:val="single" w:color="000000" w:sz="4" w:space="0"/>
            </w:tcBorders>
            <w:vAlign w:val="center"/>
          </w:tcPr>
          <w:p>
            <w:pPr>
              <w:pStyle w:val="24"/>
              <w:snapToGrid w:val="0"/>
              <w:jc w:val="center"/>
              <w:rPr>
                <w:sz w:val="21"/>
                <w:szCs w:val="21"/>
                <w:highlight w:val="none"/>
              </w:rPr>
            </w:pPr>
            <w:r>
              <w:rPr>
                <w:rFonts w:hint="eastAsia"/>
                <w:sz w:val="21"/>
                <w:szCs w:val="21"/>
                <w:highlight w:val="none"/>
              </w:rPr>
              <w:t>6</w:t>
            </w:r>
          </w:p>
        </w:tc>
        <w:tc>
          <w:tcPr>
            <w:tcW w:w="1231" w:type="dxa"/>
            <w:vAlign w:val="center"/>
          </w:tcPr>
          <w:p>
            <w:pPr>
              <w:pStyle w:val="24"/>
              <w:snapToGrid w:val="0"/>
              <w:jc w:val="center"/>
              <w:rPr>
                <w:spacing w:val="-1"/>
                <w:sz w:val="21"/>
                <w:szCs w:val="21"/>
                <w:highlight w:val="none"/>
              </w:rPr>
            </w:pPr>
            <w:r>
              <w:rPr>
                <w:spacing w:val="-1"/>
                <w:sz w:val="21"/>
                <w:szCs w:val="21"/>
                <w:highlight w:val="none"/>
              </w:rPr>
              <w:t>声光警报器</w:t>
            </w:r>
          </w:p>
        </w:tc>
        <w:tc>
          <w:tcPr>
            <w:tcW w:w="5828" w:type="dxa"/>
            <w:vAlign w:val="center"/>
          </w:tcPr>
          <w:p>
            <w:pPr>
              <w:pStyle w:val="24"/>
              <w:snapToGrid w:val="0"/>
              <w:jc w:val="left"/>
              <w:rPr>
                <w:spacing w:val="7"/>
                <w:sz w:val="21"/>
                <w:szCs w:val="21"/>
                <w:highlight w:val="none"/>
              </w:rPr>
            </w:pPr>
            <w:r>
              <w:rPr>
                <w:rFonts w:hint="eastAsia"/>
                <w:spacing w:val="7"/>
                <w:sz w:val="21"/>
                <w:szCs w:val="21"/>
                <w:highlight w:val="none"/>
              </w:rPr>
              <w:t>1）声压级不应小于60dB，在环境  噪声大于60dB的场所，其声压级应 高于背景噪声15dB；</w:t>
            </w:r>
          </w:p>
          <w:p>
            <w:pPr>
              <w:pStyle w:val="24"/>
              <w:snapToGrid w:val="0"/>
              <w:jc w:val="left"/>
              <w:rPr>
                <w:spacing w:val="7"/>
                <w:sz w:val="21"/>
                <w:szCs w:val="21"/>
                <w:highlight w:val="none"/>
              </w:rPr>
            </w:pPr>
            <w:r>
              <w:rPr>
                <w:rFonts w:hint="eastAsia"/>
                <w:spacing w:val="7"/>
                <w:sz w:val="21"/>
                <w:szCs w:val="21"/>
                <w:highlight w:val="none"/>
              </w:rPr>
              <w:t>2） 电源总线电压：DC24V。</w:t>
            </w:r>
          </w:p>
        </w:tc>
        <w:tc>
          <w:tcPr>
            <w:tcW w:w="696" w:type="dxa"/>
            <w:vAlign w:val="center"/>
          </w:tcPr>
          <w:p>
            <w:pPr>
              <w:pStyle w:val="24"/>
              <w:snapToGrid w:val="0"/>
              <w:jc w:val="center"/>
              <w:rPr>
                <w:sz w:val="21"/>
                <w:szCs w:val="21"/>
                <w:highlight w:val="none"/>
              </w:rPr>
            </w:pPr>
            <w:r>
              <w:rPr>
                <w:rFonts w:hint="eastAsia"/>
                <w:sz w:val="21"/>
                <w:szCs w:val="21"/>
                <w:highlight w:val="none"/>
              </w:rPr>
              <w:t>套</w:t>
            </w:r>
          </w:p>
        </w:tc>
        <w:tc>
          <w:tcPr>
            <w:tcW w:w="696" w:type="dxa"/>
            <w:vAlign w:val="center"/>
          </w:tcPr>
          <w:p>
            <w:pPr>
              <w:pStyle w:val="24"/>
              <w:snapToGrid w:val="0"/>
              <w:jc w:val="center"/>
              <w:rPr>
                <w:sz w:val="21"/>
                <w:szCs w:val="21"/>
                <w:highlight w:val="none"/>
              </w:rPr>
            </w:pPr>
            <w:r>
              <w:rPr>
                <w:rFonts w:hint="eastAsia"/>
                <w:sz w:val="21"/>
                <w:szCs w:val="21"/>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jc w:val="center"/>
        </w:trPr>
        <w:tc>
          <w:tcPr>
            <w:tcW w:w="696" w:type="dxa"/>
            <w:gridSpan w:val="5"/>
            <w:tcBorders>
              <w:left w:val="single" w:color="000000" w:sz="4" w:space="0"/>
            </w:tcBorders>
            <w:vAlign w:val="center"/>
          </w:tcPr>
          <w:p>
            <w:pPr>
              <w:pStyle w:val="7"/>
              <w:widowControl/>
              <w:spacing w:line="440" w:lineRule="exact"/>
              <w:jc w:val="both"/>
              <w:rPr>
                <w:rFonts w:ascii="宋体" w:hAnsi="宋体" w:cs="宋体"/>
                <w:b/>
                <w:bCs/>
                <w:highlight w:val="none"/>
              </w:rPr>
            </w:pPr>
            <w:r>
              <w:rPr>
                <w:rFonts w:hint="eastAsia" w:ascii="宋体" w:hAnsi="宋体" w:cs="宋体"/>
                <w:b/>
                <w:bCs/>
                <w:highlight w:val="none"/>
              </w:rPr>
              <w:t>注：1.上述采购要求为最低要求，不得负偏离，否则视为无效报价。</w:t>
            </w:r>
          </w:p>
          <w:p>
            <w:pPr>
              <w:pStyle w:val="7"/>
              <w:widowControl/>
              <w:spacing w:line="440" w:lineRule="exact"/>
              <w:ind w:firstLine="482" w:firstLineChars="200"/>
              <w:jc w:val="both"/>
              <w:rPr>
                <w:sz w:val="21"/>
                <w:szCs w:val="21"/>
                <w:highlight w:val="none"/>
              </w:rPr>
            </w:pPr>
            <w:r>
              <w:rPr>
                <w:rFonts w:hint="eastAsia" w:ascii="宋体" w:hAnsi="宋体" w:cs="宋体"/>
                <w:b/>
                <w:bCs/>
                <w:highlight w:val="none"/>
              </w:rPr>
              <w:t>2.采购清单中货物数量按采购人实际使用要求而定，最终按实际货物数量结算，请供应商投标报价时自行考虑该风险。</w:t>
            </w:r>
          </w:p>
        </w:tc>
      </w:tr>
    </w:tbl>
    <w:p>
      <w:pPr>
        <w:pStyle w:val="7"/>
        <w:widowControl/>
        <w:spacing w:line="420" w:lineRule="exact"/>
        <w:ind w:firstLine="482" w:firstLineChars="200"/>
        <w:jc w:val="both"/>
        <w:rPr>
          <w:rFonts w:ascii="宋体" w:hAnsi="宋体" w:cs="宋体"/>
          <w:b/>
          <w:bCs/>
          <w:highlight w:val="none"/>
        </w:rPr>
      </w:pPr>
      <w:r>
        <w:rPr>
          <w:rFonts w:hint="eastAsia" w:ascii="宋体" w:hAnsi="宋体" w:cs="宋体"/>
          <w:b/>
          <w:bCs/>
          <w:highlight w:val="none"/>
        </w:rPr>
        <w:t>二、本项目最高限价（含税）为人民币壹拾伍万零伍佰贰</w:t>
      </w:r>
      <w:r>
        <w:rPr>
          <w:rFonts w:hint="eastAsia" w:ascii="宋体" w:hAnsi="宋体" w:cs="宋体"/>
          <w:b/>
          <w:bCs/>
          <w:highlight w:val="none"/>
          <w:shd w:val="clear" w:color="auto" w:fill="FFFFFF" w:themeFill="background1"/>
        </w:rPr>
        <w:t>拾元</w:t>
      </w:r>
      <w:r>
        <w:rPr>
          <w:rFonts w:hint="eastAsia" w:ascii="宋体" w:hAnsi="宋体" w:cs="宋体"/>
          <w:b/>
          <w:bCs/>
          <w:highlight w:val="none"/>
        </w:rPr>
        <w:t>整（¥：150520 元）</w:t>
      </w:r>
      <w:r>
        <w:rPr>
          <w:rFonts w:hint="eastAsia" w:ascii="宋体" w:hAnsi="宋体" w:cs="宋体"/>
          <w:b/>
          <w:bCs/>
          <w:highlight w:val="none"/>
          <w:shd w:val="clear" w:color="auto" w:fill="FFFFFF" w:themeFill="background1"/>
        </w:rPr>
        <w:t>，</w:t>
      </w:r>
      <w:r>
        <w:rPr>
          <w:rFonts w:hint="eastAsia" w:ascii="宋体" w:hAnsi="宋体" w:cs="宋体"/>
          <w:b/>
          <w:bCs/>
          <w:highlight w:val="none"/>
        </w:rPr>
        <w:t>供应商所报投标报价超过最高限价的报价文件视为无效。</w:t>
      </w:r>
    </w:p>
    <w:p>
      <w:pPr>
        <w:pStyle w:val="7"/>
        <w:widowControl/>
        <w:spacing w:line="420" w:lineRule="exact"/>
        <w:ind w:firstLine="482" w:firstLineChars="200"/>
        <w:jc w:val="both"/>
        <w:rPr>
          <w:rFonts w:ascii="宋体" w:hAnsi="宋体" w:cs="宋体"/>
          <w:b/>
          <w:bCs/>
          <w:highlight w:val="none"/>
        </w:rPr>
      </w:pPr>
      <w:r>
        <w:rPr>
          <w:rFonts w:hint="eastAsia" w:ascii="宋体" w:hAnsi="宋体" w:cs="宋体"/>
          <w:b/>
          <w:bCs/>
          <w:highlight w:val="none"/>
        </w:rPr>
        <w:t>三、供应商资格要求：</w:t>
      </w:r>
    </w:p>
    <w:p>
      <w:pPr>
        <w:pStyle w:val="7"/>
        <w:widowControl/>
        <w:spacing w:line="420" w:lineRule="exact"/>
        <w:ind w:firstLine="480" w:firstLineChars="200"/>
        <w:jc w:val="both"/>
        <w:rPr>
          <w:rFonts w:ascii="宋体" w:hAnsi="宋体" w:cs="宋体"/>
          <w:highlight w:val="none"/>
        </w:rPr>
      </w:pPr>
      <w:r>
        <w:rPr>
          <w:rFonts w:hint="eastAsia" w:ascii="宋体" w:hAnsi="宋体" w:cs="宋体"/>
          <w:highlight w:val="none"/>
        </w:rPr>
        <w:t>1.满足《中华人民共和国政府采购法》第二十二条规定。</w:t>
      </w:r>
    </w:p>
    <w:p>
      <w:pPr>
        <w:pStyle w:val="7"/>
        <w:widowControl/>
        <w:shd w:val="clear" w:fill="FFFFFF" w:themeFill="background1"/>
        <w:spacing w:line="420" w:lineRule="exact"/>
        <w:ind w:firstLine="480" w:firstLineChars="200"/>
        <w:jc w:val="both"/>
        <w:rPr>
          <w:rFonts w:ascii="宋体" w:hAnsi="宋体" w:cs="宋体"/>
          <w:highlight w:val="none"/>
        </w:rPr>
      </w:pPr>
      <w:r>
        <w:rPr>
          <w:rFonts w:hint="eastAsia" w:ascii="宋体" w:hAnsi="宋体" w:cs="宋体"/>
          <w:highlight w:val="none"/>
        </w:rPr>
        <w:t>2.落实政府采购政策需满足的资格要求：无。</w:t>
      </w:r>
    </w:p>
    <w:p>
      <w:pPr>
        <w:pStyle w:val="7"/>
        <w:widowControl/>
        <w:shd w:val="clear"/>
        <w:spacing w:line="420" w:lineRule="exact"/>
        <w:ind w:firstLine="480" w:firstLineChars="200"/>
        <w:jc w:val="both"/>
        <w:rPr>
          <w:rFonts w:hint="eastAsia" w:ascii="宋体" w:hAnsi="宋体" w:eastAsia="宋体" w:cs="宋体"/>
          <w:highlight w:val="none"/>
          <w:lang w:eastAsia="zh-CN"/>
        </w:rPr>
      </w:pPr>
      <w:r>
        <w:rPr>
          <w:rFonts w:ascii="宋体" w:hAnsi="宋体" w:cs="宋体"/>
          <w:highlight w:val="none"/>
        </w:rPr>
        <w:t>3</w:t>
      </w:r>
      <w:r>
        <w:rPr>
          <w:rFonts w:hint="eastAsia" w:ascii="宋体" w:hAnsi="宋体" w:cs="宋体"/>
          <w:highlight w:val="none"/>
        </w:rPr>
        <w:t>．产品必须</w:t>
      </w:r>
      <w:r>
        <w:rPr>
          <w:rFonts w:hint="eastAsia" w:ascii="宋体" w:hAnsi="宋体" w:cs="宋体"/>
          <w:highlight w:val="none"/>
          <w:lang w:eastAsia="zh-CN"/>
        </w:rPr>
        <w:t>有</w:t>
      </w:r>
      <w:r>
        <w:rPr>
          <w:rFonts w:hint="eastAsia" w:ascii="宋体" w:hAnsi="宋体" w:cs="宋体"/>
          <w:highlight w:val="none"/>
        </w:rPr>
        <w:t>由国家级消防检测机构出具</w:t>
      </w:r>
      <w:r>
        <w:rPr>
          <w:rFonts w:hint="eastAsia" w:ascii="宋体" w:hAnsi="宋体" w:cs="宋体"/>
          <w:highlight w:val="none"/>
          <w:lang w:eastAsia="zh-CN"/>
        </w:rPr>
        <w:t>的对锂电池起火有特殊灭火效能的</w:t>
      </w:r>
      <w:r>
        <w:rPr>
          <w:rFonts w:hint="eastAsia" w:ascii="宋体" w:hAnsi="宋体" w:cs="宋体"/>
          <w:highlight w:val="none"/>
        </w:rPr>
        <w:t>检测报告</w:t>
      </w:r>
      <w:r>
        <w:rPr>
          <w:rFonts w:hint="eastAsia" w:ascii="宋体" w:hAnsi="宋体" w:cs="宋体"/>
          <w:highlight w:val="none"/>
          <w:lang w:eastAsia="zh-CN"/>
        </w:rPr>
        <w:t>。</w:t>
      </w:r>
    </w:p>
    <w:p>
      <w:pPr>
        <w:pStyle w:val="7"/>
        <w:widowControl/>
        <w:shd w:val="clear"/>
        <w:spacing w:line="420" w:lineRule="exact"/>
        <w:ind w:firstLine="480" w:firstLineChars="200"/>
        <w:jc w:val="both"/>
        <w:rPr>
          <w:rFonts w:ascii="宋体" w:hAnsi="宋体" w:cs="宋体"/>
          <w:highlight w:val="none"/>
        </w:rPr>
      </w:pPr>
      <w:r>
        <w:rPr>
          <w:rFonts w:hint="eastAsia" w:ascii="宋体" w:hAnsi="宋体" w:cs="宋体"/>
          <w:highlight w:val="none"/>
        </w:rPr>
        <w:t>4</w:t>
      </w:r>
      <w:r>
        <w:rPr>
          <w:rFonts w:ascii="宋体" w:hAnsi="宋体" w:cs="宋体"/>
          <w:highlight w:val="none"/>
        </w:rPr>
        <w:t>.</w:t>
      </w:r>
      <w:r>
        <w:rPr>
          <w:spacing w:val="-1"/>
          <w:sz w:val="21"/>
          <w:szCs w:val="21"/>
          <w:highlight w:val="none"/>
        </w:rPr>
        <w:t xml:space="preserve"> </w:t>
      </w:r>
      <w:r>
        <w:rPr>
          <w:rFonts w:ascii="宋体" w:hAnsi="宋体" w:cs="宋体"/>
          <w:highlight w:val="none"/>
        </w:rPr>
        <w:t>投标人</w:t>
      </w:r>
      <w:r>
        <w:rPr>
          <w:rFonts w:hint="eastAsia" w:ascii="宋体" w:hAnsi="宋体" w:cs="宋体"/>
          <w:highlight w:val="none"/>
        </w:rPr>
        <w:t>，必须有</w:t>
      </w:r>
      <w:r>
        <w:rPr>
          <w:rFonts w:hint="eastAsia" w:ascii="宋体" w:hAnsi="宋体" w:cs="宋体"/>
          <w:highlight w:val="none"/>
          <w:lang w:val="en-US" w:eastAsia="zh-CN"/>
        </w:rPr>
        <w:t>2</w:t>
      </w:r>
      <w:r>
        <w:rPr>
          <w:rFonts w:hint="eastAsia" w:ascii="宋体" w:hAnsi="宋体" w:cs="宋体"/>
          <w:highlight w:val="none"/>
        </w:rPr>
        <w:t>个</w:t>
      </w:r>
      <w:r>
        <w:rPr>
          <w:rFonts w:ascii="宋体" w:hAnsi="宋体" w:cs="宋体"/>
          <w:highlight w:val="none"/>
        </w:rPr>
        <w:t>类似项目业绩</w:t>
      </w:r>
      <w:r>
        <w:rPr>
          <w:rFonts w:hint="eastAsia" w:ascii="宋体" w:hAnsi="宋体" w:cs="宋体"/>
          <w:highlight w:val="none"/>
          <w:lang w:eastAsia="zh-CN"/>
        </w:rPr>
        <w:t>，</w:t>
      </w:r>
      <w:r>
        <w:rPr>
          <w:rFonts w:ascii="宋体" w:hAnsi="宋体" w:cs="宋体"/>
          <w:highlight w:val="none"/>
        </w:rPr>
        <w:t>以提供合同为准</w:t>
      </w:r>
      <w:r>
        <w:rPr>
          <w:rFonts w:hint="eastAsia" w:ascii="宋体" w:hAnsi="宋体" w:cs="宋体"/>
          <w:highlight w:val="none"/>
        </w:rPr>
        <w:t>。</w:t>
      </w:r>
    </w:p>
    <w:p>
      <w:pPr>
        <w:pStyle w:val="7"/>
        <w:widowControl/>
        <w:spacing w:line="420" w:lineRule="exact"/>
        <w:ind w:firstLine="480" w:firstLineChars="200"/>
        <w:jc w:val="both"/>
        <w:rPr>
          <w:rFonts w:ascii="宋体" w:hAnsi="宋体" w:cs="宋体"/>
          <w:highlight w:val="none"/>
        </w:rPr>
      </w:pPr>
      <w:r>
        <w:rPr>
          <w:rFonts w:ascii="宋体" w:hAnsi="宋体" w:cs="宋体"/>
          <w:highlight w:val="none"/>
        </w:rPr>
        <w:t>5</w:t>
      </w:r>
      <w:r>
        <w:rPr>
          <w:rFonts w:hint="eastAsia" w:ascii="宋体" w:hAnsi="宋体" w:cs="宋体"/>
          <w:highlight w:val="none"/>
        </w:rPr>
        <w:t>.</w:t>
      </w:r>
      <w:r>
        <w:rPr>
          <w:rFonts w:hint="eastAsia" w:ascii="宋体" w:hAnsi="宋体" w:cs="宋体"/>
          <w:highlight w:val="none"/>
          <w:lang w:val="en-US" w:eastAsia="zh-CN"/>
        </w:rPr>
        <w:t xml:space="preserve"> </w:t>
      </w:r>
      <w:r>
        <w:rPr>
          <w:rFonts w:hint="eastAsia" w:ascii="宋体" w:hAnsi="宋体" w:cs="宋体"/>
          <w:highlight w:val="none"/>
        </w:rPr>
        <w:t>本项目特定资格要求：</w:t>
      </w:r>
    </w:p>
    <w:p>
      <w:pPr>
        <w:pStyle w:val="7"/>
        <w:widowControl/>
        <w:spacing w:line="420" w:lineRule="exact"/>
        <w:ind w:firstLine="480" w:firstLineChars="200"/>
        <w:jc w:val="both"/>
        <w:rPr>
          <w:rFonts w:ascii="宋体" w:hAnsi="宋体" w:cs="宋体"/>
          <w:highlight w:val="none"/>
        </w:rPr>
      </w:pPr>
      <w:r>
        <w:rPr>
          <w:rFonts w:hint="eastAsia" w:ascii="宋体" w:hAnsi="宋体" w:cs="宋体"/>
          <w:highlight w:val="none"/>
        </w:rPr>
        <w:t>（1）投标供应商具有合法有效的营业执照；</w:t>
      </w:r>
    </w:p>
    <w:p>
      <w:pPr>
        <w:pStyle w:val="7"/>
        <w:widowControl/>
        <w:spacing w:line="420" w:lineRule="exact"/>
        <w:ind w:firstLine="480" w:firstLineChars="200"/>
        <w:jc w:val="both"/>
        <w:rPr>
          <w:rFonts w:ascii="宋体" w:hAnsi="宋体" w:cs="宋体"/>
          <w:highlight w:val="none"/>
        </w:rPr>
      </w:pPr>
      <w:r>
        <w:rPr>
          <w:rFonts w:hint="eastAsia" w:ascii="宋体" w:hAnsi="宋体" w:cs="宋体"/>
          <w:highlight w:val="none"/>
        </w:rPr>
        <w:t>（2）本项目招标不接受联合体投标。</w:t>
      </w:r>
    </w:p>
    <w:p>
      <w:pPr>
        <w:snapToGrid w:val="0"/>
        <w:spacing w:line="420" w:lineRule="exact"/>
        <w:ind w:firstLine="422" w:firstLineChars="200"/>
        <w:rPr>
          <w:rFonts w:ascii="宋体" w:hAnsi="宋体" w:cs="宋体"/>
          <w:b/>
          <w:bCs/>
          <w:sz w:val="24"/>
          <w:highlight w:val="none"/>
        </w:rPr>
      </w:pPr>
      <w:r>
        <w:rPr>
          <w:rFonts w:hint="eastAsia" w:ascii="宋体" w:hAnsi="宋体" w:cs="宋体"/>
          <w:b/>
          <w:bCs/>
          <w:highlight w:val="none"/>
        </w:rPr>
        <w:t>四、</w:t>
      </w:r>
      <w:r>
        <w:rPr>
          <w:rFonts w:hint="eastAsia" w:ascii="宋体" w:hAnsi="宋体" w:cs="宋体"/>
          <w:b/>
          <w:bCs/>
          <w:sz w:val="24"/>
          <w:highlight w:val="none"/>
        </w:rPr>
        <w:t>询价采购报价注意事项</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1、供应商获取询价公告方法：各供应商可从“启东市人民政府”网站自行下载。</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2、供应商应按照询价公告的要求编制报价文件，报价文件应对询价公告提出的要求和条件作出实质性响应。否则，按照不响应处理。供应商的投标报价应完成本项目所确定的货物清单中的全部货物和服务所发生的费用，报价采用全费用综合单价报价方式，综合单价包括（但不限于）设备主体和辅材、配套辅材的运输费和运输保险费、一切仓储费、设备装车起吊接驳卸货就位、设备保险费、检验检测调试、培训考察、安装调试及相应的安全文明措施费、人工费、安装材料费、专用工具费、检测费、产品保护、清理修补、验收及维修保养、咨询费、利润、有关风险、税金等全部费用。投标时一次包定,结算时不再另行追加。请各供应商在报价时请充分考虑各种因素。</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3、供应商应详细阅读询价文件的全部内容，供应商对询价文件有疑问或异议的，请在递交报价文件2日前以书面形式（加盖单位公章）递交至采购单位。</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有关技术及需求问题，请与采购单位或咨询单位联系。</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采购单位：启东市机关事务服务中心</w:t>
      </w:r>
    </w:p>
    <w:p>
      <w:pPr>
        <w:snapToGrid w:val="0"/>
        <w:spacing w:line="420" w:lineRule="exact"/>
        <w:ind w:firstLine="570"/>
        <w:rPr>
          <w:rFonts w:hint="eastAsia" w:ascii="宋体" w:hAnsi="宋体" w:eastAsia="宋体" w:cs="宋体"/>
          <w:sz w:val="24"/>
          <w:highlight w:val="none"/>
          <w:lang w:val="en-US" w:eastAsia="zh-CN"/>
        </w:rPr>
      </w:pPr>
      <w:r>
        <w:rPr>
          <w:rFonts w:hint="eastAsia" w:ascii="宋体" w:hAnsi="宋体" w:cs="宋体"/>
          <w:sz w:val="24"/>
          <w:highlight w:val="none"/>
        </w:rPr>
        <w:t>采购联系人：</w:t>
      </w:r>
      <w:r>
        <w:rPr>
          <w:rFonts w:hint="eastAsia" w:ascii="宋体" w:hAnsi="宋体" w:cs="宋体"/>
          <w:sz w:val="24"/>
          <w:highlight w:val="none"/>
          <w:lang w:eastAsia="zh-CN"/>
        </w:rPr>
        <w:t>杨佳怡</w:t>
      </w:r>
    </w:p>
    <w:p>
      <w:pPr>
        <w:snapToGrid w:val="0"/>
        <w:spacing w:line="420" w:lineRule="exact"/>
        <w:ind w:firstLine="57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0513-83312389</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采购代理机构</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名    称：上海祥浦建设工程监理咨询有限责任公司</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地    址：启东市汇龙镇江海中路579号建都大厦2#3F</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联 系 人：俞女士</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联系电话：0513-83721688</w:t>
      </w:r>
    </w:p>
    <w:p>
      <w:pPr>
        <w:pStyle w:val="7"/>
        <w:widowControl/>
        <w:spacing w:line="420" w:lineRule="exact"/>
        <w:ind w:firstLine="560"/>
        <w:jc w:val="both"/>
        <w:rPr>
          <w:rFonts w:ascii="宋体" w:hAnsi="宋体" w:cs="宋体"/>
          <w:highlight w:val="none"/>
        </w:rPr>
      </w:pPr>
      <w:r>
        <w:rPr>
          <w:rFonts w:hint="eastAsia" w:ascii="宋体" w:hAnsi="宋体" w:cs="宋体"/>
          <w:b/>
          <w:bCs/>
          <w:color w:val="333333"/>
          <w:highlight w:val="none"/>
        </w:rPr>
        <w:t>4、</w:t>
      </w:r>
      <w:r>
        <w:rPr>
          <w:rFonts w:hint="eastAsia" w:ascii="宋体" w:hAnsi="宋体" w:cs="宋体"/>
          <w:b/>
          <w:color w:val="333333"/>
          <w:highlight w:val="none"/>
        </w:rPr>
        <w:t>报价文件构成</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（1）报价承诺书（按照附件一格式填写）；</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（2）法定代表人授权委托书及被授权人身份证正反面复印件（法定代表人授权委托书按照附件二格式填写，</w:t>
      </w:r>
      <w:r>
        <w:rPr>
          <w:rFonts w:hint="eastAsia" w:ascii="宋体" w:hAnsi="宋体" w:cs="仿宋"/>
          <w:sz w:val="24"/>
          <w:highlight w:val="none"/>
        </w:rPr>
        <w:t>法定代表人亲自参加的，无需提供授权委托书</w:t>
      </w:r>
      <w:r>
        <w:rPr>
          <w:rFonts w:hint="eastAsia" w:ascii="宋体" w:hAnsi="宋体" w:cs="宋体"/>
          <w:sz w:val="24"/>
          <w:highlight w:val="none"/>
        </w:rPr>
        <w:t>）；</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（3）法定代表人身份证正反面复印件；</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（4）投标供应商有效的营业执照副本复印件；</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（5）参加政府采购活动前3年内在经营活动中没有重大违法记录和失信记录的书面声明（按照附件三格式填写）；</w:t>
      </w:r>
    </w:p>
    <w:p>
      <w:pPr>
        <w:snapToGrid w:val="0"/>
        <w:spacing w:line="420" w:lineRule="exact"/>
        <w:ind w:firstLine="570"/>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质保</w:t>
      </w:r>
      <w:r>
        <w:rPr>
          <w:rFonts w:hint="eastAsia" w:ascii="宋体" w:hAnsi="宋体" w:cs="宋体"/>
          <w:sz w:val="24"/>
          <w:highlight w:val="none"/>
          <w:lang w:val="zh-CN"/>
        </w:rPr>
        <w:t>承诺书（按照附件</w:t>
      </w:r>
      <w:r>
        <w:rPr>
          <w:rFonts w:hint="eastAsia" w:ascii="宋体" w:hAnsi="宋体" w:cs="宋体"/>
          <w:sz w:val="24"/>
          <w:highlight w:val="none"/>
        </w:rPr>
        <w:t>四</w:t>
      </w:r>
      <w:r>
        <w:rPr>
          <w:rFonts w:hint="eastAsia" w:ascii="宋体" w:hAnsi="宋体" w:cs="宋体"/>
          <w:sz w:val="24"/>
          <w:highlight w:val="none"/>
          <w:lang w:val="zh-CN"/>
        </w:rPr>
        <w:t>格式填写）；</w:t>
      </w:r>
    </w:p>
    <w:p>
      <w:pPr>
        <w:snapToGrid w:val="0"/>
        <w:spacing w:line="420" w:lineRule="exact"/>
        <w:ind w:firstLine="570"/>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）投标人自2022年至今（</w:t>
      </w:r>
      <w:r>
        <w:rPr>
          <w:rFonts w:hint="eastAsia" w:ascii="宋体" w:hAnsi="宋体" w:cs="宋体"/>
          <w:sz w:val="24"/>
          <w:highlight w:val="none"/>
        </w:rPr>
        <w:t>以签订合同日期为准</w:t>
      </w:r>
      <w:r>
        <w:rPr>
          <w:rFonts w:hint="eastAsia" w:ascii="宋体" w:hAnsi="宋体" w:cs="宋体"/>
          <w:sz w:val="24"/>
          <w:highlight w:val="none"/>
          <w:lang w:val="zh-CN"/>
        </w:rPr>
        <w:t>）的类似项目业绩（本项目所采购的相似产品项目），提供合同</w:t>
      </w:r>
      <w:r>
        <w:rPr>
          <w:rFonts w:hint="eastAsia" w:ascii="宋体" w:hAnsi="宋体" w:cs="宋体"/>
          <w:sz w:val="24"/>
          <w:highlight w:val="none"/>
        </w:rPr>
        <w:t>复印件并加盖公章；</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（8）报价表：必须按提供的样表格式（附件五）填写报价，所有涉及报价的页面均必须加盖单位公章，否则视为无效报价文件。</w:t>
      </w:r>
    </w:p>
    <w:p>
      <w:pPr>
        <w:snapToGrid w:val="0"/>
        <w:spacing w:line="420" w:lineRule="exact"/>
        <w:ind w:firstLine="570"/>
        <w:rPr>
          <w:rFonts w:ascii="宋体" w:hAnsi="宋体" w:cs="宋体"/>
          <w:sz w:val="24"/>
          <w:highlight w:val="none"/>
        </w:rPr>
      </w:pPr>
      <w:r>
        <w:rPr>
          <w:rFonts w:hint="eastAsia" w:ascii="宋体" w:hAnsi="宋体" w:cs="宋体"/>
          <w:sz w:val="24"/>
          <w:highlight w:val="none"/>
        </w:rPr>
        <w:t>（9）其他需要提交的证明材料。</w:t>
      </w:r>
    </w:p>
    <w:p>
      <w:pPr>
        <w:snapToGrid w:val="0"/>
        <w:spacing w:line="420" w:lineRule="exact"/>
        <w:rPr>
          <w:rFonts w:ascii="宋体" w:hAnsi="宋体" w:cs="宋体"/>
          <w:b/>
          <w:bCs/>
          <w:sz w:val="24"/>
          <w:highlight w:val="none"/>
        </w:rPr>
      </w:pPr>
      <w:r>
        <w:rPr>
          <w:rFonts w:hint="eastAsia" w:ascii="宋体" w:hAnsi="宋体" w:cs="宋体"/>
          <w:b/>
          <w:bCs/>
          <w:sz w:val="24"/>
          <w:highlight w:val="none"/>
        </w:rPr>
        <w:t>注意：</w:t>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 1 \* GB3 \* MERGEFORMAT </w:instrText>
      </w:r>
      <w:r>
        <w:rPr>
          <w:rFonts w:hint="eastAsia" w:ascii="宋体" w:hAnsi="宋体" w:cs="宋体"/>
          <w:b/>
          <w:bCs/>
          <w:sz w:val="24"/>
          <w:highlight w:val="none"/>
        </w:rPr>
        <w:fldChar w:fldCharType="separate"/>
      </w:r>
      <w:r>
        <w:t>①</w:t>
      </w:r>
      <w:r>
        <w:rPr>
          <w:rFonts w:hint="eastAsia" w:ascii="宋体" w:hAnsi="宋体" w:cs="宋体"/>
          <w:b/>
          <w:bCs/>
          <w:sz w:val="24"/>
          <w:highlight w:val="none"/>
        </w:rPr>
        <w:fldChar w:fldCharType="end"/>
      </w:r>
      <w:r>
        <w:rPr>
          <w:rFonts w:hint="eastAsia" w:ascii="宋体" w:hAnsi="宋体" w:cs="宋体"/>
          <w:b/>
          <w:bCs/>
          <w:sz w:val="24"/>
          <w:highlight w:val="none"/>
        </w:rPr>
        <w:t>上述复印件均需加盖单位公章，否则将被视作资格审查不通过。</w:t>
      </w:r>
    </w:p>
    <w:p>
      <w:pPr>
        <w:snapToGrid w:val="0"/>
        <w:spacing w:line="420" w:lineRule="exact"/>
        <w:ind w:firstLine="723" w:firstLineChars="300"/>
        <w:rPr>
          <w:rFonts w:ascii="宋体" w:hAnsi="宋体" w:cs="宋体"/>
          <w:b/>
          <w:bCs/>
          <w:sz w:val="24"/>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 2 \* GB3 \* MERGEFORMAT </w:instrText>
      </w:r>
      <w:r>
        <w:rPr>
          <w:rFonts w:hint="eastAsia" w:ascii="宋体" w:hAnsi="宋体" w:cs="宋体"/>
          <w:b/>
          <w:bCs/>
          <w:sz w:val="24"/>
          <w:highlight w:val="none"/>
        </w:rPr>
        <w:fldChar w:fldCharType="separate"/>
      </w:r>
      <w:r>
        <w:t>②</w:t>
      </w:r>
      <w:r>
        <w:rPr>
          <w:rFonts w:hint="eastAsia" w:ascii="宋体" w:hAnsi="宋体" w:cs="宋体"/>
          <w:b/>
          <w:bCs/>
          <w:sz w:val="24"/>
          <w:highlight w:val="none"/>
        </w:rPr>
        <w:fldChar w:fldCharType="end"/>
      </w:r>
      <w:r>
        <w:rPr>
          <w:rFonts w:hint="eastAsia" w:ascii="宋体" w:hAnsi="宋体" w:cs="宋体"/>
          <w:b/>
          <w:bCs/>
          <w:sz w:val="24"/>
          <w:highlight w:val="none"/>
        </w:rPr>
        <w:t>报价文件正本一份、副本二份，报价文件中必须包含上述要求提供的所有材料，否则视为无效报价文件。报价文件装订成册并密封，密封袋上标明：项目名称、报价单位名称、电话、日期，否则视为无效报价文件。</w:t>
      </w:r>
    </w:p>
    <w:p>
      <w:pPr>
        <w:snapToGrid w:val="0"/>
        <w:spacing w:line="420" w:lineRule="exact"/>
        <w:ind w:firstLine="482" w:firstLineChars="200"/>
        <w:rPr>
          <w:rFonts w:ascii="宋体" w:hAnsi="宋体" w:cs="宋体"/>
          <w:b/>
          <w:bCs/>
          <w:sz w:val="24"/>
          <w:highlight w:val="none"/>
        </w:rPr>
      </w:pPr>
      <w:bookmarkStart w:id="0" w:name="_GoBack"/>
      <w:bookmarkEnd w:id="0"/>
      <w:r>
        <w:rPr>
          <w:rFonts w:hint="eastAsia" w:ascii="宋体" w:hAnsi="宋体" w:cs="宋体"/>
          <w:b/>
          <w:bCs/>
          <w:sz w:val="24"/>
          <w:highlight w:val="none"/>
        </w:rPr>
        <w:t>5、纸质响应文件接收截止时间及开标时间：</w:t>
      </w:r>
    </w:p>
    <w:p>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投标截止时间及开标时间：2025年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日上午9:00（北京时间）</w:t>
      </w:r>
    </w:p>
    <w:p>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开标地点：启东市汇龙镇江海中路579号建都大厦2号楼3楼会议室。</w:t>
      </w:r>
    </w:p>
    <w:p>
      <w:pPr>
        <w:pStyle w:val="7"/>
        <w:widowControl/>
        <w:spacing w:line="420" w:lineRule="exact"/>
        <w:ind w:firstLine="482" w:firstLineChars="200"/>
        <w:jc w:val="both"/>
        <w:rPr>
          <w:rFonts w:ascii="宋体" w:hAnsi="宋体" w:cs="宋体"/>
          <w:highlight w:val="none"/>
        </w:rPr>
      </w:pPr>
      <w:r>
        <w:rPr>
          <w:rFonts w:hint="eastAsia" w:ascii="宋体" w:hAnsi="宋体" w:cs="宋体"/>
          <w:b/>
          <w:color w:val="333333"/>
          <w:highlight w:val="none"/>
        </w:rPr>
        <w:t>6、投标保证金</w:t>
      </w:r>
    </w:p>
    <w:p>
      <w:pPr>
        <w:snapToGrid w:val="0"/>
        <w:spacing w:line="4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本采购项目免收投标保证金。</w:t>
      </w:r>
    </w:p>
    <w:p>
      <w:pPr>
        <w:pStyle w:val="7"/>
        <w:widowControl/>
        <w:spacing w:line="420" w:lineRule="exact"/>
        <w:ind w:firstLine="482" w:firstLineChars="200"/>
        <w:jc w:val="both"/>
        <w:rPr>
          <w:rFonts w:ascii="宋体" w:hAnsi="宋体" w:cs="宋体"/>
          <w:b/>
          <w:bCs/>
          <w:highlight w:val="none"/>
        </w:rPr>
      </w:pPr>
      <w:r>
        <w:rPr>
          <w:rFonts w:hint="eastAsia" w:ascii="宋体" w:hAnsi="宋体" w:cs="宋体"/>
          <w:b/>
          <w:bCs/>
          <w:highlight w:val="none"/>
        </w:rPr>
        <w:t>五、商务部分要求：</w:t>
      </w:r>
    </w:p>
    <w:p>
      <w:pPr>
        <w:pStyle w:val="7"/>
        <w:widowControl/>
        <w:spacing w:line="420" w:lineRule="exact"/>
        <w:ind w:firstLine="420"/>
        <w:jc w:val="both"/>
        <w:rPr>
          <w:rFonts w:ascii="宋体" w:hAnsi="宋体" w:cs="宋体"/>
          <w:highlight w:val="none"/>
        </w:rPr>
      </w:pPr>
      <w:r>
        <w:rPr>
          <w:rFonts w:hint="eastAsia" w:ascii="宋体" w:hAnsi="宋体" w:cs="宋体"/>
          <w:highlight w:val="none"/>
        </w:rPr>
        <w:t>1、质量要求：所有货物必须是全新、未使用过的原装合格正品(包括零部件)，完全符合采购文件规定的质量、规格和性能的要求，达到国家或行业规定的标准。</w:t>
      </w:r>
    </w:p>
    <w:p>
      <w:pPr>
        <w:pStyle w:val="7"/>
        <w:widowControl/>
        <w:spacing w:line="420" w:lineRule="exact"/>
        <w:ind w:firstLine="420"/>
        <w:jc w:val="both"/>
        <w:rPr>
          <w:rFonts w:ascii="宋体" w:hAnsi="宋体" w:cs="宋体"/>
          <w:highlight w:val="none"/>
        </w:rPr>
      </w:pPr>
      <w:r>
        <w:rPr>
          <w:rFonts w:hint="eastAsia" w:ascii="宋体" w:hAnsi="宋体" w:cs="宋体"/>
          <w:highlight w:val="none"/>
        </w:rPr>
        <w:t>2、质保、售后服务要求：本项目所有货物必须提供两年全免费质保 (若货物的制造商所规定或承诺的保修期限超过两年的,则按照该规定的保修期执行)。质保期自采购人验收合格之日算起。</w:t>
      </w:r>
    </w:p>
    <w:p>
      <w:pPr>
        <w:pStyle w:val="7"/>
        <w:widowControl/>
        <w:spacing w:line="420" w:lineRule="exact"/>
        <w:ind w:firstLine="420"/>
        <w:jc w:val="both"/>
        <w:rPr>
          <w:rFonts w:ascii="宋体" w:hAnsi="宋体" w:cs="宋体"/>
          <w:highlight w:val="none"/>
        </w:rPr>
      </w:pPr>
      <w:r>
        <w:rPr>
          <w:rFonts w:hint="eastAsia" w:ascii="宋体" w:hAnsi="宋体" w:cs="宋体"/>
          <w:highlight w:val="none"/>
        </w:rPr>
        <w:t>3、质保期内，成交供应商应免费维修。成交供应商应设有24小时专人值班服务电话，在接到用户单位电话维修通知后，30分钟内电话响应，提出解决方案，并在2小时内上门维修，一般质量问题在24小时内负责修复，确保不影响用户单位实际使用。供应商超时或未在规定的时间内及时处理故障，每次罚2000元扣款。质保期内，同一商品、同一质量问题连续两次维修仍无法正常使用，成交供应商应无条件给予全套更新。</w:t>
      </w:r>
    </w:p>
    <w:p>
      <w:pPr>
        <w:pStyle w:val="7"/>
        <w:widowControl/>
        <w:spacing w:line="420" w:lineRule="exact"/>
        <w:ind w:firstLine="420"/>
        <w:jc w:val="both"/>
        <w:rPr>
          <w:rFonts w:ascii="宋体" w:hAnsi="宋体" w:cs="宋体"/>
          <w:highlight w:val="none"/>
        </w:rPr>
      </w:pPr>
      <w:r>
        <w:rPr>
          <w:rFonts w:hint="eastAsia" w:ascii="宋体" w:hAnsi="宋体" w:cs="宋体"/>
          <w:highlight w:val="none"/>
        </w:rPr>
        <w:t>4、供货与安装周期：合同签订之日起30天内完成交货、安装、调试。</w:t>
      </w:r>
    </w:p>
    <w:p>
      <w:pPr>
        <w:pStyle w:val="7"/>
        <w:widowControl/>
        <w:spacing w:line="420" w:lineRule="exact"/>
        <w:ind w:firstLine="420"/>
        <w:jc w:val="both"/>
        <w:rPr>
          <w:rFonts w:ascii="宋体" w:hAnsi="宋体" w:cs="宋体"/>
          <w:highlight w:val="none"/>
        </w:rPr>
      </w:pPr>
      <w:r>
        <w:rPr>
          <w:rFonts w:hint="eastAsia" w:ascii="宋体" w:hAnsi="宋体" w:cs="宋体"/>
          <w:highlight w:val="none"/>
        </w:rPr>
        <w:t>5、交货、安装地点：成交供应商应按照采购单位的要求将货物运至采购单位指定地点，安装牢固，确保正常使用。</w:t>
      </w:r>
    </w:p>
    <w:p>
      <w:pPr>
        <w:pStyle w:val="7"/>
        <w:widowControl/>
        <w:spacing w:line="420" w:lineRule="exact"/>
        <w:ind w:firstLine="480" w:firstLineChars="200"/>
        <w:jc w:val="both"/>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、履约保证金</w:t>
      </w:r>
    </w:p>
    <w:p>
      <w:pPr>
        <w:pStyle w:val="7"/>
        <w:widowControl/>
        <w:spacing w:line="420" w:lineRule="exact"/>
        <w:ind w:firstLine="480" w:firstLineChars="200"/>
        <w:jc w:val="both"/>
        <w:rPr>
          <w:rFonts w:ascii="宋体" w:hAnsi="宋体" w:cs="宋体"/>
          <w:highlight w:val="none"/>
        </w:rPr>
      </w:pPr>
      <w:r>
        <w:rPr>
          <w:rFonts w:hint="eastAsia" w:ascii="宋体" w:hAnsi="宋体" w:cs="宋体"/>
          <w:highlight w:val="none"/>
        </w:rPr>
        <w:t>（1）</w:t>
      </w:r>
      <w:r>
        <w:rPr>
          <w:rFonts w:ascii="宋体" w:hAnsi="宋体" w:cs="宋体"/>
          <w:highlight w:val="none"/>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pPr>
        <w:pStyle w:val="7"/>
        <w:widowControl/>
        <w:spacing w:line="420" w:lineRule="exact"/>
        <w:ind w:firstLine="480" w:firstLineChars="200"/>
        <w:jc w:val="both"/>
        <w:rPr>
          <w:rFonts w:ascii="宋体" w:hAnsi="宋体" w:cs="宋体"/>
          <w:highlight w:val="none"/>
        </w:rPr>
      </w:pPr>
      <w:r>
        <w:rPr>
          <w:rFonts w:hint="eastAsia" w:ascii="宋体" w:hAnsi="宋体" w:cs="宋体"/>
          <w:highlight w:val="none"/>
        </w:rPr>
        <w:t>（2）</w:t>
      </w:r>
      <w:r>
        <w:rPr>
          <w:rFonts w:ascii="宋体" w:hAnsi="宋体" w:cs="宋体"/>
          <w:highlight w:val="none"/>
        </w:rPr>
        <w:t>成交供应商全部履约合同义务，经采购单位验收合格无质量、进度等问题的，采购人在验收合格后一次性退还履约保证金，采购人若逾期退还履约保证金的，按照逾期部分的每日0.05%支付违约金。</w:t>
      </w:r>
    </w:p>
    <w:p>
      <w:pPr>
        <w:pStyle w:val="7"/>
        <w:widowControl/>
        <w:spacing w:line="420" w:lineRule="exact"/>
        <w:ind w:firstLine="480" w:firstLineChars="200"/>
        <w:jc w:val="both"/>
        <w:rPr>
          <w:rFonts w:ascii="宋体" w:hAnsi="宋体" w:cs="宋体"/>
          <w:highlight w:val="none"/>
        </w:rPr>
      </w:pPr>
      <w:r>
        <w:rPr>
          <w:rFonts w:hint="eastAsia" w:ascii="宋体" w:hAnsi="宋体" w:cs="宋体"/>
          <w:highlight w:val="none"/>
        </w:rPr>
        <w:t>（3）</w:t>
      </w:r>
      <w:r>
        <w:rPr>
          <w:rFonts w:ascii="宋体" w:hAnsi="宋体" w:cs="宋体"/>
          <w:highlight w:val="none"/>
        </w:rPr>
        <w:t>发生以下情况的，履约保证金不予退还或部分退还：</w:t>
      </w:r>
    </w:p>
    <w:p>
      <w:pPr>
        <w:pStyle w:val="7"/>
        <w:widowControl/>
        <w:spacing w:line="420" w:lineRule="exact"/>
        <w:ind w:firstLine="480" w:firstLineChars="200"/>
        <w:jc w:val="both"/>
        <w:rPr>
          <w:rFonts w:ascii="宋体" w:hAnsi="宋体" w:cs="宋体"/>
          <w:highlight w:val="none"/>
        </w:rPr>
      </w:pPr>
      <w:r>
        <w:rPr>
          <w:rFonts w:ascii="宋体" w:hAnsi="宋体" w:cs="宋体"/>
          <w:highlight w:val="none"/>
        </w:rPr>
        <w:t>a.签订合同后，成交供应商不履行合同义务的，采购单位有权全额扣除履约保证金，全额不予退还，同时采购单位亦有权终止合同，成交供应商还须承担相应的法律赔偿责任。</w:t>
      </w:r>
    </w:p>
    <w:p>
      <w:pPr>
        <w:pStyle w:val="7"/>
        <w:widowControl/>
        <w:spacing w:line="420" w:lineRule="exact"/>
        <w:ind w:firstLine="480" w:firstLineChars="200"/>
        <w:jc w:val="both"/>
        <w:rPr>
          <w:rFonts w:ascii="宋体" w:hAnsi="宋体" w:cs="宋体"/>
          <w:highlight w:val="none"/>
        </w:rPr>
      </w:pPr>
      <w:r>
        <w:rPr>
          <w:rFonts w:ascii="宋体" w:hAnsi="宋体" w:cs="宋体"/>
          <w:highlight w:val="none"/>
        </w:rPr>
        <w:t>b.成交供应商在履约过程中发生违约行为，给采购单位造成损失的，采购单位有权在成交供应商缴纳的履约保证金中予以扣款，以弥补采购单位经济损失，不足的部分成交供应商另外补齐。</w:t>
      </w:r>
    </w:p>
    <w:p>
      <w:pPr>
        <w:pStyle w:val="7"/>
        <w:widowControl/>
        <w:spacing w:line="420" w:lineRule="exact"/>
        <w:ind w:firstLine="420"/>
        <w:jc w:val="both"/>
        <w:rPr>
          <w:rFonts w:ascii="宋体" w:hAnsi="宋体" w:cs="宋体"/>
          <w:b/>
          <w:bCs/>
          <w:highlight w:val="none"/>
        </w:rPr>
      </w:pPr>
      <w:r>
        <w:rPr>
          <w:rFonts w:hint="eastAsia" w:ascii="宋体" w:hAnsi="宋体" w:cs="宋体"/>
          <w:b/>
          <w:bCs/>
          <w:highlight w:val="none"/>
        </w:rPr>
        <w:t>六、付款方式</w:t>
      </w:r>
    </w:p>
    <w:p>
      <w:pPr>
        <w:pStyle w:val="7"/>
        <w:widowControl/>
        <w:spacing w:line="420" w:lineRule="exact"/>
        <w:ind w:firstLine="420"/>
        <w:jc w:val="both"/>
        <w:rPr>
          <w:rFonts w:ascii="宋体" w:hAnsi="宋体" w:cs="宋体"/>
          <w:highlight w:val="none"/>
        </w:rPr>
      </w:pPr>
      <w:r>
        <w:rPr>
          <w:rFonts w:hint="eastAsia" w:ascii="宋体" w:hAnsi="宋体" w:cs="宋体"/>
          <w:highlight w:val="none"/>
        </w:rPr>
        <w:t>所有货物到场安装调试完毕验收合格交付使用后</w:t>
      </w:r>
      <w:r>
        <w:rPr>
          <w:rFonts w:hint="eastAsia" w:ascii="宋体" w:hAnsi="宋体" w:cs="宋体"/>
          <w:highlight w:val="none"/>
          <w:lang w:eastAsia="zh-CN"/>
        </w:rPr>
        <w:t>一次性</w:t>
      </w:r>
      <w:r>
        <w:rPr>
          <w:rFonts w:hint="eastAsia" w:ascii="宋体" w:hAnsi="宋体" w:cs="宋体"/>
          <w:highlight w:val="none"/>
        </w:rPr>
        <w:t>付清。</w:t>
      </w:r>
    </w:p>
    <w:p>
      <w:pPr>
        <w:pStyle w:val="7"/>
        <w:widowControl/>
        <w:spacing w:line="420" w:lineRule="exact"/>
        <w:ind w:firstLine="420"/>
        <w:jc w:val="both"/>
        <w:rPr>
          <w:rFonts w:ascii="宋体" w:hAnsi="宋体" w:cs="宋体"/>
          <w:b/>
          <w:bCs/>
          <w:highlight w:val="none"/>
        </w:rPr>
      </w:pPr>
      <w:r>
        <w:rPr>
          <w:rFonts w:hint="eastAsia" w:ascii="宋体" w:hAnsi="宋体" w:cs="宋体"/>
          <w:b/>
          <w:bCs/>
          <w:highlight w:val="none"/>
        </w:rPr>
        <w:t>七、合同的签订及注意事项</w:t>
      </w:r>
    </w:p>
    <w:p>
      <w:pPr>
        <w:pStyle w:val="7"/>
        <w:widowControl/>
        <w:spacing w:line="420" w:lineRule="exact"/>
        <w:ind w:firstLine="420"/>
        <w:jc w:val="both"/>
        <w:rPr>
          <w:rFonts w:ascii="宋体" w:hAnsi="宋体" w:cs="宋体"/>
          <w:highlight w:val="none"/>
        </w:rPr>
      </w:pPr>
      <w:r>
        <w:rPr>
          <w:rFonts w:hint="eastAsia" w:ascii="宋体" w:hAnsi="宋体" w:cs="宋体"/>
          <w:highlight w:val="none"/>
        </w:rPr>
        <w:t>1. 成交结果将在相关网站予以公布，公示期为一个工作日，公示期内对成交结果没有异议的，将确定成交候选人为成交供应商。成交供应商须在公示期满后30日内与采购单位签订合同。</w:t>
      </w:r>
    </w:p>
    <w:p>
      <w:pPr>
        <w:pStyle w:val="7"/>
        <w:widowControl/>
        <w:spacing w:line="420" w:lineRule="exact"/>
        <w:ind w:firstLine="420"/>
        <w:jc w:val="both"/>
        <w:rPr>
          <w:rFonts w:ascii="宋体" w:hAnsi="宋体" w:cs="宋体"/>
          <w:highlight w:val="none"/>
        </w:rPr>
      </w:pPr>
      <w:r>
        <w:rPr>
          <w:rFonts w:hint="eastAsia" w:ascii="宋体" w:hAnsi="宋体" w:cs="宋体"/>
          <w:highlight w:val="none"/>
        </w:rPr>
        <w:t>2.成交供应商因自身原因不能订立政府采购合同的，采购单位将取消其成交资格，同时相关主管部门将对成交供应商做以下处理：记入不良信誉，并案《政府采购法》有关规定，暂停其在启东市场的政府采购资格。</w:t>
      </w:r>
    </w:p>
    <w:p>
      <w:pPr>
        <w:pStyle w:val="7"/>
        <w:widowControl/>
        <w:spacing w:line="420" w:lineRule="exact"/>
        <w:ind w:firstLine="420"/>
        <w:jc w:val="both"/>
        <w:rPr>
          <w:rFonts w:ascii="宋体" w:hAnsi="宋体" w:cs="宋体"/>
          <w:highlight w:val="none"/>
        </w:rPr>
      </w:pPr>
      <w:r>
        <w:rPr>
          <w:rFonts w:hint="eastAsia" w:ascii="宋体" w:hAnsi="宋体" w:cs="宋体"/>
          <w:b/>
          <w:bCs/>
          <w:highlight w:val="none"/>
        </w:rPr>
        <w:t>八、成交原则：</w:t>
      </w:r>
      <w:r>
        <w:rPr>
          <w:rFonts w:hint="eastAsia" w:ascii="宋体" w:hAnsi="宋体" w:cs="宋体"/>
          <w:highlight w:val="none"/>
        </w:rPr>
        <w:t>符合采购需求且报价最低者成交。如最低报价有相同者，则采购人采取抽签的方式确定成交人。</w:t>
      </w:r>
    </w:p>
    <w:p>
      <w:pPr>
        <w:pStyle w:val="7"/>
        <w:widowControl/>
        <w:spacing w:line="420" w:lineRule="exact"/>
        <w:ind w:firstLine="420"/>
        <w:jc w:val="both"/>
        <w:rPr>
          <w:rFonts w:ascii="宋体" w:hAnsi="宋体" w:cs="宋体"/>
          <w:highlight w:val="none"/>
        </w:rPr>
      </w:pPr>
    </w:p>
    <w:p>
      <w:pPr>
        <w:pStyle w:val="7"/>
        <w:widowControl/>
        <w:spacing w:line="420" w:lineRule="exact"/>
        <w:jc w:val="right"/>
        <w:rPr>
          <w:rFonts w:ascii="宋体" w:hAnsi="宋体" w:cs="宋体"/>
          <w:highlight w:val="none"/>
        </w:rPr>
      </w:pPr>
      <w:r>
        <w:rPr>
          <w:rFonts w:hint="eastAsia" w:ascii="宋体" w:hAnsi="宋体" w:cs="宋体"/>
          <w:kern w:val="2"/>
          <w:highlight w:val="none"/>
        </w:rPr>
        <w:t>启东市机关事务服务中心</w:t>
      </w:r>
    </w:p>
    <w:p>
      <w:pPr>
        <w:pStyle w:val="7"/>
        <w:widowControl/>
        <w:spacing w:line="420" w:lineRule="exact"/>
        <w:jc w:val="right"/>
        <w:rPr>
          <w:rFonts w:ascii="宋体" w:hAnsi="宋体" w:cs="宋体"/>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highlight w:val="none"/>
        </w:rPr>
        <w:t>2025年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11</w:t>
      </w:r>
      <w:r>
        <w:rPr>
          <w:rFonts w:hint="eastAsia" w:ascii="宋体" w:hAnsi="宋体" w:cs="宋体"/>
          <w:highlight w:val="none"/>
        </w:rPr>
        <w:t>日</w:t>
      </w:r>
    </w:p>
    <w:p>
      <w:pPr>
        <w:widowControl/>
        <w:spacing w:line="460" w:lineRule="exact"/>
        <w:jc w:val="left"/>
        <w:rPr>
          <w:rFonts w:ascii="宋体" w:hAnsi="宋体" w:cs="宋体"/>
          <w:b/>
          <w:color w:val="333333"/>
          <w:kern w:val="0"/>
          <w:sz w:val="28"/>
          <w:szCs w:val="28"/>
          <w:highlight w:val="none"/>
        </w:rPr>
      </w:pPr>
      <w:r>
        <w:rPr>
          <w:rFonts w:hint="eastAsia" w:ascii="宋体" w:hAnsi="宋体" w:cs="宋体"/>
          <w:b/>
          <w:color w:val="333333"/>
          <w:kern w:val="0"/>
          <w:sz w:val="28"/>
          <w:szCs w:val="28"/>
          <w:highlight w:val="none"/>
        </w:rPr>
        <w:t>附件一：</w:t>
      </w:r>
    </w:p>
    <w:p>
      <w:pPr>
        <w:pStyle w:val="7"/>
        <w:widowControl/>
        <w:spacing w:before="466" w:after="450" w:line="400" w:lineRule="exact"/>
        <w:jc w:val="center"/>
        <w:rPr>
          <w:rFonts w:ascii="宋体" w:hAnsi="宋体" w:cs="宋体"/>
          <w:sz w:val="32"/>
          <w:szCs w:val="32"/>
          <w:highlight w:val="none"/>
        </w:rPr>
      </w:pPr>
      <w:r>
        <w:rPr>
          <w:rFonts w:hint="eastAsia" w:ascii="宋体" w:hAnsi="宋体" w:cs="宋体"/>
          <w:b/>
          <w:color w:val="333333"/>
          <w:sz w:val="32"/>
          <w:szCs w:val="32"/>
          <w:highlight w:val="none"/>
        </w:rPr>
        <w:t>报 价 承 诺 书</w:t>
      </w:r>
    </w:p>
    <w:p>
      <w:pPr>
        <w:pStyle w:val="7"/>
        <w:widowControl/>
        <w:spacing w:line="440" w:lineRule="exact"/>
        <w:jc w:val="both"/>
        <w:rPr>
          <w:rFonts w:ascii="宋体" w:hAnsi="宋体" w:cs="宋体"/>
          <w:sz w:val="28"/>
          <w:szCs w:val="28"/>
          <w:highlight w:val="none"/>
        </w:rPr>
      </w:pPr>
      <w:r>
        <w:rPr>
          <w:rFonts w:hint="eastAsia" w:ascii="宋体" w:hAnsi="宋体" w:cs="宋体"/>
          <w:color w:val="333333"/>
          <w:sz w:val="28"/>
          <w:szCs w:val="28"/>
          <w:highlight w:val="none"/>
        </w:rPr>
        <w:t>启东市机关事务服务中心：</w:t>
      </w:r>
    </w:p>
    <w:p>
      <w:pPr>
        <w:pStyle w:val="7"/>
        <w:widowControl/>
        <w:spacing w:line="440" w:lineRule="exact"/>
        <w:ind w:firstLine="560"/>
        <w:jc w:val="both"/>
        <w:rPr>
          <w:rFonts w:ascii="宋体" w:hAnsi="宋体" w:cs="宋体"/>
          <w:sz w:val="28"/>
          <w:szCs w:val="28"/>
          <w:highlight w:val="none"/>
        </w:rPr>
      </w:pPr>
      <w:r>
        <w:rPr>
          <w:rFonts w:hint="eastAsia" w:ascii="宋体" w:hAnsi="宋体" w:cs="宋体"/>
          <w:color w:val="333333"/>
          <w:sz w:val="28"/>
          <w:szCs w:val="28"/>
          <w:highlight w:val="none"/>
          <w:u w:val="single"/>
        </w:rPr>
        <w:t>（报价单位全称）</w:t>
      </w:r>
      <w:r>
        <w:rPr>
          <w:rFonts w:hint="eastAsia" w:ascii="宋体" w:hAnsi="宋体" w:cs="宋体"/>
          <w:color w:val="333333"/>
          <w:sz w:val="28"/>
          <w:szCs w:val="28"/>
          <w:highlight w:val="none"/>
        </w:rPr>
        <w:t>授权</w:t>
      </w:r>
      <w:r>
        <w:rPr>
          <w:rFonts w:hint="eastAsia" w:ascii="宋体" w:hAnsi="宋体" w:cs="宋体"/>
          <w:color w:val="333333"/>
          <w:sz w:val="28"/>
          <w:szCs w:val="28"/>
          <w:highlight w:val="none"/>
          <w:u w:val="single"/>
        </w:rPr>
        <w:t>（姓  名）（职  务）</w:t>
      </w:r>
      <w:r>
        <w:rPr>
          <w:rFonts w:hint="eastAsia" w:ascii="宋体" w:hAnsi="宋体" w:cs="宋体"/>
          <w:color w:val="333333"/>
          <w:sz w:val="28"/>
          <w:szCs w:val="28"/>
          <w:highlight w:val="none"/>
        </w:rPr>
        <w:t>为全权代表，参加</w:t>
      </w:r>
      <w:r>
        <w:rPr>
          <w:rFonts w:hint="eastAsia" w:ascii="宋体" w:hAnsi="宋体" w:cs="宋体"/>
          <w:b/>
          <w:color w:val="333333"/>
          <w:sz w:val="28"/>
          <w:szCs w:val="28"/>
          <w:highlight w:val="none"/>
          <w:u w:val="single"/>
        </w:rPr>
        <w:t>启东市行政中心西车棚电动自行车自动灭火装置采购项目</w:t>
      </w:r>
      <w:r>
        <w:rPr>
          <w:rFonts w:hint="eastAsia" w:ascii="宋体" w:hAnsi="宋体" w:cs="宋体"/>
          <w:color w:val="333333"/>
          <w:sz w:val="28"/>
          <w:szCs w:val="28"/>
          <w:highlight w:val="none"/>
        </w:rPr>
        <w:t>询价的有关活动，并宣布同意如下：</w:t>
      </w:r>
    </w:p>
    <w:p>
      <w:pPr>
        <w:pStyle w:val="7"/>
        <w:widowControl/>
        <w:spacing w:line="440" w:lineRule="exact"/>
        <w:ind w:firstLine="561"/>
        <w:jc w:val="both"/>
        <w:rPr>
          <w:rFonts w:ascii="宋体" w:hAnsi="宋体" w:cs="宋体"/>
          <w:sz w:val="28"/>
          <w:szCs w:val="28"/>
          <w:highlight w:val="none"/>
        </w:rPr>
      </w:pPr>
      <w:r>
        <w:rPr>
          <w:rFonts w:hint="eastAsia" w:ascii="宋体" w:hAnsi="宋体" w:cs="宋体"/>
          <w:color w:val="333333"/>
          <w:sz w:val="28"/>
          <w:szCs w:val="28"/>
          <w:highlight w:val="none"/>
        </w:rPr>
        <w:t>1．我方愿意按照报价文件的全部要求进行报价（报价内容及价格以报价文件为准）。</w:t>
      </w:r>
    </w:p>
    <w:p>
      <w:pPr>
        <w:pStyle w:val="7"/>
        <w:widowControl/>
        <w:spacing w:line="440" w:lineRule="exact"/>
        <w:ind w:firstLine="561"/>
        <w:jc w:val="both"/>
        <w:rPr>
          <w:rFonts w:ascii="宋体" w:hAnsi="宋体" w:cs="宋体"/>
          <w:sz w:val="28"/>
          <w:szCs w:val="28"/>
          <w:highlight w:val="none"/>
        </w:rPr>
      </w:pPr>
      <w:r>
        <w:rPr>
          <w:rFonts w:hint="eastAsia" w:ascii="宋体" w:hAnsi="宋体" w:cs="宋体"/>
          <w:color w:val="333333"/>
          <w:sz w:val="28"/>
          <w:szCs w:val="28"/>
          <w:highlight w:val="none"/>
        </w:rPr>
        <w:t>2．我方完全理解并同意放弃对询价公告有不明及误解的权利。</w:t>
      </w:r>
    </w:p>
    <w:p>
      <w:pPr>
        <w:pStyle w:val="7"/>
        <w:widowControl/>
        <w:spacing w:line="440" w:lineRule="exact"/>
        <w:ind w:firstLine="561"/>
        <w:jc w:val="both"/>
        <w:rPr>
          <w:rFonts w:ascii="宋体" w:hAnsi="宋体" w:cs="宋体"/>
          <w:sz w:val="28"/>
          <w:szCs w:val="28"/>
          <w:highlight w:val="none"/>
        </w:rPr>
      </w:pPr>
      <w:r>
        <w:rPr>
          <w:rFonts w:hint="eastAsia" w:ascii="宋体" w:hAnsi="宋体" w:cs="宋体"/>
          <w:color w:val="333333"/>
          <w:sz w:val="28"/>
          <w:szCs w:val="28"/>
          <w:highlight w:val="none"/>
        </w:rPr>
        <w:t>3．我方将按询价公告的规定履行合同责任和义务。</w:t>
      </w:r>
    </w:p>
    <w:p>
      <w:pPr>
        <w:pStyle w:val="7"/>
        <w:widowControl/>
        <w:spacing w:line="440" w:lineRule="exact"/>
        <w:ind w:firstLine="561"/>
        <w:jc w:val="both"/>
        <w:rPr>
          <w:rFonts w:ascii="宋体" w:hAnsi="宋体" w:cs="宋体"/>
          <w:sz w:val="28"/>
          <w:szCs w:val="28"/>
          <w:highlight w:val="none"/>
        </w:rPr>
      </w:pPr>
      <w:r>
        <w:rPr>
          <w:rFonts w:hint="eastAsia" w:ascii="宋体" w:hAnsi="宋体" w:cs="宋体"/>
          <w:color w:val="333333"/>
          <w:sz w:val="28"/>
          <w:szCs w:val="28"/>
          <w:highlight w:val="none"/>
        </w:rPr>
        <w:t>4．我方同意提供按照贵方可能要求的与其报价有关的一切数据或资料，理解并同意贵方的评标办法。</w:t>
      </w:r>
    </w:p>
    <w:p>
      <w:pPr>
        <w:pStyle w:val="7"/>
        <w:widowControl/>
        <w:spacing w:line="440" w:lineRule="exact"/>
        <w:ind w:firstLine="561"/>
        <w:jc w:val="both"/>
        <w:rPr>
          <w:rFonts w:ascii="宋体" w:hAnsi="宋体" w:cs="宋体"/>
          <w:sz w:val="28"/>
          <w:szCs w:val="28"/>
          <w:highlight w:val="none"/>
        </w:rPr>
      </w:pPr>
      <w:r>
        <w:rPr>
          <w:rFonts w:hint="eastAsia" w:ascii="宋体" w:hAnsi="宋体" w:cs="宋体"/>
          <w:color w:val="333333"/>
          <w:sz w:val="28"/>
          <w:szCs w:val="28"/>
          <w:highlight w:val="none"/>
        </w:rPr>
        <w:t>5．我方的报价文件自开标后30天内有效。</w:t>
      </w:r>
    </w:p>
    <w:p>
      <w:pPr>
        <w:pStyle w:val="7"/>
        <w:widowControl/>
        <w:spacing w:line="440" w:lineRule="exact"/>
        <w:ind w:firstLine="561"/>
        <w:jc w:val="both"/>
        <w:rPr>
          <w:rFonts w:ascii="宋体" w:hAnsi="宋体" w:cs="宋体"/>
          <w:sz w:val="28"/>
          <w:szCs w:val="28"/>
          <w:highlight w:val="none"/>
        </w:rPr>
      </w:pPr>
      <w:r>
        <w:rPr>
          <w:rFonts w:hint="eastAsia" w:ascii="宋体" w:hAnsi="宋体" w:cs="宋体"/>
          <w:color w:val="333333"/>
          <w:sz w:val="28"/>
          <w:szCs w:val="28"/>
          <w:highlight w:val="none"/>
        </w:rPr>
        <w:t>6．与本报价有关的一切往来通讯请寄：</w:t>
      </w:r>
    </w:p>
    <w:p>
      <w:pPr>
        <w:pStyle w:val="7"/>
        <w:widowControl/>
        <w:spacing w:line="440" w:lineRule="exact"/>
        <w:ind w:firstLine="560"/>
        <w:jc w:val="both"/>
        <w:rPr>
          <w:rFonts w:ascii="宋体" w:hAnsi="宋体" w:cs="宋体"/>
          <w:sz w:val="28"/>
          <w:szCs w:val="28"/>
          <w:highlight w:val="none"/>
        </w:rPr>
      </w:pPr>
      <w:r>
        <w:rPr>
          <w:rFonts w:hint="eastAsia" w:ascii="宋体" w:hAnsi="宋体" w:cs="宋体"/>
          <w:color w:val="333333"/>
          <w:sz w:val="28"/>
          <w:szCs w:val="28"/>
          <w:highlight w:val="none"/>
        </w:rPr>
        <w:t>地址：</w:t>
      </w:r>
      <w:r>
        <w:rPr>
          <w:rFonts w:hint="eastAsia" w:ascii="宋体" w:hAnsi="宋体" w:cs="宋体"/>
          <w:color w:val="333333"/>
          <w:sz w:val="28"/>
          <w:szCs w:val="28"/>
          <w:highlight w:val="none"/>
          <w:u w:val="single"/>
        </w:rPr>
        <w:t>　　　　　　　　　　</w:t>
      </w:r>
      <w:r>
        <w:rPr>
          <w:rFonts w:hint="eastAsia" w:ascii="宋体" w:hAnsi="宋体" w:cs="宋体"/>
          <w:color w:val="333333"/>
          <w:sz w:val="28"/>
          <w:szCs w:val="28"/>
          <w:highlight w:val="none"/>
        </w:rPr>
        <w:t>　邮编：</w:t>
      </w:r>
      <w:r>
        <w:rPr>
          <w:rFonts w:hint="eastAsia" w:ascii="宋体" w:hAnsi="宋体" w:cs="宋体"/>
          <w:color w:val="333333"/>
          <w:sz w:val="28"/>
          <w:szCs w:val="28"/>
          <w:highlight w:val="none"/>
          <w:u w:val="single"/>
        </w:rPr>
        <w:t>　　　　　　　　　　</w:t>
      </w:r>
    </w:p>
    <w:p>
      <w:pPr>
        <w:pStyle w:val="7"/>
        <w:widowControl/>
        <w:spacing w:line="440" w:lineRule="exact"/>
        <w:ind w:firstLine="560"/>
        <w:jc w:val="both"/>
        <w:rPr>
          <w:rFonts w:ascii="宋体" w:hAnsi="宋体" w:cs="宋体"/>
          <w:sz w:val="28"/>
          <w:szCs w:val="28"/>
          <w:highlight w:val="none"/>
        </w:rPr>
      </w:pPr>
      <w:r>
        <w:rPr>
          <w:rFonts w:hint="eastAsia" w:ascii="宋体" w:hAnsi="宋体" w:cs="宋体"/>
          <w:color w:val="333333"/>
          <w:sz w:val="28"/>
          <w:szCs w:val="28"/>
          <w:highlight w:val="none"/>
        </w:rPr>
        <w:t>电话：</w:t>
      </w:r>
      <w:r>
        <w:rPr>
          <w:rFonts w:hint="eastAsia" w:ascii="宋体" w:hAnsi="宋体" w:cs="宋体"/>
          <w:color w:val="333333"/>
          <w:sz w:val="28"/>
          <w:szCs w:val="28"/>
          <w:highlight w:val="none"/>
          <w:u w:val="single"/>
        </w:rPr>
        <w:t>　　　　　　　　　　</w:t>
      </w:r>
      <w:r>
        <w:rPr>
          <w:rFonts w:hint="eastAsia" w:ascii="宋体" w:hAnsi="宋体" w:cs="宋体"/>
          <w:color w:val="333333"/>
          <w:sz w:val="28"/>
          <w:szCs w:val="28"/>
          <w:highlight w:val="none"/>
        </w:rPr>
        <w:t>　传真：</w:t>
      </w:r>
      <w:r>
        <w:rPr>
          <w:rFonts w:hint="eastAsia" w:ascii="宋体" w:hAnsi="宋体" w:cs="宋体"/>
          <w:color w:val="333333"/>
          <w:sz w:val="28"/>
          <w:szCs w:val="28"/>
          <w:highlight w:val="none"/>
          <w:u w:val="single"/>
        </w:rPr>
        <w:t>　　　　　　　　　　</w:t>
      </w:r>
    </w:p>
    <w:p>
      <w:pPr>
        <w:pStyle w:val="7"/>
        <w:widowControl/>
        <w:spacing w:line="440" w:lineRule="exact"/>
        <w:ind w:firstLine="560"/>
        <w:jc w:val="both"/>
        <w:rPr>
          <w:rFonts w:ascii="宋体" w:hAnsi="宋体" w:cs="宋体"/>
          <w:sz w:val="28"/>
          <w:szCs w:val="28"/>
          <w:highlight w:val="none"/>
        </w:rPr>
      </w:pPr>
      <w:r>
        <w:rPr>
          <w:rFonts w:hint="eastAsia" w:ascii="宋体" w:hAnsi="宋体" w:cs="宋体"/>
          <w:color w:val="333333"/>
          <w:sz w:val="28"/>
          <w:szCs w:val="28"/>
          <w:highlight w:val="none"/>
        </w:rPr>
        <w:t>报价单位代表姓名：</w:t>
      </w:r>
      <w:r>
        <w:rPr>
          <w:rFonts w:hint="eastAsia" w:ascii="宋体" w:hAnsi="宋体" w:cs="宋体"/>
          <w:color w:val="333333"/>
          <w:sz w:val="28"/>
          <w:szCs w:val="28"/>
          <w:highlight w:val="none"/>
          <w:u w:val="single"/>
        </w:rPr>
        <w:t>　　　　　　</w:t>
      </w:r>
      <w:r>
        <w:rPr>
          <w:rFonts w:hint="eastAsia" w:ascii="宋体" w:hAnsi="宋体" w:cs="宋体"/>
          <w:color w:val="333333"/>
          <w:sz w:val="28"/>
          <w:szCs w:val="28"/>
          <w:highlight w:val="none"/>
        </w:rPr>
        <w:t>职务：</w:t>
      </w:r>
      <w:r>
        <w:rPr>
          <w:rFonts w:hint="eastAsia" w:ascii="宋体" w:hAnsi="宋体" w:cs="宋体"/>
          <w:color w:val="333333"/>
          <w:sz w:val="28"/>
          <w:szCs w:val="28"/>
          <w:highlight w:val="none"/>
          <w:u w:val="single"/>
        </w:rPr>
        <w:t>　　　　　　　　　　</w:t>
      </w:r>
    </w:p>
    <w:p>
      <w:pPr>
        <w:pStyle w:val="7"/>
        <w:widowControl/>
        <w:spacing w:line="440" w:lineRule="exact"/>
        <w:ind w:firstLine="560"/>
        <w:jc w:val="both"/>
        <w:rPr>
          <w:rFonts w:ascii="宋体" w:hAnsi="宋体" w:cs="宋体"/>
          <w:sz w:val="28"/>
          <w:szCs w:val="28"/>
          <w:highlight w:val="none"/>
        </w:rPr>
      </w:pPr>
      <w:r>
        <w:rPr>
          <w:rFonts w:hint="eastAsia" w:ascii="宋体" w:hAnsi="宋体" w:cs="宋体"/>
          <w:color w:val="333333"/>
          <w:sz w:val="28"/>
          <w:szCs w:val="28"/>
          <w:highlight w:val="none"/>
        </w:rPr>
        <w:t>报价单位代表手机：</w:t>
      </w:r>
      <w:r>
        <w:rPr>
          <w:rFonts w:hint="eastAsia" w:ascii="宋体" w:hAnsi="宋体" w:cs="宋体"/>
          <w:color w:val="333333"/>
          <w:sz w:val="28"/>
          <w:szCs w:val="28"/>
          <w:highlight w:val="none"/>
          <w:u w:val="single"/>
        </w:rPr>
        <w:t>　　　　　　　　　　</w:t>
      </w:r>
    </w:p>
    <w:p>
      <w:pPr>
        <w:pStyle w:val="7"/>
        <w:widowControl/>
        <w:spacing w:line="440" w:lineRule="exact"/>
        <w:ind w:firstLine="560"/>
        <w:jc w:val="both"/>
        <w:rPr>
          <w:rFonts w:ascii="宋体" w:hAnsi="宋体" w:cs="宋体"/>
          <w:sz w:val="28"/>
          <w:szCs w:val="28"/>
          <w:highlight w:val="none"/>
        </w:rPr>
      </w:pPr>
      <w:r>
        <w:rPr>
          <w:rFonts w:hint="eastAsia" w:ascii="宋体" w:hAnsi="宋体" w:cs="宋体"/>
          <w:color w:val="333333"/>
          <w:sz w:val="28"/>
          <w:szCs w:val="28"/>
          <w:highlight w:val="none"/>
        </w:rPr>
        <w:t>报价单位名称：</w:t>
      </w:r>
      <w:r>
        <w:rPr>
          <w:rFonts w:hint="eastAsia" w:ascii="宋体" w:hAnsi="宋体" w:cs="宋体"/>
          <w:color w:val="333333"/>
          <w:sz w:val="28"/>
          <w:szCs w:val="28"/>
          <w:highlight w:val="none"/>
          <w:u w:val="single"/>
        </w:rPr>
        <w:t>　　　　　　　　　　</w:t>
      </w:r>
      <w:r>
        <w:rPr>
          <w:rFonts w:hint="eastAsia" w:ascii="宋体" w:hAnsi="宋体" w:cs="宋体"/>
          <w:color w:val="333333"/>
          <w:sz w:val="28"/>
          <w:szCs w:val="28"/>
          <w:highlight w:val="none"/>
        </w:rPr>
        <w:t>（加盖单位公章）</w:t>
      </w:r>
    </w:p>
    <w:p>
      <w:pPr>
        <w:pStyle w:val="7"/>
        <w:widowControl/>
        <w:spacing w:line="440" w:lineRule="exact"/>
        <w:ind w:firstLine="560"/>
        <w:jc w:val="both"/>
        <w:rPr>
          <w:rFonts w:ascii="宋体" w:hAnsi="宋体" w:cs="宋体"/>
          <w:sz w:val="28"/>
          <w:szCs w:val="28"/>
          <w:highlight w:val="none"/>
        </w:rPr>
      </w:pPr>
      <w:r>
        <w:rPr>
          <w:rFonts w:hint="eastAsia" w:ascii="宋体" w:hAnsi="宋体" w:cs="宋体"/>
          <w:color w:val="333333"/>
          <w:sz w:val="28"/>
          <w:szCs w:val="28"/>
          <w:highlight w:val="none"/>
        </w:rPr>
        <w:t> </w:t>
      </w:r>
    </w:p>
    <w:p>
      <w:pPr>
        <w:pStyle w:val="7"/>
        <w:widowControl/>
        <w:spacing w:line="440" w:lineRule="exact"/>
        <w:jc w:val="right"/>
        <w:rPr>
          <w:rFonts w:ascii="宋体" w:hAnsi="宋体" w:cs="宋体"/>
          <w:sz w:val="28"/>
          <w:szCs w:val="28"/>
          <w:highlight w:val="none"/>
        </w:rPr>
      </w:pPr>
      <w:r>
        <w:rPr>
          <w:rFonts w:hint="eastAsia" w:ascii="宋体" w:hAnsi="宋体" w:cs="宋体"/>
          <w:color w:val="333333"/>
          <w:sz w:val="28"/>
          <w:szCs w:val="28"/>
          <w:highlight w:val="none"/>
        </w:rPr>
        <w:t>年     月      日　　</w:t>
      </w:r>
    </w:p>
    <w:p>
      <w:pPr>
        <w:widowControl/>
        <w:spacing w:line="460" w:lineRule="exact"/>
        <w:jc w:val="left"/>
        <w:rPr>
          <w:rFonts w:ascii="宋体" w:hAnsi="宋体" w:cs="宋体"/>
          <w:b/>
          <w:color w:val="333333"/>
          <w:sz w:val="28"/>
          <w:szCs w:val="28"/>
          <w:highlight w:val="none"/>
        </w:rPr>
      </w:pPr>
      <w:r>
        <w:rPr>
          <w:rFonts w:hint="eastAsia" w:ascii="宋体" w:hAnsi="宋体" w:cs="宋体"/>
          <w:color w:val="333333"/>
          <w:sz w:val="28"/>
          <w:szCs w:val="28"/>
          <w:highlight w:val="none"/>
        </w:rPr>
        <w:br w:type="page"/>
      </w:r>
      <w:r>
        <w:rPr>
          <w:rFonts w:hint="eastAsia" w:ascii="宋体" w:hAnsi="宋体" w:cs="宋体"/>
          <w:b/>
          <w:color w:val="333333"/>
          <w:kern w:val="0"/>
          <w:sz w:val="28"/>
          <w:szCs w:val="28"/>
          <w:highlight w:val="none"/>
        </w:rPr>
        <w:t>附件二：</w:t>
      </w:r>
    </w:p>
    <w:p>
      <w:pPr>
        <w:spacing w:line="500" w:lineRule="exact"/>
        <w:ind w:firstLine="643"/>
        <w:jc w:val="center"/>
        <w:rPr>
          <w:rFonts w:ascii="宋体" w:hAnsi="宋体" w:cs="宋体"/>
          <w:b/>
          <w:bCs/>
          <w:color w:val="000000"/>
          <w:sz w:val="28"/>
          <w:szCs w:val="28"/>
          <w:highlight w:val="none"/>
        </w:rPr>
      </w:pPr>
      <w:r>
        <w:rPr>
          <w:rFonts w:hint="eastAsia" w:ascii="宋体" w:hAnsi="宋体" w:cs="宋体"/>
          <w:b/>
          <w:bCs/>
          <w:color w:val="000000"/>
          <w:sz w:val="28"/>
          <w:szCs w:val="28"/>
          <w:highlight w:val="none"/>
        </w:rPr>
        <w:t>法 定 代 表 人 授 权 委 托 书</w:t>
      </w:r>
    </w:p>
    <w:p>
      <w:pPr>
        <w:widowControl/>
        <w:spacing w:line="460" w:lineRule="exact"/>
        <w:rPr>
          <w:rFonts w:ascii="宋体" w:hAnsi="宋体" w:cs="宋体"/>
          <w:color w:val="333333"/>
          <w:kern w:val="0"/>
          <w:sz w:val="28"/>
          <w:szCs w:val="28"/>
          <w:highlight w:val="none"/>
        </w:rPr>
      </w:pPr>
    </w:p>
    <w:p>
      <w:pPr>
        <w:widowControl/>
        <w:spacing w:line="460" w:lineRule="exact"/>
        <w:rPr>
          <w:rFonts w:ascii="宋体" w:hAnsi="宋体" w:cs="宋体"/>
          <w:color w:val="333333"/>
          <w:kern w:val="0"/>
          <w:sz w:val="28"/>
          <w:szCs w:val="28"/>
          <w:highlight w:val="none"/>
        </w:rPr>
      </w:pPr>
      <w:r>
        <w:rPr>
          <w:rFonts w:hint="eastAsia" w:ascii="宋体" w:hAnsi="宋体" w:cs="宋体"/>
          <w:color w:val="333333"/>
          <w:kern w:val="0"/>
          <w:sz w:val="28"/>
          <w:szCs w:val="28"/>
          <w:highlight w:val="none"/>
          <w:u w:val="single"/>
        </w:rPr>
        <w:t>启东市机关事务服务中心</w:t>
      </w:r>
      <w:r>
        <w:rPr>
          <w:rFonts w:hint="eastAsia" w:ascii="宋体" w:hAnsi="宋体" w:cs="宋体"/>
          <w:color w:val="333333"/>
          <w:kern w:val="0"/>
          <w:sz w:val="28"/>
          <w:szCs w:val="28"/>
          <w:highlight w:val="none"/>
        </w:rPr>
        <w:t>：</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u w:val="single"/>
        </w:rPr>
        <w:t xml:space="preserve">            </w:t>
      </w:r>
      <w:r>
        <w:rPr>
          <w:rFonts w:hint="eastAsia" w:ascii="宋体" w:hAnsi="宋体" w:cs="宋体"/>
          <w:color w:val="333333"/>
          <w:kern w:val="0"/>
          <w:sz w:val="28"/>
          <w:szCs w:val="28"/>
          <w:highlight w:val="none"/>
        </w:rPr>
        <w:t xml:space="preserve">（单位名称） 系中华人民共和国合法企业（单位），法定地址： </w:t>
      </w:r>
      <w:r>
        <w:rPr>
          <w:rFonts w:hint="eastAsia" w:ascii="宋体" w:hAnsi="宋体" w:cs="宋体"/>
          <w:color w:val="333333"/>
          <w:kern w:val="0"/>
          <w:sz w:val="28"/>
          <w:szCs w:val="28"/>
          <w:highlight w:val="none"/>
          <w:u w:val="single"/>
        </w:rPr>
        <w:t xml:space="preserve">               </w:t>
      </w:r>
      <w:r>
        <w:rPr>
          <w:rFonts w:hint="eastAsia" w:ascii="宋体" w:hAnsi="宋体" w:cs="宋体"/>
          <w:color w:val="333333"/>
          <w:kern w:val="0"/>
          <w:sz w:val="28"/>
          <w:szCs w:val="28"/>
          <w:highlight w:val="none"/>
        </w:rPr>
        <w:t xml:space="preserve">特授权 </w:t>
      </w:r>
      <w:r>
        <w:rPr>
          <w:rFonts w:hint="eastAsia" w:ascii="宋体" w:hAnsi="宋体" w:cs="宋体"/>
          <w:color w:val="333333"/>
          <w:kern w:val="0"/>
          <w:sz w:val="28"/>
          <w:szCs w:val="28"/>
          <w:highlight w:val="none"/>
          <w:u w:val="single"/>
        </w:rPr>
        <w:t xml:space="preserve">         </w:t>
      </w:r>
      <w:r>
        <w:rPr>
          <w:rFonts w:hint="eastAsia" w:ascii="宋体" w:hAnsi="宋体" w:cs="宋体"/>
          <w:color w:val="333333"/>
          <w:kern w:val="0"/>
          <w:sz w:val="28"/>
          <w:szCs w:val="28"/>
          <w:highlight w:val="none"/>
        </w:rPr>
        <w:t>代表我公司全权办理针对</w:t>
      </w:r>
      <w:r>
        <w:rPr>
          <w:rFonts w:hint="eastAsia" w:ascii="宋体" w:hAnsi="宋体" w:cs="宋体"/>
          <w:color w:val="333333"/>
          <w:kern w:val="0"/>
          <w:sz w:val="28"/>
          <w:szCs w:val="28"/>
          <w:highlight w:val="none"/>
          <w:u w:val="single"/>
        </w:rPr>
        <w:t>启东市行政中心西车棚电动自行车自动灭火装置采购项目</w:t>
      </w:r>
      <w:r>
        <w:rPr>
          <w:rFonts w:hint="eastAsia" w:ascii="宋体" w:hAnsi="宋体" w:cs="宋体"/>
          <w:color w:val="333333"/>
          <w:kern w:val="0"/>
          <w:sz w:val="28"/>
          <w:szCs w:val="28"/>
          <w:highlight w:val="none"/>
        </w:rPr>
        <w:t>的投标，并签署全部有关文件、协议及合同。</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我公司对被授权人签名的所有文件负全部责任。</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被授权人签署的所有文件（在授权书有效期内签署的）不因授权的撤销而失效，本授权书的有效期自招标开始至合同履行完毕止。</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被授权人无权转委托。</w:t>
      </w:r>
    </w:p>
    <w:p>
      <w:pPr>
        <w:widowControl/>
        <w:spacing w:line="460" w:lineRule="exact"/>
        <w:ind w:firstLine="560" w:firstLineChars="200"/>
        <w:rPr>
          <w:rFonts w:ascii="宋体" w:hAnsi="宋体" w:cs="宋体"/>
          <w:color w:val="333333"/>
          <w:kern w:val="0"/>
          <w:sz w:val="28"/>
          <w:szCs w:val="28"/>
          <w:highlight w:val="none"/>
        </w:rPr>
      </w:pPr>
    </w:p>
    <w:p>
      <w:pPr>
        <w:widowControl/>
        <w:spacing w:line="460" w:lineRule="exact"/>
        <w:ind w:firstLine="560" w:firstLineChars="200"/>
        <w:rPr>
          <w:rFonts w:ascii="宋体" w:hAnsi="宋体" w:cs="宋体"/>
          <w:color w:val="333333"/>
          <w:kern w:val="0"/>
          <w:sz w:val="28"/>
          <w:szCs w:val="28"/>
          <w:highlight w:val="none"/>
        </w:rPr>
      </w:pP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被授权人（签字或盖章）：     性别：   年龄：   职务：     </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身份证号码：　　　　　　　　　                             </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通讯地址：  　　　　　　　　　                             </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联系电话： 　　　　　　　　　                              </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法定代表人（签字或盖章）：　　　　　　　　　       </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报价单位（盖章）：</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　　　　　　　　　                          </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                     </w:t>
      </w:r>
    </w:p>
    <w:p>
      <w:pPr>
        <w:widowControl/>
        <w:spacing w:line="460" w:lineRule="exact"/>
        <w:ind w:firstLine="560" w:firstLineChars="200"/>
        <w:rPr>
          <w:rFonts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                                    年     月    日</w:t>
      </w:r>
    </w:p>
    <w:p>
      <w:pPr>
        <w:widowControl/>
        <w:jc w:val="left"/>
        <w:rPr>
          <w:rFonts w:ascii="宋体" w:hAnsi="宋体" w:cs="宋体"/>
          <w:b/>
          <w:color w:val="333333"/>
          <w:sz w:val="28"/>
          <w:szCs w:val="28"/>
          <w:highlight w:val="none"/>
        </w:rPr>
      </w:pPr>
    </w:p>
    <w:p>
      <w:pPr>
        <w:widowControl/>
        <w:jc w:val="left"/>
        <w:rPr>
          <w:rFonts w:ascii="宋体" w:hAnsi="宋体" w:cs="宋体"/>
          <w:b/>
          <w:color w:val="333333"/>
          <w:sz w:val="28"/>
          <w:szCs w:val="28"/>
          <w:highlight w:val="none"/>
        </w:rPr>
      </w:pPr>
      <w:r>
        <w:rPr>
          <w:rFonts w:hint="eastAsia" w:ascii="宋体" w:hAnsi="宋体" w:cs="宋体"/>
          <w:b/>
          <w:color w:val="333333"/>
          <w:sz w:val="28"/>
          <w:szCs w:val="28"/>
          <w:highlight w:val="none"/>
        </w:rPr>
        <w:br w:type="page"/>
      </w:r>
      <w:r>
        <w:rPr>
          <w:rFonts w:hint="eastAsia" w:ascii="宋体" w:hAnsi="宋体" w:cs="宋体"/>
          <w:b/>
          <w:color w:val="333333"/>
          <w:sz w:val="28"/>
          <w:szCs w:val="28"/>
          <w:highlight w:val="none"/>
        </w:rPr>
        <w:t>附件三：</w:t>
      </w:r>
    </w:p>
    <w:p>
      <w:pPr>
        <w:pStyle w:val="15"/>
        <w:rPr>
          <w:rFonts w:eastAsia="宋体"/>
          <w:highlight w:val="none"/>
        </w:rPr>
      </w:pPr>
    </w:p>
    <w:p>
      <w:pPr>
        <w:pStyle w:val="7"/>
        <w:spacing w:line="360" w:lineRule="auto"/>
        <w:ind w:firstLine="562" w:firstLineChars="200"/>
        <w:jc w:val="center"/>
        <w:rPr>
          <w:rFonts w:ascii="宋体" w:hAnsi="宋体" w:cs="宋体"/>
          <w:b/>
          <w:color w:val="000000"/>
          <w:sz w:val="28"/>
          <w:szCs w:val="28"/>
          <w:highlight w:val="none"/>
        </w:rPr>
      </w:pPr>
      <w:r>
        <w:rPr>
          <w:rFonts w:hint="eastAsia" w:ascii="宋体" w:hAnsi="宋体" w:cs="宋体"/>
          <w:b/>
          <w:color w:val="000000"/>
          <w:kern w:val="2"/>
          <w:sz w:val="28"/>
          <w:szCs w:val="28"/>
          <w:highlight w:val="none"/>
        </w:rPr>
        <w:t>参加政府采购活动前 3 年内在经营活动中没有重大违法记</w:t>
      </w:r>
      <w:r>
        <w:rPr>
          <w:rFonts w:hint="eastAsia" w:ascii="宋体" w:hAnsi="宋体" w:cs="宋体"/>
          <w:b/>
          <w:bCs/>
          <w:color w:val="000000"/>
          <w:kern w:val="2"/>
          <w:sz w:val="28"/>
          <w:szCs w:val="28"/>
          <w:highlight w:val="none"/>
        </w:rPr>
        <w:t>录和失信记录的书面声明</w:t>
      </w:r>
    </w:p>
    <w:p>
      <w:pPr>
        <w:spacing w:line="360" w:lineRule="auto"/>
        <w:rPr>
          <w:rFonts w:ascii="宋体" w:hAnsi="宋体" w:cs="宋体"/>
          <w:b/>
          <w:color w:val="000000"/>
          <w:sz w:val="28"/>
          <w:szCs w:val="28"/>
          <w:highlight w:val="none"/>
        </w:rPr>
      </w:pPr>
    </w:p>
    <w:p>
      <w:pPr>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声  明</w:t>
      </w:r>
    </w:p>
    <w:p>
      <w:pPr>
        <w:spacing w:line="360" w:lineRule="auto"/>
        <w:ind w:firstLine="881"/>
        <w:jc w:val="center"/>
        <w:rPr>
          <w:rFonts w:ascii="宋体" w:hAnsi="宋体" w:cs="宋体"/>
          <w:b/>
          <w:color w:val="000000"/>
          <w:sz w:val="24"/>
          <w:highlight w:val="none"/>
        </w:rPr>
      </w:pPr>
    </w:p>
    <w:p>
      <w:pPr>
        <w:spacing w:line="360" w:lineRule="auto"/>
        <w:ind w:firstLine="482"/>
        <w:rPr>
          <w:rFonts w:ascii="宋体" w:hAnsi="宋体" w:cs="宋体"/>
          <w:bCs/>
          <w:color w:val="000000"/>
          <w:sz w:val="24"/>
          <w:highlight w:val="none"/>
        </w:rPr>
      </w:pPr>
      <w:r>
        <w:rPr>
          <w:rFonts w:hint="eastAsia" w:ascii="宋体" w:hAnsi="宋体" w:cs="宋体"/>
          <w:bCs/>
          <w:color w:val="000000"/>
          <w:sz w:val="24"/>
          <w:highlight w:val="none"/>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2"/>
        <w:rPr>
          <w:rFonts w:ascii="宋体" w:hAnsi="宋体" w:cs="宋体"/>
          <w:color w:val="000000"/>
          <w:sz w:val="24"/>
          <w:highlight w:val="none"/>
        </w:rPr>
      </w:pPr>
      <w:r>
        <w:rPr>
          <w:rFonts w:hint="eastAsia" w:ascii="宋体" w:hAnsi="宋体" w:cs="宋体"/>
          <w:bCs/>
          <w:color w:val="000000"/>
          <w:sz w:val="24"/>
          <w:highlight w:val="none"/>
        </w:rPr>
        <w:t>在</w:t>
      </w:r>
      <w:r>
        <w:rPr>
          <w:rFonts w:hint="eastAsia" w:ascii="宋体" w:hAnsi="宋体" w:cs="宋体"/>
          <w:color w:val="000000"/>
          <w:sz w:val="24"/>
          <w:highlight w:val="none"/>
        </w:rPr>
        <w:t>投标截止时间节点，没有被“信用中国”、“中国政府采购网”、“信用江苏”网站列入失信被执行人、重大税收违法案件当事人名单、政府采购严重违法失信行为记录名单。</w:t>
      </w:r>
    </w:p>
    <w:p>
      <w:pPr>
        <w:pStyle w:val="2"/>
        <w:spacing w:after="0" w:line="360" w:lineRule="auto"/>
        <w:rPr>
          <w:rFonts w:ascii="宋体" w:hAnsi="宋体" w:cs="宋体"/>
          <w:highlight w:val="none"/>
        </w:rPr>
      </w:pPr>
    </w:p>
    <w:p>
      <w:pPr>
        <w:pStyle w:val="2"/>
        <w:spacing w:after="0" w:line="360" w:lineRule="auto"/>
        <w:rPr>
          <w:rFonts w:ascii="宋体" w:hAnsi="宋体" w:cs="宋体"/>
          <w:highlight w:val="none"/>
        </w:rPr>
      </w:pP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供应商名称（公章）：</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授权代表签字：</w:t>
      </w:r>
    </w:p>
    <w:p>
      <w:pPr>
        <w:spacing w:line="360" w:lineRule="exact"/>
        <w:rPr>
          <w:rFonts w:ascii="宋体" w:hAnsi="宋体" w:cs="宋体"/>
          <w:b/>
          <w:bCs/>
          <w:color w:val="333333"/>
          <w:kern w:val="0"/>
          <w:sz w:val="28"/>
          <w:szCs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bCs/>
          <w:color w:val="000000"/>
          <w:sz w:val="24"/>
          <w:highlight w:val="none"/>
        </w:rPr>
        <w:t xml:space="preserve">日期：      年    月  </w:t>
      </w:r>
    </w:p>
    <w:p>
      <w:pPr>
        <w:rPr>
          <w:rFonts w:ascii="宋体" w:hAnsi="宋体" w:cs="宋体"/>
          <w:b/>
          <w:bCs/>
          <w:color w:val="333333"/>
          <w:kern w:val="0"/>
          <w:sz w:val="28"/>
          <w:szCs w:val="28"/>
          <w:highlight w:val="none"/>
        </w:rPr>
      </w:pPr>
      <w:r>
        <w:rPr>
          <w:rFonts w:hint="eastAsia" w:ascii="宋体" w:hAnsi="宋体" w:cs="宋体"/>
          <w:b/>
          <w:bCs/>
          <w:color w:val="333333"/>
          <w:kern w:val="0"/>
          <w:sz w:val="28"/>
          <w:szCs w:val="28"/>
          <w:highlight w:val="none"/>
        </w:rPr>
        <w:t>附件四：</w:t>
      </w:r>
    </w:p>
    <w:p>
      <w:pPr>
        <w:snapToGrid w:val="0"/>
        <w:spacing w:line="440" w:lineRule="exact"/>
        <w:jc w:val="center"/>
        <w:rPr>
          <w:rFonts w:ascii="宋体" w:hAnsi="宋体" w:cs="宋体"/>
          <w:b/>
          <w:bCs/>
          <w:sz w:val="28"/>
          <w:highlight w:val="none"/>
        </w:rPr>
      </w:pPr>
      <w:r>
        <w:rPr>
          <w:rFonts w:hint="eastAsia" w:ascii="宋体" w:hAnsi="宋体" w:cs="宋体"/>
          <w:b/>
          <w:bCs/>
          <w:sz w:val="28"/>
          <w:highlight w:val="none"/>
        </w:rPr>
        <w:t>质 保 承 诺 书</w:t>
      </w:r>
    </w:p>
    <w:p>
      <w:pPr>
        <w:snapToGrid w:val="0"/>
        <w:spacing w:line="540" w:lineRule="exact"/>
        <w:rPr>
          <w:rFonts w:ascii="宋体" w:hAnsi="宋体" w:cs="宋体"/>
          <w:sz w:val="28"/>
          <w:highlight w:val="none"/>
        </w:rPr>
      </w:pPr>
      <w:r>
        <w:rPr>
          <w:rFonts w:hint="eastAsia" w:ascii="宋体" w:hAnsi="宋体" w:cs="宋体"/>
          <w:sz w:val="28"/>
          <w:highlight w:val="none"/>
        </w:rPr>
        <w:t>启东市机关事务服务中心：</w:t>
      </w:r>
    </w:p>
    <w:p>
      <w:pPr>
        <w:snapToGrid w:val="0"/>
        <w:spacing w:line="540" w:lineRule="exact"/>
        <w:ind w:firstLine="560" w:firstLineChars="200"/>
        <w:rPr>
          <w:rFonts w:ascii="宋体" w:hAnsi="宋体" w:cs="宋体"/>
          <w:b/>
          <w:bCs/>
          <w:sz w:val="28"/>
          <w:szCs w:val="28"/>
          <w:highlight w:val="none"/>
          <w:u w:val="single"/>
        </w:rPr>
      </w:pPr>
      <w:r>
        <w:rPr>
          <w:rFonts w:hint="eastAsia" w:ascii="宋体" w:hAnsi="宋体" w:cs="宋体"/>
          <w:sz w:val="28"/>
          <w:highlight w:val="none"/>
          <w:u w:val="single"/>
        </w:rPr>
        <w:t>（报价供应商全称）</w:t>
      </w:r>
      <w:r>
        <w:rPr>
          <w:rFonts w:hint="eastAsia" w:ascii="宋体" w:hAnsi="宋体" w:cs="宋体"/>
          <w:sz w:val="28"/>
          <w:highlight w:val="none"/>
        </w:rPr>
        <w:t>授权</w:t>
      </w:r>
      <w:r>
        <w:rPr>
          <w:rFonts w:hint="eastAsia" w:ascii="宋体" w:hAnsi="宋体" w:cs="宋体"/>
          <w:sz w:val="28"/>
          <w:highlight w:val="none"/>
          <w:u w:val="single"/>
        </w:rPr>
        <w:t>（姓  名）（职  务）</w:t>
      </w:r>
      <w:r>
        <w:rPr>
          <w:rFonts w:hint="eastAsia" w:ascii="宋体" w:hAnsi="宋体" w:cs="宋体"/>
          <w:sz w:val="28"/>
          <w:highlight w:val="none"/>
        </w:rPr>
        <w:t>为全权代表，参加</w:t>
      </w:r>
      <w:r>
        <w:rPr>
          <w:rFonts w:hint="eastAsia" w:ascii="宋体" w:hAnsi="宋体" w:cs="宋体"/>
          <w:b/>
          <w:bCs/>
          <w:color w:val="000000"/>
          <w:sz w:val="28"/>
          <w:szCs w:val="28"/>
          <w:highlight w:val="none"/>
          <w:u w:val="single"/>
        </w:rPr>
        <w:t xml:space="preserve">  启东市行政中心西车棚电动自行车自动灭火装置采购项目</w:t>
      </w:r>
      <w:r>
        <w:rPr>
          <w:rFonts w:hint="eastAsia" w:ascii="宋体" w:hAnsi="宋体" w:cs="宋体"/>
          <w:sz w:val="28"/>
          <w:highlight w:val="none"/>
        </w:rPr>
        <w:t>询价的有关活动，并宣布同意如下：</w:t>
      </w:r>
    </w:p>
    <w:p>
      <w:pPr>
        <w:snapToGrid w:val="0"/>
        <w:spacing w:line="540" w:lineRule="exact"/>
        <w:ind w:firstLine="560" w:firstLineChars="200"/>
        <w:rPr>
          <w:rFonts w:ascii="宋体" w:hAnsi="宋体" w:cs="宋体"/>
          <w:sz w:val="28"/>
          <w:highlight w:val="none"/>
        </w:rPr>
      </w:pPr>
      <w:r>
        <w:rPr>
          <w:rFonts w:hint="eastAsia" w:ascii="宋体" w:hAnsi="宋体" w:cs="宋体"/>
          <w:sz w:val="28"/>
          <w:highlight w:val="none"/>
        </w:rPr>
        <w:t>1.我方承诺对本项目货物清单表中所列的所有货物提供</w:t>
      </w:r>
      <w:r>
        <w:rPr>
          <w:rFonts w:hint="eastAsia" w:ascii="宋体" w:hAnsi="宋体" w:cs="宋体"/>
          <w:sz w:val="28"/>
          <w:highlight w:val="none"/>
          <w:u w:val="single"/>
        </w:rPr>
        <w:t xml:space="preserve">   </w:t>
      </w:r>
      <w:r>
        <w:rPr>
          <w:rFonts w:hint="eastAsia" w:ascii="宋体" w:hAnsi="宋体" w:cs="宋体"/>
          <w:sz w:val="28"/>
          <w:highlight w:val="none"/>
        </w:rPr>
        <w:t>年的全免费质保（配件+人工）并负责终身维修（若货物的制造商所规定或承诺的保修期限超过两年的,则按照该规定的保修期执行）。</w:t>
      </w:r>
    </w:p>
    <w:p>
      <w:pPr>
        <w:snapToGrid w:val="0"/>
        <w:spacing w:line="540" w:lineRule="exact"/>
        <w:ind w:firstLine="560" w:firstLineChars="200"/>
        <w:rPr>
          <w:rFonts w:ascii="宋体" w:hAnsi="宋体" w:cs="宋体"/>
          <w:sz w:val="28"/>
          <w:highlight w:val="none"/>
        </w:rPr>
      </w:pPr>
      <w:r>
        <w:rPr>
          <w:rFonts w:hint="eastAsia" w:ascii="宋体" w:hAnsi="宋体" w:cs="宋体"/>
          <w:sz w:val="28"/>
          <w:highlight w:val="none"/>
        </w:rPr>
        <w:t xml:space="preserve">2.质保期内，我方应免费维修。我方设有24小时专人值班服务电话，在接到用户单位电话维修通知后，30分钟内电话响应，提出解决方案，并在2小时内上门维修，一般质量问题在24小时内负责修复，确保不影响用户单位实际使用。我方超时或未在规定的时间内及时处理故障，每次罚2000元扣款。质保期内，同一商品、同一质量问题连续两次维修仍无法正常使用，我方无条件给予全套更新。                             </w:t>
      </w:r>
    </w:p>
    <w:p>
      <w:pPr>
        <w:snapToGrid w:val="0"/>
        <w:spacing w:line="540" w:lineRule="exact"/>
        <w:ind w:firstLine="560" w:firstLineChars="200"/>
        <w:rPr>
          <w:rFonts w:ascii="宋体" w:hAnsi="宋体" w:cs="宋体"/>
          <w:sz w:val="28"/>
          <w:highlight w:val="none"/>
        </w:rPr>
      </w:pPr>
      <w:r>
        <w:rPr>
          <w:rFonts w:hint="eastAsia" w:ascii="宋体" w:hAnsi="宋体" w:cs="宋体"/>
          <w:sz w:val="28"/>
          <w:highlight w:val="none"/>
        </w:rPr>
        <w:t>4.与本项目有关的一切往来通讯请寄：</w:t>
      </w:r>
    </w:p>
    <w:p>
      <w:pPr>
        <w:snapToGrid w:val="0"/>
        <w:spacing w:line="540" w:lineRule="exact"/>
        <w:ind w:firstLine="560" w:firstLineChars="200"/>
        <w:rPr>
          <w:rFonts w:ascii="宋体" w:hAnsi="宋体" w:cs="宋体"/>
          <w:sz w:val="28"/>
          <w:highlight w:val="none"/>
        </w:rPr>
      </w:pPr>
      <w:r>
        <w:rPr>
          <w:rFonts w:hint="eastAsia" w:ascii="宋体" w:hAnsi="宋体" w:cs="宋体"/>
          <w:sz w:val="28"/>
          <w:highlight w:val="none"/>
        </w:rPr>
        <w:t>地址：　　　　　　　　　　　　　邮编：</w:t>
      </w:r>
    </w:p>
    <w:p>
      <w:pPr>
        <w:snapToGrid w:val="0"/>
        <w:spacing w:line="540" w:lineRule="exact"/>
        <w:rPr>
          <w:rFonts w:ascii="宋体" w:hAnsi="宋体" w:cs="宋体"/>
          <w:sz w:val="28"/>
          <w:highlight w:val="none"/>
        </w:rPr>
      </w:pPr>
      <w:r>
        <w:rPr>
          <w:rFonts w:hint="eastAsia" w:ascii="宋体" w:hAnsi="宋体" w:cs="宋体"/>
          <w:sz w:val="28"/>
          <w:highlight w:val="none"/>
        </w:rPr>
        <w:t xml:space="preserve">    电话：　　　　　　　　　　　　　传真：</w:t>
      </w:r>
    </w:p>
    <w:p>
      <w:pPr>
        <w:snapToGrid w:val="0"/>
        <w:spacing w:line="540" w:lineRule="exact"/>
        <w:ind w:firstLine="560" w:firstLineChars="200"/>
        <w:rPr>
          <w:rFonts w:ascii="宋体" w:hAnsi="宋体" w:cs="宋体"/>
          <w:sz w:val="28"/>
          <w:highlight w:val="none"/>
        </w:rPr>
      </w:pPr>
      <w:r>
        <w:rPr>
          <w:rFonts w:hint="eastAsia" w:ascii="宋体" w:hAnsi="宋体" w:cs="宋体"/>
          <w:sz w:val="28"/>
          <w:highlight w:val="none"/>
        </w:rPr>
        <w:t>报价单位代表：　　　　　　　　  职务：</w:t>
      </w:r>
    </w:p>
    <w:p>
      <w:pPr>
        <w:snapToGrid w:val="0"/>
        <w:spacing w:line="540" w:lineRule="exact"/>
        <w:ind w:firstLine="560" w:firstLineChars="200"/>
        <w:rPr>
          <w:rFonts w:ascii="宋体" w:hAnsi="宋体" w:cs="宋体"/>
          <w:sz w:val="28"/>
          <w:highlight w:val="none"/>
        </w:rPr>
      </w:pPr>
      <w:r>
        <w:rPr>
          <w:rFonts w:hint="eastAsia" w:ascii="宋体" w:hAnsi="宋体" w:cs="宋体"/>
          <w:sz w:val="28"/>
          <w:highlight w:val="none"/>
        </w:rPr>
        <w:t>报价单位代表移动电话：</w:t>
      </w:r>
    </w:p>
    <w:p>
      <w:pPr>
        <w:snapToGrid w:val="0"/>
        <w:spacing w:line="540" w:lineRule="exact"/>
        <w:ind w:firstLine="560" w:firstLineChars="200"/>
        <w:rPr>
          <w:rFonts w:ascii="宋体" w:hAnsi="宋体" w:cs="宋体"/>
          <w:sz w:val="28"/>
          <w:highlight w:val="none"/>
        </w:rPr>
      </w:pPr>
      <w:r>
        <w:rPr>
          <w:rFonts w:hint="eastAsia" w:ascii="宋体" w:hAnsi="宋体" w:cs="宋体"/>
          <w:sz w:val="28"/>
          <w:highlight w:val="none"/>
        </w:rPr>
        <w:t>报价单位名称（加盖单位公章）：</w:t>
      </w:r>
    </w:p>
    <w:p>
      <w:pPr>
        <w:snapToGrid w:val="0"/>
        <w:spacing w:line="540" w:lineRule="exact"/>
        <w:rPr>
          <w:rFonts w:ascii="宋体" w:hAnsi="宋体" w:cs="宋体"/>
          <w:sz w:val="28"/>
          <w:highlight w:val="none"/>
        </w:rPr>
      </w:pPr>
    </w:p>
    <w:p>
      <w:pPr>
        <w:pStyle w:val="2"/>
        <w:rPr>
          <w:rFonts w:ascii="宋体" w:hAnsi="宋体" w:cs="宋体"/>
          <w:b/>
          <w:bCs/>
          <w:color w:val="333333"/>
          <w:sz w:val="28"/>
          <w:szCs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sz w:val="28"/>
          <w:highlight w:val="none"/>
        </w:rPr>
        <w:t xml:space="preserve">                                             年    月    日</w:t>
      </w:r>
    </w:p>
    <w:p>
      <w:pPr>
        <w:pStyle w:val="2"/>
        <w:rPr>
          <w:highlight w:val="none"/>
        </w:rPr>
      </w:pPr>
      <w:r>
        <w:rPr>
          <w:rFonts w:hint="eastAsia" w:ascii="宋体" w:hAnsi="宋体" w:cs="宋体"/>
          <w:b/>
          <w:bCs/>
          <w:color w:val="333333"/>
          <w:sz w:val="28"/>
          <w:szCs w:val="28"/>
          <w:highlight w:val="none"/>
        </w:rPr>
        <w:t>附件五：</w:t>
      </w:r>
    </w:p>
    <w:p>
      <w:pPr>
        <w:spacing w:line="300" w:lineRule="auto"/>
        <w:jc w:val="center"/>
        <w:rPr>
          <w:rFonts w:ascii="宋体" w:hAnsi="宋体" w:cs="宋体"/>
          <w:b/>
          <w:bCs/>
          <w:color w:val="333333"/>
          <w:kern w:val="0"/>
          <w:sz w:val="32"/>
          <w:szCs w:val="32"/>
          <w:highlight w:val="none"/>
        </w:rPr>
      </w:pPr>
      <w:r>
        <w:rPr>
          <w:rFonts w:hint="eastAsia" w:ascii="宋体" w:hAnsi="宋体"/>
          <w:b/>
          <w:sz w:val="32"/>
          <w:szCs w:val="32"/>
          <w:highlight w:val="none"/>
        </w:rPr>
        <w:t>报价表</w:t>
      </w:r>
    </w:p>
    <w:p>
      <w:pPr>
        <w:pStyle w:val="20"/>
        <w:ind w:firstLine="0" w:firstLineChars="0"/>
        <w:rPr>
          <w:highlight w:val="none"/>
        </w:rPr>
      </w:pPr>
      <w:r>
        <w:rPr>
          <w:rFonts w:hint="eastAsia"/>
          <w:sz w:val="28"/>
          <w:szCs w:val="28"/>
          <w:highlight w:val="none"/>
        </w:rPr>
        <w:t>项目名称：启东市行政中心西车棚电动自行车自动灭火装置采购项目</w:t>
      </w:r>
    </w:p>
    <w:tbl>
      <w:tblPr>
        <w:tblStyle w:val="16"/>
        <w:tblW w:w="966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555"/>
        <w:gridCol w:w="3837"/>
        <w:gridCol w:w="645"/>
        <w:gridCol w:w="660"/>
        <w:gridCol w:w="1215"/>
        <w:gridCol w:w="1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676" w:type="dxa"/>
            <w:tcBorders>
              <w:top w:val="single" w:color="000000" w:sz="4" w:space="0"/>
              <w:left w:val="single" w:color="000000" w:sz="4" w:space="0"/>
            </w:tcBorders>
            <w:vAlign w:val="center"/>
          </w:tcPr>
          <w:p>
            <w:pPr>
              <w:pStyle w:val="24"/>
              <w:jc w:val="center"/>
              <w:rPr>
                <w:sz w:val="22"/>
                <w:szCs w:val="22"/>
                <w:highlight w:val="none"/>
              </w:rPr>
            </w:pPr>
            <w:r>
              <w:rPr>
                <w:b/>
                <w:bCs/>
                <w:spacing w:val="-6"/>
                <w:sz w:val="22"/>
                <w:szCs w:val="22"/>
                <w:highlight w:val="none"/>
              </w:rPr>
              <w:t>序号</w:t>
            </w:r>
          </w:p>
        </w:tc>
        <w:tc>
          <w:tcPr>
            <w:tcW w:w="1555" w:type="dxa"/>
            <w:tcBorders>
              <w:top w:val="single" w:color="000000" w:sz="4" w:space="0"/>
            </w:tcBorders>
            <w:vAlign w:val="center"/>
          </w:tcPr>
          <w:p>
            <w:pPr>
              <w:pStyle w:val="24"/>
              <w:jc w:val="center"/>
              <w:rPr>
                <w:highlight w:val="none"/>
              </w:rPr>
            </w:pPr>
            <w:r>
              <w:rPr>
                <w:b/>
                <w:bCs/>
                <w:spacing w:val="-9"/>
                <w:highlight w:val="none"/>
              </w:rPr>
              <w:t>名称</w:t>
            </w:r>
          </w:p>
        </w:tc>
        <w:tc>
          <w:tcPr>
            <w:tcW w:w="3837" w:type="dxa"/>
            <w:tcBorders>
              <w:top w:val="single" w:color="000000" w:sz="4" w:space="0"/>
            </w:tcBorders>
            <w:vAlign w:val="center"/>
          </w:tcPr>
          <w:p>
            <w:pPr>
              <w:pStyle w:val="24"/>
              <w:jc w:val="center"/>
              <w:rPr>
                <w:highlight w:val="none"/>
              </w:rPr>
            </w:pPr>
            <w:r>
              <w:rPr>
                <w:b/>
                <w:bCs/>
                <w:spacing w:val="-5"/>
                <w:highlight w:val="none"/>
              </w:rPr>
              <w:t>参数要求</w:t>
            </w:r>
          </w:p>
        </w:tc>
        <w:tc>
          <w:tcPr>
            <w:tcW w:w="645" w:type="dxa"/>
            <w:tcBorders>
              <w:top w:val="single" w:color="000000" w:sz="4" w:space="0"/>
            </w:tcBorders>
            <w:vAlign w:val="center"/>
          </w:tcPr>
          <w:p>
            <w:pPr>
              <w:pStyle w:val="24"/>
              <w:jc w:val="center"/>
              <w:rPr>
                <w:highlight w:val="none"/>
              </w:rPr>
            </w:pPr>
            <w:r>
              <w:rPr>
                <w:b/>
                <w:bCs/>
                <w:spacing w:val="-9"/>
                <w:highlight w:val="none"/>
              </w:rPr>
              <w:t>单位</w:t>
            </w:r>
          </w:p>
        </w:tc>
        <w:tc>
          <w:tcPr>
            <w:tcW w:w="660" w:type="dxa"/>
            <w:tcBorders>
              <w:top w:val="single" w:color="000000" w:sz="4" w:space="0"/>
            </w:tcBorders>
            <w:vAlign w:val="center"/>
          </w:tcPr>
          <w:p>
            <w:pPr>
              <w:pStyle w:val="24"/>
              <w:jc w:val="center"/>
              <w:rPr>
                <w:highlight w:val="none"/>
              </w:rPr>
            </w:pPr>
            <w:r>
              <w:rPr>
                <w:b/>
                <w:bCs/>
                <w:spacing w:val="-9"/>
                <w:highlight w:val="none"/>
              </w:rPr>
              <w:t>数量</w:t>
            </w:r>
          </w:p>
        </w:tc>
        <w:tc>
          <w:tcPr>
            <w:tcW w:w="1215" w:type="dxa"/>
            <w:tcBorders>
              <w:top w:val="single" w:color="000000" w:sz="4" w:space="0"/>
            </w:tcBorders>
            <w:vAlign w:val="center"/>
          </w:tcPr>
          <w:p>
            <w:pPr>
              <w:pStyle w:val="24"/>
              <w:jc w:val="center"/>
              <w:rPr>
                <w:b/>
                <w:bCs/>
                <w:spacing w:val="-9"/>
                <w:highlight w:val="none"/>
              </w:rPr>
            </w:pPr>
            <w:r>
              <w:rPr>
                <w:rFonts w:hint="eastAsia"/>
                <w:b/>
                <w:bCs/>
                <w:spacing w:val="-9"/>
                <w:highlight w:val="none"/>
              </w:rPr>
              <w:t>单价（元）</w:t>
            </w:r>
          </w:p>
        </w:tc>
        <w:tc>
          <w:tcPr>
            <w:tcW w:w="1080" w:type="dxa"/>
            <w:tcBorders>
              <w:top w:val="single" w:color="000000" w:sz="4" w:space="0"/>
            </w:tcBorders>
            <w:vAlign w:val="center"/>
          </w:tcPr>
          <w:p>
            <w:pPr>
              <w:pStyle w:val="24"/>
              <w:jc w:val="center"/>
              <w:rPr>
                <w:b/>
                <w:bCs/>
                <w:spacing w:val="-9"/>
                <w:highlight w:val="none"/>
              </w:rPr>
            </w:pPr>
            <w:r>
              <w:rPr>
                <w:rFonts w:hint="eastAsia"/>
                <w:b/>
                <w:bCs/>
                <w:spacing w:val="-9"/>
                <w:highlight w:val="none"/>
              </w:rPr>
              <w:t>总价（元）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1" w:hRule="atLeast"/>
        </w:trPr>
        <w:tc>
          <w:tcPr>
            <w:tcW w:w="676" w:type="dxa"/>
            <w:tcBorders>
              <w:left w:val="single" w:color="000000" w:sz="4" w:space="0"/>
            </w:tcBorders>
            <w:vAlign w:val="center"/>
          </w:tcPr>
          <w:p>
            <w:pPr>
              <w:pStyle w:val="24"/>
              <w:jc w:val="center"/>
              <w:rPr>
                <w:sz w:val="22"/>
                <w:szCs w:val="22"/>
                <w:highlight w:val="none"/>
              </w:rPr>
            </w:pPr>
            <w:r>
              <w:rPr>
                <w:rFonts w:hint="eastAsia"/>
                <w:sz w:val="22"/>
                <w:szCs w:val="22"/>
                <w:highlight w:val="none"/>
              </w:rPr>
              <w:t>1</w:t>
            </w:r>
          </w:p>
        </w:tc>
        <w:tc>
          <w:tcPr>
            <w:tcW w:w="1555" w:type="dxa"/>
            <w:vAlign w:val="center"/>
          </w:tcPr>
          <w:p>
            <w:pPr>
              <w:pStyle w:val="24"/>
              <w:jc w:val="center"/>
              <w:rPr>
                <w:highlight w:val="none"/>
              </w:rPr>
            </w:pPr>
            <w:r>
              <w:rPr>
                <w:spacing w:val="-1"/>
                <w:highlight w:val="none"/>
              </w:rPr>
              <w:t>集中充电设施灭火装置</w:t>
            </w:r>
          </w:p>
        </w:tc>
        <w:tc>
          <w:tcPr>
            <w:tcW w:w="3837" w:type="dxa"/>
            <w:vAlign w:val="center"/>
          </w:tcPr>
          <w:p>
            <w:pPr>
              <w:pStyle w:val="24"/>
              <w:rPr>
                <w:sz w:val="20"/>
                <w:szCs w:val="20"/>
                <w:highlight w:val="none"/>
              </w:rPr>
            </w:pPr>
            <w:r>
              <w:rPr>
                <w:spacing w:val="1"/>
                <w:sz w:val="20"/>
                <w:szCs w:val="20"/>
                <w:highlight w:val="none"/>
              </w:rPr>
              <w:t>1）</w:t>
            </w:r>
            <w:r>
              <w:rPr>
                <w:spacing w:val="-55"/>
                <w:sz w:val="20"/>
                <w:szCs w:val="20"/>
                <w:highlight w:val="none"/>
              </w:rPr>
              <w:t xml:space="preserve"> </w:t>
            </w:r>
            <w:r>
              <w:rPr>
                <w:spacing w:val="1"/>
                <w:sz w:val="20"/>
                <w:szCs w:val="20"/>
                <w:highlight w:val="none"/>
              </w:rPr>
              <w:t>电源：</w:t>
            </w:r>
            <w:r>
              <w:rPr>
                <w:sz w:val="20"/>
                <w:szCs w:val="20"/>
                <w:highlight w:val="none"/>
              </w:rPr>
              <w:t>AC</w:t>
            </w:r>
            <w:r>
              <w:rPr>
                <w:spacing w:val="1"/>
                <w:sz w:val="20"/>
                <w:szCs w:val="20"/>
                <w:highlight w:val="none"/>
              </w:rPr>
              <w:t>220V</w:t>
            </w:r>
            <w:r>
              <w:rPr>
                <w:rFonts w:hint="eastAsia"/>
                <w:spacing w:val="1"/>
                <w:sz w:val="20"/>
                <w:szCs w:val="20"/>
                <w:highlight w:val="none"/>
              </w:rPr>
              <w:t>供电，断电时自动切换至备用电源</w:t>
            </w:r>
            <w:r>
              <w:rPr>
                <w:spacing w:val="1"/>
                <w:sz w:val="20"/>
                <w:szCs w:val="20"/>
                <w:highlight w:val="none"/>
              </w:rPr>
              <w:t xml:space="preserve"> ；</w:t>
            </w:r>
          </w:p>
          <w:p>
            <w:pPr>
              <w:pStyle w:val="24"/>
              <w:rPr>
                <w:spacing w:val="8"/>
                <w:sz w:val="20"/>
                <w:szCs w:val="20"/>
                <w:highlight w:val="none"/>
              </w:rPr>
            </w:pPr>
            <w:r>
              <w:rPr>
                <w:spacing w:val="8"/>
                <w:sz w:val="20"/>
                <w:szCs w:val="20"/>
                <w:highlight w:val="none"/>
              </w:rPr>
              <w:t>2）灭火剂填充量：大于</w:t>
            </w:r>
            <w:r>
              <w:rPr>
                <w:rFonts w:hint="eastAsia"/>
                <w:spacing w:val="8"/>
                <w:sz w:val="20"/>
                <w:szCs w:val="20"/>
                <w:highlight w:val="none"/>
              </w:rPr>
              <w:t>12</w:t>
            </w:r>
            <w:r>
              <w:rPr>
                <w:spacing w:val="8"/>
                <w:sz w:val="20"/>
                <w:szCs w:val="20"/>
                <w:highlight w:val="none"/>
              </w:rPr>
              <w:t>0</w:t>
            </w:r>
            <w:r>
              <w:rPr>
                <w:sz w:val="20"/>
                <w:szCs w:val="20"/>
                <w:highlight w:val="none"/>
              </w:rPr>
              <w:t>Kg</w:t>
            </w:r>
            <w:r>
              <w:rPr>
                <w:spacing w:val="8"/>
                <w:sz w:val="20"/>
                <w:szCs w:val="20"/>
                <w:highlight w:val="none"/>
              </w:rPr>
              <w:t>；</w:t>
            </w:r>
          </w:p>
          <w:p>
            <w:pPr>
              <w:pStyle w:val="24"/>
              <w:rPr>
                <w:spacing w:val="8"/>
                <w:sz w:val="20"/>
                <w:szCs w:val="20"/>
                <w:highlight w:val="none"/>
              </w:rPr>
            </w:pPr>
            <w:r>
              <w:rPr>
                <w:rFonts w:hint="eastAsia"/>
                <w:spacing w:val="8"/>
                <w:sz w:val="20"/>
                <w:szCs w:val="20"/>
                <w:highlight w:val="none"/>
              </w:rPr>
              <w:t>3</w:t>
            </w:r>
            <w:r>
              <w:rPr>
                <w:spacing w:val="8"/>
                <w:sz w:val="20"/>
                <w:szCs w:val="20"/>
                <w:highlight w:val="none"/>
              </w:rPr>
              <w:t>）灭火剂</w:t>
            </w:r>
            <w:r>
              <w:rPr>
                <w:rFonts w:hint="eastAsia"/>
                <w:spacing w:val="8"/>
                <w:sz w:val="20"/>
                <w:szCs w:val="20"/>
                <w:highlight w:val="none"/>
              </w:rPr>
              <w:t>效能：对锂电池起火有特殊灭火效能；</w:t>
            </w:r>
          </w:p>
          <w:p>
            <w:pPr>
              <w:pStyle w:val="24"/>
              <w:rPr>
                <w:sz w:val="20"/>
                <w:szCs w:val="20"/>
                <w:highlight w:val="none"/>
              </w:rPr>
            </w:pPr>
            <w:r>
              <w:rPr>
                <w:rFonts w:hint="eastAsia"/>
                <w:spacing w:val="6"/>
                <w:sz w:val="20"/>
                <w:szCs w:val="20"/>
                <w:highlight w:val="none"/>
              </w:rPr>
              <w:t>4</w:t>
            </w:r>
            <w:r>
              <w:rPr>
                <w:spacing w:val="6"/>
                <w:sz w:val="20"/>
                <w:szCs w:val="20"/>
                <w:highlight w:val="none"/>
              </w:rPr>
              <w:t>）使用温度：-2</w:t>
            </w:r>
            <w:r>
              <w:rPr>
                <w:rFonts w:hint="eastAsia"/>
                <w:spacing w:val="6"/>
                <w:sz w:val="20"/>
                <w:szCs w:val="20"/>
                <w:highlight w:val="none"/>
              </w:rPr>
              <w:t>0</w:t>
            </w:r>
            <w:r>
              <w:rPr>
                <w:spacing w:val="6"/>
                <w:sz w:val="20"/>
                <w:szCs w:val="20"/>
                <w:highlight w:val="none"/>
              </w:rPr>
              <w:t>℃ - 50℃</w:t>
            </w:r>
            <w:r>
              <w:rPr>
                <w:rFonts w:hint="eastAsia"/>
                <w:spacing w:val="6"/>
                <w:sz w:val="20"/>
                <w:szCs w:val="20"/>
                <w:highlight w:val="none"/>
              </w:rPr>
              <w:t>；</w:t>
            </w:r>
          </w:p>
          <w:p>
            <w:pPr>
              <w:pStyle w:val="24"/>
              <w:rPr>
                <w:spacing w:val="7"/>
                <w:sz w:val="20"/>
                <w:szCs w:val="20"/>
                <w:highlight w:val="none"/>
              </w:rPr>
            </w:pPr>
            <w:r>
              <w:rPr>
                <w:rFonts w:hint="eastAsia"/>
                <w:spacing w:val="7"/>
                <w:sz w:val="20"/>
                <w:szCs w:val="20"/>
                <w:highlight w:val="none"/>
              </w:rPr>
              <w:t>5</w:t>
            </w:r>
            <w:r>
              <w:rPr>
                <w:spacing w:val="7"/>
                <w:sz w:val="20"/>
                <w:szCs w:val="20"/>
                <w:highlight w:val="none"/>
              </w:rPr>
              <w:t>）有效喷射时间：大于1</w:t>
            </w:r>
            <w:r>
              <w:rPr>
                <w:rFonts w:hint="eastAsia"/>
                <w:spacing w:val="7"/>
                <w:sz w:val="20"/>
                <w:szCs w:val="20"/>
                <w:highlight w:val="none"/>
              </w:rPr>
              <w:t>5</w:t>
            </w:r>
            <w:r>
              <w:rPr>
                <w:spacing w:val="7"/>
                <w:sz w:val="20"/>
                <w:szCs w:val="20"/>
                <w:highlight w:val="none"/>
              </w:rPr>
              <w:t>0s</w:t>
            </w:r>
            <w:r>
              <w:rPr>
                <w:rFonts w:hint="eastAsia"/>
                <w:spacing w:val="7"/>
                <w:sz w:val="20"/>
                <w:szCs w:val="20"/>
                <w:highlight w:val="none"/>
              </w:rPr>
              <w:t>；</w:t>
            </w:r>
          </w:p>
          <w:p>
            <w:pPr>
              <w:pStyle w:val="24"/>
              <w:rPr>
                <w:spacing w:val="7"/>
                <w:sz w:val="20"/>
                <w:szCs w:val="20"/>
                <w:highlight w:val="none"/>
              </w:rPr>
            </w:pPr>
            <w:r>
              <w:rPr>
                <w:rFonts w:hint="eastAsia"/>
                <w:spacing w:val="7"/>
                <w:sz w:val="20"/>
                <w:szCs w:val="20"/>
                <w:highlight w:val="none"/>
              </w:rPr>
              <w:t>6) 启动方式：手动启动、自动启动、机械应急启动；</w:t>
            </w:r>
          </w:p>
          <w:p>
            <w:pPr>
              <w:pStyle w:val="24"/>
              <w:rPr>
                <w:color w:val="FF0000"/>
                <w:spacing w:val="7"/>
                <w:sz w:val="20"/>
                <w:szCs w:val="20"/>
                <w:highlight w:val="none"/>
              </w:rPr>
            </w:pPr>
            <w:r>
              <w:rPr>
                <w:rFonts w:hint="eastAsia"/>
                <w:spacing w:val="7"/>
                <w:sz w:val="20"/>
                <w:szCs w:val="20"/>
                <w:highlight w:val="none"/>
              </w:rPr>
              <w:t>7) 实时监测报警、压力等信号，发生异常时上传给管理平台并以短信/电话等形式通知给相应管理人员。</w:t>
            </w:r>
          </w:p>
        </w:tc>
        <w:tc>
          <w:tcPr>
            <w:tcW w:w="645" w:type="dxa"/>
            <w:vAlign w:val="center"/>
          </w:tcPr>
          <w:p>
            <w:pPr>
              <w:pStyle w:val="24"/>
              <w:jc w:val="center"/>
              <w:rPr>
                <w:highlight w:val="none"/>
              </w:rPr>
            </w:pPr>
            <w:r>
              <w:rPr>
                <w:highlight w:val="none"/>
              </w:rPr>
              <w:t>台</w:t>
            </w:r>
          </w:p>
        </w:tc>
        <w:tc>
          <w:tcPr>
            <w:tcW w:w="660" w:type="dxa"/>
            <w:vAlign w:val="center"/>
          </w:tcPr>
          <w:p>
            <w:pPr>
              <w:pStyle w:val="24"/>
              <w:jc w:val="center"/>
              <w:rPr>
                <w:highlight w:val="none"/>
              </w:rPr>
            </w:pPr>
            <w:r>
              <w:rPr>
                <w:rFonts w:hint="eastAsia"/>
                <w:highlight w:val="none"/>
              </w:rPr>
              <w:t>2</w:t>
            </w:r>
          </w:p>
        </w:tc>
        <w:tc>
          <w:tcPr>
            <w:tcW w:w="1215" w:type="dxa"/>
            <w:vAlign w:val="center"/>
          </w:tcPr>
          <w:p>
            <w:pPr>
              <w:pStyle w:val="24"/>
              <w:jc w:val="center"/>
              <w:rPr>
                <w:highlight w:val="none"/>
              </w:rPr>
            </w:pPr>
          </w:p>
        </w:tc>
        <w:tc>
          <w:tcPr>
            <w:tcW w:w="1080" w:type="dxa"/>
            <w:vAlign w:val="center"/>
          </w:tcPr>
          <w:p>
            <w:pPr>
              <w:pStyle w:val="24"/>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76" w:type="dxa"/>
            <w:tcBorders>
              <w:left w:val="single" w:color="000000" w:sz="4" w:space="0"/>
            </w:tcBorders>
            <w:vAlign w:val="center"/>
          </w:tcPr>
          <w:p>
            <w:pPr>
              <w:pStyle w:val="24"/>
              <w:jc w:val="center"/>
              <w:rPr>
                <w:sz w:val="22"/>
                <w:szCs w:val="22"/>
                <w:highlight w:val="none"/>
              </w:rPr>
            </w:pPr>
          </w:p>
          <w:p>
            <w:pPr>
              <w:pStyle w:val="24"/>
              <w:jc w:val="center"/>
              <w:rPr>
                <w:sz w:val="22"/>
                <w:szCs w:val="22"/>
                <w:highlight w:val="none"/>
              </w:rPr>
            </w:pPr>
            <w:r>
              <w:rPr>
                <w:rFonts w:hint="eastAsia"/>
                <w:sz w:val="22"/>
                <w:szCs w:val="22"/>
                <w:highlight w:val="none"/>
              </w:rPr>
              <w:t>2</w:t>
            </w:r>
          </w:p>
        </w:tc>
        <w:tc>
          <w:tcPr>
            <w:tcW w:w="1555" w:type="dxa"/>
            <w:vAlign w:val="center"/>
          </w:tcPr>
          <w:p>
            <w:pPr>
              <w:pStyle w:val="24"/>
              <w:jc w:val="center"/>
              <w:rPr>
                <w:spacing w:val="-1"/>
                <w:highlight w:val="none"/>
              </w:rPr>
            </w:pPr>
            <w:r>
              <w:rPr>
                <w:spacing w:val="-1"/>
                <w:highlight w:val="none"/>
              </w:rPr>
              <w:t>消防报警主机</w:t>
            </w:r>
          </w:p>
        </w:tc>
        <w:tc>
          <w:tcPr>
            <w:tcW w:w="3837" w:type="dxa"/>
          </w:tcPr>
          <w:p>
            <w:pPr>
              <w:pStyle w:val="24"/>
              <w:rPr>
                <w:spacing w:val="7"/>
                <w:sz w:val="20"/>
                <w:szCs w:val="20"/>
                <w:highlight w:val="none"/>
              </w:rPr>
            </w:pPr>
            <w:r>
              <w:rPr>
                <w:rFonts w:hint="eastAsia"/>
                <w:spacing w:val="7"/>
                <w:sz w:val="20"/>
                <w:szCs w:val="20"/>
                <w:highlight w:val="none"/>
              </w:rPr>
              <w:t>1）执⾏标准:GB4717-2005《⽕灾 报警控制器》</w:t>
            </w:r>
          </w:p>
        </w:tc>
        <w:tc>
          <w:tcPr>
            <w:tcW w:w="645" w:type="dxa"/>
            <w:vAlign w:val="center"/>
          </w:tcPr>
          <w:p>
            <w:pPr>
              <w:pStyle w:val="24"/>
              <w:jc w:val="center"/>
              <w:rPr>
                <w:highlight w:val="none"/>
              </w:rPr>
            </w:pPr>
            <w:r>
              <w:rPr>
                <w:rFonts w:hint="eastAsia"/>
                <w:highlight w:val="none"/>
              </w:rPr>
              <w:t>台</w:t>
            </w:r>
          </w:p>
        </w:tc>
        <w:tc>
          <w:tcPr>
            <w:tcW w:w="660" w:type="dxa"/>
            <w:vAlign w:val="center"/>
          </w:tcPr>
          <w:p>
            <w:pPr>
              <w:pStyle w:val="24"/>
              <w:jc w:val="center"/>
              <w:rPr>
                <w:highlight w:val="none"/>
              </w:rPr>
            </w:pPr>
            <w:r>
              <w:rPr>
                <w:rFonts w:hint="eastAsia"/>
                <w:highlight w:val="none"/>
              </w:rPr>
              <w:t>2</w:t>
            </w:r>
          </w:p>
        </w:tc>
        <w:tc>
          <w:tcPr>
            <w:tcW w:w="1215" w:type="dxa"/>
            <w:vAlign w:val="center"/>
          </w:tcPr>
          <w:p>
            <w:pPr>
              <w:pStyle w:val="24"/>
              <w:jc w:val="center"/>
              <w:rPr>
                <w:highlight w:val="none"/>
              </w:rPr>
            </w:pPr>
          </w:p>
        </w:tc>
        <w:tc>
          <w:tcPr>
            <w:tcW w:w="1080" w:type="dxa"/>
            <w:vAlign w:val="center"/>
          </w:tcPr>
          <w:p>
            <w:pPr>
              <w:pStyle w:val="24"/>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6" w:type="dxa"/>
            <w:tcBorders>
              <w:left w:val="single" w:color="000000" w:sz="4" w:space="0"/>
            </w:tcBorders>
            <w:vAlign w:val="center"/>
          </w:tcPr>
          <w:p>
            <w:pPr>
              <w:pStyle w:val="24"/>
              <w:jc w:val="center"/>
              <w:rPr>
                <w:sz w:val="22"/>
                <w:szCs w:val="22"/>
                <w:highlight w:val="none"/>
              </w:rPr>
            </w:pPr>
          </w:p>
          <w:p>
            <w:pPr>
              <w:pStyle w:val="24"/>
              <w:jc w:val="center"/>
              <w:rPr>
                <w:sz w:val="22"/>
                <w:szCs w:val="22"/>
                <w:highlight w:val="none"/>
              </w:rPr>
            </w:pPr>
            <w:r>
              <w:rPr>
                <w:rFonts w:hint="eastAsia"/>
                <w:sz w:val="22"/>
                <w:szCs w:val="22"/>
                <w:highlight w:val="none"/>
              </w:rPr>
              <w:t>3</w:t>
            </w:r>
          </w:p>
        </w:tc>
        <w:tc>
          <w:tcPr>
            <w:tcW w:w="1555" w:type="dxa"/>
            <w:vAlign w:val="center"/>
          </w:tcPr>
          <w:p>
            <w:pPr>
              <w:pStyle w:val="24"/>
              <w:jc w:val="center"/>
              <w:rPr>
                <w:spacing w:val="-1"/>
                <w:highlight w:val="none"/>
              </w:rPr>
            </w:pPr>
            <w:r>
              <w:rPr>
                <w:spacing w:val="-1"/>
                <w:highlight w:val="none"/>
              </w:rPr>
              <w:t>感烟探测器</w:t>
            </w:r>
          </w:p>
        </w:tc>
        <w:tc>
          <w:tcPr>
            <w:tcW w:w="3837" w:type="dxa"/>
          </w:tcPr>
          <w:p>
            <w:pPr>
              <w:pStyle w:val="24"/>
              <w:rPr>
                <w:spacing w:val="7"/>
                <w:sz w:val="20"/>
                <w:szCs w:val="20"/>
                <w:highlight w:val="none"/>
              </w:rPr>
            </w:pPr>
            <w:r>
              <w:rPr>
                <w:rFonts w:hint="eastAsia"/>
                <w:spacing w:val="7"/>
                <w:sz w:val="20"/>
                <w:szCs w:val="20"/>
                <w:highlight w:val="none"/>
              </w:rPr>
              <w:t>1）执行标准:GB4715-2005、</w:t>
            </w:r>
          </w:p>
          <w:p>
            <w:pPr>
              <w:pStyle w:val="24"/>
              <w:rPr>
                <w:spacing w:val="7"/>
                <w:sz w:val="20"/>
                <w:szCs w:val="20"/>
                <w:highlight w:val="none"/>
              </w:rPr>
            </w:pPr>
            <w:r>
              <w:rPr>
                <w:rFonts w:hint="eastAsia"/>
                <w:spacing w:val="7"/>
                <w:sz w:val="20"/>
                <w:szCs w:val="20"/>
                <w:highlight w:val="none"/>
              </w:rPr>
              <w:t>GB/T0836.1-2021、GB/T3836.4- 2021</w:t>
            </w:r>
          </w:p>
        </w:tc>
        <w:tc>
          <w:tcPr>
            <w:tcW w:w="645" w:type="dxa"/>
            <w:vAlign w:val="center"/>
          </w:tcPr>
          <w:p>
            <w:pPr>
              <w:pStyle w:val="24"/>
              <w:jc w:val="center"/>
              <w:rPr>
                <w:highlight w:val="none"/>
              </w:rPr>
            </w:pPr>
            <w:r>
              <w:rPr>
                <w:rFonts w:hint="eastAsia"/>
                <w:highlight w:val="none"/>
              </w:rPr>
              <w:t>套</w:t>
            </w:r>
          </w:p>
        </w:tc>
        <w:tc>
          <w:tcPr>
            <w:tcW w:w="660" w:type="dxa"/>
            <w:vAlign w:val="center"/>
          </w:tcPr>
          <w:p>
            <w:pPr>
              <w:pStyle w:val="24"/>
              <w:jc w:val="center"/>
              <w:rPr>
                <w:highlight w:val="none"/>
              </w:rPr>
            </w:pPr>
            <w:r>
              <w:rPr>
                <w:rFonts w:hint="eastAsia"/>
                <w:highlight w:val="none"/>
              </w:rPr>
              <w:t>20</w:t>
            </w:r>
          </w:p>
        </w:tc>
        <w:tc>
          <w:tcPr>
            <w:tcW w:w="1215" w:type="dxa"/>
            <w:vAlign w:val="center"/>
          </w:tcPr>
          <w:p>
            <w:pPr>
              <w:pStyle w:val="24"/>
              <w:jc w:val="center"/>
              <w:rPr>
                <w:highlight w:val="none"/>
              </w:rPr>
            </w:pPr>
          </w:p>
        </w:tc>
        <w:tc>
          <w:tcPr>
            <w:tcW w:w="1080" w:type="dxa"/>
            <w:vAlign w:val="center"/>
          </w:tcPr>
          <w:p>
            <w:pPr>
              <w:pStyle w:val="24"/>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676" w:type="dxa"/>
            <w:tcBorders>
              <w:left w:val="single" w:color="000000" w:sz="4" w:space="0"/>
            </w:tcBorders>
            <w:vAlign w:val="center"/>
          </w:tcPr>
          <w:p>
            <w:pPr>
              <w:pStyle w:val="24"/>
              <w:jc w:val="center"/>
              <w:rPr>
                <w:sz w:val="22"/>
                <w:szCs w:val="22"/>
                <w:highlight w:val="none"/>
              </w:rPr>
            </w:pPr>
          </w:p>
          <w:p>
            <w:pPr>
              <w:pStyle w:val="24"/>
              <w:jc w:val="center"/>
              <w:rPr>
                <w:sz w:val="22"/>
                <w:szCs w:val="22"/>
                <w:highlight w:val="none"/>
              </w:rPr>
            </w:pPr>
            <w:r>
              <w:rPr>
                <w:rFonts w:hint="eastAsia"/>
                <w:sz w:val="22"/>
                <w:szCs w:val="22"/>
                <w:highlight w:val="none"/>
              </w:rPr>
              <w:t>4</w:t>
            </w:r>
          </w:p>
        </w:tc>
        <w:tc>
          <w:tcPr>
            <w:tcW w:w="1555" w:type="dxa"/>
            <w:vAlign w:val="center"/>
          </w:tcPr>
          <w:p>
            <w:pPr>
              <w:pStyle w:val="24"/>
              <w:jc w:val="center"/>
              <w:rPr>
                <w:spacing w:val="-1"/>
                <w:highlight w:val="none"/>
              </w:rPr>
            </w:pPr>
            <w:r>
              <w:rPr>
                <w:spacing w:val="-1"/>
                <w:highlight w:val="none"/>
              </w:rPr>
              <w:t>感温探测器</w:t>
            </w:r>
          </w:p>
        </w:tc>
        <w:tc>
          <w:tcPr>
            <w:tcW w:w="3837" w:type="dxa"/>
          </w:tcPr>
          <w:p>
            <w:pPr>
              <w:pStyle w:val="24"/>
              <w:rPr>
                <w:spacing w:val="7"/>
                <w:sz w:val="20"/>
                <w:szCs w:val="20"/>
                <w:highlight w:val="none"/>
              </w:rPr>
            </w:pPr>
            <w:r>
              <w:rPr>
                <w:rFonts w:hint="eastAsia"/>
                <w:spacing w:val="7"/>
                <w:sz w:val="20"/>
                <w:szCs w:val="20"/>
                <w:highlight w:val="none"/>
              </w:rPr>
              <w:t>1）执行标准:GB4716-2005、</w:t>
            </w:r>
          </w:p>
          <w:p>
            <w:pPr>
              <w:pStyle w:val="24"/>
              <w:rPr>
                <w:spacing w:val="7"/>
                <w:sz w:val="20"/>
                <w:szCs w:val="20"/>
                <w:highlight w:val="none"/>
              </w:rPr>
            </w:pPr>
            <w:r>
              <w:rPr>
                <w:rFonts w:hint="eastAsia"/>
                <w:spacing w:val="7"/>
                <w:sz w:val="20"/>
                <w:szCs w:val="20"/>
                <w:highlight w:val="none"/>
              </w:rPr>
              <w:t>GB/T3836.1-2021、GB/T3836.4- 2021</w:t>
            </w:r>
          </w:p>
        </w:tc>
        <w:tc>
          <w:tcPr>
            <w:tcW w:w="645" w:type="dxa"/>
            <w:vAlign w:val="center"/>
          </w:tcPr>
          <w:p>
            <w:pPr>
              <w:pStyle w:val="24"/>
              <w:jc w:val="center"/>
              <w:rPr>
                <w:highlight w:val="none"/>
              </w:rPr>
            </w:pPr>
            <w:r>
              <w:rPr>
                <w:rFonts w:hint="eastAsia"/>
                <w:highlight w:val="none"/>
              </w:rPr>
              <w:t>套</w:t>
            </w:r>
          </w:p>
        </w:tc>
        <w:tc>
          <w:tcPr>
            <w:tcW w:w="660" w:type="dxa"/>
            <w:vAlign w:val="center"/>
          </w:tcPr>
          <w:p>
            <w:pPr>
              <w:pStyle w:val="24"/>
              <w:jc w:val="center"/>
              <w:rPr>
                <w:highlight w:val="none"/>
              </w:rPr>
            </w:pPr>
            <w:r>
              <w:rPr>
                <w:rFonts w:hint="eastAsia"/>
                <w:highlight w:val="none"/>
              </w:rPr>
              <w:t>20</w:t>
            </w:r>
          </w:p>
        </w:tc>
        <w:tc>
          <w:tcPr>
            <w:tcW w:w="1215" w:type="dxa"/>
            <w:vAlign w:val="center"/>
          </w:tcPr>
          <w:p>
            <w:pPr>
              <w:pStyle w:val="24"/>
              <w:jc w:val="center"/>
              <w:rPr>
                <w:highlight w:val="none"/>
              </w:rPr>
            </w:pPr>
          </w:p>
        </w:tc>
        <w:tc>
          <w:tcPr>
            <w:tcW w:w="1080" w:type="dxa"/>
            <w:vAlign w:val="center"/>
          </w:tcPr>
          <w:p>
            <w:pPr>
              <w:pStyle w:val="24"/>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676" w:type="dxa"/>
            <w:tcBorders>
              <w:left w:val="single" w:color="000000" w:sz="4" w:space="0"/>
            </w:tcBorders>
            <w:vAlign w:val="center"/>
          </w:tcPr>
          <w:p>
            <w:pPr>
              <w:pStyle w:val="24"/>
              <w:jc w:val="center"/>
              <w:rPr>
                <w:sz w:val="22"/>
                <w:szCs w:val="22"/>
                <w:highlight w:val="none"/>
              </w:rPr>
            </w:pPr>
          </w:p>
          <w:p>
            <w:pPr>
              <w:pStyle w:val="24"/>
              <w:jc w:val="center"/>
              <w:rPr>
                <w:sz w:val="22"/>
                <w:szCs w:val="22"/>
                <w:highlight w:val="none"/>
              </w:rPr>
            </w:pPr>
          </w:p>
          <w:p>
            <w:pPr>
              <w:pStyle w:val="24"/>
              <w:jc w:val="center"/>
              <w:rPr>
                <w:sz w:val="22"/>
                <w:szCs w:val="22"/>
                <w:highlight w:val="none"/>
              </w:rPr>
            </w:pPr>
          </w:p>
          <w:p>
            <w:pPr>
              <w:pStyle w:val="24"/>
              <w:jc w:val="center"/>
              <w:rPr>
                <w:sz w:val="22"/>
                <w:szCs w:val="22"/>
                <w:highlight w:val="none"/>
              </w:rPr>
            </w:pPr>
            <w:r>
              <w:rPr>
                <w:rFonts w:hint="eastAsia"/>
                <w:sz w:val="22"/>
                <w:szCs w:val="22"/>
                <w:highlight w:val="none"/>
              </w:rPr>
              <w:t>5</w:t>
            </w:r>
          </w:p>
        </w:tc>
        <w:tc>
          <w:tcPr>
            <w:tcW w:w="1555" w:type="dxa"/>
            <w:vAlign w:val="center"/>
          </w:tcPr>
          <w:p>
            <w:pPr>
              <w:pStyle w:val="24"/>
              <w:jc w:val="center"/>
              <w:rPr>
                <w:spacing w:val="-1"/>
                <w:highlight w:val="none"/>
              </w:rPr>
            </w:pPr>
            <w:r>
              <w:rPr>
                <w:spacing w:val="-1"/>
                <w:highlight w:val="none"/>
              </w:rPr>
              <w:t>手动报警按钮</w:t>
            </w:r>
          </w:p>
        </w:tc>
        <w:tc>
          <w:tcPr>
            <w:tcW w:w="3837" w:type="dxa"/>
          </w:tcPr>
          <w:p>
            <w:pPr>
              <w:pStyle w:val="24"/>
              <w:rPr>
                <w:spacing w:val="7"/>
                <w:sz w:val="20"/>
                <w:szCs w:val="20"/>
                <w:highlight w:val="none"/>
              </w:rPr>
            </w:pPr>
            <w:r>
              <w:rPr>
                <w:rFonts w:hint="eastAsia"/>
                <w:spacing w:val="7"/>
                <w:sz w:val="20"/>
                <w:szCs w:val="20"/>
                <w:highlight w:val="none"/>
              </w:rPr>
              <w:t>1）启动零件型式：可重复使用型；</w:t>
            </w:r>
          </w:p>
          <w:p>
            <w:pPr>
              <w:pStyle w:val="24"/>
              <w:rPr>
                <w:spacing w:val="7"/>
                <w:sz w:val="20"/>
                <w:szCs w:val="20"/>
                <w:highlight w:val="none"/>
              </w:rPr>
            </w:pPr>
            <w:r>
              <w:rPr>
                <w:rFonts w:hint="eastAsia"/>
                <w:spacing w:val="7"/>
                <w:sz w:val="20"/>
                <w:szCs w:val="20"/>
                <w:highlight w:val="none"/>
              </w:rPr>
              <w:t>2）启动方式：人工按下按片；</w:t>
            </w:r>
          </w:p>
          <w:p>
            <w:pPr>
              <w:pStyle w:val="24"/>
              <w:rPr>
                <w:spacing w:val="7"/>
                <w:sz w:val="20"/>
                <w:szCs w:val="20"/>
                <w:highlight w:val="none"/>
              </w:rPr>
            </w:pPr>
            <w:r>
              <w:rPr>
                <w:rFonts w:hint="eastAsia"/>
                <w:spacing w:val="7"/>
                <w:sz w:val="20"/>
                <w:szCs w:val="20"/>
                <w:highlight w:val="none"/>
              </w:rPr>
              <w:t>3）复位方式：用专用钥匙复位；</w:t>
            </w:r>
          </w:p>
          <w:p>
            <w:pPr>
              <w:pStyle w:val="24"/>
              <w:rPr>
                <w:spacing w:val="7"/>
                <w:sz w:val="20"/>
                <w:szCs w:val="20"/>
                <w:highlight w:val="none"/>
              </w:rPr>
            </w:pPr>
            <w:r>
              <w:rPr>
                <w:rFonts w:hint="eastAsia"/>
                <w:spacing w:val="7"/>
                <w:sz w:val="20"/>
                <w:szCs w:val="20"/>
                <w:highlight w:val="none"/>
              </w:rPr>
              <w:t>4）执行标准：GB 19880-2005。</w:t>
            </w:r>
          </w:p>
        </w:tc>
        <w:tc>
          <w:tcPr>
            <w:tcW w:w="645" w:type="dxa"/>
            <w:vAlign w:val="center"/>
          </w:tcPr>
          <w:p>
            <w:pPr>
              <w:pStyle w:val="24"/>
              <w:jc w:val="center"/>
              <w:rPr>
                <w:highlight w:val="none"/>
              </w:rPr>
            </w:pPr>
            <w:r>
              <w:rPr>
                <w:rFonts w:hint="eastAsia"/>
                <w:highlight w:val="none"/>
              </w:rPr>
              <w:t>套</w:t>
            </w:r>
          </w:p>
        </w:tc>
        <w:tc>
          <w:tcPr>
            <w:tcW w:w="660" w:type="dxa"/>
            <w:vAlign w:val="center"/>
          </w:tcPr>
          <w:p>
            <w:pPr>
              <w:pStyle w:val="24"/>
              <w:jc w:val="center"/>
              <w:rPr>
                <w:highlight w:val="none"/>
              </w:rPr>
            </w:pPr>
            <w:r>
              <w:rPr>
                <w:rFonts w:hint="eastAsia"/>
                <w:highlight w:val="none"/>
              </w:rPr>
              <w:t>2</w:t>
            </w:r>
          </w:p>
        </w:tc>
        <w:tc>
          <w:tcPr>
            <w:tcW w:w="1215" w:type="dxa"/>
            <w:vAlign w:val="center"/>
          </w:tcPr>
          <w:p>
            <w:pPr>
              <w:pStyle w:val="24"/>
              <w:jc w:val="center"/>
              <w:rPr>
                <w:highlight w:val="none"/>
              </w:rPr>
            </w:pPr>
          </w:p>
        </w:tc>
        <w:tc>
          <w:tcPr>
            <w:tcW w:w="1080" w:type="dxa"/>
            <w:vAlign w:val="center"/>
          </w:tcPr>
          <w:p>
            <w:pPr>
              <w:pStyle w:val="24"/>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676" w:type="dxa"/>
            <w:tcBorders>
              <w:left w:val="single" w:color="000000" w:sz="4" w:space="0"/>
            </w:tcBorders>
            <w:vAlign w:val="center"/>
          </w:tcPr>
          <w:p>
            <w:pPr>
              <w:pStyle w:val="24"/>
              <w:jc w:val="center"/>
              <w:rPr>
                <w:sz w:val="22"/>
                <w:szCs w:val="22"/>
                <w:highlight w:val="none"/>
              </w:rPr>
            </w:pPr>
          </w:p>
          <w:p>
            <w:pPr>
              <w:pStyle w:val="24"/>
              <w:jc w:val="center"/>
              <w:rPr>
                <w:sz w:val="22"/>
                <w:szCs w:val="22"/>
                <w:highlight w:val="none"/>
              </w:rPr>
            </w:pPr>
          </w:p>
          <w:p>
            <w:pPr>
              <w:pStyle w:val="24"/>
              <w:jc w:val="center"/>
              <w:rPr>
                <w:sz w:val="22"/>
                <w:szCs w:val="22"/>
                <w:highlight w:val="none"/>
              </w:rPr>
            </w:pPr>
            <w:r>
              <w:rPr>
                <w:rFonts w:hint="eastAsia"/>
                <w:sz w:val="22"/>
                <w:szCs w:val="22"/>
                <w:highlight w:val="none"/>
              </w:rPr>
              <w:t>6</w:t>
            </w:r>
          </w:p>
        </w:tc>
        <w:tc>
          <w:tcPr>
            <w:tcW w:w="1555" w:type="dxa"/>
            <w:vAlign w:val="center"/>
          </w:tcPr>
          <w:p>
            <w:pPr>
              <w:jc w:val="center"/>
              <w:rPr>
                <w:rFonts w:ascii="宋体" w:hAnsi="宋体" w:cs="宋体"/>
                <w:spacing w:val="-1"/>
                <w:sz w:val="24"/>
                <w:highlight w:val="none"/>
              </w:rPr>
            </w:pPr>
          </w:p>
          <w:p>
            <w:pPr>
              <w:jc w:val="center"/>
              <w:rPr>
                <w:rFonts w:ascii="宋体" w:hAnsi="宋体" w:cs="宋体"/>
                <w:spacing w:val="-1"/>
                <w:sz w:val="24"/>
                <w:highlight w:val="none"/>
              </w:rPr>
            </w:pPr>
          </w:p>
          <w:p>
            <w:pPr>
              <w:pStyle w:val="24"/>
              <w:jc w:val="center"/>
              <w:rPr>
                <w:spacing w:val="-1"/>
                <w:highlight w:val="none"/>
              </w:rPr>
            </w:pPr>
            <w:r>
              <w:rPr>
                <w:spacing w:val="-1"/>
                <w:highlight w:val="none"/>
              </w:rPr>
              <w:t>声光警报器</w:t>
            </w:r>
          </w:p>
        </w:tc>
        <w:tc>
          <w:tcPr>
            <w:tcW w:w="3837" w:type="dxa"/>
          </w:tcPr>
          <w:p>
            <w:pPr>
              <w:pStyle w:val="24"/>
              <w:rPr>
                <w:spacing w:val="7"/>
                <w:sz w:val="20"/>
                <w:szCs w:val="20"/>
                <w:highlight w:val="none"/>
              </w:rPr>
            </w:pPr>
            <w:r>
              <w:rPr>
                <w:rFonts w:hint="eastAsia"/>
                <w:spacing w:val="7"/>
                <w:sz w:val="20"/>
                <w:szCs w:val="20"/>
                <w:highlight w:val="none"/>
              </w:rPr>
              <w:t>1）声压级不应小于60dB，在环境  噪声大于60dB的场所，其声压级应 高于背景噪声15dB；</w:t>
            </w:r>
          </w:p>
          <w:p>
            <w:pPr>
              <w:pStyle w:val="24"/>
              <w:rPr>
                <w:spacing w:val="7"/>
                <w:sz w:val="20"/>
                <w:szCs w:val="20"/>
                <w:highlight w:val="none"/>
              </w:rPr>
            </w:pPr>
            <w:r>
              <w:rPr>
                <w:rFonts w:hint="eastAsia"/>
                <w:spacing w:val="7"/>
                <w:sz w:val="20"/>
                <w:szCs w:val="20"/>
                <w:highlight w:val="none"/>
              </w:rPr>
              <w:t>2） 电源总线电压：DC24V。</w:t>
            </w:r>
          </w:p>
        </w:tc>
        <w:tc>
          <w:tcPr>
            <w:tcW w:w="645" w:type="dxa"/>
            <w:vAlign w:val="center"/>
          </w:tcPr>
          <w:p>
            <w:pPr>
              <w:pStyle w:val="24"/>
              <w:jc w:val="center"/>
              <w:rPr>
                <w:highlight w:val="none"/>
              </w:rPr>
            </w:pPr>
            <w:r>
              <w:rPr>
                <w:rFonts w:hint="eastAsia"/>
                <w:highlight w:val="none"/>
              </w:rPr>
              <w:t>套</w:t>
            </w:r>
          </w:p>
        </w:tc>
        <w:tc>
          <w:tcPr>
            <w:tcW w:w="660" w:type="dxa"/>
            <w:vAlign w:val="center"/>
          </w:tcPr>
          <w:p>
            <w:pPr>
              <w:pStyle w:val="24"/>
              <w:jc w:val="center"/>
              <w:rPr>
                <w:highlight w:val="none"/>
              </w:rPr>
            </w:pPr>
            <w:r>
              <w:rPr>
                <w:rFonts w:hint="eastAsia"/>
                <w:highlight w:val="none"/>
              </w:rPr>
              <w:t>2</w:t>
            </w:r>
          </w:p>
        </w:tc>
        <w:tc>
          <w:tcPr>
            <w:tcW w:w="1215" w:type="dxa"/>
            <w:vAlign w:val="center"/>
          </w:tcPr>
          <w:p>
            <w:pPr>
              <w:pStyle w:val="24"/>
              <w:jc w:val="center"/>
              <w:rPr>
                <w:highlight w:val="none"/>
              </w:rPr>
            </w:pPr>
          </w:p>
        </w:tc>
        <w:tc>
          <w:tcPr>
            <w:tcW w:w="1080" w:type="dxa"/>
            <w:vAlign w:val="center"/>
          </w:tcPr>
          <w:p>
            <w:pPr>
              <w:pStyle w:val="24"/>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9668" w:type="dxa"/>
            <w:gridSpan w:val="7"/>
            <w:tcBorders>
              <w:left w:val="single" w:color="000000" w:sz="4" w:space="0"/>
            </w:tcBorders>
            <w:vAlign w:val="center"/>
          </w:tcPr>
          <w:p>
            <w:pPr>
              <w:pStyle w:val="24"/>
              <w:jc w:val="center"/>
              <w:rPr>
                <w:highlight w:val="none"/>
              </w:rPr>
            </w:pPr>
            <w:r>
              <w:rPr>
                <w:rFonts w:hint="eastAsia"/>
                <w:highlight w:val="none"/>
              </w:rPr>
              <w:t>总价：大写人民币         （小写：      ）</w:t>
            </w:r>
          </w:p>
        </w:tc>
      </w:tr>
    </w:tbl>
    <w:p>
      <w:pPr>
        <w:shd w:val="clear" w:color="auto" w:fill="FFFFFF"/>
        <w:rPr>
          <w:rFonts w:ascii="宋体" w:hAnsi="宋体" w:cs="宋体"/>
          <w:color w:val="333333"/>
          <w:kern w:val="0"/>
          <w:szCs w:val="21"/>
          <w:highlight w:val="none"/>
        </w:rPr>
      </w:pPr>
      <w:r>
        <w:rPr>
          <w:rFonts w:hint="eastAsia" w:ascii="宋体" w:hAnsi="宋体" w:cs="宋体"/>
          <w:color w:val="333333"/>
          <w:kern w:val="0"/>
          <w:sz w:val="28"/>
          <w:szCs w:val="28"/>
          <w:highlight w:val="none"/>
        </w:rPr>
        <w:t>报价单位盖章：</w:t>
      </w:r>
      <w:r>
        <w:rPr>
          <w:rFonts w:hint="eastAsia" w:ascii="宋体" w:hAnsi="宋体" w:cs="宋体"/>
          <w:color w:val="333333"/>
          <w:kern w:val="0"/>
          <w:sz w:val="28"/>
          <w:szCs w:val="28"/>
          <w:highlight w:val="none"/>
          <w:u w:val="single"/>
        </w:rPr>
        <w:t>　　　　　　　　</w:t>
      </w:r>
      <w:r>
        <w:rPr>
          <w:rFonts w:hint="eastAsia" w:ascii="宋体" w:hAnsi="宋体" w:cs="宋体"/>
          <w:color w:val="333333"/>
          <w:kern w:val="0"/>
          <w:sz w:val="28"/>
          <w:szCs w:val="28"/>
          <w:highlight w:val="none"/>
        </w:rPr>
        <w:t>       </w:t>
      </w:r>
    </w:p>
    <w:p>
      <w:pPr>
        <w:shd w:val="clear" w:color="auto" w:fill="FFFFFF"/>
        <w:rPr>
          <w:rFonts w:ascii="宋体" w:hAnsi="宋体" w:cs="宋体"/>
          <w:color w:val="333333"/>
          <w:kern w:val="0"/>
          <w:szCs w:val="21"/>
          <w:highlight w:val="none"/>
        </w:rPr>
      </w:pPr>
      <w:r>
        <w:rPr>
          <w:rFonts w:hint="eastAsia" w:ascii="宋体" w:hAnsi="宋体" w:cs="宋体"/>
          <w:color w:val="333333"/>
          <w:kern w:val="0"/>
          <w:sz w:val="28"/>
          <w:szCs w:val="28"/>
          <w:highlight w:val="none"/>
        </w:rPr>
        <w:t>法定代表人签字或盖章：</w:t>
      </w:r>
      <w:r>
        <w:rPr>
          <w:rFonts w:hint="eastAsia" w:ascii="宋体" w:hAnsi="宋体" w:cs="宋体"/>
          <w:color w:val="333333"/>
          <w:kern w:val="0"/>
          <w:sz w:val="28"/>
          <w:szCs w:val="28"/>
          <w:highlight w:val="none"/>
          <w:u w:val="single"/>
        </w:rPr>
        <w:t>　　　　　　　　</w:t>
      </w:r>
    </w:p>
    <w:p>
      <w:pPr>
        <w:shd w:val="clear" w:color="auto" w:fill="FFFFFF"/>
        <w:rPr>
          <w:rFonts w:ascii="宋体" w:hAnsi="宋体" w:cs="宋体"/>
          <w:highlight w:val="none"/>
        </w:rPr>
      </w:pPr>
      <w:r>
        <w:rPr>
          <w:rFonts w:hint="eastAsia" w:ascii="宋体" w:hAnsi="宋体" w:cs="宋体"/>
          <w:color w:val="333333"/>
          <w:kern w:val="0"/>
          <w:sz w:val="28"/>
          <w:szCs w:val="28"/>
          <w:highlight w:val="none"/>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91CA4"/>
    <w:multiLevelType w:val="singleLevel"/>
    <w:tmpl w:val="FA391CA4"/>
    <w:lvl w:ilvl="0" w:tentative="0">
      <w:start w:val="1"/>
      <w:numFmt w:val="decimal"/>
      <w:suff w:val="nothing"/>
      <w:lvlText w:val="%1）"/>
      <w:lvlJc w:val="left"/>
    </w:lvl>
  </w:abstractNum>
  <w:abstractNum w:abstractNumId="1">
    <w:nsid w:val="08280E64"/>
    <w:multiLevelType w:val="singleLevel"/>
    <w:tmpl w:val="08280E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MGI1YWQxZjQwZmVjOTFmZDI1NDVhZTEyNmMyMDQifQ=="/>
  </w:docVars>
  <w:rsids>
    <w:rsidRoot w:val="00130D1F"/>
    <w:rsid w:val="0000070E"/>
    <w:rsid w:val="000A5A98"/>
    <w:rsid w:val="000E3FE8"/>
    <w:rsid w:val="00130D1F"/>
    <w:rsid w:val="001C395C"/>
    <w:rsid w:val="004A467E"/>
    <w:rsid w:val="004E5FEC"/>
    <w:rsid w:val="005F4F85"/>
    <w:rsid w:val="008744F9"/>
    <w:rsid w:val="009712C5"/>
    <w:rsid w:val="00993DC1"/>
    <w:rsid w:val="009B382E"/>
    <w:rsid w:val="00A21F25"/>
    <w:rsid w:val="00B55C09"/>
    <w:rsid w:val="00C14B91"/>
    <w:rsid w:val="00C22A36"/>
    <w:rsid w:val="00CC01FF"/>
    <w:rsid w:val="00CE39F9"/>
    <w:rsid w:val="00DA0F03"/>
    <w:rsid w:val="00F02894"/>
    <w:rsid w:val="019A7DA4"/>
    <w:rsid w:val="01D54D98"/>
    <w:rsid w:val="020F2550"/>
    <w:rsid w:val="02190038"/>
    <w:rsid w:val="0227318B"/>
    <w:rsid w:val="02BF15A4"/>
    <w:rsid w:val="03706AFD"/>
    <w:rsid w:val="03C26FAA"/>
    <w:rsid w:val="043A35D9"/>
    <w:rsid w:val="051E0804"/>
    <w:rsid w:val="05223E3A"/>
    <w:rsid w:val="05B12E32"/>
    <w:rsid w:val="05D921C5"/>
    <w:rsid w:val="06134FA9"/>
    <w:rsid w:val="07AF7E3A"/>
    <w:rsid w:val="07FD6DF7"/>
    <w:rsid w:val="08183C31"/>
    <w:rsid w:val="09D973F0"/>
    <w:rsid w:val="0AA96DC2"/>
    <w:rsid w:val="0AD6392F"/>
    <w:rsid w:val="0BB00968"/>
    <w:rsid w:val="0BC32105"/>
    <w:rsid w:val="0C790A16"/>
    <w:rsid w:val="0C866292"/>
    <w:rsid w:val="0D10137A"/>
    <w:rsid w:val="0D2A3ABE"/>
    <w:rsid w:val="0E1924B1"/>
    <w:rsid w:val="0E2126D9"/>
    <w:rsid w:val="0E8518F4"/>
    <w:rsid w:val="0ECE46F9"/>
    <w:rsid w:val="0F2108B7"/>
    <w:rsid w:val="0F340C24"/>
    <w:rsid w:val="0F362BEE"/>
    <w:rsid w:val="0F851480"/>
    <w:rsid w:val="0FDC3796"/>
    <w:rsid w:val="0FE501D1"/>
    <w:rsid w:val="101E4E0F"/>
    <w:rsid w:val="10392996"/>
    <w:rsid w:val="13347445"/>
    <w:rsid w:val="13877EBC"/>
    <w:rsid w:val="139B3968"/>
    <w:rsid w:val="13C62793"/>
    <w:rsid w:val="14593607"/>
    <w:rsid w:val="146855F8"/>
    <w:rsid w:val="149E246F"/>
    <w:rsid w:val="14D0319D"/>
    <w:rsid w:val="14ED1FA1"/>
    <w:rsid w:val="150C68CB"/>
    <w:rsid w:val="151C4634"/>
    <w:rsid w:val="15AF54A9"/>
    <w:rsid w:val="17CF598E"/>
    <w:rsid w:val="18186886"/>
    <w:rsid w:val="18E952A8"/>
    <w:rsid w:val="196A0064"/>
    <w:rsid w:val="19841664"/>
    <w:rsid w:val="1A2664F0"/>
    <w:rsid w:val="1A821DAF"/>
    <w:rsid w:val="1A8D3005"/>
    <w:rsid w:val="1BBD091F"/>
    <w:rsid w:val="1C76287C"/>
    <w:rsid w:val="1CE26164"/>
    <w:rsid w:val="1CEB5018"/>
    <w:rsid w:val="200866AA"/>
    <w:rsid w:val="201C33F5"/>
    <w:rsid w:val="202076CF"/>
    <w:rsid w:val="20AE4CDA"/>
    <w:rsid w:val="2177331E"/>
    <w:rsid w:val="22585C50"/>
    <w:rsid w:val="22DE117B"/>
    <w:rsid w:val="22F95B63"/>
    <w:rsid w:val="233C481F"/>
    <w:rsid w:val="23425BAE"/>
    <w:rsid w:val="24150BCD"/>
    <w:rsid w:val="241906BD"/>
    <w:rsid w:val="2480698E"/>
    <w:rsid w:val="24C3240F"/>
    <w:rsid w:val="25E40016"/>
    <w:rsid w:val="265754CC"/>
    <w:rsid w:val="268A58A2"/>
    <w:rsid w:val="278C564A"/>
    <w:rsid w:val="27EB55E2"/>
    <w:rsid w:val="2829226D"/>
    <w:rsid w:val="28667C49"/>
    <w:rsid w:val="29CE1F49"/>
    <w:rsid w:val="29D62BAC"/>
    <w:rsid w:val="2A2D3B25"/>
    <w:rsid w:val="2A2F2B56"/>
    <w:rsid w:val="2B12230A"/>
    <w:rsid w:val="2B5841C1"/>
    <w:rsid w:val="2B5D5BB3"/>
    <w:rsid w:val="2B6C5576"/>
    <w:rsid w:val="2B716468"/>
    <w:rsid w:val="2BED788C"/>
    <w:rsid w:val="2C46226B"/>
    <w:rsid w:val="2C475FE3"/>
    <w:rsid w:val="2C864D5D"/>
    <w:rsid w:val="2CC75629"/>
    <w:rsid w:val="2E33681F"/>
    <w:rsid w:val="2E982B26"/>
    <w:rsid w:val="2EEB534C"/>
    <w:rsid w:val="2F7610DD"/>
    <w:rsid w:val="2F823329"/>
    <w:rsid w:val="2FFD0E93"/>
    <w:rsid w:val="31E71DFA"/>
    <w:rsid w:val="32250B75"/>
    <w:rsid w:val="325E7BE3"/>
    <w:rsid w:val="33B65F28"/>
    <w:rsid w:val="33D11A89"/>
    <w:rsid w:val="33FD059E"/>
    <w:rsid w:val="347F27BE"/>
    <w:rsid w:val="348E2A01"/>
    <w:rsid w:val="34FF07BA"/>
    <w:rsid w:val="355552CD"/>
    <w:rsid w:val="35D408E8"/>
    <w:rsid w:val="37265173"/>
    <w:rsid w:val="37321D6A"/>
    <w:rsid w:val="37492C0F"/>
    <w:rsid w:val="37702892"/>
    <w:rsid w:val="37D50947"/>
    <w:rsid w:val="37DF5322"/>
    <w:rsid w:val="37F708BD"/>
    <w:rsid w:val="38402264"/>
    <w:rsid w:val="384855BD"/>
    <w:rsid w:val="38D40BFF"/>
    <w:rsid w:val="39B06F76"/>
    <w:rsid w:val="3A255BB6"/>
    <w:rsid w:val="3A9C74FA"/>
    <w:rsid w:val="3B025746"/>
    <w:rsid w:val="3BBF16F2"/>
    <w:rsid w:val="3BED2703"/>
    <w:rsid w:val="3D4C3459"/>
    <w:rsid w:val="3DA94408"/>
    <w:rsid w:val="3E416D36"/>
    <w:rsid w:val="3E6D0576"/>
    <w:rsid w:val="3FDB6D16"/>
    <w:rsid w:val="401068C4"/>
    <w:rsid w:val="40593D4A"/>
    <w:rsid w:val="412D70FE"/>
    <w:rsid w:val="41D93769"/>
    <w:rsid w:val="42AE426E"/>
    <w:rsid w:val="42CE281C"/>
    <w:rsid w:val="433E1A96"/>
    <w:rsid w:val="43761EE6"/>
    <w:rsid w:val="44000AFA"/>
    <w:rsid w:val="440E76BA"/>
    <w:rsid w:val="4473751E"/>
    <w:rsid w:val="4645313C"/>
    <w:rsid w:val="46626751"/>
    <w:rsid w:val="468A6DA0"/>
    <w:rsid w:val="46CE1383"/>
    <w:rsid w:val="46D87B0C"/>
    <w:rsid w:val="46F56910"/>
    <w:rsid w:val="46FE762B"/>
    <w:rsid w:val="47C14A44"/>
    <w:rsid w:val="47E0136E"/>
    <w:rsid w:val="47F170D7"/>
    <w:rsid w:val="47FD3CCE"/>
    <w:rsid w:val="48251CCF"/>
    <w:rsid w:val="4846162B"/>
    <w:rsid w:val="48587156"/>
    <w:rsid w:val="48AB197C"/>
    <w:rsid w:val="495C67D2"/>
    <w:rsid w:val="4B555C31"/>
    <w:rsid w:val="4B5E0C39"/>
    <w:rsid w:val="4ED4505D"/>
    <w:rsid w:val="4F010748"/>
    <w:rsid w:val="4F1D6A04"/>
    <w:rsid w:val="505C7A00"/>
    <w:rsid w:val="516E79EA"/>
    <w:rsid w:val="51C95B83"/>
    <w:rsid w:val="51DD691E"/>
    <w:rsid w:val="51E23F34"/>
    <w:rsid w:val="525F49CC"/>
    <w:rsid w:val="52927709"/>
    <w:rsid w:val="52C673B2"/>
    <w:rsid w:val="538F59F6"/>
    <w:rsid w:val="53A72D40"/>
    <w:rsid w:val="542D76E9"/>
    <w:rsid w:val="544C075A"/>
    <w:rsid w:val="54532EC8"/>
    <w:rsid w:val="54D7527F"/>
    <w:rsid w:val="55C83852"/>
    <w:rsid w:val="560E70A6"/>
    <w:rsid w:val="56262642"/>
    <w:rsid w:val="585A4825"/>
    <w:rsid w:val="587F428B"/>
    <w:rsid w:val="58AD5C74"/>
    <w:rsid w:val="58C019D4"/>
    <w:rsid w:val="59513E7A"/>
    <w:rsid w:val="597933D0"/>
    <w:rsid w:val="5A645C0F"/>
    <w:rsid w:val="5C553C81"/>
    <w:rsid w:val="5CD77D95"/>
    <w:rsid w:val="5D9205BD"/>
    <w:rsid w:val="5E59732C"/>
    <w:rsid w:val="5E5D6E1D"/>
    <w:rsid w:val="600D6620"/>
    <w:rsid w:val="606353DC"/>
    <w:rsid w:val="609B3C2C"/>
    <w:rsid w:val="60B62F3E"/>
    <w:rsid w:val="60DE01DD"/>
    <w:rsid w:val="61B2122D"/>
    <w:rsid w:val="61F71336"/>
    <w:rsid w:val="620F48D2"/>
    <w:rsid w:val="62353C0D"/>
    <w:rsid w:val="62AC0373"/>
    <w:rsid w:val="635332D0"/>
    <w:rsid w:val="63E93801"/>
    <w:rsid w:val="659C26F5"/>
    <w:rsid w:val="66731EE4"/>
    <w:rsid w:val="671958AB"/>
    <w:rsid w:val="67310E46"/>
    <w:rsid w:val="676E5E25"/>
    <w:rsid w:val="679B2764"/>
    <w:rsid w:val="684D5BB2"/>
    <w:rsid w:val="689F0032"/>
    <w:rsid w:val="68B17D04"/>
    <w:rsid w:val="68C06926"/>
    <w:rsid w:val="69825989"/>
    <w:rsid w:val="69C97A5C"/>
    <w:rsid w:val="6B225676"/>
    <w:rsid w:val="6B594E10"/>
    <w:rsid w:val="6B767770"/>
    <w:rsid w:val="6B881251"/>
    <w:rsid w:val="6C8E0AE9"/>
    <w:rsid w:val="6CC30793"/>
    <w:rsid w:val="6CCA7D73"/>
    <w:rsid w:val="6CD97FB6"/>
    <w:rsid w:val="6D66700E"/>
    <w:rsid w:val="6D673814"/>
    <w:rsid w:val="6D8E3EB9"/>
    <w:rsid w:val="6E245261"/>
    <w:rsid w:val="6E3A4A84"/>
    <w:rsid w:val="6E414065"/>
    <w:rsid w:val="6E82467D"/>
    <w:rsid w:val="6E906D9A"/>
    <w:rsid w:val="6EFF5CCE"/>
    <w:rsid w:val="6EFF7A7C"/>
    <w:rsid w:val="6FEF7AF1"/>
    <w:rsid w:val="701557A9"/>
    <w:rsid w:val="70BD199D"/>
    <w:rsid w:val="71463740"/>
    <w:rsid w:val="72331F17"/>
    <w:rsid w:val="73A66718"/>
    <w:rsid w:val="741E2752"/>
    <w:rsid w:val="74251D33"/>
    <w:rsid w:val="74BF5CE3"/>
    <w:rsid w:val="75565D4F"/>
    <w:rsid w:val="75754F24"/>
    <w:rsid w:val="76085468"/>
    <w:rsid w:val="76245E4C"/>
    <w:rsid w:val="763633B5"/>
    <w:rsid w:val="764D4CF2"/>
    <w:rsid w:val="76880357"/>
    <w:rsid w:val="7715797D"/>
    <w:rsid w:val="774E334F"/>
    <w:rsid w:val="7819395D"/>
    <w:rsid w:val="783469E8"/>
    <w:rsid w:val="784D7AAA"/>
    <w:rsid w:val="78B705EE"/>
    <w:rsid w:val="791F7C53"/>
    <w:rsid w:val="794B223C"/>
    <w:rsid w:val="79C36276"/>
    <w:rsid w:val="79E87A8A"/>
    <w:rsid w:val="7A1528E7"/>
    <w:rsid w:val="7A6A20E5"/>
    <w:rsid w:val="7A8772A3"/>
    <w:rsid w:val="7AA634A2"/>
    <w:rsid w:val="7AF406B1"/>
    <w:rsid w:val="7B4C5DF7"/>
    <w:rsid w:val="7B902188"/>
    <w:rsid w:val="7BD2077C"/>
    <w:rsid w:val="7C2154D6"/>
    <w:rsid w:val="7C8B505D"/>
    <w:rsid w:val="7CA43D7A"/>
    <w:rsid w:val="7D062669"/>
    <w:rsid w:val="7D43240E"/>
    <w:rsid w:val="7D67516A"/>
    <w:rsid w:val="7E91242D"/>
    <w:rsid w:val="7F5B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kern w:val="0"/>
      <w:sz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paragraph" w:styleId="8">
    <w:name w:val="Body Text First Indent"/>
    <w:basedOn w:val="2"/>
    <w:next w:val="9"/>
    <w:unhideWhenUsed/>
    <w:qFormat/>
    <w:uiPriority w:val="99"/>
    <w:pPr>
      <w:ind w:firstLine="420" w:firstLineChars="100"/>
    </w:pPr>
  </w:style>
  <w:style w:type="paragraph" w:styleId="9">
    <w:name w:val="Body Text First Indent 2"/>
    <w:basedOn w:val="3"/>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正文文本1"/>
    <w:basedOn w:val="1"/>
    <w:next w:val="1"/>
    <w:qFormat/>
    <w:uiPriority w:val="99"/>
    <w:pPr>
      <w:spacing w:after="120"/>
    </w:pPr>
    <w:rPr>
      <w:sz w:val="24"/>
    </w:rPr>
  </w:style>
  <w:style w:type="paragraph" w:customStyle="1" w:styleId="15">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6">
    <w:name w:val="Table Normal"/>
    <w:unhideWhenUsed/>
    <w:qFormat/>
    <w:uiPriority w:val="0"/>
    <w:tblPr>
      <w:tblCellMar>
        <w:top w:w="0" w:type="dxa"/>
        <w:left w:w="0" w:type="dxa"/>
        <w:bottom w:w="0" w:type="dxa"/>
        <w:right w:w="0" w:type="dxa"/>
      </w:tblCellMar>
    </w:tblPr>
  </w:style>
  <w:style w:type="character" w:customStyle="1" w:styleId="17">
    <w:name w:val="font31"/>
    <w:basedOn w:val="12"/>
    <w:qFormat/>
    <w:uiPriority w:val="0"/>
    <w:rPr>
      <w:rFonts w:hint="eastAsia" w:ascii="宋体" w:hAnsi="宋体" w:eastAsia="宋体" w:cs="宋体"/>
      <w:color w:val="000000"/>
      <w:sz w:val="22"/>
      <w:szCs w:val="22"/>
      <w:u w:val="none"/>
    </w:rPr>
  </w:style>
  <w:style w:type="character" w:customStyle="1" w:styleId="18">
    <w:name w:val="font41"/>
    <w:basedOn w:val="12"/>
    <w:qFormat/>
    <w:uiPriority w:val="0"/>
    <w:rPr>
      <w:rFonts w:ascii="Arial" w:hAnsi="Arial" w:cs="Arial"/>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2"/>
      <w:szCs w:val="22"/>
      <w:u w:val="none"/>
    </w:rPr>
  </w:style>
  <w:style w:type="paragraph" w:customStyle="1" w:styleId="20">
    <w:name w:val="段"/>
    <w:next w:val="1"/>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1">
    <w:name w:val="p0"/>
    <w:qFormat/>
    <w:uiPriority w:val="0"/>
    <w:rPr>
      <w:rFonts w:ascii="Times New Roman" w:hAnsi="Times New Roman" w:eastAsia="宋体" w:cs="Times New Roman"/>
      <w:szCs w:val="21"/>
      <w:lang w:val="en-US" w:eastAsia="zh-CN" w:bidi="ar-SA"/>
    </w:rPr>
  </w:style>
  <w:style w:type="character" w:customStyle="1" w:styleId="22">
    <w:name w:val="font51"/>
    <w:basedOn w:val="12"/>
    <w:qFormat/>
    <w:uiPriority w:val="0"/>
    <w:rPr>
      <w:rFonts w:hint="eastAsia" w:ascii="Microsoft YaHei UI" w:hAnsi="Microsoft YaHei UI" w:eastAsia="Microsoft YaHei UI" w:cs="Microsoft YaHei UI"/>
      <w:color w:val="000000"/>
      <w:sz w:val="18"/>
      <w:szCs w:val="18"/>
      <w:u w:val="none"/>
    </w:rPr>
  </w:style>
  <w:style w:type="character" w:customStyle="1" w:styleId="23">
    <w:name w:val="font61"/>
    <w:basedOn w:val="12"/>
    <w:qFormat/>
    <w:uiPriority w:val="0"/>
    <w:rPr>
      <w:rFonts w:hint="eastAsia" w:ascii="Microsoft YaHei UI" w:hAnsi="Microsoft YaHei UI" w:eastAsia="Microsoft YaHei UI" w:cs="Microsoft YaHei UI"/>
      <w:b/>
      <w:bCs/>
      <w:color w:val="000000"/>
      <w:sz w:val="18"/>
      <w:szCs w:val="18"/>
      <w:u w:val="none"/>
    </w:rPr>
  </w:style>
  <w:style w:type="paragraph" w:customStyle="1" w:styleId="24">
    <w:name w:val="Table Text"/>
    <w:basedOn w:val="1"/>
    <w:semiHidden/>
    <w:qFormat/>
    <w:uiPriority w:val="0"/>
    <w:rPr>
      <w:rFonts w:ascii="宋体" w:hAnsi="宋体" w:cs="宋体"/>
      <w:sz w:val="24"/>
    </w:rPr>
  </w:style>
  <w:style w:type="character" w:customStyle="1" w:styleId="25">
    <w:name w:val="页眉 字符"/>
    <w:basedOn w:val="12"/>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4185</Words>
  <Characters>4398</Characters>
  <Lines>45</Lines>
  <Paragraphs>12</Paragraphs>
  <TotalTime>4</TotalTime>
  <ScaleCrop>false</ScaleCrop>
  <LinksUpToDate>false</LinksUpToDate>
  <CharactersWithSpaces>4915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2024-10-10T00:06:00Z</dcterms:created>
  <dc:creator>Administrator</dc:creator>
  <cp:lastModifiedBy>Administrator</cp:lastModifiedBy>
  <cp:lastPrinted>2025-02-28T01:39:00Z</cp:lastPrinted>
  <dcterms:modified xsi:type="dcterms:W3CDTF">2025-09-11T09:08:02Z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45DA0BD012FD44669250ACD9A8153664</vt:lpwstr>
  </property>
  <property fmtid="{D5CDD505-2E9C-101B-9397-08002B2CF9AE}" pid="4" name="KSOTemplateDocerSaveRecord">
    <vt:lpwstr>eyJoZGlkIjoiOWExZTE4MTg5MzYxMDk0ZjFiMzBhZTk5ODBkZWQxYmYiLCJ1c2VySWQiOiIzNDM1OTAxNDEifQ==</vt:lpwstr>
  </property>
</Properties>
</file>