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12" w:lineRule="auto"/>
        <w:jc w:val="center"/>
        <w:rPr>
          <w:rFonts w:hint="eastAsia" w:ascii="宋体" w:hAnsi="宋体" w:eastAsia="宋体" w:cs="宋体"/>
          <w:b/>
          <w:color w:val="auto"/>
          <w:spacing w:val="-6"/>
          <w:sz w:val="44"/>
          <w:szCs w:val="44"/>
          <w:highlight w:val="none"/>
          <w:lang w:eastAsia="zh-CN"/>
        </w:rPr>
      </w:pPr>
      <w:bookmarkStart w:id="62" w:name="_GoBack"/>
    </w:p>
    <w:p>
      <w:pPr>
        <w:autoSpaceDE w:val="0"/>
        <w:autoSpaceDN w:val="0"/>
        <w:adjustRightInd w:val="0"/>
        <w:spacing w:line="312" w:lineRule="auto"/>
        <w:jc w:val="center"/>
        <w:rPr>
          <w:rFonts w:hint="eastAsia" w:ascii="宋体" w:hAnsi="宋体" w:cs="宋体"/>
          <w:b/>
          <w:color w:val="auto"/>
          <w:spacing w:val="-28"/>
          <w:sz w:val="44"/>
          <w:szCs w:val="44"/>
          <w:highlight w:val="none"/>
          <w:lang w:eastAsia="zh-CN"/>
        </w:rPr>
      </w:pPr>
    </w:p>
    <w:p>
      <w:pPr>
        <w:autoSpaceDE w:val="0"/>
        <w:autoSpaceDN w:val="0"/>
        <w:adjustRightInd w:val="0"/>
        <w:spacing w:line="312" w:lineRule="auto"/>
        <w:jc w:val="center"/>
        <w:rPr>
          <w:rFonts w:hint="eastAsia" w:ascii="宋体" w:hAnsi="宋体" w:eastAsia="宋体" w:cs="宋体"/>
          <w:b/>
          <w:bCs/>
          <w:color w:val="auto"/>
          <w:spacing w:val="-28"/>
          <w:sz w:val="100"/>
          <w:szCs w:val="100"/>
          <w:highlight w:val="none"/>
          <w:lang w:val="zh-CN"/>
        </w:rPr>
      </w:pPr>
      <w:r>
        <w:rPr>
          <w:rFonts w:hint="eastAsia" w:ascii="宋体" w:hAnsi="宋体" w:cs="宋体"/>
          <w:b/>
          <w:color w:val="auto"/>
          <w:spacing w:val="-28"/>
          <w:sz w:val="44"/>
          <w:szCs w:val="44"/>
          <w:highlight w:val="none"/>
          <w:lang w:eastAsia="zh-CN"/>
        </w:rPr>
        <w:t>启东市行政中心会议室（二）信息化建设项目</w:t>
      </w:r>
    </w:p>
    <w:p>
      <w:pPr>
        <w:autoSpaceDE w:val="0"/>
        <w:autoSpaceDN w:val="0"/>
        <w:adjustRightInd w:val="0"/>
        <w:spacing w:line="312" w:lineRule="auto"/>
        <w:jc w:val="center"/>
        <w:rPr>
          <w:rFonts w:hint="eastAsia" w:ascii="宋体" w:hAnsi="宋体" w:eastAsia="宋体" w:cs="宋体"/>
          <w:b/>
          <w:color w:val="auto"/>
          <w:sz w:val="44"/>
          <w:szCs w:val="44"/>
          <w:highlight w:val="none"/>
          <w:lang w:val="zh-CN"/>
        </w:rPr>
      </w:pPr>
      <w:r>
        <w:rPr>
          <w:rFonts w:hint="eastAsia" w:ascii="宋体" w:hAnsi="宋体" w:eastAsia="宋体" w:cs="宋体"/>
          <w:b/>
          <w:bCs/>
          <w:color w:val="auto"/>
          <w:sz w:val="100"/>
          <w:szCs w:val="100"/>
          <w:highlight w:val="none"/>
          <w:lang w:val="zh-CN"/>
        </w:rPr>
        <w:t>政府采购询价文件</w:t>
      </w:r>
    </w:p>
    <w:p>
      <w:pPr>
        <w:keepNext w:val="0"/>
        <w:keepLines w:val="0"/>
        <w:pageBreakBefore w:val="0"/>
        <w:widowControl w:val="0"/>
        <w:kinsoku/>
        <w:wordWrap/>
        <w:overflowPunct/>
        <w:topLinePunct w:val="0"/>
        <w:autoSpaceDE w:val="0"/>
        <w:autoSpaceDN w:val="0"/>
        <w:bidi w:val="0"/>
        <w:adjustRightInd w:val="0"/>
        <w:snapToGrid/>
        <w:spacing w:line="312" w:lineRule="auto"/>
        <w:ind w:firstLine="360" w:firstLineChars="100"/>
        <w:jc w:val="left"/>
        <w:textAlignment w:val="auto"/>
        <w:rPr>
          <w:rFonts w:hint="eastAsia" w:ascii="宋体" w:hAnsi="宋体" w:eastAsia="宋体" w:cs="宋体"/>
          <w:b/>
          <w:color w:val="auto"/>
          <w:sz w:val="36"/>
          <w:szCs w:val="36"/>
          <w:highlight w:val="none"/>
        </w:rPr>
      </w:pPr>
    </w:p>
    <w:p>
      <w:pPr>
        <w:pStyle w:val="2"/>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pStyle w:val="2"/>
        <w:rPr>
          <w:rFonts w:hint="eastAsia" w:ascii="宋体" w:hAnsi="宋体" w:eastAsia="宋体" w:cs="宋体"/>
          <w:color w:val="auto"/>
          <w:highlight w:val="none"/>
          <w:lang w:val="zh-CN"/>
        </w:rPr>
      </w:pPr>
    </w:p>
    <w:p>
      <w:pPr>
        <w:autoSpaceDE w:val="0"/>
        <w:autoSpaceDN w:val="0"/>
        <w:adjustRightInd w:val="0"/>
        <w:spacing w:line="312" w:lineRule="auto"/>
        <w:ind w:firstLine="420"/>
        <w:jc w:val="center"/>
        <w:rPr>
          <w:rFonts w:hint="eastAsia" w:ascii="宋体" w:hAnsi="宋体" w:eastAsia="宋体" w:cs="宋体"/>
          <w:color w:val="auto"/>
          <w:szCs w:val="21"/>
          <w:highlight w:val="none"/>
        </w:rPr>
      </w:pPr>
    </w:p>
    <w:p>
      <w:pPr>
        <w:autoSpaceDE w:val="0"/>
        <w:autoSpaceDN w:val="0"/>
        <w:adjustRightInd w:val="0"/>
        <w:spacing w:line="312" w:lineRule="auto"/>
        <w:rPr>
          <w:rFonts w:hint="eastAsia" w:ascii="宋体" w:hAnsi="宋体" w:eastAsia="宋体" w:cs="宋体"/>
          <w:b/>
          <w:bCs/>
          <w:color w:val="auto"/>
          <w:sz w:val="36"/>
          <w:szCs w:val="36"/>
          <w:highlight w:val="none"/>
          <w:lang w:val="zh-CN"/>
        </w:rPr>
      </w:pPr>
    </w:p>
    <w:p>
      <w:pPr>
        <w:pStyle w:val="2"/>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rPr>
          <w:rFonts w:hint="eastAsia" w:ascii="宋体" w:hAnsi="宋体" w:eastAsia="宋体" w:cs="宋体"/>
          <w:color w:val="auto"/>
          <w:highlight w:val="none"/>
          <w:lang w:val="zh-CN"/>
        </w:rPr>
      </w:pPr>
    </w:p>
    <w:p>
      <w:pPr>
        <w:spacing w:line="312" w:lineRule="auto"/>
        <w:jc w:val="center"/>
        <w:rPr>
          <w:rFonts w:hint="eastAsia" w:ascii="宋体" w:hAnsi="宋体" w:eastAsia="宋体" w:cs="宋体"/>
          <w:b/>
          <w:color w:val="auto"/>
          <w:spacing w:val="20"/>
          <w:sz w:val="44"/>
          <w:highlight w:val="none"/>
        </w:rPr>
      </w:pPr>
    </w:p>
    <w:p>
      <w:pPr>
        <w:spacing w:line="312" w:lineRule="auto"/>
        <w:jc w:val="center"/>
        <w:rPr>
          <w:rFonts w:hint="eastAsia" w:ascii="宋体" w:hAnsi="宋体" w:eastAsia="宋体" w:cs="宋体"/>
          <w:b/>
          <w:color w:val="auto"/>
          <w:sz w:val="36"/>
          <w:szCs w:val="36"/>
          <w:highlight w:val="none"/>
          <w:lang w:val="en-US" w:eastAsia="zh-CN"/>
        </w:rPr>
      </w:pPr>
    </w:p>
    <w:p>
      <w:pPr>
        <w:spacing w:line="312" w:lineRule="auto"/>
        <w:jc w:val="center"/>
        <w:rPr>
          <w:rFonts w:hint="eastAsia" w:ascii="宋体" w:hAnsi="宋体" w:eastAsia="宋体" w:cs="宋体"/>
          <w:b/>
          <w:color w:val="auto"/>
          <w:sz w:val="36"/>
          <w:szCs w:val="36"/>
          <w:highlight w:val="none"/>
          <w:lang w:val="en-US" w:eastAsia="zh-CN"/>
        </w:rPr>
      </w:pPr>
    </w:p>
    <w:p>
      <w:pPr>
        <w:spacing w:line="312" w:lineRule="auto"/>
        <w:jc w:val="center"/>
        <w:rPr>
          <w:rFonts w:hint="eastAsia" w:ascii="宋体" w:hAnsi="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启东市机关事务服务中心</w:t>
      </w:r>
    </w:p>
    <w:p>
      <w:pPr>
        <w:spacing w:line="312"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202</w:t>
      </w:r>
      <w:r>
        <w:rPr>
          <w:rFonts w:hint="eastAsia" w:ascii="宋体" w:hAnsi="宋体" w:cs="宋体"/>
          <w:b/>
          <w:color w:val="auto"/>
          <w:sz w:val="36"/>
          <w:szCs w:val="36"/>
          <w:highlight w:val="none"/>
          <w:lang w:val="en-US" w:eastAsia="zh-CN"/>
        </w:rPr>
        <w:t>4</w:t>
      </w:r>
      <w:r>
        <w:rPr>
          <w:rFonts w:hint="eastAsia" w:ascii="宋体" w:hAnsi="宋体" w:eastAsia="宋体" w:cs="宋体"/>
          <w:b/>
          <w:color w:val="auto"/>
          <w:sz w:val="36"/>
          <w:szCs w:val="36"/>
          <w:highlight w:val="none"/>
        </w:rPr>
        <w:t>年</w:t>
      </w:r>
      <w:r>
        <w:rPr>
          <w:rFonts w:hint="eastAsia" w:ascii="宋体" w:hAnsi="宋体" w:cs="宋体"/>
          <w:b/>
          <w:color w:val="auto"/>
          <w:sz w:val="36"/>
          <w:szCs w:val="36"/>
          <w:highlight w:val="none"/>
          <w:lang w:val="en-US" w:eastAsia="zh-CN"/>
        </w:rPr>
        <w:t>01</w:t>
      </w:r>
      <w:r>
        <w:rPr>
          <w:rFonts w:hint="eastAsia" w:ascii="宋体" w:hAnsi="宋体" w:eastAsia="宋体" w:cs="宋体"/>
          <w:b/>
          <w:color w:val="auto"/>
          <w:sz w:val="36"/>
          <w:szCs w:val="36"/>
          <w:highlight w:val="none"/>
        </w:rPr>
        <w:t>月</w:t>
      </w:r>
      <w:r>
        <w:rPr>
          <w:rFonts w:hint="eastAsia" w:ascii="宋体" w:hAnsi="宋体" w:cs="宋体"/>
          <w:b/>
          <w:color w:val="auto"/>
          <w:sz w:val="36"/>
          <w:szCs w:val="36"/>
          <w:highlight w:val="none"/>
          <w:lang w:val="en-US" w:eastAsia="zh-CN"/>
        </w:rPr>
        <w:t>22</w:t>
      </w:r>
      <w:r>
        <w:rPr>
          <w:rFonts w:hint="eastAsia" w:ascii="宋体" w:hAnsi="宋体" w:eastAsia="宋体" w:cs="宋体"/>
          <w:b/>
          <w:color w:val="auto"/>
          <w:sz w:val="36"/>
          <w:szCs w:val="36"/>
          <w:highlight w:val="none"/>
        </w:rPr>
        <w:t>日</w:t>
      </w:r>
    </w:p>
    <w:p>
      <w:pPr>
        <w:adjustRightInd w:val="0"/>
        <w:snapToGrid w:val="0"/>
        <w:spacing w:line="312" w:lineRule="auto"/>
        <w:ind w:left="-157" w:leftChars="-75"/>
        <w:rPr>
          <w:rFonts w:hint="eastAsia" w:ascii="宋体" w:hAnsi="宋体" w:eastAsia="宋体" w:cs="宋体"/>
          <w:b/>
          <w:snapToGrid w:val="0"/>
          <w:color w:val="auto"/>
          <w:sz w:val="26"/>
          <w:szCs w:val="28"/>
          <w:highlight w:val="none"/>
          <w:u w:val="singl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adjustRightInd w:val="0"/>
        <w:snapToGrid w:val="0"/>
        <w:ind w:left="-157" w:leftChars="-75"/>
        <w:jc w:val="left"/>
        <w:rPr>
          <w:rFonts w:hint="eastAsia" w:ascii="宋体" w:hAnsi="宋体" w:eastAsia="宋体" w:cs="宋体"/>
          <w:color w:val="auto"/>
          <w:sz w:val="28"/>
          <w:szCs w:val="28"/>
          <w:highlight w:val="none"/>
          <w:lang w:eastAsia="zh-CN"/>
        </w:rPr>
      </w:pPr>
      <w:r>
        <w:rPr>
          <w:rFonts w:hint="eastAsia" w:ascii="宋体" w:hAnsi="宋体" w:eastAsia="宋体" w:cs="宋体"/>
          <w:b/>
          <w:snapToGrid w:val="0"/>
          <w:color w:val="auto"/>
          <w:sz w:val="32"/>
          <w:szCs w:val="32"/>
          <w:highlight w:val="none"/>
        </w:rPr>
        <w:t>地址:</w:t>
      </w:r>
      <w:r>
        <w:rPr>
          <w:rFonts w:hint="eastAsia" w:ascii="宋体" w:hAnsi="宋体" w:eastAsia="宋体" w:cs="宋体"/>
          <w:snapToGrid w:val="0"/>
          <w:color w:val="auto"/>
          <w:sz w:val="32"/>
          <w:szCs w:val="32"/>
          <w:highlight w:val="none"/>
        </w:rPr>
        <w:t xml:space="preserve"> </w:t>
      </w:r>
      <w:r>
        <w:rPr>
          <w:rFonts w:hint="eastAsia" w:ascii="宋体" w:hAnsi="宋体" w:cs="宋体"/>
          <w:snapToGrid w:val="0"/>
          <w:color w:val="auto"/>
          <w:sz w:val="32"/>
          <w:szCs w:val="32"/>
          <w:highlight w:val="none"/>
          <w:lang w:eastAsia="zh-CN"/>
        </w:rPr>
        <w:t>启东市汇龙镇世纪大道1288号后勤楼5楼</w:t>
      </w:r>
    </w:p>
    <w:p>
      <w:pPr>
        <w:adjustRightInd w:val="0"/>
        <w:snapToGrid w:val="0"/>
        <w:ind w:left="-157" w:leftChars="-75"/>
        <w:jc w:val="left"/>
        <w:rPr>
          <w:rFonts w:hint="eastAsia" w:ascii="宋体" w:hAnsi="宋体" w:eastAsia="宋体" w:cs="宋体"/>
          <w:snapToGrid w:val="0"/>
          <w:color w:val="auto"/>
          <w:sz w:val="32"/>
          <w:szCs w:val="32"/>
          <w:highlight w:val="none"/>
        </w:rPr>
      </w:pPr>
      <w:r>
        <w:rPr>
          <w:rFonts w:hint="eastAsia" w:ascii="宋体" w:hAnsi="宋体" w:eastAsia="宋体" w:cs="宋体"/>
          <w:b/>
          <w:snapToGrid w:val="0"/>
          <w:color w:val="auto"/>
          <w:sz w:val="32"/>
          <w:szCs w:val="32"/>
          <w:highlight w:val="none"/>
        </w:rPr>
        <w:t>邮政编码：</w:t>
      </w:r>
      <w:r>
        <w:rPr>
          <w:rFonts w:hint="eastAsia" w:ascii="宋体" w:hAnsi="宋体" w:eastAsia="宋体" w:cs="宋体"/>
          <w:snapToGrid w:val="0"/>
          <w:color w:val="auto"/>
          <w:sz w:val="32"/>
          <w:szCs w:val="32"/>
          <w:highlight w:val="none"/>
        </w:rPr>
        <w:t xml:space="preserve">226200        </w:t>
      </w:r>
    </w:p>
    <w:p>
      <w:pPr>
        <w:adjustRightInd w:val="0"/>
        <w:snapToGrid w:val="0"/>
        <w:ind w:left="-157" w:leftChars="-75" w:right="-600" w:rightChars="-286"/>
        <w:rPr>
          <w:rFonts w:hint="eastAsia" w:ascii="宋体" w:hAnsi="宋体" w:eastAsia="宋体" w:cs="宋体"/>
          <w:b/>
          <w:snapToGrid w:val="0"/>
          <w:color w:val="auto"/>
          <w:sz w:val="32"/>
          <w:szCs w:val="32"/>
          <w:highlight w:val="none"/>
        </w:rPr>
      </w:pPr>
      <w:r>
        <w:rPr>
          <w:rFonts w:hint="eastAsia" w:ascii="宋体" w:hAnsi="宋体" w:cs="宋体"/>
          <w:b/>
          <w:snapToGrid w:val="0"/>
          <w:color w:val="auto"/>
          <w:sz w:val="32"/>
          <w:szCs w:val="32"/>
          <w:highlight w:val="none"/>
          <w:lang w:val="en-US" w:eastAsia="zh-CN"/>
        </w:rPr>
        <w:t>启东市人民政府网</w:t>
      </w:r>
    </w:p>
    <w:p>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ab/>
      </w:r>
    </w:p>
    <w:p>
      <w:pPr>
        <w:tabs>
          <w:tab w:val="left" w:pos="1260"/>
        </w:tabs>
        <w:adjustRightInd w:val="0"/>
        <w:snapToGrid w:val="0"/>
        <w:spacing w:line="312" w:lineRule="auto"/>
        <w:ind w:left="-157" w:leftChars="-75" w:right="-600" w:rightChars="-286"/>
        <w:rPr>
          <w:rFonts w:hint="eastAsia" w:ascii="宋体" w:hAnsi="宋体" w:eastAsia="宋体" w:cs="宋体"/>
          <w:color w:val="auto"/>
          <w:sz w:val="32"/>
          <w:szCs w:val="32"/>
          <w:highlight w:val="none"/>
        </w:rPr>
        <w:sectPr>
          <w:footerReference r:id="rId3" w:type="default"/>
          <w:footerReference r:id="rId4" w:type="even"/>
          <w:pgSz w:w="11906" w:h="16838"/>
          <w:pgMar w:top="1440" w:right="1758" w:bottom="1440" w:left="1758" w:header="851" w:footer="850" w:gutter="0"/>
          <w:pgNumType w:fmt="decimal" w:start="1"/>
          <w:cols w:space="720" w:num="1"/>
          <w:docGrid w:type="linesAndChars" w:linePitch="312" w:charSpace="0"/>
        </w:sectPr>
      </w:pPr>
    </w:p>
    <w:p>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r>
        <w:rPr>
          <w:rFonts w:hint="eastAsia" w:ascii="宋体" w:hAnsi="宋体" w:eastAsia="宋体" w:cs="宋体"/>
          <w:bCs/>
          <w:color w:val="auto"/>
          <w:spacing w:val="7"/>
          <w:kern w:val="0"/>
          <w:sz w:val="44"/>
          <w:szCs w:val="44"/>
          <w:highlight w:val="none"/>
        </w:rPr>
        <w:t>目录</w:t>
      </w:r>
    </w:p>
    <w:p>
      <w:pPr>
        <w:autoSpaceDE w:val="0"/>
        <w:autoSpaceDN w:val="0"/>
        <w:adjustRightInd w:val="0"/>
        <w:snapToGrid w:val="0"/>
        <w:spacing w:line="360" w:lineRule="auto"/>
        <w:rPr>
          <w:rFonts w:hint="eastAsia" w:ascii="宋体" w:hAnsi="宋体" w:eastAsia="宋体" w:cs="宋体"/>
          <w:bCs/>
          <w:color w:val="auto"/>
          <w:spacing w:val="7"/>
          <w:kern w:val="0"/>
          <w:sz w:val="28"/>
          <w:szCs w:val="28"/>
          <w:highlight w:val="none"/>
        </w:rPr>
      </w:pPr>
    </w:p>
    <w:p>
      <w:pPr>
        <w:pStyle w:val="2"/>
        <w:adjustRightInd w:val="0"/>
        <w:snapToGrid w:val="0"/>
        <w:spacing w:after="0" w:line="360" w:lineRule="auto"/>
        <w:rPr>
          <w:rFonts w:hint="eastAsia" w:ascii="宋体" w:hAnsi="宋体" w:eastAsia="宋体" w:cs="宋体"/>
          <w:color w:val="auto"/>
          <w:highlight w:val="none"/>
        </w:rPr>
      </w:pP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第一部分  询价采购公告</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第二部分  响应须知</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第三部分  项目需求</w:t>
      </w:r>
    </w:p>
    <w:p>
      <w:pPr>
        <w:adjustRightInd w:val="0"/>
        <w:snapToGrid w:val="0"/>
        <w:spacing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第四部分  响应文件组成</w:t>
      </w:r>
    </w:p>
    <w:p>
      <w:pPr>
        <w:adjustRightInd w:val="0"/>
        <w:snapToGrid w:val="0"/>
        <w:spacing w:line="500" w:lineRule="exact"/>
        <w:jc w:val="center"/>
        <w:rPr>
          <w:rFonts w:hint="eastAsia" w:ascii="宋体" w:hAnsi="宋体" w:eastAsia="宋体" w:cs="宋体"/>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3520"/>
      <w:bookmarkStart w:id="1" w:name="_Toc82505651"/>
      <w:bookmarkStart w:id="2" w:name="OLE_LINK1"/>
      <w:r>
        <w:rPr>
          <w:rFonts w:hint="eastAsia" w:ascii="宋体" w:hAnsi="宋体" w:eastAsia="宋体" w:cs="宋体"/>
          <w:color w:val="auto"/>
          <w:sz w:val="36"/>
          <w:szCs w:val="36"/>
          <w:highlight w:val="none"/>
        </w:rPr>
        <w:t>第一部分  询价采购公告</w:t>
      </w:r>
      <w:bookmarkEnd w:id="0"/>
      <w:bookmarkEnd w:id="1"/>
    </w:p>
    <w:p>
      <w:pPr>
        <w:adjustRightInd w:val="0"/>
        <w:snapToGrid w:val="0"/>
        <w:spacing w:line="500" w:lineRule="exact"/>
        <w:ind w:firstLine="560" w:firstLineChars="200"/>
        <w:rPr>
          <w:rFonts w:hint="eastAsia" w:ascii="宋体" w:hAnsi="宋体" w:eastAsia="宋体" w:cs="宋体"/>
          <w:color w:val="auto"/>
          <w:sz w:val="28"/>
          <w:szCs w:val="28"/>
          <w:highlight w:val="none"/>
        </w:rPr>
      </w:pPr>
      <w:bookmarkStart w:id="3" w:name="OLE_LINK3"/>
      <w:bookmarkStart w:id="4" w:name="OLE_LINK6"/>
      <w:bookmarkStart w:id="5" w:name="OLE_LINK2"/>
      <w:bookmarkStart w:id="6" w:name="OLE_LINK5"/>
      <w:r>
        <w:rPr>
          <w:rFonts w:hint="eastAsia" w:ascii="宋体" w:hAnsi="宋体" w:eastAsia="宋体" w:cs="宋体"/>
          <w:color w:val="auto"/>
          <w:sz w:val="28"/>
          <w:szCs w:val="28"/>
          <w:highlight w:val="none"/>
        </w:rPr>
        <w:t>受[</w:t>
      </w:r>
      <w:r>
        <w:rPr>
          <w:rFonts w:hint="eastAsia" w:ascii="宋体" w:hAnsi="宋体" w:cs="宋体"/>
          <w:color w:val="auto"/>
          <w:sz w:val="28"/>
          <w:szCs w:val="28"/>
          <w:highlight w:val="none"/>
          <w:lang w:val="en-US" w:eastAsia="zh-CN"/>
        </w:rPr>
        <w:t>启东市机关事务服务中心</w:t>
      </w:r>
      <w:r>
        <w:rPr>
          <w:rFonts w:hint="eastAsia" w:ascii="宋体" w:hAnsi="宋体" w:eastAsia="宋体" w:cs="宋体"/>
          <w:color w:val="auto"/>
          <w:sz w:val="28"/>
          <w:szCs w:val="28"/>
          <w:highlight w:val="none"/>
        </w:rPr>
        <w:t>]的委托</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江苏天宏华信工程投资管理咨询有限</w:t>
      </w:r>
      <w:r>
        <w:rPr>
          <w:rFonts w:hint="eastAsia" w:ascii="宋体" w:hAnsi="宋体" w:eastAsia="宋体" w:cs="宋体"/>
          <w:color w:val="auto"/>
          <w:sz w:val="28"/>
          <w:szCs w:val="28"/>
          <w:highlight w:val="none"/>
          <w:lang w:eastAsia="zh-CN"/>
        </w:rPr>
        <w:t>公司</w:t>
      </w:r>
      <w:r>
        <w:rPr>
          <w:rFonts w:hint="eastAsia" w:ascii="宋体" w:hAnsi="宋体" w:eastAsia="宋体" w:cs="宋体"/>
          <w:color w:val="auto"/>
          <w:sz w:val="28"/>
          <w:szCs w:val="28"/>
          <w:highlight w:val="none"/>
        </w:rPr>
        <w:t>就[</w:t>
      </w:r>
      <w:r>
        <w:rPr>
          <w:rFonts w:hint="eastAsia" w:ascii="宋体" w:hAnsi="宋体" w:cs="宋体"/>
          <w:color w:val="auto"/>
          <w:sz w:val="28"/>
          <w:szCs w:val="28"/>
          <w:highlight w:val="none"/>
          <w:lang w:eastAsia="zh-CN"/>
        </w:rPr>
        <w:t>启东市行政中心会议室（二）信息化建设项目</w:t>
      </w:r>
      <w:r>
        <w:rPr>
          <w:rFonts w:hint="eastAsia" w:ascii="宋体" w:hAnsi="宋体" w:eastAsia="宋体" w:cs="宋体"/>
          <w:color w:val="auto"/>
          <w:sz w:val="28"/>
          <w:szCs w:val="28"/>
          <w:highlight w:val="none"/>
        </w:rPr>
        <w:t>]进</w:t>
      </w:r>
      <w:r>
        <w:rPr>
          <w:rFonts w:hint="eastAsia" w:ascii="宋体" w:hAnsi="宋体" w:eastAsia="宋体" w:cs="宋体"/>
          <w:color w:val="auto"/>
          <w:sz w:val="28"/>
          <w:szCs w:val="28"/>
          <w:highlight w:val="none"/>
        </w:rPr>
        <w:t>行询价采购，欢迎符合条件的供应商响应。</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启东市行政中心会议室（二）信息化建设项目</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rPr>
        <w:t>的潜在响应供应商应在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获取采购文件，并于</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分（北京时间）前</w:t>
      </w:r>
      <w:r>
        <w:rPr>
          <w:rFonts w:hint="eastAsia" w:ascii="宋体" w:hAnsi="宋体" w:eastAsia="宋体" w:cs="宋体"/>
          <w:color w:val="auto"/>
          <w:sz w:val="28"/>
          <w:szCs w:val="28"/>
          <w:highlight w:val="none"/>
        </w:rPr>
        <w:t>递交响应文件。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7" w:name="_Toc82505652"/>
      <w:r>
        <w:rPr>
          <w:rFonts w:hint="eastAsia" w:ascii="宋体" w:hAnsi="宋体" w:eastAsia="宋体" w:cs="宋体"/>
          <w:b/>
          <w:bCs/>
          <w:color w:val="auto"/>
          <w:sz w:val="28"/>
          <w:szCs w:val="28"/>
          <w:highlight w:val="none"/>
        </w:rPr>
        <w:t>一、项目基本情况</w:t>
      </w:r>
      <w:bookmarkEnd w:id="7"/>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r>
        <w:rPr>
          <w:rFonts w:hint="eastAsia" w:ascii="宋体" w:hAnsi="宋体" w:cs="宋体"/>
          <w:color w:val="auto"/>
          <w:sz w:val="28"/>
          <w:szCs w:val="28"/>
          <w:highlight w:val="none"/>
          <w:lang w:eastAsia="zh-CN"/>
        </w:rPr>
        <w:t>启东市行政中心会议室（二）信息化建设项目</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项目类型：货物</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工业</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预算金额：</w:t>
      </w:r>
      <w:r>
        <w:rPr>
          <w:rFonts w:hint="eastAsia" w:ascii="宋体" w:hAnsi="宋体" w:cs="宋体"/>
          <w:color w:val="auto"/>
          <w:sz w:val="28"/>
          <w:szCs w:val="28"/>
          <w:highlight w:val="none"/>
          <w:lang w:val="en-US" w:eastAsia="zh-CN"/>
        </w:rPr>
        <w:t>36</w:t>
      </w:r>
      <w:r>
        <w:rPr>
          <w:rFonts w:hint="eastAsia" w:ascii="宋体" w:hAnsi="宋体" w:eastAsia="宋体" w:cs="宋体"/>
          <w:color w:val="auto"/>
          <w:sz w:val="28"/>
          <w:szCs w:val="28"/>
          <w:highlight w:val="none"/>
        </w:rPr>
        <w:t>万元。</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w:t>
      </w:r>
      <w:r>
        <w:rPr>
          <w:rFonts w:hint="eastAsia" w:ascii="宋体" w:hAnsi="宋体" w:cs="宋体"/>
          <w:color w:val="auto"/>
          <w:sz w:val="28"/>
          <w:szCs w:val="28"/>
          <w:highlight w:val="none"/>
          <w:lang w:val="en-US" w:eastAsia="zh-CN"/>
        </w:rPr>
        <w:t>36</w:t>
      </w:r>
      <w:r>
        <w:rPr>
          <w:rFonts w:hint="eastAsia" w:ascii="宋体" w:hAnsi="宋体" w:eastAsia="宋体" w:cs="宋体"/>
          <w:color w:val="auto"/>
          <w:sz w:val="28"/>
          <w:szCs w:val="28"/>
          <w:highlight w:val="none"/>
        </w:rPr>
        <w:t>万元。</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采购需求：详见采购文件，请仔细研究。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合同履行期限：在</w:t>
      </w:r>
      <w:r>
        <w:rPr>
          <w:rFonts w:hint="eastAsia" w:ascii="宋体" w:hAnsi="宋体" w:cs="宋体"/>
          <w:color w:val="auto"/>
          <w:sz w:val="28"/>
          <w:szCs w:val="28"/>
          <w:highlight w:val="none"/>
          <w:lang w:val="en-US" w:eastAsia="zh-CN"/>
        </w:rPr>
        <w:t>项目</w:t>
      </w:r>
      <w:r>
        <w:rPr>
          <w:rFonts w:hint="eastAsia" w:ascii="宋体" w:hAnsi="宋体" w:eastAsia="宋体" w:cs="宋体"/>
          <w:color w:val="auto"/>
          <w:sz w:val="28"/>
          <w:szCs w:val="28"/>
          <w:highlight w:val="none"/>
        </w:rPr>
        <w:t>需求中单独提供</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接受联合体。</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本项目</w:t>
      </w:r>
      <w:r>
        <w:rPr>
          <w:rFonts w:hint="eastAsia" w:ascii="宋体" w:hAnsi="宋体" w:eastAsia="宋体" w:cs="宋体"/>
          <w:color w:val="auto"/>
          <w:sz w:val="28"/>
          <w:szCs w:val="28"/>
          <w:highlight w:val="none"/>
          <w:lang w:val="en-US" w:eastAsia="zh-CN"/>
        </w:rPr>
        <w:t>不</w:t>
      </w:r>
      <w:r>
        <w:rPr>
          <w:rFonts w:hint="eastAsia" w:ascii="宋体" w:hAnsi="宋体" w:eastAsia="宋体" w:cs="宋体"/>
          <w:color w:val="auto"/>
          <w:sz w:val="28"/>
          <w:szCs w:val="28"/>
          <w:highlight w:val="none"/>
        </w:rPr>
        <w:t>接受分包。</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8" w:name="_Toc82505653"/>
      <w:r>
        <w:rPr>
          <w:rFonts w:hint="eastAsia" w:ascii="宋体" w:hAnsi="宋体" w:eastAsia="宋体" w:cs="宋体"/>
          <w:b/>
          <w:bCs/>
          <w:color w:val="auto"/>
          <w:sz w:val="28"/>
          <w:szCs w:val="28"/>
          <w:highlight w:val="none"/>
        </w:rPr>
        <w:t>二、响应供应商的资格要求：</w:t>
      </w:r>
      <w:bookmarkEnd w:id="8"/>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1.满足《中华人民共和国政府采购法》第二十二条规定</w:t>
      </w:r>
      <w:r>
        <w:rPr>
          <w:rFonts w:hint="eastAsia" w:ascii="宋体" w:hAnsi="宋体" w:cs="宋体"/>
          <w:color w:val="auto"/>
          <w:sz w:val="28"/>
          <w:szCs w:val="28"/>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2.落实政府采购政策需满足的资格要求：</w:t>
      </w:r>
      <w:r>
        <w:rPr>
          <w:rFonts w:hint="eastAsia" w:ascii="宋体" w:hAnsi="宋体" w:eastAsia="宋体" w:cs="宋体"/>
          <w:color w:val="auto"/>
          <w:sz w:val="28"/>
          <w:szCs w:val="28"/>
          <w:highlight w:val="none"/>
          <w:lang w:val="en-US" w:eastAsia="zh-CN"/>
        </w:rPr>
        <w:t>无</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bookmarkStart w:id="9" w:name="_Toc82505654"/>
      <w:r>
        <w:rPr>
          <w:rFonts w:hint="eastAsia" w:ascii="宋体" w:hAnsi="宋体" w:eastAsia="宋体" w:cs="宋体"/>
          <w:color w:val="auto"/>
          <w:sz w:val="28"/>
          <w:szCs w:val="28"/>
          <w:highlight w:val="none"/>
        </w:rPr>
        <w:t>3.本项目特定资格要求：</w:t>
      </w:r>
      <w:r>
        <w:rPr>
          <w:rFonts w:hint="eastAsia" w:ascii="宋体" w:hAnsi="宋体" w:eastAsia="宋体" w:cs="宋体"/>
          <w:color w:val="auto"/>
          <w:sz w:val="28"/>
          <w:szCs w:val="28"/>
          <w:highlight w:val="none"/>
          <w:lang w:eastAsia="zh-CN"/>
        </w:rPr>
        <w:t>无</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三、获取采购文件</w:t>
      </w:r>
      <w:bookmarkEnd w:id="9"/>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22</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cs="宋体"/>
          <w:color w:val="auto"/>
          <w:sz w:val="28"/>
          <w:szCs w:val="28"/>
          <w:highlight w:val="none"/>
          <w:lang w:val="en-US" w:eastAsia="zh-CN"/>
        </w:rPr>
        <w:t>启东市人民政府网</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方式：凡有意参与响应的供应商请登录</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首页→</w:t>
      </w:r>
      <w:r>
        <w:rPr>
          <w:rFonts w:hint="eastAsia" w:ascii="宋体" w:hAnsi="宋体" w:cs="宋体"/>
          <w:color w:val="auto"/>
          <w:sz w:val="28"/>
          <w:szCs w:val="28"/>
          <w:highlight w:val="none"/>
          <w:lang w:val="en-US" w:eastAsia="zh-CN"/>
        </w:rPr>
        <w:t>政府信息公开</w:t>
      </w:r>
      <w:r>
        <w:rPr>
          <w:rFonts w:hint="eastAsia" w:ascii="宋体" w:hAnsi="宋体" w:eastAsia="宋体" w:cs="宋体"/>
          <w:color w:val="auto"/>
          <w:sz w:val="28"/>
          <w:szCs w:val="28"/>
          <w:highlight w:val="none"/>
        </w:rPr>
        <w:t>模块，并自行下载采购文件。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售价：</w:t>
      </w:r>
      <w:r>
        <w:rPr>
          <w:rFonts w:hint="eastAsia" w:ascii="宋体" w:hAnsi="宋体" w:eastAsia="宋体" w:cs="宋体"/>
          <w:color w:val="auto"/>
          <w:sz w:val="28"/>
          <w:szCs w:val="28"/>
          <w:highlight w:val="none"/>
          <w:lang w:val="en-US" w:eastAsia="zh-CN"/>
        </w:rPr>
        <w:t>招标文件工本费每套100元，无论是否中标，均不退还工本费</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0" w:name="_Toc82505655"/>
      <w:r>
        <w:rPr>
          <w:rFonts w:hint="eastAsia" w:ascii="宋体" w:hAnsi="宋体" w:eastAsia="宋体" w:cs="宋体"/>
          <w:b/>
          <w:bCs/>
          <w:color w:val="auto"/>
          <w:sz w:val="28"/>
          <w:szCs w:val="28"/>
          <w:highlight w:val="none"/>
        </w:rPr>
        <w:t>四、响应文件提交</w:t>
      </w:r>
      <w:bookmarkEnd w:id="10"/>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shd w:val="clear" w:color="auto" w:fill="FFFFFF"/>
          <w:lang w:val="en-US" w:eastAsia="zh-CN"/>
        </w:rPr>
        <w:t>响应</w:t>
      </w:r>
      <w:r>
        <w:rPr>
          <w:rFonts w:hint="eastAsia" w:ascii="宋体" w:hAnsi="宋体" w:eastAsia="宋体" w:cs="宋体"/>
          <w:color w:val="auto"/>
          <w:kern w:val="0"/>
          <w:sz w:val="28"/>
          <w:szCs w:val="28"/>
          <w:highlight w:val="none"/>
          <w:shd w:val="clear" w:color="auto" w:fill="FFFFFF"/>
        </w:rPr>
        <w:t>文</w:t>
      </w:r>
      <w:r>
        <w:rPr>
          <w:rFonts w:hint="eastAsia" w:ascii="宋体" w:hAnsi="宋体" w:eastAsia="宋体" w:cs="宋体"/>
          <w:color w:val="auto"/>
          <w:kern w:val="0"/>
          <w:sz w:val="28"/>
          <w:szCs w:val="28"/>
          <w:highlight w:val="none"/>
          <w:shd w:val="clear" w:color="auto" w:fill="FFFFFF"/>
        </w:rPr>
        <w:t>件请于</w:t>
      </w:r>
      <w:r>
        <w:rPr>
          <w:rFonts w:hint="eastAsia" w:ascii="宋体" w:hAnsi="宋体" w:eastAsia="宋体" w:cs="宋体"/>
          <w:b/>
          <w:color w:val="auto"/>
          <w:kern w:val="0"/>
          <w:sz w:val="28"/>
          <w:szCs w:val="28"/>
          <w:highlight w:val="none"/>
          <w:u w:val="single"/>
          <w:shd w:val="clear" w:color="auto" w:fill="FFFFFF"/>
        </w:rPr>
        <w:t>202</w:t>
      </w:r>
      <w:r>
        <w:rPr>
          <w:rFonts w:hint="eastAsia" w:ascii="宋体" w:hAnsi="宋体" w:eastAsia="宋体" w:cs="宋体"/>
          <w:b/>
          <w:color w:val="auto"/>
          <w:kern w:val="0"/>
          <w:sz w:val="28"/>
          <w:szCs w:val="28"/>
          <w:highlight w:val="none"/>
          <w:u w:val="single"/>
          <w:shd w:val="clear" w:color="auto" w:fill="FFFFFF"/>
          <w:lang w:val="en-US" w:eastAsia="zh-CN"/>
        </w:rPr>
        <w:t>4</w:t>
      </w:r>
      <w:r>
        <w:rPr>
          <w:rFonts w:hint="eastAsia" w:ascii="宋体" w:hAnsi="宋体" w:eastAsia="宋体" w:cs="宋体"/>
          <w:b/>
          <w:color w:val="auto"/>
          <w:kern w:val="0"/>
          <w:sz w:val="28"/>
          <w:szCs w:val="28"/>
          <w:highlight w:val="none"/>
          <w:u w:val="single"/>
          <w:shd w:val="clear" w:color="auto" w:fill="FFFFFF"/>
        </w:rPr>
        <w:t>年</w:t>
      </w:r>
      <w:r>
        <w:rPr>
          <w:rFonts w:hint="eastAsia" w:ascii="宋体" w:hAnsi="宋体" w:eastAsia="宋体" w:cs="宋体"/>
          <w:b/>
          <w:color w:val="auto"/>
          <w:kern w:val="0"/>
          <w:sz w:val="28"/>
          <w:szCs w:val="28"/>
          <w:highlight w:val="none"/>
          <w:u w:val="single"/>
          <w:shd w:val="clear" w:color="auto" w:fill="FFFFFF"/>
          <w:lang w:val="en-US" w:eastAsia="zh-CN"/>
        </w:rPr>
        <w:t>01</w:t>
      </w:r>
      <w:r>
        <w:rPr>
          <w:rFonts w:hint="eastAsia" w:ascii="宋体" w:hAnsi="宋体" w:eastAsia="宋体" w:cs="宋体"/>
          <w:b/>
          <w:color w:val="auto"/>
          <w:kern w:val="0"/>
          <w:sz w:val="28"/>
          <w:szCs w:val="28"/>
          <w:highlight w:val="none"/>
          <w:u w:val="single"/>
          <w:shd w:val="clear" w:color="auto" w:fill="FFFFFF"/>
        </w:rPr>
        <w:t>月</w:t>
      </w:r>
      <w:r>
        <w:rPr>
          <w:rFonts w:hint="eastAsia" w:ascii="宋体" w:hAnsi="宋体" w:eastAsia="宋体" w:cs="宋体"/>
          <w:b/>
          <w:color w:val="auto"/>
          <w:kern w:val="0"/>
          <w:sz w:val="28"/>
          <w:szCs w:val="28"/>
          <w:highlight w:val="none"/>
          <w:u w:val="single"/>
          <w:shd w:val="clear" w:color="auto" w:fill="FFFFFF"/>
          <w:lang w:val="en-US" w:eastAsia="zh-CN"/>
        </w:rPr>
        <w:t>26</w:t>
      </w:r>
      <w:r>
        <w:rPr>
          <w:rFonts w:hint="eastAsia" w:ascii="宋体" w:hAnsi="宋体" w:eastAsia="宋体" w:cs="宋体"/>
          <w:b/>
          <w:color w:val="auto"/>
          <w:kern w:val="0"/>
          <w:sz w:val="28"/>
          <w:szCs w:val="28"/>
          <w:highlight w:val="none"/>
          <w:u w:val="single"/>
          <w:shd w:val="clear" w:color="auto" w:fill="FFFFFF"/>
        </w:rPr>
        <w:t>日</w:t>
      </w:r>
      <w:r>
        <w:rPr>
          <w:rFonts w:hint="eastAsia" w:ascii="宋体" w:hAnsi="宋体" w:eastAsia="宋体" w:cs="宋体"/>
          <w:b/>
          <w:color w:val="auto"/>
          <w:kern w:val="0"/>
          <w:sz w:val="28"/>
          <w:szCs w:val="28"/>
          <w:highlight w:val="none"/>
          <w:u w:val="single"/>
          <w:shd w:val="clear" w:color="auto" w:fill="FFFFFF"/>
          <w:lang w:eastAsia="zh-CN"/>
        </w:rPr>
        <w:t>上</w:t>
      </w:r>
      <w:r>
        <w:rPr>
          <w:rFonts w:hint="eastAsia" w:ascii="宋体" w:hAnsi="宋体" w:eastAsia="宋体" w:cs="宋体"/>
          <w:b/>
          <w:color w:val="auto"/>
          <w:kern w:val="0"/>
          <w:sz w:val="28"/>
          <w:szCs w:val="28"/>
          <w:highlight w:val="none"/>
          <w:u w:val="single"/>
          <w:shd w:val="clear" w:color="auto" w:fill="FFFFFF"/>
        </w:rPr>
        <w:t>午</w:t>
      </w:r>
      <w:r>
        <w:rPr>
          <w:rFonts w:hint="eastAsia" w:ascii="宋体" w:hAnsi="宋体" w:eastAsia="宋体" w:cs="宋体"/>
          <w:b/>
          <w:color w:val="auto"/>
          <w:kern w:val="0"/>
          <w:sz w:val="28"/>
          <w:szCs w:val="28"/>
          <w:highlight w:val="none"/>
          <w:u w:val="single"/>
          <w:shd w:val="clear" w:color="auto" w:fill="FFFFFF"/>
          <w:lang w:val="en-US" w:eastAsia="zh-CN"/>
        </w:rPr>
        <w:t>8</w:t>
      </w:r>
      <w:r>
        <w:rPr>
          <w:rFonts w:hint="eastAsia" w:ascii="宋体" w:hAnsi="宋体" w:eastAsia="宋体" w:cs="宋体"/>
          <w:b/>
          <w:color w:val="auto"/>
          <w:kern w:val="0"/>
          <w:sz w:val="28"/>
          <w:szCs w:val="28"/>
          <w:highlight w:val="none"/>
          <w:u w:val="single"/>
          <w:shd w:val="clear" w:color="auto" w:fill="FFFFFF"/>
        </w:rPr>
        <w:t>：</w:t>
      </w:r>
      <w:r>
        <w:rPr>
          <w:rFonts w:hint="eastAsia" w:ascii="宋体" w:hAnsi="宋体" w:eastAsia="宋体" w:cs="宋体"/>
          <w:b/>
          <w:color w:val="auto"/>
          <w:kern w:val="0"/>
          <w:sz w:val="28"/>
          <w:szCs w:val="28"/>
          <w:highlight w:val="none"/>
          <w:u w:val="single"/>
          <w:shd w:val="clear" w:color="auto" w:fill="FFFFFF"/>
          <w:lang w:val="en-US" w:eastAsia="zh-CN"/>
        </w:rPr>
        <w:t>3</w:t>
      </w:r>
      <w:r>
        <w:rPr>
          <w:rFonts w:hint="eastAsia" w:ascii="宋体" w:hAnsi="宋体" w:eastAsia="宋体" w:cs="宋体"/>
          <w:b/>
          <w:color w:val="auto"/>
          <w:kern w:val="0"/>
          <w:sz w:val="28"/>
          <w:szCs w:val="28"/>
          <w:highlight w:val="none"/>
          <w:u w:val="single"/>
          <w:shd w:val="clear" w:color="auto" w:fill="FFFFFF"/>
        </w:rPr>
        <w:t>0-</w:t>
      </w:r>
      <w:r>
        <w:rPr>
          <w:rFonts w:hint="eastAsia" w:ascii="宋体" w:hAnsi="宋体" w:eastAsia="宋体" w:cs="宋体"/>
          <w:b/>
          <w:color w:val="auto"/>
          <w:kern w:val="0"/>
          <w:sz w:val="28"/>
          <w:szCs w:val="28"/>
          <w:highlight w:val="none"/>
          <w:u w:val="single"/>
          <w:shd w:val="clear" w:color="auto" w:fill="FFFFFF"/>
          <w:lang w:val="en-US" w:eastAsia="zh-CN"/>
        </w:rPr>
        <w:t>9</w:t>
      </w:r>
      <w:r>
        <w:rPr>
          <w:rFonts w:hint="eastAsia" w:ascii="宋体" w:hAnsi="宋体" w:eastAsia="宋体" w:cs="宋体"/>
          <w:b/>
          <w:color w:val="auto"/>
          <w:kern w:val="0"/>
          <w:sz w:val="28"/>
          <w:szCs w:val="28"/>
          <w:highlight w:val="none"/>
          <w:u w:val="single"/>
          <w:shd w:val="clear" w:color="auto" w:fill="FFFFFF"/>
        </w:rPr>
        <w:t>：</w:t>
      </w:r>
      <w:r>
        <w:rPr>
          <w:rFonts w:hint="eastAsia" w:ascii="宋体" w:hAnsi="宋体" w:eastAsia="宋体" w:cs="宋体"/>
          <w:b/>
          <w:color w:val="auto"/>
          <w:kern w:val="0"/>
          <w:sz w:val="28"/>
          <w:szCs w:val="28"/>
          <w:highlight w:val="none"/>
          <w:u w:val="single"/>
          <w:shd w:val="clear" w:color="auto" w:fill="FFFFFF"/>
          <w:lang w:val="en-US" w:eastAsia="zh-CN"/>
        </w:rPr>
        <w:t>0</w:t>
      </w:r>
      <w:r>
        <w:rPr>
          <w:rFonts w:hint="eastAsia" w:ascii="宋体" w:hAnsi="宋体" w:eastAsia="宋体" w:cs="宋体"/>
          <w:b/>
          <w:color w:val="auto"/>
          <w:kern w:val="0"/>
          <w:sz w:val="28"/>
          <w:szCs w:val="28"/>
          <w:highlight w:val="none"/>
          <w:u w:val="single"/>
          <w:shd w:val="clear" w:color="auto" w:fill="FFFFFF"/>
        </w:rPr>
        <w:t>0</w:t>
      </w:r>
      <w:r>
        <w:rPr>
          <w:rFonts w:hint="eastAsia" w:ascii="宋体" w:hAnsi="宋体" w:eastAsia="宋体" w:cs="宋体"/>
          <w:color w:val="auto"/>
          <w:kern w:val="0"/>
          <w:sz w:val="28"/>
          <w:szCs w:val="28"/>
          <w:highlight w:val="none"/>
          <w:shd w:val="clear" w:color="auto" w:fill="FFFFFF"/>
        </w:rPr>
        <w:t>密封</w:t>
      </w:r>
      <w:r>
        <w:rPr>
          <w:rFonts w:hint="eastAsia" w:ascii="宋体" w:hAnsi="宋体" w:eastAsia="宋体" w:cs="宋体"/>
          <w:color w:val="auto"/>
          <w:kern w:val="0"/>
          <w:sz w:val="28"/>
          <w:szCs w:val="28"/>
          <w:highlight w:val="none"/>
          <w:shd w:val="clear" w:color="auto" w:fill="FFFFFF"/>
        </w:rPr>
        <w:t>送至</w:t>
      </w:r>
      <w:r>
        <w:rPr>
          <w:rFonts w:hint="eastAsia" w:ascii="宋体" w:hAnsi="宋体" w:eastAsia="宋体" w:cs="宋体"/>
          <w:color w:val="auto"/>
          <w:sz w:val="28"/>
          <w:szCs w:val="28"/>
          <w:highlight w:val="none"/>
          <w:lang w:eastAsia="zh-CN"/>
        </w:rPr>
        <w:t>江苏天宏华信工程投资管理咨询有限公司会议室（启东市南苑西路1168号国动产业园2号楼402室）</w:t>
      </w:r>
      <w:r>
        <w:rPr>
          <w:rFonts w:hint="eastAsia" w:ascii="宋体" w:hAnsi="宋体" w:eastAsia="宋体" w:cs="宋体"/>
          <w:color w:val="auto"/>
          <w:kern w:val="0"/>
          <w:sz w:val="28"/>
          <w:szCs w:val="28"/>
          <w:highlight w:val="none"/>
          <w:shd w:val="clear" w:color="auto" w:fill="FFFFFF"/>
        </w:rPr>
        <w:t>进行登记（只接收直接送达），逾时则不予受理。</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1" w:name="_Toc82505656"/>
      <w:r>
        <w:rPr>
          <w:rFonts w:hint="eastAsia" w:ascii="宋体" w:hAnsi="宋体" w:eastAsia="宋体" w:cs="宋体"/>
          <w:b/>
          <w:bCs/>
          <w:color w:val="auto"/>
          <w:sz w:val="28"/>
          <w:szCs w:val="28"/>
          <w:highlight w:val="none"/>
        </w:rPr>
        <w:t>五、开启</w:t>
      </w:r>
      <w:bookmarkEnd w:id="11"/>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w:t>
      </w:r>
      <w:r>
        <w:rPr>
          <w:rFonts w:hint="eastAsia" w:ascii="宋体" w:hAnsi="宋体" w:eastAsia="宋体" w:cs="宋体"/>
          <w:color w:val="auto"/>
          <w:sz w:val="28"/>
          <w:szCs w:val="28"/>
          <w:highlight w:val="none"/>
          <w:lang w:val="en-US" w:eastAsia="zh-CN"/>
        </w:rPr>
        <w:t>202</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年</w:t>
      </w:r>
      <w:r>
        <w:rPr>
          <w:rFonts w:hint="eastAsia" w:ascii="宋体" w:hAnsi="宋体" w:cs="宋体"/>
          <w:color w:val="auto"/>
          <w:sz w:val="28"/>
          <w:szCs w:val="28"/>
          <w:highlight w:val="none"/>
          <w:lang w:val="en-US" w:eastAsia="zh-CN"/>
        </w:rPr>
        <w:t>01</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26</w:t>
      </w:r>
      <w:r>
        <w:rPr>
          <w:rFonts w:hint="eastAsia" w:ascii="宋体" w:hAnsi="宋体" w:eastAsia="宋体" w:cs="宋体"/>
          <w:color w:val="auto"/>
          <w:sz w:val="28"/>
          <w:szCs w:val="28"/>
          <w:highlight w:val="none"/>
        </w:rPr>
        <w:t>日</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点</w:t>
      </w:r>
      <w:r>
        <w:rPr>
          <w:rFonts w:hint="eastAsia" w:ascii="宋体" w:hAnsi="宋体" w:cs="宋体"/>
          <w:color w:val="auto"/>
          <w:sz w:val="28"/>
          <w:szCs w:val="28"/>
          <w:highlight w:val="none"/>
          <w:lang w:val="en-US" w:eastAsia="zh-CN"/>
        </w:rPr>
        <w:t>00</w:t>
      </w:r>
      <w:r>
        <w:rPr>
          <w:rFonts w:hint="eastAsia" w:ascii="宋体" w:hAnsi="宋体" w:eastAsia="宋体" w:cs="宋体"/>
          <w:color w:val="auto"/>
          <w:sz w:val="28"/>
          <w:szCs w:val="28"/>
          <w:highlight w:val="none"/>
        </w:rPr>
        <w:t>分（北京时间）</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w:t>
      </w:r>
      <w:r>
        <w:rPr>
          <w:rFonts w:hint="eastAsia" w:ascii="宋体" w:hAnsi="宋体" w:eastAsia="宋体" w:cs="宋体"/>
          <w:color w:val="auto"/>
          <w:sz w:val="28"/>
          <w:szCs w:val="28"/>
          <w:highlight w:val="none"/>
          <w:lang w:eastAsia="zh-CN"/>
        </w:rPr>
        <w:t>江苏天宏华信工程投资管理咨询有限公司会议室（启东市南苑西路1168号国动产业园2号楼402室）</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2" w:name="_Toc82505657"/>
      <w:r>
        <w:rPr>
          <w:rFonts w:hint="eastAsia" w:ascii="宋体" w:hAnsi="宋体" w:eastAsia="宋体" w:cs="宋体"/>
          <w:b/>
          <w:bCs/>
          <w:color w:val="auto"/>
          <w:sz w:val="28"/>
          <w:szCs w:val="28"/>
          <w:highlight w:val="none"/>
        </w:rPr>
        <w:t>六、公告期限</w:t>
      </w:r>
      <w:bookmarkEnd w:id="12"/>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自本公告发布之日起3个工作日。</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3" w:name="_Toc82505658"/>
      <w:r>
        <w:rPr>
          <w:rFonts w:hint="eastAsia" w:ascii="宋体" w:hAnsi="宋体" w:eastAsia="宋体" w:cs="宋体"/>
          <w:b/>
          <w:bCs/>
          <w:color w:val="auto"/>
          <w:sz w:val="28"/>
          <w:szCs w:val="28"/>
          <w:highlight w:val="none"/>
        </w:rPr>
        <w:t>七、其他补充事宜</w:t>
      </w:r>
      <w:bookmarkEnd w:id="13"/>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1.响应保证金：免收。</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2.项目开标活动模式：不见面开标模式。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3.项目样品：</w:t>
      </w:r>
      <w:r>
        <w:rPr>
          <w:rFonts w:hint="eastAsia" w:ascii="宋体" w:hAnsi="宋体" w:cs="宋体"/>
          <w:b w:val="0"/>
          <w:bCs w:val="0"/>
          <w:color w:val="auto"/>
          <w:sz w:val="28"/>
          <w:szCs w:val="28"/>
          <w:highlight w:val="none"/>
          <w:lang w:eastAsia="zh-CN"/>
        </w:rPr>
        <w:t>无</w:t>
      </w:r>
      <w:r>
        <w:rPr>
          <w:rFonts w:hint="eastAsia" w:ascii="宋体" w:hAnsi="宋体" w:eastAsia="宋体" w:cs="宋体"/>
          <w:b w:val="0"/>
          <w:bCs w:val="0"/>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4.对项目需求部分（供应商资格要求、项目需求）的询问、质疑请向采购人提出，由采购人负责答复；对项目采购文件其他部分的询问、质疑请向</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bookmarkStart w:id="14" w:name="_Toc82505660"/>
      <w:r>
        <w:rPr>
          <w:rFonts w:hint="eastAsia" w:ascii="宋体" w:hAnsi="宋体" w:eastAsia="宋体" w:cs="宋体"/>
          <w:b/>
          <w:bCs/>
          <w:color w:val="auto"/>
          <w:sz w:val="28"/>
          <w:szCs w:val="28"/>
          <w:highlight w:val="none"/>
        </w:rPr>
        <w:t>八、凡对本次采购提出询问，请按以下方式联系</w:t>
      </w:r>
      <w:bookmarkEnd w:id="14"/>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1.采购人信息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cs="宋体"/>
          <w:color w:val="auto"/>
          <w:sz w:val="28"/>
          <w:szCs w:val="28"/>
          <w:highlight w:val="none"/>
          <w:lang w:val="en-US" w:eastAsia="zh-CN"/>
        </w:rPr>
        <w:t>启东市机关事务服务中心</w:t>
      </w:r>
      <w:r>
        <w:rPr>
          <w:rFonts w:hint="eastAsia" w:ascii="宋体" w:hAnsi="宋体" w:eastAsia="宋体" w:cs="宋体"/>
          <w:color w:val="auto"/>
          <w:sz w:val="28"/>
          <w:szCs w:val="28"/>
          <w:highlight w:val="none"/>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地址：</w:t>
      </w:r>
      <w:r>
        <w:rPr>
          <w:rFonts w:hint="eastAsia" w:ascii="宋体" w:hAnsi="宋体" w:cs="宋体"/>
          <w:color w:val="auto"/>
          <w:sz w:val="28"/>
          <w:szCs w:val="28"/>
          <w:highlight w:val="none"/>
          <w:lang w:eastAsia="zh-CN"/>
        </w:rPr>
        <w:t>启东市汇龙镇世纪大道1288号后勤楼5楼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rPr>
        <w:t>陈先生</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rPr>
        <w:t>0513-80923599</w:t>
      </w:r>
      <w:r>
        <w:rPr>
          <w:rFonts w:hint="eastAsia" w:ascii="宋体" w:hAnsi="宋体" w:eastAsia="宋体" w:cs="宋体"/>
          <w:color w:val="auto"/>
          <w:sz w:val="28"/>
          <w:szCs w:val="28"/>
          <w:highlight w:val="none"/>
        </w:rPr>
        <w:t>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2.采购代理机构</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名 称：</w:t>
      </w:r>
      <w:r>
        <w:rPr>
          <w:rFonts w:hint="eastAsia" w:ascii="宋体" w:hAnsi="宋体" w:eastAsia="宋体" w:cs="宋体"/>
          <w:color w:val="auto"/>
          <w:sz w:val="28"/>
          <w:szCs w:val="28"/>
          <w:highlight w:val="none"/>
          <w:lang w:val="en-US" w:eastAsia="zh-CN"/>
        </w:rPr>
        <w:t>江苏天宏华信工程投资管理咨询有限公司</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  址：</w:t>
      </w:r>
      <w:r>
        <w:rPr>
          <w:rFonts w:hint="eastAsia" w:ascii="宋体" w:hAnsi="宋体" w:eastAsia="宋体" w:cs="宋体"/>
          <w:color w:val="auto"/>
          <w:sz w:val="28"/>
          <w:szCs w:val="28"/>
          <w:highlight w:val="none"/>
          <w:lang w:val="en-US" w:eastAsia="zh-CN"/>
        </w:rPr>
        <w:t>启东市南苑西路1168号国动产业园2号楼402室</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联系人：</w:t>
      </w:r>
      <w:r>
        <w:rPr>
          <w:rFonts w:hint="eastAsia" w:ascii="宋体" w:hAnsi="宋体" w:cs="宋体"/>
          <w:color w:val="auto"/>
          <w:sz w:val="28"/>
          <w:szCs w:val="28"/>
          <w:highlight w:val="none"/>
          <w:lang w:val="en-US" w:eastAsia="zh-CN"/>
        </w:rPr>
        <w:t>陈佩芬</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联系方式：</w:t>
      </w:r>
      <w:r>
        <w:rPr>
          <w:rFonts w:hint="eastAsia" w:ascii="宋体" w:hAnsi="宋体" w:eastAsia="宋体" w:cs="宋体"/>
          <w:color w:val="auto"/>
          <w:sz w:val="28"/>
          <w:szCs w:val="28"/>
          <w:highlight w:val="none"/>
          <w:lang w:val="en-US" w:eastAsia="zh-CN"/>
        </w:rPr>
        <w:t>0513-83248588</w:t>
      </w:r>
    </w:p>
    <w:p>
      <w:pPr>
        <w:adjustRightInd w:val="0"/>
        <w:snapToGrid w:val="0"/>
        <w:spacing w:line="500" w:lineRule="exact"/>
        <w:ind w:firstLine="560" w:firstLineChars="200"/>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 项目采购文件</w:t>
      </w:r>
      <w:bookmarkEnd w:id="2"/>
      <w:bookmarkEnd w:id="3"/>
      <w:bookmarkEnd w:id="4"/>
      <w:bookmarkEnd w:id="5"/>
      <w:bookmarkEnd w:id="6"/>
      <w:bookmarkStart w:id="15" w:name="_Toc22736"/>
    </w:p>
    <w:p>
      <w:pPr>
        <w:adjustRightInd w:val="0"/>
        <w:snapToGrid w:val="0"/>
        <w:spacing w:line="500" w:lineRule="exact"/>
        <w:rPr>
          <w:rFonts w:hint="eastAsia" w:ascii="宋体" w:hAnsi="宋体" w:eastAsia="宋体" w:cs="宋体"/>
          <w:bCs/>
          <w:color w:val="auto"/>
          <w:sz w:val="36"/>
          <w:szCs w:val="36"/>
          <w:highlight w:val="none"/>
        </w:rPr>
      </w:pPr>
      <w:bookmarkStart w:id="16" w:name="_Toc82505661"/>
      <w:r>
        <w:rPr>
          <w:rFonts w:hint="eastAsia" w:ascii="宋体" w:hAnsi="宋体" w:eastAsia="宋体" w:cs="宋体"/>
          <w:bCs/>
          <w:color w:val="auto"/>
          <w:sz w:val="36"/>
          <w:szCs w:val="36"/>
          <w:highlight w:val="none"/>
        </w:rPr>
        <w:br w:type="page"/>
      </w:r>
    </w:p>
    <w:bookmarkEnd w:id="15"/>
    <w:bookmarkEnd w:id="16"/>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bookmarkStart w:id="17" w:name="_Toc82505664"/>
      <w:bookmarkStart w:id="18" w:name="_Toc11926"/>
      <w:r>
        <w:rPr>
          <w:rFonts w:hint="eastAsia" w:ascii="宋体" w:hAnsi="宋体" w:eastAsia="宋体" w:cs="宋体"/>
          <w:b w:val="0"/>
          <w:color w:val="auto"/>
          <w:sz w:val="36"/>
          <w:szCs w:val="36"/>
          <w:highlight w:val="none"/>
        </w:rPr>
        <w:t>第二部分  响应须知</w:t>
      </w:r>
      <w:bookmarkEnd w:id="17"/>
      <w:bookmarkEnd w:id="18"/>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一、总则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19" w:name="_Toc458694821"/>
      <w:bookmarkStart w:id="20" w:name="_Toc20823276"/>
      <w:bookmarkStart w:id="21" w:name="_Toc513029204"/>
      <w:bookmarkStart w:id="22" w:name="_Toc16938520"/>
      <w:r>
        <w:rPr>
          <w:rFonts w:hint="eastAsia" w:ascii="宋体" w:hAnsi="宋体" w:eastAsia="宋体" w:cs="宋体"/>
          <w:color w:val="auto"/>
          <w:sz w:val="28"/>
          <w:szCs w:val="28"/>
          <w:highlight w:val="none"/>
        </w:rPr>
        <w:t>1</w:t>
      </w:r>
      <w:bookmarkEnd w:id="19"/>
      <w:r>
        <w:rPr>
          <w:rFonts w:hint="eastAsia" w:ascii="宋体" w:hAnsi="宋体" w:eastAsia="宋体" w:cs="宋体"/>
          <w:color w:val="auto"/>
          <w:sz w:val="28"/>
          <w:szCs w:val="28"/>
          <w:highlight w:val="none"/>
        </w:rPr>
        <w:t>.采购方式</w:t>
      </w:r>
      <w:bookmarkEnd w:id="20"/>
      <w:bookmarkEnd w:id="21"/>
      <w:bookmarkEnd w:id="22"/>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本次采购采取询价方式，本询价文件仅适用于询价公告中所述项目。</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3" w:name="_Toc20823277"/>
      <w:bookmarkStart w:id="24" w:name="_Toc16938521"/>
      <w:bookmarkStart w:id="25" w:name="_Toc513029205"/>
      <w:r>
        <w:rPr>
          <w:rFonts w:hint="eastAsia" w:ascii="宋体" w:hAnsi="宋体" w:eastAsia="宋体" w:cs="宋体"/>
          <w:color w:val="auto"/>
          <w:sz w:val="28"/>
          <w:szCs w:val="28"/>
          <w:highlight w:val="none"/>
        </w:rPr>
        <w:t>2.合格的</w:t>
      </w:r>
      <w:bookmarkEnd w:id="23"/>
      <w:bookmarkEnd w:id="24"/>
      <w:bookmarkEnd w:id="25"/>
      <w:r>
        <w:rPr>
          <w:rFonts w:hint="eastAsia" w:ascii="宋体" w:hAnsi="宋体" w:eastAsia="宋体" w:cs="宋体"/>
          <w:color w:val="auto"/>
          <w:sz w:val="28"/>
          <w:szCs w:val="28"/>
          <w:highlight w:val="none"/>
        </w:rPr>
        <w:t>响应供应商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2.1满足询价公告中供应商的资格要求的规定。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6" w:name="_Toc16938522"/>
      <w:bookmarkStart w:id="27" w:name="_Toc513029206"/>
      <w:bookmarkStart w:id="28" w:name="_Toc20823278"/>
      <w:r>
        <w:rPr>
          <w:rFonts w:hint="eastAsia" w:ascii="宋体" w:hAnsi="宋体" w:eastAsia="宋体" w:cs="宋体"/>
          <w:color w:val="auto"/>
          <w:sz w:val="28"/>
          <w:szCs w:val="28"/>
          <w:highlight w:val="none"/>
        </w:rPr>
        <w:t>3.适用法律</w:t>
      </w:r>
      <w:bookmarkEnd w:id="26"/>
      <w:bookmarkEnd w:id="27"/>
      <w:bookmarkEnd w:id="28"/>
    </w:p>
    <w:p>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本次询价采购及由此产生的合同受中华人民共和国有关的法律法规制约和保护。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29" w:name="_Toc513029207"/>
      <w:bookmarkStart w:id="30" w:name="_Toc20823279"/>
      <w:bookmarkStart w:id="31" w:name="_Toc16938523"/>
      <w:bookmarkStart w:id="32" w:name="_Toc462564067"/>
      <w:r>
        <w:rPr>
          <w:rFonts w:hint="eastAsia" w:ascii="宋体" w:hAnsi="宋体" w:eastAsia="宋体" w:cs="宋体"/>
          <w:color w:val="auto"/>
          <w:sz w:val="28"/>
          <w:szCs w:val="28"/>
          <w:highlight w:val="none"/>
        </w:rPr>
        <w:t>4.响应费用</w:t>
      </w:r>
      <w:bookmarkEnd w:id="29"/>
      <w:bookmarkEnd w:id="30"/>
      <w:bookmarkEnd w:id="31"/>
      <w:bookmarkEnd w:id="32"/>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响应供应商应自行承担所有与参加响应有关的费用，无论响应过程中的做法和结果如何，</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在任何情况下均无义务和责任承担这些费用。</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5.采购文件的约束力</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响应供应商一旦参加本项目采购活动，即被认为接受了本询价采购文件的规定和约束。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采购文件的解释</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本采购文件仅适用于本次询价采购，项目需求部分（供应商资格要求、项目需求）由采购人解释，其他部分由</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解释。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7.报价要求</w:t>
      </w:r>
    </w:p>
    <w:p>
      <w:pPr>
        <w:keepNext w:val="0"/>
        <w:keepLines w:val="0"/>
        <w:pageBreakBefore w:val="0"/>
        <w:numPr>
          <w:ilvl w:val="0"/>
          <w:numId w:val="0"/>
        </w:numPr>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7.2采购人不接受任何可选择的报价，成交供应商不得在供货期间提出任何</w:t>
      </w:r>
      <w:r>
        <w:rPr>
          <w:rFonts w:hint="eastAsia" w:ascii="宋体" w:hAnsi="宋体" w:eastAsia="宋体" w:cs="宋体"/>
          <w:color w:val="auto"/>
          <w:sz w:val="28"/>
          <w:szCs w:val="28"/>
          <w:highlight w:val="none"/>
        </w:rPr>
        <w:t>增加费用的要求。请各供应商在报价时充分考虑各种因素。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二、采购文件</w:t>
      </w:r>
    </w:p>
    <w:p>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1.采购文件的构成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采购文件由以下部分组成：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（1）询价采购公告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（2）响应须知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（4）响应文件组成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请响应供应商仔细检查采购文件是否齐全，如有缺漏请立即</w:t>
      </w:r>
      <w:r>
        <w:rPr>
          <w:rFonts w:hint="eastAsia" w:ascii="宋体" w:hAnsi="宋体" w:eastAsia="宋体" w:cs="宋体"/>
          <w:color w:val="auto"/>
          <w:sz w:val="28"/>
          <w:szCs w:val="28"/>
          <w:highlight w:val="none"/>
          <w:lang w:val="en-US" w:eastAsia="zh-CN"/>
        </w:rPr>
        <w:t>与代理机构</w:t>
      </w:r>
      <w:r>
        <w:rPr>
          <w:rFonts w:hint="eastAsia" w:ascii="宋体" w:hAnsi="宋体" w:eastAsia="宋体" w:cs="宋体"/>
          <w:color w:val="auto"/>
          <w:sz w:val="28"/>
          <w:szCs w:val="28"/>
          <w:highlight w:val="none"/>
        </w:rPr>
        <w:t>联系解决。</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2.询价采购文件的澄清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33" w:name="_Toc513029212"/>
      <w:bookmarkStart w:id="34" w:name="_Toc462564071"/>
      <w:bookmarkStart w:id="35" w:name="_Toc16938528"/>
      <w:bookmarkStart w:id="36" w:name="_Toc20823284"/>
      <w:r>
        <w:rPr>
          <w:rFonts w:hint="eastAsia" w:ascii="宋体" w:hAnsi="宋体" w:eastAsia="宋体" w:cs="宋体"/>
          <w:color w:val="auto"/>
          <w:sz w:val="28"/>
          <w:szCs w:val="28"/>
          <w:highlight w:val="none"/>
        </w:rPr>
        <w:t>3.询价采购文件的修改</w:t>
      </w:r>
      <w:bookmarkEnd w:id="33"/>
      <w:bookmarkEnd w:id="34"/>
      <w:bookmarkEnd w:id="35"/>
      <w:bookmarkEnd w:id="36"/>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在响应截止时间前，</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可以对采购文件进行修改。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color w:val="auto"/>
          <w:sz w:val="28"/>
          <w:szCs w:val="28"/>
          <w:highlight w:val="none"/>
        </w:rPr>
        <w:t>有权按照法定的要求推迟响应截止日期和开标日期。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采购文件的修改将在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公布，补充文件将作为采购文件的组成部分，并对响应供应商具有约束力，请供应商及时关注网站公告信息。</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三、响应文件的编制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37" w:name="_Toc16938530"/>
      <w:bookmarkStart w:id="38" w:name="_Toc462564073"/>
      <w:bookmarkStart w:id="39" w:name="_Toc20823286"/>
      <w:bookmarkStart w:id="40" w:name="_Toc513029214"/>
      <w:r>
        <w:rPr>
          <w:rFonts w:hint="eastAsia" w:ascii="宋体" w:hAnsi="宋体" w:eastAsia="宋体" w:cs="宋体"/>
          <w:bCs/>
          <w:color w:val="auto"/>
          <w:sz w:val="28"/>
          <w:szCs w:val="28"/>
          <w:highlight w:val="none"/>
        </w:rPr>
        <w:t>1.响应文件的语言及度量衡单位</w:t>
      </w:r>
      <w:bookmarkEnd w:id="37"/>
      <w:bookmarkEnd w:id="38"/>
      <w:bookmarkEnd w:id="39"/>
      <w:bookmarkEnd w:id="40"/>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响应供应商提交的响应文件以及响应供应商与</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就有关响应的所有来往通知、函件和文件均应使用简体中文。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 除技术性能另有规定外，响应文件所使用的度量衡单位，均须采用国家法定计量单位。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bookmarkStart w:id="41" w:name="_Toc16938531"/>
      <w:bookmarkStart w:id="42" w:name="_Toc20823287"/>
      <w:bookmarkStart w:id="43" w:name="_Toc462564074"/>
      <w:bookmarkStart w:id="44" w:name="_Toc513029215"/>
      <w:r>
        <w:rPr>
          <w:rFonts w:hint="eastAsia" w:ascii="宋体" w:hAnsi="宋体" w:eastAsia="宋体" w:cs="宋体"/>
          <w:bCs/>
          <w:color w:val="auto"/>
          <w:sz w:val="28"/>
          <w:szCs w:val="28"/>
          <w:highlight w:val="none"/>
        </w:rPr>
        <w:t>2.响应文件构成</w:t>
      </w:r>
      <w:bookmarkEnd w:id="41"/>
      <w:bookmarkEnd w:id="42"/>
      <w:bookmarkEnd w:id="43"/>
      <w:bookmarkEnd w:id="44"/>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响应供应商应按“第四部分响应文件组成”要求编写响应文件。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45" w:name="_Hlt26668975"/>
      <w:bookmarkEnd w:id="45"/>
      <w:bookmarkStart w:id="46" w:name="_Hlt26954838"/>
      <w:bookmarkEnd w:id="46"/>
      <w:bookmarkStart w:id="47" w:name="_Hlt26670360"/>
      <w:bookmarkEnd w:id="47"/>
      <w:bookmarkStart w:id="48" w:name="_Toc49090511"/>
      <w:bookmarkStart w:id="49" w:name="_Toc14577360"/>
      <w:r>
        <w:rPr>
          <w:rFonts w:hint="eastAsia" w:ascii="宋体" w:hAnsi="宋体" w:eastAsia="宋体" w:cs="宋体"/>
          <w:color w:val="auto"/>
          <w:sz w:val="28"/>
          <w:szCs w:val="28"/>
          <w:highlight w:val="none"/>
        </w:rPr>
        <w:t>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文件的密封、签署、提交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文件必须提供1份正本2份副本。</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3.2</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文件统一采用顺丰快递方式提交（不得采用到付方式）。</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3.3</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文件均需采用A4纸（图纸等除外）打印并装订成册，不允许使用活页夹、拉杆夹、文件夹、塑料方便式书脊（插入式或穿孔式）装订，并应在</w:t>
      </w:r>
      <w:r>
        <w:rPr>
          <w:rFonts w:hint="eastAsia" w:ascii="宋体" w:hAnsi="宋体" w:eastAsia="宋体" w:cs="宋体"/>
          <w:bCs/>
          <w:color w:val="auto"/>
          <w:sz w:val="28"/>
          <w:szCs w:val="28"/>
          <w:highlight w:val="none"/>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3.4</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供应商应在响应文件密封袋上标明：采购人名称、项目名称、供应商名称</w:t>
      </w:r>
      <w:r>
        <w:rPr>
          <w:rFonts w:hint="eastAsia" w:ascii="宋体" w:hAnsi="宋体" w:eastAsia="宋体" w:cs="宋体"/>
          <w:color w:val="auto"/>
          <w:sz w:val="28"/>
          <w:szCs w:val="28"/>
          <w:highlight w:val="none"/>
          <w:lang w:eastAsia="zh-CN"/>
        </w:rPr>
        <w:t>、响应文件名称</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3.5</w:t>
      </w:r>
      <w:r>
        <w:rPr>
          <w:rFonts w:hint="eastAsia" w:ascii="宋体" w:hAnsi="宋体" w:eastAsia="宋体" w:cs="宋体"/>
          <w:color w:val="auto"/>
          <w:sz w:val="28"/>
          <w:szCs w:val="28"/>
          <w:highlight w:val="none"/>
        </w:rPr>
        <w:t>所有</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文件密封袋的封口处均应加盖供应商印章。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3.6</w:t>
      </w:r>
      <w:r>
        <w:rPr>
          <w:rFonts w:hint="eastAsia" w:ascii="宋体" w:hAnsi="宋体" w:eastAsia="宋体" w:cs="宋体"/>
          <w:color w:val="auto"/>
          <w:sz w:val="28"/>
          <w:szCs w:val="28"/>
          <w:highlight w:val="none"/>
        </w:rPr>
        <w:t>如果</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供应商未按上述要求装订密封及加写标记，将作无效</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4.响应文件的盖章要求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4.1</w:t>
      </w:r>
      <w:r>
        <w:rPr>
          <w:rFonts w:hint="eastAsia" w:ascii="宋体" w:hAnsi="宋体" w:eastAsia="宋体" w:cs="宋体"/>
          <w:color w:val="auto"/>
          <w:sz w:val="28"/>
          <w:szCs w:val="28"/>
          <w:highlight w:val="none"/>
        </w:rPr>
        <w:t>响应文件必须加盖骑缝章或每页盖章。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4.2</w:t>
      </w:r>
      <w:r>
        <w:rPr>
          <w:rFonts w:hint="eastAsia" w:ascii="宋体" w:hAnsi="宋体" w:eastAsia="宋体" w:cs="宋体"/>
          <w:color w:val="auto"/>
          <w:sz w:val="28"/>
          <w:szCs w:val="28"/>
          <w:highlight w:val="none"/>
        </w:rPr>
        <w:t>响应文件如有修改、行间内插字和增删，修改处应由</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供应商加盖印章。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4.3响应</w:t>
      </w:r>
      <w:r>
        <w:rPr>
          <w:rFonts w:hint="eastAsia" w:ascii="宋体" w:hAnsi="宋体" w:eastAsia="宋体" w:cs="宋体"/>
          <w:color w:val="auto"/>
          <w:sz w:val="28"/>
          <w:szCs w:val="28"/>
          <w:highlight w:val="none"/>
        </w:rPr>
        <w:t>文件均需打印并装订成册，签字使用不褪色的蓝、黑墨水笔书写，字迹应清晰易于辨认，如因</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文件字迹潦草或表达不清所引起的后果由响应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负责。响应</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应在</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文件封面的右上角清楚地注明“正本”或“副本”，正本和副本如有不一致之处，以正本为准。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5.</w:t>
      </w:r>
      <w:r>
        <w:rPr>
          <w:rFonts w:hint="eastAsia" w:ascii="宋体" w:hAnsi="宋体" w:eastAsia="宋体" w:cs="宋体"/>
          <w:bCs/>
          <w:color w:val="auto"/>
          <w:sz w:val="28"/>
          <w:szCs w:val="28"/>
          <w:highlight w:val="none"/>
        </w:rPr>
        <w:t>响应有效期</w:t>
      </w:r>
      <w:bookmarkEnd w:id="48"/>
      <w:bookmarkEnd w:id="49"/>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响应文件和响应供应商法定代表人或其授权委托人签署的文件、资料的有效期为自开标之日起60个日历日。</w:t>
      </w:r>
      <w:r>
        <w:rPr>
          <w:rFonts w:hint="eastAsia" w:ascii="宋体" w:hAnsi="宋体" w:eastAsia="宋体" w:cs="宋体"/>
          <w:bCs/>
          <w:color w:val="auto"/>
          <w:sz w:val="28"/>
          <w:szCs w:val="28"/>
          <w:highlight w:val="none"/>
        </w:rPr>
        <w:t>响应有效期比规定短的将被视为非响应性响应而予以拒绝。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6</w:t>
      </w:r>
      <w:r>
        <w:rPr>
          <w:rFonts w:hint="eastAsia" w:ascii="宋体" w:hAnsi="宋体" w:eastAsia="宋体" w:cs="宋体"/>
          <w:bCs/>
          <w:color w:val="auto"/>
          <w:sz w:val="28"/>
          <w:szCs w:val="28"/>
          <w:highlight w:val="none"/>
        </w:rPr>
        <w:t>.响应有效期的延长</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在特殊情况下，</w:t>
      </w:r>
      <w:r>
        <w:rPr>
          <w:rFonts w:hint="eastAsia" w:ascii="宋体" w:hAnsi="宋体" w:eastAsia="宋体" w:cs="宋体"/>
          <w:bCs/>
          <w:color w:val="auto"/>
          <w:sz w:val="28"/>
          <w:szCs w:val="28"/>
          <w:highlight w:val="none"/>
          <w:lang w:val="en-US" w:eastAsia="zh-CN"/>
        </w:rPr>
        <w:t>采购人</w:t>
      </w:r>
      <w:r>
        <w:rPr>
          <w:rFonts w:hint="eastAsia" w:ascii="宋体" w:hAnsi="宋体" w:eastAsia="宋体" w:cs="宋体"/>
          <w:bCs/>
          <w:color w:val="auto"/>
          <w:sz w:val="28"/>
          <w:szCs w:val="28"/>
          <w:highlight w:val="none"/>
        </w:rPr>
        <w:t>于原响应有效期满之前，可向响应供应商提出延长响应有效期的要求。这种要求与答复均应采用书面形式。响应供应商可以拒绝</w:t>
      </w:r>
      <w:r>
        <w:rPr>
          <w:rFonts w:hint="eastAsia" w:ascii="宋体" w:hAnsi="宋体" w:eastAsia="宋体" w:cs="宋体"/>
          <w:bCs/>
          <w:color w:val="auto"/>
          <w:sz w:val="28"/>
          <w:szCs w:val="28"/>
          <w:highlight w:val="none"/>
          <w:lang w:val="en-US" w:eastAsia="zh-CN"/>
        </w:rPr>
        <w:t>代理机构</w:t>
      </w:r>
      <w:r>
        <w:rPr>
          <w:rFonts w:hint="eastAsia" w:ascii="宋体" w:hAnsi="宋体" w:eastAsia="宋体" w:cs="宋体"/>
          <w:bCs/>
          <w:color w:val="auto"/>
          <w:sz w:val="28"/>
          <w:szCs w:val="28"/>
          <w:highlight w:val="none"/>
        </w:rPr>
        <w:t>的这一要求而放弃响应，同意延长响应有效期的响应供应商既不能要求也不允许修改其响应文件。受响应有效期约束的所有权利与义务均延长至新的有效期。</w:t>
      </w:r>
    </w:p>
    <w:p>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1.响应文件的递交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1.1响应供应商应当在响应文件提交截止时间前</w:t>
      </w:r>
      <w:r>
        <w:rPr>
          <w:rFonts w:hint="eastAsia" w:ascii="宋体" w:hAnsi="宋体" w:eastAsia="宋体" w:cs="宋体"/>
          <w:color w:val="auto"/>
          <w:sz w:val="28"/>
          <w:szCs w:val="28"/>
          <w:highlight w:val="none"/>
          <w:lang w:eastAsia="zh-CN"/>
        </w:rPr>
        <w:t>提交按照采购文件要求密封的</w:t>
      </w:r>
      <w:r>
        <w:rPr>
          <w:rFonts w:hint="eastAsia" w:ascii="宋体" w:hAnsi="宋体" w:eastAsia="宋体" w:cs="宋体"/>
          <w:color w:val="auto"/>
          <w:sz w:val="28"/>
          <w:szCs w:val="28"/>
          <w:highlight w:val="none"/>
        </w:rPr>
        <w:t>响应文件。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响应文件的内容不清楚或不清晰的，造成无法评审或部分影响评审的，导致评审差错的，责任由供应商自负。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2.响应截止日期</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0" w:name="_Toc20823299"/>
      <w:bookmarkStart w:id="51" w:name="_Toc16938543"/>
      <w:bookmarkStart w:id="52" w:name="_Toc513029227"/>
      <w:r>
        <w:rPr>
          <w:rFonts w:hint="eastAsia" w:ascii="宋体" w:hAnsi="宋体" w:eastAsia="宋体" w:cs="宋体"/>
          <w:color w:val="auto"/>
          <w:sz w:val="28"/>
          <w:szCs w:val="28"/>
          <w:highlight w:val="none"/>
        </w:rPr>
        <w:t xml:space="preserve">2.1 </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w:t>
      </w:r>
      <w:r>
        <w:rPr>
          <w:rFonts w:hint="eastAsia" w:ascii="宋体" w:hAnsi="宋体" w:eastAsia="宋体" w:cs="宋体"/>
          <w:color w:val="auto"/>
          <w:sz w:val="28"/>
          <w:szCs w:val="28"/>
          <w:highlight w:val="none"/>
          <w:lang w:eastAsia="zh-CN"/>
        </w:rPr>
        <w:t>提交的</w:t>
      </w:r>
      <w:r>
        <w:rPr>
          <w:rFonts w:hint="eastAsia" w:ascii="宋体" w:hAnsi="宋体" w:eastAsia="宋体" w:cs="宋体"/>
          <w:color w:val="auto"/>
          <w:sz w:val="28"/>
          <w:szCs w:val="28"/>
          <w:highlight w:val="none"/>
        </w:rPr>
        <w:t>响应文件的时间不得迟于采购公告中规定的响应文件提交截止时间。</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供应商应充分考虑天气、路程等因素，如因供应商自身原因造成的</w:t>
      </w:r>
      <w:r>
        <w:rPr>
          <w:rFonts w:hint="eastAsia" w:ascii="宋体" w:hAnsi="宋体" w:eastAsia="宋体" w:cs="宋体"/>
          <w:color w:val="auto"/>
          <w:sz w:val="28"/>
          <w:szCs w:val="28"/>
          <w:highlight w:val="none"/>
          <w:lang w:eastAsia="zh-CN"/>
        </w:rPr>
        <w:t>后果</w:t>
      </w:r>
      <w:r>
        <w:rPr>
          <w:rFonts w:hint="eastAsia" w:ascii="宋体" w:hAnsi="宋体" w:eastAsia="宋体" w:cs="宋体"/>
          <w:color w:val="auto"/>
          <w:sz w:val="28"/>
          <w:szCs w:val="28"/>
          <w:highlight w:val="none"/>
        </w:rPr>
        <w:t>由</w:t>
      </w:r>
      <w:r>
        <w:rPr>
          <w:rFonts w:hint="eastAsia" w:ascii="宋体" w:hAnsi="宋体" w:eastAsia="宋体" w:cs="宋体"/>
          <w:color w:val="auto"/>
          <w:sz w:val="28"/>
          <w:szCs w:val="28"/>
          <w:highlight w:val="none"/>
          <w:lang w:eastAsia="zh-CN"/>
        </w:rPr>
        <w:t>响应</w:t>
      </w:r>
      <w:r>
        <w:rPr>
          <w:rFonts w:hint="eastAsia" w:ascii="宋体" w:hAnsi="宋体" w:eastAsia="宋体" w:cs="宋体"/>
          <w:color w:val="auto"/>
          <w:sz w:val="28"/>
          <w:szCs w:val="28"/>
          <w:highlight w:val="none"/>
        </w:rPr>
        <w:t>供应商自行承担全部责任。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2.2 </w:t>
      </w:r>
      <w:r>
        <w:rPr>
          <w:rFonts w:hint="eastAsia" w:ascii="宋体" w:hAnsi="宋体" w:eastAsia="宋体" w:cs="宋体"/>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3.响应文件</w:t>
      </w:r>
      <w:bookmarkEnd w:id="50"/>
      <w:bookmarkEnd w:id="51"/>
      <w:bookmarkEnd w:id="52"/>
      <w:r>
        <w:rPr>
          <w:rFonts w:hint="eastAsia" w:ascii="宋体" w:hAnsi="宋体" w:eastAsia="宋体" w:cs="宋体"/>
          <w:bCs/>
          <w:color w:val="auto"/>
          <w:sz w:val="28"/>
          <w:szCs w:val="28"/>
          <w:highlight w:val="none"/>
        </w:rPr>
        <w:t>的拒收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bookmarkStart w:id="53" w:name="_Toc513029228"/>
      <w:bookmarkStart w:id="54" w:name="_Toc16938544"/>
      <w:bookmarkStart w:id="55" w:name="_Toc20823300"/>
      <w:r>
        <w:rPr>
          <w:rFonts w:hint="eastAsia" w:ascii="宋体" w:hAnsi="宋体" w:eastAsia="宋体" w:cs="宋体"/>
          <w:color w:val="auto"/>
          <w:sz w:val="28"/>
          <w:szCs w:val="28"/>
          <w:highlight w:val="none"/>
          <w:lang w:eastAsia="zh-CN"/>
        </w:rPr>
        <w:t>采购人拒绝接收未按照采购文件要求密封的响应文件，拒绝接收在响应文件接收截止时间后</w:t>
      </w:r>
      <w:r>
        <w:rPr>
          <w:rFonts w:hint="eastAsia" w:ascii="宋体" w:hAnsi="宋体" w:eastAsia="宋体" w:cs="宋体"/>
          <w:color w:val="auto"/>
          <w:sz w:val="28"/>
          <w:szCs w:val="28"/>
          <w:highlight w:val="none"/>
          <w:lang w:val="en-US" w:eastAsia="zh-CN"/>
        </w:rPr>
        <w:t>送</w:t>
      </w:r>
      <w:r>
        <w:rPr>
          <w:rFonts w:hint="eastAsia" w:ascii="宋体" w:hAnsi="宋体" w:eastAsia="宋体" w:cs="宋体"/>
          <w:color w:val="auto"/>
          <w:sz w:val="28"/>
          <w:szCs w:val="28"/>
          <w:highlight w:val="none"/>
          <w:lang w:eastAsia="zh-CN"/>
        </w:rPr>
        <w:t>达的响应文件</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4.响应文件的修改</w:t>
      </w:r>
      <w:bookmarkEnd w:id="53"/>
      <w:bookmarkEnd w:id="54"/>
      <w:bookmarkEnd w:id="55"/>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 在响应文件提交截止时间之后，响应供应商不得对其响应文件作任何修改。</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4.2 在响应文件提交截止时间至采购文件中规定的响应有效期满之间的这段时间内，响应供应商不得撤回其响应。</w:t>
      </w:r>
    </w:p>
    <w:p>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五、询价采购程序</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1.询价小组</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开标后，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将立即组织询价小组进行评标。</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 询价小组由政府采购评审专家和采购人代表组成，且人员构成符合政府采购有关规定。</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1.3询价小组应当按照客观、公正、审慎的原则评审响应供应商的响应文件。</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2.响应的澄清</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2.1评审期间，为有助于对响应文件的审查、评价和比较，询价小组有权要求供应商对其响应文件进行澄清，但并非对每个供应商都作澄清要求。</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 接到询价小组澄清要求的供应商如未按规定做出澄清，其风险由供应商自行承担。</w:t>
      </w:r>
    </w:p>
    <w:p>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3.对响应文件的初审</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3.1响应文件初审分为资格性检查和符合性检查。</w:t>
      </w:r>
    </w:p>
    <w:p>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资格性检查：依据法律法规和采购文件的规定，对响应文件中的资格证明文件等进行审查，以确定供应商是否具备参加询价的资格。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资格性审查未通过的响应供应商作无效响应处理。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（3）未通过资格性审查或符合性审查的响应供应商，</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将告知其未通过资格性审查或符合性审查的原因。</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w:t>
      </w:r>
      <w:r>
        <w:rPr>
          <w:rFonts w:hint="eastAsia" w:ascii="宋体" w:hAnsi="宋体" w:eastAsia="宋体" w:cs="宋体"/>
          <w:bCs/>
          <w:color w:val="auto"/>
          <w:sz w:val="28"/>
          <w:szCs w:val="28"/>
          <w:highlight w:val="none"/>
        </w:rPr>
        <w:t>询价小组将对确定为实质性响应的响应进行进一步审核，看其是否有计算</w:t>
      </w:r>
      <w:r>
        <w:rPr>
          <w:rFonts w:hint="eastAsia" w:ascii="宋体" w:hAnsi="宋体" w:eastAsia="宋体" w:cs="宋体"/>
          <w:color w:val="auto"/>
          <w:sz w:val="28"/>
          <w:szCs w:val="28"/>
          <w:highlight w:val="none"/>
        </w:rPr>
        <w:t>上或累加上的算术错误，修正错误的原则如下：</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（1）响应文件中开标一览表内容与响应文件中相应内容不一致的，以开标一览表为准。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（2）大写金额和小写金额不一致的，以大写金额为准。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（3）总价金额与按单价汇总金额不一致的，以单价金额计算结果为准。</w:t>
      </w:r>
    </w:p>
    <w:p>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同时出现两种以上错误的，按照前款规定的顺序修正。</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3.5询价小组允许修正响应文件中不构成重大偏离的、微小的、非正规的、不一致的或不规则的地方，但这些修改不能影响任何响应供应商相应的名次排列。</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3.7响应供应商在询价采购活动全过程中应保持通讯畅通，并安排专人与</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及询价小组联系。</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4.无效响应及废标情形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4.1符合下列情形之一者，响应供应商响应无效：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（1）响应供应商未按本采购文件要求进行制作或密封的；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响应文件未按采购文件的要求签字或盖章的。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（3）响应文件未按规定加盖供应商印章，投标报价部分未盖章的。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（4）响应文件的关键内容字迹模糊，无法辨认的。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同一响应供应商提交两个（含两个）以上不同的响应报价的；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）响应供应商不具备采购文件中规定资格要求的；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rPr>
        <w:t>）响应供应商的报价超过了采购预算或最高限价的；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rPr>
        <w:t>）未通过资格性、符合性审查的；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）不符合询价采购文件中规定的其他实质性要求和条件的；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11</w:t>
      </w:r>
      <w:r>
        <w:rPr>
          <w:rFonts w:hint="eastAsia" w:ascii="宋体" w:hAnsi="宋体" w:eastAsia="宋体" w:cs="宋体"/>
          <w:color w:val="auto"/>
          <w:sz w:val="28"/>
          <w:szCs w:val="28"/>
          <w:highlight w:val="none"/>
        </w:rPr>
        <w:t>）响应文件含有采购人不能接受的附加条件的；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其他法律、法规及本采购文件规定的属无效响应的情形。</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4.2符合下列情形之一者，本采购项目废标：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符合专业条件的供应商或者对采购文件作实质响应的供应商不足三家的</w:t>
      </w:r>
      <w:r>
        <w:rPr>
          <w:rFonts w:hint="eastAsia" w:ascii="宋体" w:hAnsi="宋体" w:eastAsia="宋体" w:cs="宋体"/>
          <w:color w:val="auto"/>
          <w:sz w:val="28"/>
          <w:szCs w:val="28"/>
          <w:highlight w:val="none"/>
        </w:rPr>
        <w:t>；</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（2）所有合格响应供应商的报价均超过本项目预算金额或最高限价的；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（3）出现影响采购公正的违法、违规行为的；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（4）因重大变故，采购任务取消的；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废标后，对于特殊紧急的采购项目，经监管部门批准后采购人可直接改变采购方式，现场继续组织采购活动。</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六</w:t>
      </w:r>
      <w:r>
        <w:rPr>
          <w:rFonts w:hint="eastAsia" w:ascii="宋体" w:hAnsi="宋体" w:eastAsia="宋体" w:cs="宋体"/>
          <w:b/>
          <w:bCs/>
          <w:color w:val="auto"/>
          <w:sz w:val="28"/>
          <w:szCs w:val="28"/>
          <w:highlight w:val="none"/>
        </w:rPr>
        <w:t>、成交原则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1.确定成交单位</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询价小组将从质量和服务均能满足采购文件实质性响应要求的供应商中，按照报价由低到高顺序推荐3名成交候选供应商，并编写评审报告。采购人从评审报告提出的成交候选供应商中，根据质量和服务均能满足采购文件实质性响应要求且报价最低的原则确定成交供应商或授权询价小组直接确定成交供应商。</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1.2 对小微型企业、监狱企业和残疾人福利单位的价格扣除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（1）小微型企业价格扣除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本项目对小型和微型企业产品给予10%的扣除价格，用扣除后的价格参与评审。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②供应商需按照采购文件的要求提供相应的《中小企业声明函》。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③企业标准请参照《关于印发中小企业划型标准规定的通知》（工信部联企业[2011]300号）文件规定自行填写。</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（2）残疾人福利单位价格扣除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本项目对残疾人福利性单位视同小型、微型企业，给予10%的价格扣除，用扣除后的价格参与评审。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②残疾人福利单位需按照采购文件的要求提供《残疾人福利性单位声明函》。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③残疾人福利单位标准请参照《关于促进残疾人就业政府采购政策的通知》（财库〔2017〕141号）。</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（3）监狱和戒毒企业价格扣除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 1 \* GB3 \* MERGEFORMAT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①</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t>本项目对监狱和戒毒企业（简称监狱企业）视同小型、微型企业，给予10%的价格扣除，用扣除后的价格参与评审。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②监狱企业参加政府采购活动时，需提供由省级以上监狱管理局、戒毒管理局(含新疆生产建设兵团)出具的属于监狱企业的证明文件。供应商如不提供上述证明文件，价格将不做相应扣除。</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③监狱企业标准请参照《关于政府采购支持监狱企业发展有关问题的通知》（财库[2014]68号）。</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（4）残疾人福利单位、监狱企业属于小型、微型企业的，不重复享受政策。</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（6）联合体各方均为小型、微型企业（残疾人福利单位、监狱企业）的，联合体享受10%价格扣除，用扣除后的价格参与评审。</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（7）专门面向中小企业采购的项目或者采购包，不再执行价格评审优惠的扶持政策。</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（8）根据《江苏省政府采购信用管理暂行办法》的规定，对有失信行为的供应商将根据信用评价结果按规定予以扣分或价格加成。</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3</w:t>
      </w:r>
      <w:r>
        <w:rPr>
          <w:rFonts w:hint="eastAsia" w:ascii="宋体" w:hAnsi="宋体" w:eastAsia="宋体" w:cs="宋体"/>
          <w:color w:val="auto"/>
          <w:sz w:val="28"/>
          <w:szCs w:val="28"/>
          <w:highlight w:val="none"/>
        </w:rPr>
        <w:t>成交结果公告</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将在“</w:t>
      </w:r>
      <w:r>
        <w:rPr>
          <w:rFonts w:hint="eastAsia" w:ascii="宋体" w:hAnsi="宋体" w:cs="宋体"/>
          <w:color w:val="auto"/>
          <w:sz w:val="28"/>
          <w:szCs w:val="28"/>
          <w:highlight w:val="none"/>
          <w:lang w:val="en-US" w:eastAsia="zh-CN"/>
        </w:rPr>
        <w:t>启东市人民政府网</w:t>
      </w:r>
      <w:r>
        <w:rPr>
          <w:rFonts w:hint="eastAsia" w:ascii="宋体" w:hAnsi="宋体" w:eastAsia="宋体" w:cs="宋体"/>
          <w:color w:val="auto"/>
          <w:sz w:val="28"/>
          <w:szCs w:val="28"/>
          <w:highlight w:val="none"/>
        </w:rPr>
        <w:t>”发布成交公告，公告期限为1个工作日。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若有充分证据证明，成交供应商出现下列情况之一的，一经查实，将被取消成交资格：</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（1）提供虚假材料谋取成交的；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（2）向采购人、</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行贿或者提供其他不正当利益的；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（3）恶意竞争，响应总报价明显低于其自身合理成本且又无法提供证明的；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（4）属于本文件规定的无效条件，但在评审过程中又未被询价小组发现的；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（5）与采购人或者其他供应商恶意串通的；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（6）采取不正当手段诋毁、排挤其他供应商的；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（7）如有涉及对采购文件实质性内容的隐瞒、欺诈或违法违规行为的。</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cs="宋体"/>
          <w:color w:val="auto"/>
          <w:sz w:val="28"/>
          <w:szCs w:val="28"/>
          <w:highlight w:val="none"/>
          <w:lang w:val="en-US" w:eastAsia="zh-CN"/>
        </w:rPr>
        <w:t>5</w:t>
      </w:r>
      <w:r>
        <w:rPr>
          <w:rFonts w:hint="eastAsia" w:ascii="宋体" w:hAnsi="宋体" w:eastAsia="宋体" w:cs="宋体"/>
          <w:color w:val="auto"/>
          <w:sz w:val="28"/>
          <w:szCs w:val="28"/>
          <w:highlight w:val="none"/>
        </w:rPr>
        <w:t>有下列情形之一的，视为响应供应商串通响应，响应无效：</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（1）不同响应供应商的响应文件由同一单位或者个人编制；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（2）不同响应供应商委托同一单位或者个人办理响应事宜；</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（3）不同响应供应商的响应文件载明的项目管理成员或者联系人员为同一人；</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（4）不同响应供应商的响应文件异常一致或者响应报价呈规律性差异；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（5）不同响应供应商的响应文件相互混装。</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2.质疑处理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提出质疑的供应商应当是参与所质疑项目采购活动的供应商。潜在供应商依法获取其可质疑的采购文件的，可以对采购文件提出质疑。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2.2供应商认为采购文件、采购过程和采购结果使自己的权益受到损害的，可以在知道或应知其权益受到损害之日起七个工作日内，以书面形式向采购人或</w:t>
      </w:r>
      <w:r>
        <w:rPr>
          <w:rFonts w:hint="eastAsia" w:ascii="宋体" w:hAnsi="宋体" w:eastAsia="宋体" w:cs="宋体"/>
          <w:color w:val="auto"/>
          <w:sz w:val="28"/>
          <w:szCs w:val="28"/>
          <w:highlight w:val="none"/>
          <w:lang w:val="en-US" w:eastAsia="zh-CN"/>
        </w:rPr>
        <w:t>代理机构</w:t>
      </w:r>
      <w:r>
        <w:rPr>
          <w:rFonts w:hint="eastAsia" w:ascii="宋体" w:hAnsi="宋体" w:eastAsia="宋体" w:cs="宋体"/>
          <w:color w:val="auto"/>
          <w:sz w:val="28"/>
          <w:szCs w:val="28"/>
          <w:highlight w:val="none"/>
        </w:rPr>
        <w:t>提出质疑。上述应知其权益受到损害之日，是指：</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kern w:val="0"/>
          <w:sz w:val="28"/>
          <w:szCs w:val="28"/>
          <w:highlight w:val="none"/>
        </w:rPr>
        <w:t>对可以质疑的采购文件提出质疑的，为收到采购文件之日或者采购文件公告期限届满之日；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（2）</w:t>
      </w:r>
      <w:r>
        <w:rPr>
          <w:rFonts w:hint="eastAsia" w:ascii="宋体" w:hAnsi="宋体" w:eastAsia="宋体" w:cs="宋体"/>
          <w:color w:val="auto"/>
          <w:kern w:val="0"/>
          <w:sz w:val="28"/>
          <w:szCs w:val="28"/>
          <w:highlight w:val="none"/>
        </w:rPr>
        <w:t>对采购过程提出质疑的，为各采购程序环节结束之日；</w:t>
      </w:r>
      <w:r>
        <w:rPr>
          <w:rFonts w:hint="eastAsia" w:ascii="宋体" w:hAnsi="宋体" w:eastAsia="宋体" w:cs="宋体"/>
          <w:color w:val="auto"/>
          <w:kern w:val="0"/>
          <w:sz w:val="28"/>
          <w:szCs w:val="28"/>
          <w:highlight w:val="none"/>
        </w:rPr>
        <w:br w:type="textWrapping"/>
      </w:r>
      <w:r>
        <w:rPr>
          <w:rFonts w:hint="eastAsia" w:ascii="宋体" w:hAnsi="宋体" w:eastAsia="宋体" w:cs="宋体"/>
          <w:color w:val="auto"/>
          <w:kern w:val="0"/>
          <w:sz w:val="28"/>
          <w:szCs w:val="28"/>
          <w:highlight w:val="none"/>
        </w:rPr>
        <w:t>　　</w:t>
      </w:r>
      <w:r>
        <w:rPr>
          <w:rFonts w:hint="eastAsia" w:ascii="宋体" w:hAnsi="宋体" w:eastAsia="宋体" w:cs="宋体"/>
          <w:color w:val="auto"/>
          <w:sz w:val="28"/>
          <w:szCs w:val="28"/>
          <w:highlight w:val="none"/>
        </w:rPr>
        <w:t>（3）</w:t>
      </w:r>
      <w:r>
        <w:rPr>
          <w:rFonts w:hint="eastAsia" w:ascii="宋体" w:hAnsi="宋体" w:eastAsia="宋体" w:cs="宋体"/>
          <w:color w:val="auto"/>
          <w:kern w:val="0"/>
          <w:sz w:val="28"/>
          <w:szCs w:val="28"/>
          <w:highlight w:val="none"/>
        </w:rPr>
        <w:t>对中标或者成交结果提出质疑的，为中标或者成交结果公告期限届满之日。</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供应商应当在法定质疑期内一次性提出针对同一采购程序环节的质疑。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2.3质疑函必须按照本采购文件中《质疑函范本》（附件1</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）要求的格式和内容进行填写。供应商如组成联合体参加响应，则《质疑函范本》中要求签字、盖章、加盖公章之处，联合体各方均须按要求签字、盖章、加盖公章。</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采购人质疑接收人及联系方式，见采购文件第一部分。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以下情形的质疑不予受理</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（1）内容不符合《政府采购质疑和投诉办法》第十二条规定的质疑。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（2）超出政府采购法定期限的质疑。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（3）未参加响应活动的供应商或在响应活动中自身权益未受到损害的供应商所提出的质疑。</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（4）供应商组成联合体参加响应，联合体中任何一方或多方未按要求签字、盖章、加盖公章的质疑。</w:t>
      </w:r>
    </w:p>
    <w:p>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供应商提出书面质疑必须有理、有据，不得捏造事实、提供虚假材料进行恶意质疑。否则，一经查实，采购人及采购代理有权依据政府采购的有关规定，报请政府采购监管部门对该供应商进行相应的行政处罚和记录该供应商的失信信息。</w:t>
      </w:r>
    </w:p>
    <w:p>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w:t>
      </w:r>
    </w:p>
    <w:p>
      <w:pPr>
        <w:pStyle w:val="35"/>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公告成交结果的同时，采购中心</w:t>
      </w:r>
      <w:r>
        <w:rPr>
          <w:rFonts w:hint="eastAsia" w:ascii="宋体" w:hAnsi="宋体" w:eastAsia="宋体" w:cs="宋体"/>
          <w:bCs/>
          <w:color w:val="auto"/>
          <w:sz w:val="28"/>
          <w:szCs w:val="28"/>
          <w:highlight w:val="none"/>
        </w:rPr>
        <w:t>向成交供应商发放成交通知书。</w:t>
      </w:r>
    </w:p>
    <w:p>
      <w:pPr>
        <w:pStyle w:val="35"/>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成交通知书发出后，采购人不得违法改变成交结果，成交供应商无正当理由不得放弃成交。</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eastAsia="zh-CN"/>
        </w:rPr>
        <w:t>七</w:t>
      </w:r>
      <w:r>
        <w:rPr>
          <w:rFonts w:hint="eastAsia" w:ascii="宋体" w:hAnsi="宋体" w:eastAsia="宋体" w:cs="宋体"/>
          <w:b/>
          <w:bCs/>
          <w:color w:val="auto"/>
          <w:sz w:val="28"/>
          <w:szCs w:val="28"/>
          <w:highlight w:val="none"/>
        </w:rPr>
        <w:t>、授予合同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1.签订合同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1.1成交供应商应当在成交通知书发出之日起三十日内，按照采购文件确定的事项与采购人签订政府采购合同。</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1.2采购文件、成交供应商的响应文件及采购过程中有关澄清、承诺文件均应作为合同附件。</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2.货物和服务的追加、减少和添购</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宋体" w:hAnsi="宋体" w:eastAsia="宋体" w:cs="宋体"/>
          <w:color w:val="auto"/>
          <w:sz w:val="28"/>
          <w:szCs w:val="28"/>
          <w:highlight w:val="none"/>
        </w:rPr>
      </w:pPr>
      <w:r>
        <w:rPr>
          <w:rFonts w:hint="eastAsia" w:ascii="宋体" w:hAnsi="宋体" w:cs="宋体"/>
          <w:b/>
          <w:color w:val="auto"/>
          <w:sz w:val="28"/>
          <w:szCs w:val="28"/>
          <w:highlight w:val="none"/>
          <w:lang w:eastAsia="zh-CN"/>
        </w:rPr>
        <w:t>八</w:t>
      </w:r>
      <w:r>
        <w:rPr>
          <w:rFonts w:hint="eastAsia" w:ascii="宋体" w:hAnsi="宋体" w:eastAsia="宋体" w:cs="宋体"/>
          <w:b/>
          <w:color w:val="auto"/>
          <w:sz w:val="28"/>
          <w:szCs w:val="28"/>
          <w:highlight w:val="none"/>
        </w:rPr>
        <w:t>、其他说明</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1.法定代表人为同一个人的两个及两个以上法人，母公司、全资子公司及其控股公司，只能有一家单位参加本项目的响应。</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采购人</w:t>
      </w:r>
      <w:r>
        <w:rPr>
          <w:rFonts w:hint="eastAsia" w:ascii="宋体" w:hAnsi="宋体" w:eastAsia="宋体" w:cs="宋体"/>
          <w:color w:val="auto"/>
          <w:sz w:val="28"/>
          <w:szCs w:val="28"/>
          <w:highlight w:val="none"/>
        </w:rPr>
        <w:t>和询价小组不向未成交的响应供应商解释未成交原因，也不公布评审过程中的相关细节。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pPr>
        <w:adjustRightInd w:val="0"/>
        <w:snapToGrid w:val="0"/>
        <w:spacing w:line="500" w:lineRule="exact"/>
        <w:rPr>
          <w:rFonts w:hint="eastAsia" w:ascii="宋体" w:hAnsi="宋体" w:eastAsia="宋体" w:cs="宋体"/>
          <w:bCs/>
          <w:color w:val="auto"/>
          <w:sz w:val="36"/>
          <w:szCs w:val="36"/>
          <w:highlight w:val="none"/>
        </w:rPr>
      </w:pPr>
      <w:bookmarkStart w:id="56" w:name="_Toc32735"/>
      <w:r>
        <w:rPr>
          <w:rFonts w:hint="eastAsia" w:ascii="宋体" w:hAnsi="宋体" w:eastAsia="宋体" w:cs="宋体"/>
          <w:bCs/>
          <w:color w:val="auto"/>
          <w:sz w:val="36"/>
          <w:szCs w:val="36"/>
          <w:highlight w:val="none"/>
        </w:rPr>
        <w:br w:type="page"/>
      </w:r>
    </w:p>
    <w:p>
      <w:pPr>
        <w:pStyle w:val="3"/>
        <w:widowControl/>
        <w:adjustRightInd w:val="0"/>
        <w:snapToGrid w:val="0"/>
        <w:spacing w:before="0" w:after="0" w:line="500" w:lineRule="exact"/>
        <w:jc w:val="center"/>
        <w:rPr>
          <w:rFonts w:hint="eastAsia" w:ascii="宋体" w:hAnsi="宋体" w:eastAsia="宋体" w:cs="宋体"/>
          <w:b w:val="0"/>
          <w:color w:val="auto"/>
          <w:sz w:val="36"/>
          <w:szCs w:val="36"/>
          <w:highlight w:val="none"/>
        </w:rPr>
      </w:pPr>
      <w:r>
        <w:rPr>
          <w:rFonts w:hint="eastAsia" w:ascii="宋体" w:hAnsi="宋体" w:eastAsia="宋体" w:cs="宋体"/>
          <w:b w:val="0"/>
          <w:color w:val="auto"/>
          <w:sz w:val="36"/>
          <w:szCs w:val="36"/>
          <w:highlight w:val="none"/>
        </w:rPr>
        <w:t>第三部分  项目需求</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bookmarkStart w:id="57" w:name="_Toc82505662"/>
      <w:r>
        <w:rPr>
          <w:rFonts w:hint="eastAsia" w:ascii="宋体" w:hAnsi="宋体" w:eastAsia="宋体" w:cs="宋体"/>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pPr>
        <w:adjustRightInd w:val="0"/>
        <w:snapToGrid w:val="0"/>
        <w:spacing w:line="50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其内容包含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一、</w:t>
      </w:r>
      <w:r>
        <w:rPr>
          <w:rFonts w:hint="eastAsia" w:ascii="宋体" w:hAnsi="宋体" w:eastAsia="宋体" w:cs="宋体"/>
          <w:color w:val="auto"/>
          <w:sz w:val="28"/>
          <w:szCs w:val="28"/>
          <w:highlight w:val="none"/>
        </w:rPr>
        <w:t>采购标的需实现的功能或者目标，以及为落实政府采购政策需满足的要求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启东市行政中心</w:t>
      </w:r>
      <w:r>
        <w:rPr>
          <w:rFonts w:hint="eastAsia" w:ascii="宋体" w:hAnsi="宋体" w:cs="宋体"/>
          <w:color w:val="auto"/>
          <w:sz w:val="28"/>
          <w:szCs w:val="28"/>
          <w:highlight w:val="none"/>
          <w:lang w:val="en-US" w:eastAsia="zh-CN"/>
        </w:rPr>
        <w:t>1611</w:t>
      </w:r>
      <w:r>
        <w:rPr>
          <w:rFonts w:hint="eastAsia" w:ascii="宋体" w:hAnsi="宋体" w:eastAsia="宋体" w:cs="宋体"/>
          <w:color w:val="auto"/>
          <w:sz w:val="28"/>
          <w:szCs w:val="28"/>
          <w:highlight w:val="none"/>
        </w:rPr>
        <w:t>会议室</w:t>
      </w:r>
      <w:r>
        <w:rPr>
          <w:rFonts w:hint="eastAsia" w:ascii="宋体" w:hAnsi="宋体" w:eastAsia="宋体" w:cs="宋体"/>
          <w:color w:val="auto"/>
          <w:sz w:val="28"/>
          <w:szCs w:val="28"/>
          <w:highlight w:val="none"/>
        </w:rPr>
        <w:t>拟设置一套宽不小于3米高不小于2.025米的点距1.25mm的小间距LED显示屏系统</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二</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采购标的需执行的国家相关标准、行业标准、地方标准或者其他标准、规范</w:t>
      </w:r>
    </w:p>
    <w:p>
      <w:pPr>
        <w:keepNext w:val="0"/>
        <w:keepLines w:val="0"/>
        <w:pageBreakBefore w:val="0"/>
        <w:widowControl w:val="0"/>
        <w:kinsoku/>
        <w:wordWrap/>
        <w:overflowPunct/>
        <w:topLinePunct w:val="0"/>
        <w:autoSpaceDE/>
        <w:autoSpaceDN/>
        <w:bidi w:val="0"/>
        <w:snapToGrid w:val="0"/>
        <w:spacing w:line="500" w:lineRule="exact"/>
        <w:ind w:firstLine="560" w:firstLineChars="200"/>
        <w:contextualSpacing/>
        <w:jc w:val="left"/>
        <w:textAlignment w:val="auto"/>
        <w:rPr>
          <w:rFonts w:hint="eastAsia" w:ascii="宋体" w:hAnsi="宋体" w:eastAsia="宋体" w:cs="宋体"/>
          <w:color w:val="auto"/>
          <w:kern w:val="0"/>
          <w:sz w:val="28"/>
          <w:szCs w:val="28"/>
          <w:highlight w:val="none"/>
          <w:lang w:bidi="ar"/>
        </w:rPr>
      </w:pPr>
      <w:r>
        <w:rPr>
          <w:rFonts w:hint="eastAsia" w:ascii="宋体" w:hAnsi="宋体" w:eastAsia="宋体" w:cs="宋体"/>
          <w:color w:val="auto"/>
          <w:kern w:val="0"/>
          <w:sz w:val="28"/>
          <w:szCs w:val="28"/>
          <w:highlight w:val="none"/>
          <w:lang w:val="en-US" w:eastAsia="zh-CN" w:bidi="ar"/>
        </w:rPr>
        <w:t>1.货物进场后成交供货商必须提供相关产品检验检测报告、产品合格证、采购文件中要求提供的相关证书原件供采购单位查验核实，否则，采购单位有权拒收成交供应商所购材料，视为验收不合格，没收履约保证金；成交供应商按要求提供上述材料后，采购单位报由启东市市场监督管理局相关职能部门履行抽检流程，按相关规定办理</w:t>
      </w:r>
      <w:r>
        <w:rPr>
          <w:rFonts w:hint="eastAsia" w:ascii="宋体" w:hAnsi="宋体" w:eastAsia="宋体" w:cs="宋体"/>
          <w:color w:val="auto"/>
          <w:kern w:val="0"/>
          <w:sz w:val="28"/>
          <w:szCs w:val="28"/>
          <w:highlight w:val="none"/>
          <w:lang w:bidi="ar"/>
        </w:rPr>
        <w:t>。</w:t>
      </w:r>
    </w:p>
    <w:p>
      <w:pPr>
        <w:keepNext w:val="0"/>
        <w:keepLines w:val="0"/>
        <w:pageBreakBefore w:val="0"/>
        <w:widowControl w:val="0"/>
        <w:kinsoku/>
        <w:wordWrap/>
        <w:overflowPunct/>
        <w:topLinePunct w:val="0"/>
        <w:autoSpaceDE/>
        <w:autoSpaceDN/>
        <w:bidi w:val="0"/>
        <w:snapToGrid w:val="0"/>
        <w:spacing w:line="500" w:lineRule="exact"/>
        <w:ind w:firstLine="560" w:firstLineChars="200"/>
        <w:contextualSpacing/>
        <w:jc w:val="left"/>
        <w:textAlignment w:val="auto"/>
        <w:rPr>
          <w:rFonts w:hint="eastAsia" w:ascii="宋体" w:hAnsi="宋体" w:eastAsia="宋体" w:cs="宋体"/>
          <w:color w:val="auto"/>
          <w:highlight w:val="none"/>
        </w:rPr>
      </w:pPr>
      <w:r>
        <w:rPr>
          <w:rFonts w:hint="eastAsia" w:ascii="宋体" w:hAnsi="宋体" w:eastAsia="宋体" w:cs="宋体"/>
          <w:color w:val="auto"/>
          <w:kern w:val="0"/>
          <w:sz w:val="28"/>
          <w:szCs w:val="28"/>
          <w:highlight w:val="none"/>
          <w:lang w:val="en-US" w:eastAsia="zh-CN" w:bidi="ar"/>
        </w:rPr>
        <w:t>2.如在项目实施过程中，如国家标准修改，应按照最新国家标准实施；如本采购文件规定高于国家标准，无论新旧标准，均按本采购文件规定实施；如本采购文件规定低于国家标准，无论新旧标准，均按国家标准规定实施。如采购文件内有内容相互矛盾，以高标准高要求的为准。以上有关风险等由成交供应商自行承担。</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val="en-US" w:eastAsia="zh-CN"/>
        </w:rPr>
        <w:t>三、</w:t>
      </w:r>
      <w:r>
        <w:rPr>
          <w:rFonts w:hint="eastAsia" w:ascii="宋体" w:hAnsi="宋体" w:eastAsia="宋体" w:cs="宋体"/>
          <w:color w:val="auto"/>
          <w:sz w:val="28"/>
          <w:szCs w:val="28"/>
          <w:highlight w:val="none"/>
        </w:rPr>
        <w:t>采购标的需满足的质量、安全、技术规格、物理特性等要求</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cs="宋体"/>
          <w:bCs/>
          <w:color w:val="auto"/>
          <w:sz w:val="28"/>
          <w:szCs w:val="28"/>
          <w:highlight w:val="none"/>
          <w:lang w:val="en-US" w:eastAsia="zh-CN"/>
        </w:rPr>
        <w:t>1.</w:t>
      </w:r>
      <w:r>
        <w:rPr>
          <w:rFonts w:hint="eastAsia" w:ascii="宋体" w:hAnsi="宋体" w:eastAsia="宋体" w:cs="宋体"/>
          <w:bCs/>
          <w:color w:val="auto"/>
          <w:sz w:val="28"/>
          <w:szCs w:val="28"/>
          <w:highlight w:val="none"/>
          <w:lang w:val="en-US" w:eastAsia="zh-CN"/>
        </w:rPr>
        <w:t>质量要求：</w:t>
      </w:r>
      <w:r>
        <w:rPr>
          <w:rFonts w:hint="eastAsia" w:ascii="宋体" w:hAnsi="宋体" w:eastAsia="宋体" w:cs="宋体"/>
          <w:color w:val="auto"/>
          <w:sz w:val="28"/>
          <w:szCs w:val="28"/>
          <w:highlight w:val="none"/>
          <w:lang w:val="en-US" w:eastAsia="zh-CN"/>
        </w:rPr>
        <w:t>产品必须是全新、未使用过的符合采购需求、符合国家质量检测标准的原装合格正品，并在供货时提供相关证明材料、随机资料及相关软件资源，如未提供则视为验收不合格，取消其成交资格，履约保证金不予退还</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四、采购标的的数量、采购项目交付或者实施的时间和地点</w:t>
      </w:r>
    </w:p>
    <w:p>
      <w:pPr>
        <w:pStyle w:val="2"/>
        <w:keepNext w:val="0"/>
        <w:keepLines w:val="0"/>
        <w:pageBreakBefore w:val="0"/>
        <w:widowControl w:val="0"/>
        <w:kinsoku/>
        <w:wordWrap/>
        <w:overflowPunct/>
        <w:topLinePunct w:val="0"/>
        <w:autoSpaceDE/>
        <w:autoSpaceDN/>
        <w:bidi w:val="0"/>
        <w:spacing w:after="0"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货物及技术需求一览表：</w:t>
      </w:r>
    </w:p>
    <w:tbl>
      <w:tblPr>
        <w:tblStyle w:val="13"/>
        <w:tblW w:w="9816" w:type="dxa"/>
        <w:jc w:val="center"/>
        <w:tblLayout w:type="fixed"/>
        <w:tblCellMar>
          <w:top w:w="0" w:type="dxa"/>
          <w:left w:w="108" w:type="dxa"/>
          <w:bottom w:w="0" w:type="dxa"/>
          <w:right w:w="108" w:type="dxa"/>
        </w:tblCellMar>
      </w:tblPr>
      <w:tblGrid>
        <w:gridCol w:w="589"/>
        <w:gridCol w:w="1075"/>
        <w:gridCol w:w="5294"/>
        <w:gridCol w:w="626"/>
        <w:gridCol w:w="627"/>
        <w:gridCol w:w="753"/>
        <w:gridCol w:w="852"/>
      </w:tblGrid>
      <w:tr>
        <w:tblPrEx>
          <w:tblCellMar>
            <w:top w:w="0" w:type="dxa"/>
            <w:left w:w="108" w:type="dxa"/>
            <w:bottom w:w="0" w:type="dxa"/>
            <w:right w:w="108" w:type="dxa"/>
          </w:tblCellMar>
        </w:tblPrEx>
        <w:trPr>
          <w:trHeight w:val="482" w:hRule="atLeast"/>
          <w:jc w:val="center"/>
        </w:trPr>
        <w:tc>
          <w:tcPr>
            <w:tcW w:w="589" w:type="dxa"/>
            <w:tcBorders>
              <w:top w:val="single" w:color="auto" w:sz="4" w:space="0"/>
              <w:left w:val="single" w:color="auto" w:sz="8" w:space="0"/>
              <w:bottom w:val="single" w:color="auto" w:sz="4" w:space="0"/>
              <w:right w:val="single" w:color="auto" w:sz="4" w:space="0"/>
            </w:tcBorders>
            <w:shd w:val="clear" w:color="000000" w:fill="FFFFFF"/>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序号</w:t>
            </w:r>
          </w:p>
        </w:tc>
        <w:tc>
          <w:tcPr>
            <w:tcW w:w="1075"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设备</w:t>
            </w:r>
          </w:p>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 xml:space="preserve">名称 </w:t>
            </w:r>
          </w:p>
        </w:tc>
        <w:tc>
          <w:tcPr>
            <w:tcW w:w="5294"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技术参数</w:t>
            </w:r>
          </w:p>
        </w:tc>
        <w:tc>
          <w:tcPr>
            <w:tcW w:w="62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627"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数量</w:t>
            </w:r>
          </w:p>
        </w:tc>
        <w:tc>
          <w:tcPr>
            <w:tcW w:w="753"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是否为主要标的</w:t>
            </w:r>
          </w:p>
        </w:tc>
        <w:tc>
          <w:tcPr>
            <w:tcW w:w="852" w:type="dxa"/>
            <w:tcBorders>
              <w:top w:val="single" w:color="auto" w:sz="4" w:space="0"/>
              <w:left w:val="nil"/>
              <w:bottom w:val="single" w:color="auto" w:sz="4" w:space="0"/>
              <w:right w:val="single" w:color="auto" w:sz="4" w:space="0"/>
            </w:tcBorders>
            <w:shd w:val="clear" w:color="000000" w:fill="FFFFFF"/>
            <w:vAlign w:val="center"/>
          </w:tcPr>
          <w:p>
            <w:pPr>
              <w:jc w:val="center"/>
              <w:rPr>
                <w:rFonts w:hint="eastAsia" w:ascii="宋体" w:hAnsi="宋体" w:eastAsia="宋体" w:cs="宋体"/>
                <w:b/>
                <w:bCs/>
                <w:color w:val="auto"/>
                <w:kern w:val="0"/>
                <w:sz w:val="18"/>
                <w:szCs w:val="18"/>
                <w:highlight w:val="none"/>
                <w:lang w:eastAsia="zh-CN"/>
              </w:rPr>
            </w:pPr>
            <w:r>
              <w:rPr>
                <w:rFonts w:hint="eastAsia" w:ascii="宋体" w:hAnsi="宋体" w:eastAsia="宋体" w:cs="宋体"/>
                <w:b/>
                <w:bCs/>
                <w:color w:val="auto"/>
                <w:szCs w:val="21"/>
                <w:highlight w:val="none"/>
              </w:rPr>
              <w:t>是否属于强制节能产品</w:t>
            </w:r>
          </w:p>
        </w:tc>
      </w:tr>
      <w:tr>
        <w:tblPrEx>
          <w:tblCellMar>
            <w:top w:w="0" w:type="dxa"/>
            <w:left w:w="108" w:type="dxa"/>
            <w:bottom w:w="0" w:type="dxa"/>
            <w:right w:w="108" w:type="dxa"/>
          </w:tblCellMar>
        </w:tblPrEx>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bCs/>
                <w:color w:val="auto"/>
                <w:kern w:val="0"/>
                <w:sz w:val="18"/>
                <w:szCs w:val="18"/>
                <w:highlight w:val="none"/>
                <w:shd w:val="clear" w:color="auto" w:fill="FFFFFF"/>
              </w:rPr>
            </w:pPr>
            <w:r>
              <w:rPr>
                <w:rFonts w:hint="eastAsia" w:ascii="宋体" w:hAnsi="宋体" w:cs="宋体"/>
                <w:bCs/>
                <w:color w:val="auto"/>
                <w:kern w:val="0"/>
                <w:sz w:val="18"/>
                <w:szCs w:val="18"/>
                <w:highlight w:val="none"/>
                <w:shd w:val="clear" w:color="auto" w:fill="FFFFFF"/>
              </w:rPr>
              <w:t>1</w:t>
            </w:r>
          </w:p>
        </w:tc>
        <w:tc>
          <w:tcPr>
            <w:tcW w:w="10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rPr>
              <w:t>LED屏幕(含压铸铝一体箱、控制卡、电源）</w:t>
            </w:r>
          </w:p>
        </w:tc>
        <w:tc>
          <w:tcPr>
            <w:tcW w:w="5294" w:type="dxa"/>
            <w:tcBorders>
              <w:top w:val="nil"/>
              <w:left w:val="nil"/>
              <w:bottom w:val="single" w:color="auto" w:sz="4" w:space="0"/>
              <w:right w:val="single" w:color="auto" w:sz="4" w:space="0"/>
            </w:tcBorders>
            <w:shd w:val="clear" w:color="000000" w:fill="FFFFFF"/>
            <w:vAlign w:val="center"/>
          </w:tcPr>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LED像素结构：1R1G1B SMD 工艺，线性排列，金线封装；</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屏幕显示尺寸：≥</w:t>
            </w:r>
            <w:r>
              <w:rPr>
                <w:rFonts w:ascii="宋体" w:hAnsi="宋体"/>
                <w:color w:val="auto"/>
                <w:kern w:val="0"/>
                <w:sz w:val="18"/>
                <w:szCs w:val="18"/>
                <w:highlight w:val="none"/>
              </w:rPr>
              <w:t>3</w:t>
            </w:r>
            <w:r>
              <w:rPr>
                <w:rFonts w:hint="eastAsia" w:ascii="宋体" w:hAnsi="宋体"/>
                <w:color w:val="auto"/>
                <w:kern w:val="0"/>
                <w:sz w:val="18"/>
                <w:szCs w:val="18"/>
                <w:highlight w:val="none"/>
              </w:rPr>
              <w:t>m（宽）×2.025m（高）（允许正偏差不大于40mm，不接受负偏差）；</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像素点间距：≤1.25mm；</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对比度：≥10000:1，白平衡亮度：0~</w:t>
            </w:r>
            <w:r>
              <w:rPr>
                <w:rFonts w:ascii="宋体" w:hAnsi="宋体"/>
                <w:color w:val="auto"/>
                <w:kern w:val="0"/>
                <w:sz w:val="18"/>
                <w:szCs w:val="18"/>
                <w:highlight w:val="none"/>
              </w:rPr>
              <w:t>1200</w:t>
            </w:r>
            <w:r>
              <w:rPr>
                <w:rFonts w:hint="eastAsia" w:ascii="宋体" w:hAnsi="宋体"/>
                <w:color w:val="auto"/>
                <w:kern w:val="0"/>
                <w:sz w:val="18"/>
                <w:szCs w:val="18"/>
                <w:highlight w:val="none"/>
              </w:rPr>
              <w:t>cd/m</w:t>
            </w:r>
            <w:r>
              <w:rPr>
                <w:rFonts w:hint="eastAsia" w:ascii="宋体" w:hAnsi="宋体"/>
                <w:color w:val="auto"/>
                <w:kern w:val="0"/>
                <w:sz w:val="18"/>
                <w:szCs w:val="18"/>
                <w:highlight w:val="none"/>
                <w:vertAlign w:val="superscript"/>
              </w:rPr>
              <w:t>2</w:t>
            </w:r>
            <w:r>
              <w:rPr>
                <w:rFonts w:hint="eastAsia" w:ascii="宋体" w:hAnsi="宋体"/>
                <w:color w:val="auto"/>
                <w:kern w:val="0"/>
                <w:sz w:val="18"/>
                <w:szCs w:val="18"/>
                <w:highlight w:val="none"/>
              </w:rPr>
              <w:t>（亮度可调），刷新频率：≥3840Hz，</w:t>
            </w:r>
            <w:r>
              <w:rPr>
                <w:rFonts w:ascii="宋体" w:hAnsi="宋体"/>
                <w:color w:val="auto"/>
                <w:kern w:val="0"/>
                <w:sz w:val="18"/>
                <w:szCs w:val="18"/>
                <w:highlight w:val="none"/>
              </w:rPr>
              <w:t>换帧频率：</w:t>
            </w:r>
            <w:r>
              <w:rPr>
                <w:rFonts w:hint="eastAsia" w:ascii="宋体" w:hAnsi="宋体"/>
                <w:color w:val="auto"/>
                <w:kern w:val="0"/>
                <w:sz w:val="18"/>
                <w:szCs w:val="18"/>
                <w:highlight w:val="none"/>
              </w:rPr>
              <w:t>50/60Hz</w:t>
            </w:r>
            <w:r>
              <w:rPr>
                <w:rFonts w:ascii="宋体" w:hAnsi="宋体"/>
                <w:color w:val="auto"/>
                <w:kern w:val="0"/>
                <w:sz w:val="18"/>
                <w:szCs w:val="18"/>
                <w:highlight w:val="none"/>
              </w:rPr>
              <w:t>；</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色温：1000K-</w:t>
            </w:r>
            <w:r>
              <w:rPr>
                <w:rFonts w:ascii="宋体" w:hAnsi="宋体"/>
                <w:color w:val="auto"/>
                <w:kern w:val="0"/>
                <w:sz w:val="18"/>
                <w:szCs w:val="18"/>
                <w:highlight w:val="none"/>
              </w:rPr>
              <w:t>18000K</w:t>
            </w:r>
            <w:r>
              <w:rPr>
                <w:rFonts w:hint="eastAsia" w:ascii="宋体" w:hAnsi="宋体"/>
                <w:color w:val="auto"/>
                <w:kern w:val="0"/>
                <w:sz w:val="18"/>
                <w:szCs w:val="18"/>
                <w:highlight w:val="none"/>
              </w:rPr>
              <w:t>可调节</w:t>
            </w:r>
            <w:r>
              <w:rPr>
                <w:rFonts w:ascii="宋体" w:hAnsi="宋体"/>
                <w:color w:val="auto"/>
                <w:kern w:val="0"/>
                <w:sz w:val="18"/>
                <w:szCs w:val="18"/>
                <w:highlight w:val="none"/>
              </w:rPr>
              <w:t>，</w:t>
            </w:r>
            <w:r>
              <w:rPr>
                <w:rFonts w:hint="eastAsia" w:ascii="宋体" w:hAnsi="宋体"/>
                <w:color w:val="auto"/>
                <w:kern w:val="0"/>
                <w:sz w:val="18"/>
                <w:szCs w:val="18"/>
                <w:highlight w:val="none"/>
              </w:rPr>
              <w:t>水平视角：≥</w:t>
            </w:r>
            <w:r>
              <w:rPr>
                <w:rFonts w:ascii="宋体" w:hAnsi="宋体"/>
                <w:color w:val="auto"/>
                <w:kern w:val="0"/>
                <w:sz w:val="18"/>
                <w:szCs w:val="18"/>
                <w:highlight w:val="none"/>
              </w:rPr>
              <w:t>176°</w:t>
            </w:r>
            <w:r>
              <w:rPr>
                <w:rFonts w:hint="eastAsia" w:ascii="宋体" w:hAnsi="宋体"/>
                <w:color w:val="auto"/>
                <w:kern w:val="0"/>
                <w:sz w:val="18"/>
                <w:szCs w:val="18"/>
                <w:highlight w:val="none"/>
              </w:rPr>
              <w:t>，垂直视角：≥1</w:t>
            </w:r>
            <w:r>
              <w:rPr>
                <w:rFonts w:ascii="宋体" w:hAnsi="宋体"/>
                <w:color w:val="auto"/>
                <w:kern w:val="0"/>
                <w:sz w:val="18"/>
                <w:szCs w:val="18"/>
                <w:highlight w:val="none"/>
              </w:rPr>
              <w:t>76°，发光点中心距偏差：</w:t>
            </w:r>
            <w:r>
              <w:rPr>
                <w:rFonts w:hint="eastAsia" w:ascii="宋体" w:hAnsi="宋体"/>
                <w:color w:val="auto"/>
                <w:kern w:val="0"/>
                <w:sz w:val="18"/>
                <w:szCs w:val="18"/>
                <w:highlight w:val="none"/>
              </w:rPr>
              <w:t>≤1%，</w:t>
            </w:r>
            <w:r>
              <w:rPr>
                <w:rFonts w:ascii="宋体" w:hAnsi="宋体"/>
                <w:color w:val="auto"/>
                <w:kern w:val="0"/>
                <w:sz w:val="18"/>
                <w:szCs w:val="18"/>
                <w:highlight w:val="none"/>
              </w:rPr>
              <w:t>亮度均匀性：</w:t>
            </w:r>
            <w:r>
              <w:rPr>
                <w:rFonts w:hint="eastAsia" w:ascii="宋体" w:hAnsi="宋体"/>
                <w:color w:val="auto"/>
                <w:kern w:val="0"/>
                <w:sz w:val="18"/>
                <w:szCs w:val="18"/>
                <w:highlight w:val="none"/>
              </w:rPr>
              <w:t>≥</w:t>
            </w:r>
            <w:r>
              <w:rPr>
                <w:rFonts w:ascii="宋体" w:hAnsi="宋体"/>
                <w:color w:val="auto"/>
                <w:kern w:val="0"/>
                <w:sz w:val="18"/>
                <w:szCs w:val="18"/>
                <w:highlight w:val="none"/>
              </w:rPr>
              <w:t>9</w:t>
            </w:r>
            <w:r>
              <w:rPr>
                <w:rFonts w:hint="eastAsia" w:ascii="宋体" w:hAnsi="宋体"/>
                <w:color w:val="auto"/>
                <w:kern w:val="0"/>
                <w:sz w:val="18"/>
                <w:szCs w:val="18"/>
                <w:highlight w:val="none"/>
              </w:rPr>
              <w:t>9</w:t>
            </w:r>
            <w:r>
              <w:rPr>
                <w:rFonts w:ascii="宋体" w:hAnsi="宋体"/>
                <w:color w:val="auto"/>
                <w:kern w:val="0"/>
                <w:sz w:val="18"/>
                <w:szCs w:val="18"/>
                <w:highlight w:val="none"/>
              </w:rPr>
              <w:t>.5%，色度均匀性：</w:t>
            </w:r>
            <w:r>
              <w:rPr>
                <w:rFonts w:hint="eastAsia" w:ascii="宋体" w:hAnsi="宋体"/>
                <w:color w:val="auto"/>
                <w:kern w:val="0"/>
                <w:sz w:val="18"/>
                <w:szCs w:val="18"/>
                <w:highlight w:val="none"/>
              </w:rPr>
              <w:t>在±0.001Cx，Cy之内；</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ascii="宋体" w:hAnsi="宋体"/>
                <w:color w:val="auto"/>
                <w:kern w:val="0"/>
                <w:sz w:val="18"/>
                <w:szCs w:val="18"/>
                <w:highlight w:val="none"/>
              </w:rPr>
              <w:t>像素失控率：</w:t>
            </w:r>
            <w:r>
              <w:rPr>
                <w:rFonts w:hint="eastAsia" w:ascii="宋体" w:hAnsi="宋体"/>
                <w:color w:val="auto"/>
                <w:kern w:val="0"/>
                <w:sz w:val="18"/>
                <w:szCs w:val="18"/>
                <w:highlight w:val="none"/>
              </w:rPr>
              <w:t>0，</w:t>
            </w:r>
            <w:r>
              <w:rPr>
                <w:rFonts w:ascii="宋体" w:hAnsi="宋体"/>
                <w:color w:val="auto"/>
                <w:kern w:val="0"/>
                <w:sz w:val="18"/>
                <w:szCs w:val="18"/>
                <w:highlight w:val="none"/>
              </w:rPr>
              <w:t>峰值功率：</w:t>
            </w:r>
            <w:r>
              <w:rPr>
                <w:rFonts w:hint="eastAsia" w:ascii="宋体" w:hAnsi="宋体"/>
                <w:color w:val="auto"/>
                <w:kern w:val="0"/>
                <w:sz w:val="18"/>
                <w:szCs w:val="18"/>
                <w:highlight w:val="none"/>
              </w:rPr>
              <w:t>≤</w:t>
            </w:r>
            <w:r>
              <w:rPr>
                <w:rFonts w:ascii="宋体" w:hAnsi="宋体"/>
                <w:color w:val="auto"/>
                <w:kern w:val="0"/>
                <w:sz w:val="18"/>
                <w:szCs w:val="18"/>
                <w:highlight w:val="none"/>
              </w:rPr>
              <w:t>450</w:t>
            </w:r>
            <w:r>
              <w:rPr>
                <w:rFonts w:hint="eastAsia" w:ascii="宋体" w:hAnsi="宋体"/>
                <w:color w:val="auto"/>
                <w:kern w:val="0"/>
                <w:sz w:val="18"/>
                <w:szCs w:val="18"/>
                <w:highlight w:val="none"/>
              </w:rPr>
              <w:t>W/m</w:t>
            </w:r>
            <w:r>
              <w:rPr>
                <w:rFonts w:hint="eastAsia" w:ascii="宋体" w:hAnsi="宋体"/>
                <w:color w:val="auto"/>
                <w:kern w:val="0"/>
                <w:sz w:val="18"/>
                <w:szCs w:val="18"/>
                <w:highlight w:val="none"/>
                <w:vertAlign w:val="superscript"/>
              </w:rPr>
              <w:t>2</w:t>
            </w:r>
            <w:r>
              <w:rPr>
                <w:rFonts w:hint="eastAsia" w:ascii="宋体" w:hAnsi="宋体"/>
                <w:color w:val="auto"/>
                <w:kern w:val="0"/>
                <w:sz w:val="18"/>
                <w:szCs w:val="18"/>
                <w:highlight w:val="none"/>
              </w:rPr>
              <w:t>，</w:t>
            </w:r>
            <w:r>
              <w:rPr>
                <w:rFonts w:ascii="宋体" w:hAnsi="宋体"/>
                <w:color w:val="auto"/>
                <w:kern w:val="0"/>
                <w:sz w:val="18"/>
                <w:szCs w:val="18"/>
                <w:highlight w:val="none"/>
              </w:rPr>
              <w:t>平均功率：</w:t>
            </w:r>
            <w:r>
              <w:rPr>
                <w:rFonts w:hint="eastAsia" w:ascii="宋体" w:hAnsi="宋体"/>
                <w:color w:val="auto"/>
                <w:kern w:val="0"/>
                <w:sz w:val="18"/>
                <w:szCs w:val="18"/>
                <w:highlight w:val="none"/>
              </w:rPr>
              <w:t>≤</w:t>
            </w:r>
            <w:r>
              <w:rPr>
                <w:rFonts w:ascii="宋体" w:hAnsi="宋体"/>
                <w:color w:val="auto"/>
                <w:kern w:val="0"/>
                <w:sz w:val="18"/>
                <w:szCs w:val="18"/>
                <w:highlight w:val="none"/>
              </w:rPr>
              <w:t>150</w:t>
            </w:r>
            <w:r>
              <w:rPr>
                <w:rFonts w:hint="eastAsia" w:ascii="宋体" w:hAnsi="宋体"/>
                <w:color w:val="auto"/>
                <w:kern w:val="0"/>
                <w:sz w:val="18"/>
                <w:szCs w:val="18"/>
                <w:highlight w:val="none"/>
              </w:rPr>
              <w:t>W/m</w:t>
            </w:r>
            <w:r>
              <w:rPr>
                <w:rFonts w:hint="eastAsia" w:ascii="宋体" w:hAnsi="宋体"/>
                <w:color w:val="auto"/>
                <w:kern w:val="0"/>
                <w:sz w:val="18"/>
                <w:szCs w:val="18"/>
                <w:highlight w:val="none"/>
                <w:vertAlign w:val="superscript"/>
              </w:rPr>
              <w:t>2</w:t>
            </w:r>
            <w:r>
              <w:rPr>
                <w:rFonts w:hint="eastAsia" w:ascii="宋体" w:hAnsi="宋体"/>
                <w:color w:val="auto"/>
                <w:kern w:val="0"/>
                <w:sz w:val="18"/>
                <w:szCs w:val="18"/>
                <w:highlight w:val="none"/>
              </w:rPr>
              <w:t>，模组/箱体间隙：≤0.05mm，整屏平整度：≤0.05mm，色域：≥118%NTSC；</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箱体材质为压铸铝材质，均为一次性整体压铸成型，背板托架与后盖均为压铸铝材质。全金属自然散热，无风扇、无散热孔静音设计。隐藏式接口设计，无裸露接口，有效防尘；</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支持单点颜色校正，支持单点亮度校正；</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屏体正面为亚黑墨色处理，反光率≤</w:t>
            </w:r>
            <w:r>
              <w:rPr>
                <w:rFonts w:ascii="宋体" w:hAnsi="宋体"/>
                <w:color w:val="auto"/>
                <w:kern w:val="0"/>
                <w:sz w:val="18"/>
                <w:szCs w:val="18"/>
                <w:highlight w:val="none"/>
              </w:rPr>
              <w:t>1.5</w:t>
            </w:r>
            <w:r>
              <w:rPr>
                <w:rFonts w:hint="eastAsia" w:ascii="宋体" w:hAnsi="宋体"/>
                <w:color w:val="auto"/>
                <w:kern w:val="0"/>
                <w:sz w:val="18"/>
                <w:szCs w:val="18"/>
                <w:highlight w:val="none"/>
              </w:rPr>
              <w:t>%；</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低亮高灰：支持在不同亮度下，通过软件对灰度14-16bit任意设置，满足20%、60%、100%亮度时灰度14-16bit之间任意设置；</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LED 显示屏可实时监控显示屏工作状态，具有故障自动告警功能，发生故障立即发消息到指定邮箱，及时处理；</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节能设计：符合 CQC3158-2016LED 显示单元节能认证技术规范的能源效率和睡眠模式功率密度要求；</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待机节能：支持无信号输入自动休眠待机模式，有信号输入时立刻结束休眠模式。</w:t>
            </w:r>
          </w:p>
          <w:p>
            <w:pPr>
              <w:pStyle w:val="35"/>
              <w:spacing w:line="320" w:lineRule="exact"/>
              <w:ind w:left="425" w:firstLine="0" w:firstLineChars="0"/>
              <w:jc w:val="left"/>
              <w:rPr>
                <w:rFonts w:ascii="宋体" w:hAnsi="宋体"/>
                <w:b/>
                <w:bCs/>
                <w:color w:val="auto"/>
                <w:kern w:val="0"/>
                <w:sz w:val="18"/>
                <w:szCs w:val="18"/>
                <w:highlight w:val="none"/>
              </w:rPr>
            </w:pPr>
            <w:r>
              <w:rPr>
                <w:rFonts w:hint="eastAsia" w:ascii="宋体" w:hAnsi="宋体" w:cs="宋体"/>
                <w:b/>
                <w:bCs/>
                <w:color w:val="auto"/>
                <w:kern w:val="0"/>
                <w:sz w:val="18"/>
                <w:szCs w:val="18"/>
                <w:highlight w:val="none"/>
              </w:rPr>
              <w:t>▲</w:t>
            </w:r>
            <w:r>
              <w:rPr>
                <w:rFonts w:hint="eastAsia" w:ascii="宋体" w:hAnsi="宋体"/>
                <w:b/>
                <w:bCs/>
                <w:color w:val="auto"/>
                <w:kern w:val="0"/>
                <w:sz w:val="18"/>
                <w:szCs w:val="18"/>
                <w:highlight w:val="none"/>
              </w:rPr>
              <w:t>以上3-13项技术要求需提供第三方权威检测机构出具的检测报告复印件并加盖供应商公章。</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LED显示屏通过GB 9254-2008《信息技术设备的无线电骚扰限值和测量方法》进行测试，LED 显示屏符合 B 级限值要求。</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光生物安全检测：投标产品需通过眼睛的近紫外危害曝辐限值、视网膜蓝光危害曝辐限值、视网膜热危害曝辐限值检测，符合GB/T 20145-2006光生物安全性标准，所有颜色的光都是豁免等级，对人体眼睛无伤害。</w:t>
            </w:r>
          </w:p>
          <w:p>
            <w:pPr>
              <w:pStyle w:val="35"/>
              <w:widowControl/>
              <w:numPr>
                <w:ilvl w:val="0"/>
                <w:numId w:val="3"/>
              </w:numPr>
              <w:spacing w:line="320" w:lineRule="exact"/>
              <w:ind w:firstLineChars="0"/>
              <w:jc w:val="left"/>
              <w:textAlignment w:val="baseline"/>
              <w:rPr>
                <w:rFonts w:ascii="宋体" w:hAnsi="宋体"/>
                <w:color w:val="auto"/>
                <w:kern w:val="0"/>
                <w:sz w:val="18"/>
                <w:szCs w:val="18"/>
                <w:highlight w:val="none"/>
              </w:rPr>
            </w:pPr>
            <w:r>
              <w:rPr>
                <w:rFonts w:hint="eastAsia" w:ascii="宋体" w:hAnsi="宋体"/>
                <w:color w:val="auto"/>
                <w:kern w:val="0"/>
                <w:sz w:val="18"/>
                <w:szCs w:val="18"/>
                <w:highlight w:val="none"/>
              </w:rPr>
              <w:t>为保证产品的耐火安全性，投标产品根据BS476-7:1997产品火焰表面延伸等级的分级标准，被分级为Class1级。</w:t>
            </w:r>
          </w:p>
          <w:p>
            <w:pPr>
              <w:rPr>
                <w:rFonts w:ascii="宋体" w:hAnsi="宋体" w:cs="宋体"/>
                <w:color w:val="auto"/>
                <w:sz w:val="18"/>
                <w:szCs w:val="18"/>
                <w:highlight w:val="none"/>
              </w:rPr>
            </w:pPr>
            <w:r>
              <w:rPr>
                <w:rFonts w:hint="eastAsia" w:ascii="宋体" w:hAnsi="宋体" w:cs="宋体"/>
                <w:b/>
                <w:bCs/>
                <w:color w:val="auto"/>
                <w:kern w:val="0"/>
                <w:sz w:val="18"/>
                <w:szCs w:val="18"/>
                <w:highlight w:val="none"/>
              </w:rPr>
              <w:t>▲</w:t>
            </w:r>
            <w:r>
              <w:rPr>
                <w:rFonts w:hint="eastAsia" w:ascii="宋体" w:hAnsi="宋体"/>
                <w:b/>
                <w:bCs/>
                <w:color w:val="auto"/>
                <w:kern w:val="0"/>
                <w:sz w:val="18"/>
                <w:szCs w:val="18"/>
                <w:highlight w:val="none"/>
              </w:rPr>
              <w:t>投标所选型号的LED显示屏具有中国质量认证中心颁发的节能认证证书，提供复印件加盖供应商公章。</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bCs/>
                <w:color w:val="auto"/>
                <w:kern w:val="0"/>
                <w:sz w:val="18"/>
                <w:szCs w:val="18"/>
                <w:highlight w:val="none"/>
                <w:shd w:val="clear" w:color="auto" w:fill="FFFFFF"/>
              </w:rPr>
            </w:pPr>
            <w:r>
              <w:rPr>
                <w:rFonts w:hint="eastAsia" w:ascii="宋体" w:hAnsi="宋体" w:cs="宋体"/>
                <w:color w:val="auto"/>
                <w:kern w:val="0"/>
                <w:sz w:val="18"/>
                <w:szCs w:val="18"/>
                <w:highlight w:val="none"/>
              </w:rPr>
              <w:t>㎡</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bCs/>
                <w:color w:val="auto"/>
                <w:kern w:val="0"/>
                <w:sz w:val="18"/>
                <w:szCs w:val="18"/>
                <w:highlight w:val="none"/>
                <w:shd w:val="clear" w:color="auto" w:fill="FFFFFF"/>
              </w:rPr>
            </w:pPr>
            <w:r>
              <w:rPr>
                <w:rFonts w:hint="eastAsia" w:ascii="宋体" w:hAnsi="宋体" w:cs="宋体"/>
                <w:color w:val="auto"/>
                <w:kern w:val="0"/>
                <w:sz w:val="18"/>
                <w:szCs w:val="18"/>
                <w:highlight w:val="none"/>
              </w:rPr>
              <w:t>6.08</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是</w:t>
            </w: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bCs/>
                <w:color w:val="auto"/>
                <w:kern w:val="0"/>
                <w:sz w:val="18"/>
                <w:szCs w:val="18"/>
                <w:highlight w:val="none"/>
                <w:shd w:val="clear" w:color="auto" w:fill="FFFFFF"/>
              </w:rPr>
            </w:pPr>
            <w:r>
              <w:rPr>
                <w:rFonts w:hint="eastAsia" w:ascii="宋体" w:hAnsi="宋体" w:cs="宋体"/>
                <w:bCs/>
                <w:color w:val="auto"/>
                <w:kern w:val="0"/>
                <w:sz w:val="18"/>
                <w:szCs w:val="18"/>
                <w:highlight w:val="none"/>
                <w:shd w:val="clear" w:color="auto" w:fill="FFFFFF"/>
              </w:rPr>
              <w:t>2</w:t>
            </w:r>
          </w:p>
        </w:tc>
        <w:tc>
          <w:tcPr>
            <w:tcW w:w="10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播放软件</w:t>
            </w:r>
          </w:p>
        </w:tc>
        <w:tc>
          <w:tcPr>
            <w:tcW w:w="5294" w:type="dxa"/>
            <w:tcBorders>
              <w:top w:val="nil"/>
              <w:left w:val="nil"/>
              <w:bottom w:val="single" w:color="auto" w:sz="4" w:space="0"/>
              <w:right w:val="single" w:color="auto" w:sz="4" w:space="0"/>
            </w:tcBorders>
            <w:shd w:val="clear" w:color="000000" w:fill="FFFFFF"/>
          </w:tcPr>
          <w:p>
            <w:pPr>
              <w:jc w:val="left"/>
              <w:rPr>
                <w:rFonts w:ascii="宋体" w:hAnsi="宋体"/>
                <w:color w:val="auto"/>
                <w:kern w:val="0"/>
                <w:sz w:val="18"/>
                <w:szCs w:val="18"/>
                <w:highlight w:val="none"/>
              </w:rPr>
            </w:pPr>
            <w:r>
              <w:rPr>
                <w:rFonts w:hint="eastAsia" w:ascii="宋体" w:hAnsi="宋体"/>
                <w:color w:val="auto"/>
                <w:kern w:val="0"/>
                <w:sz w:val="18"/>
                <w:szCs w:val="18"/>
                <w:highlight w:val="none"/>
              </w:rPr>
              <w:t>1. 配置显示屏的性能参数；</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2. 配置显示屏的传输方式和方向；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3. 保存和加载控制系统参数；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4. 周期刷新显示屏控制系统的工作状态；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5. 读取显示屏校正系数，手动调节显示屏的校正系数；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6. 上传校正数据到控制系统；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7. 配置显示屏的亮度调节模式；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 xml:space="preserve">8. 远程控制智能配电箱PLC，实现多路独立电源的启动或停止； </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9. 设置智能配电箱的多路独立电源的自动启动和停止时间；</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套</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p>
        </w:tc>
      </w:tr>
      <w:tr>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ind w:firstLine="180" w:firstLineChars="100"/>
              <w:jc w:val="left"/>
              <w:rPr>
                <w:rFonts w:ascii="宋体" w:hAnsi="宋体" w:cs="宋体"/>
                <w:color w:val="auto"/>
                <w:sz w:val="18"/>
                <w:szCs w:val="18"/>
                <w:highlight w:val="none"/>
              </w:rPr>
            </w:pPr>
            <w:r>
              <w:rPr>
                <w:rFonts w:hint="eastAsia" w:ascii="宋体" w:hAnsi="宋体" w:cs="宋体"/>
                <w:color w:val="auto"/>
                <w:sz w:val="18"/>
                <w:szCs w:val="18"/>
                <w:highlight w:val="none"/>
              </w:rPr>
              <w:t>3</w:t>
            </w:r>
          </w:p>
        </w:tc>
        <w:tc>
          <w:tcPr>
            <w:tcW w:w="1075"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LED视频控制服务器</w:t>
            </w:r>
          </w:p>
          <w:p>
            <w:pPr>
              <w:pStyle w:val="2"/>
              <w:rPr>
                <w:color w:val="auto"/>
                <w:sz w:val="18"/>
                <w:szCs w:val="18"/>
                <w:highlight w:val="none"/>
              </w:rPr>
            </w:pPr>
            <w:r>
              <w:rPr>
                <w:rFonts w:hint="eastAsia"/>
                <w:b/>
                <w:bCs/>
                <w:color w:val="auto"/>
                <w:sz w:val="18"/>
                <w:szCs w:val="18"/>
                <w:highlight w:val="none"/>
              </w:rPr>
              <w:t>（本项为核心产品）</w:t>
            </w:r>
          </w:p>
        </w:tc>
        <w:tc>
          <w:tcPr>
            <w:tcW w:w="5294" w:type="dxa"/>
            <w:tcBorders>
              <w:top w:val="nil"/>
              <w:left w:val="nil"/>
              <w:bottom w:val="single" w:color="auto" w:sz="4" w:space="0"/>
              <w:right w:val="single" w:color="auto" w:sz="4" w:space="0"/>
            </w:tcBorders>
            <w:shd w:val="clear" w:color="000000" w:fill="FFFFFF"/>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1、纯硬件插卡式架构设计，19英寸标准机架式安装，金属结构机箱。</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2、支持不低于</w:t>
            </w:r>
            <w:r>
              <w:rPr>
                <w:rFonts w:hint="eastAsia" w:ascii="宋体" w:hAnsi="宋体" w:cs="宋体"/>
                <w:color w:val="auto"/>
                <w:sz w:val="18"/>
                <w:szCs w:val="18"/>
                <w:highlight w:val="none"/>
                <w:lang w:val="en-US" w:eastAsia="zh-CN"/>
              </w:rPr>
              <w:t>12</w:t>
            </w:r>
            <w:r>
              <w:rPr>
                <w:rFonts w:hint="eastAsia" w:ascii="宋体" w:hAnsi="宋体" w:cs="宋体"/>
                <w:color w:val="auto"/>
                <w:sz w:val="18"/>
                <w:szCs w:val="18"/>
                <w:highlight w:val="none"/>
              </w:rPr>
              <w:t>路</w:t>
            </w:r>
            <w:r>
              <w:rPr>
                <w:rFonts w:hint="eastAsia" w:ascii="宋体" w:hAnsi="宋体" w:cs="宋体"/>
                <w:color w:val="auto"/>
                <w:sz w:val="18"/>
                <w:szCs w:val="18"/>
                <w:highlight w:val="none"/>
                <w:lang w:val="en-US" w:eastAsia="zh-CN"/>
              </w:rPr>
              <w:t>HDMI</w:t>
            </w:r>
            <w:r>
              <w:rPr>
                <w:rFonts w:hint="eastAsia" w:ascii="宋体" w:hAnsi="宋体" w:cs="宋体"/>
                <w:color w:val="auto"/>
                <w:sz w:val="18"/>
                <w:szCs w:val="18"/>
                <w:highlight w:val="none"/>
              </w:rPr>
              <w:t>信</w:t>
            </w:r>
            <w:r>
              <w:rPr>
                <w:rFonts w:hint="eastAsia" w:ascii="宋体" w:hAnsi="宋体" w:cs="宋体"/>
                <w:color w:val="auto"/>
                <w:sz w:val="18"/>
                <w:szCs w:val="18"/>
                <w:highlight w:val="none"/>
              </w:rPr>
              <w:t>号输入</w:t>
            </w:r>
            <w:r>
              <w:rPr>
                <w:rFonts w:hint="eastAsia" w:ascii="宋体" w:hAnsi="宋体" w:cs="宋体"/>
                <w:color w:val="auto"/>
                <w:sz w:val="18"/>
                <w:szCs w:val="18"/>
                <w:highlight w:val="none"/>
                <w:lang w:eastAsia="zh-CN"/>
              </w:rPr>
              <w:t>，</w:t>
            </w:r>
            <w:r>
              <w:rPr>
                <w:rFonts w:hint="eastAsia" w:ascii="宋体" w:hAnsi="宋体" w:cs="宋体"/>
                <w:color w:val="auto"/>
                <w:sz w:val="18"/>
                <w:szCs w:val="18"/>
                <w:highlight w:val="none"/>
                <w:lang w:val="en-US" w:eastAsia="zh-CN"/>
              </w:rPr>
              <w:t>预留输入卡槽可扩展</w:t>
            </w:r>
            <w:r>
              <w:rPr>
                <w:rFonts w:hint="eastAsia" w:ascii="宋体" w:hAnsi="宋体" w:cs="宋体"/>
                <w:color w:val="auto"/>
                <w:sz w:val="18"/>
                <w:szCs w:val="18"/>
                <w:highlight w:val="none"/>
              </w:rPr>
              <w:t>。</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3、支持不低于16路网口、16路HDMI输出。</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4、支持不少于80个图层，可实现单卡任意开窗、叠加、漫游、无极缩放；支持画面截取、图层设置、图层翻转、图层冻结。</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5、多屏管理：进入多屏管理页面，将多个显示屏管理组合起来，以方便亮度调节及监控的统一管理。</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6、支持实时和预编模式，实时模式可实现画面控制实时上屏显示，预编模式支持在软件端进行显示内容预编辑后，再上屏显示。</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7、支持对所有输入源同时预监，对所有输出进行回显（包含IP流回显）。</w:t>
            </w:r>
          </w:p>
          <w:p>
            <w:pPr>
              <w:jc w:val="left"/>
              <w:rPr>
                <w:rFonts w:ascii="宋体" w:hAnsi="宋体" w:cs="宋体"/>
                <w:color w:val="auto"/>
                <w:sz w:val="18"/>
                <w:szCs w:val="18"/>
                <w:highlight w:val="none"/>
              </w:rPr>
            </w:pP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投标时提供厂家3C证书复印件加盖供应商公章。</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bCs/>
                <w:color w:val="auto"/>
                <w:kern w:val="0"/>
                <w:sz w:val="18"/>
                <w:szCs w:val="18"/>
                <w:highlight w:val="none"/>
                <w:shd w:val="clear" w:color="auto" w:fill="FFFFFF"/>
              </w:rPr>
            </w:pPr>
            <w:r>
              <w:rPr>
                <w:rFonts w:hint="eastAsia" w:ascii="宋体" w:hAnsi="宋体" w:cs="宋体"/>
                <w:color w:val="auto"/>
                <w:kern w:val="0"/>
                <w:sz w:val="18"/>
                <w:szCs w:val="18"/>
                <w:highlight w:val="none"/>
              </w:rPr>
              <w:t>台</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bCs/>
                <w:color w:val="auto"/>
                <w:kern w:val="0"/>
                <w:sz w:val="18"/>
                <w:szCs w:val="18"/>
                <w:highlight w:val="none"/>
                <w:shd w:val="clear" w:color="auto" w:fill="FFFFFF"/>
              </w:rPr>
            </w:pPr>
            <w:r>
              <w:rPr>
                <w:rFonts w:hint="eastAsia" w:ascii="宋体" w:hAnsi="宋体" w:cs="宋体"/>
                <w:color w:val="auto"/>
                <w:kern w:val="0"/>
                <w:sz w:val="18"/>
                <w:szCs w:val="18"/>
                <w:highlight w:val="none"/>
              </w:rPr>
              <w:t>1</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是</w:t>
            </w: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eastAsia" w:ascii="宋体" w:hAnsi="宋体" w:cs="宋体"/>
                <w:b/>
                <w:bCs/>
                <w:color w:val="auto"/>
                <w:kern w:val="0"/>
                <w:sz w:val="18"/>
                <w:szCs w:val="18"/>
                <w:highlight w:val="none"/>
              </w:rPr>
            </w:pPr>
          </w:p>
        </w:tc>
      </w:tr>
      <w:tr>
        <w:tblPrEx>
          <w:tblCellMar>
            <w:top w:w="0" w:type="dxa"/>
            <w:left w:w="108" w:type="dxa"/>
            <w:bottom w:w="0" w:type="dxa"/>
            <w:right w:w="108" w:type="dxa"/>
          </w:tblCellMar>
        </w:tblPrEx>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bCs/>
                <w:color w:val="auto"/>
                <w:kern w:val="0"/>
                <w:sz w:val="18"/>
                <w:szCs w:val="18"/>
                <w:highlight w:val="none"/>
                <w:shd w:val="clear" w:color="auto" w:fill="FFFFFF"/>
              </w:rPr>
            </w:pPr>
            <w:r>
              <w:rPr>
                <w:rFonts w:ascii="宋体" w:hAnsi="宋体" w:cs="宋体"/>
                <w:bCs/>
                <w:color w:val="auto"/>
                <w:kern w:val="0"/>
                <w:sz w:val="18"/>
                <w:szCs w:val="18"/>
                <w:highlight w:val="none"/>
                <w:shd w:val="clear" w:color="auto" w:fill="FFFFFF"/>
              </w:rPr>
              <w:t>4</w:t>
            </w:r>
          </w:p>
        </w:tc>
        <w:tc>
          <w:tcPr>
            <w:tcW w:w="10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视频显示安全网关</w:t>
            </w:r>
          </w:p>
        </w:tc>
        <w:tc>
          <w:tcPr>
            <w:tcW w:w="5294"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auto"/>
                <w:sz w:val="18"/>
                <w:szCs w:val="18"/>
                <w:highlight w:val="none"/>
              </w:rPr>
            </w:pPr>
            <w:r>
              <w:rPr>
                <w:rFonts w:hint="eastAsia" w:ascii="宋体" w:hAnsi="宋体" w:cs="宋体"/>
                <w:color w:val="auto"/>
                <w:sz w:val="18"/>
                <w:szCs w:val="18"/>
                <w:highlight w:val="none"/>
              </w:rPr>
              <w:t>1.支持接口类型：HDMI，视频显示通道数：2路。</w:t>
            </w:r>
          </w:p>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2.支持屏幕字符显示功能，能在视频信号中叠加字符信息，用户可自选设置内容、位置等信息。</w:t>
            </w: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投标时提供具有中国合格评定国家认可委员会(CNAS) 认可检测机构出具的检测报告证明。</w:t>
            </w:r>
          </w:p>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3.支持隐形字符叠加功能，能在视频信号中叠加特殊形状的、几乎不可见的符号信息。</w:t>
            </w: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投标时提供具有中国合格评定国家认可委员会(CNAS) 认可检测机构出具的检测报告证明。</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4.支持拼接屏幕防拍屏，支持分屏水印。</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5.提供专有控制软件实现远程控制，实时显示输入输出状态，并可给不同用户提供不同操作权限，提供功能截图证明。</w:t>
            </w:r>
          </w:p>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6.具备视频丢失检测功能，当视频输入信号丢失时，应能发出可见指示，</w:t>
            </w: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投标时提供第三方权威检测机构出具的检测报告证明。</w:t>
            </w:r>
          </w:p>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7.具有断电信息保存功能，应保证断电前保存的配置信息不丢失，</w:t>
            </w: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投标时提供第三方权威检测机构出具的检测报告证明。</w:t>
            </w:r>
          </w:p>
          <w:p>
            <w:pPr>
              <w:jc w:val="left"/>
              <w:rPr>
                <w:rFonts w:ascii="宋体" w:hAnsi="宋体" w:cs="宋体"/>
                <w:color w:val="auto"/>
                <w:sz w:val="18"/>
                <w:szCs w:val="18"/>
                <w:highlight w:val="none"/>
              </w:rPr>
            </w:pPr>
            <w:r>
              <w:rPr>
                <w:rFonts w:hint="eastAsia" w:ascii="宋体" w:hAnsi="宋体" w:cs="宋体"/>
                <w:color w:val="auto"/>
                <w:sz w:val="18"/>
                <w:szCs w:val="18"/>
                <w:highlight w:val="none"/>
              </w:rPr>
              <w:t>8.支持同品牌核心安全网关设备统一网管管理。</w:t>
            </w:r>
          </w:p>
          <w:p>
            <w:pPr>
              <w:jc w:val="left"/>
              <w:rPr>
                <w:rFonts w:ascii="宋体" w:hAnsi="宋体" w:cs="宋体"/>
                <w:b/>
                <w:bCs/>
                <w:color w:val="auto"/>
                <w:sz w:val="18"/>
                <w:szCs w:val="18"/>
                <w:highlight w:val="none"/>
              </w:rPr>
            </w:pPr>
            <w:r>
              <w:rPr>
                <w:rFonts w:hint="eastAsia" w:ascii="宋体" w:hAnsi="宋体" w:cs="宋体"/>
                <w:b/>
                <w:bCs/>
                <w:color w:val="auto"/>
                <w:sz w:val="18"/>
                <w:szCs w:val="18"/>
                <w:highlight w:val="none"/>
              </w:rPr>
              <w:t>9.设备具备第三方权威检测机构出具的显示安全系统检测报告，检测报告中包含字符叠加、视频通道切换、断电保存、权限管理、视频丢失检查等功能的测试说明，</w:t>
            </w: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投标时提供检测报告。</w:t>
            </w:r>
          </w:p>
          <w:p>
            <w:pPr>
              <w:jc w:val="left"/>
              <w:rPr>
                <w:rFonts w:ascii="宋体" w:hAnsi="宋体" w:cs="宋体"/>
                <w:b/>
                <w:bCs/>
                <w:color w:val="auto"/>
                <w:sz w:val="18"/>
                <w:szCs w:val="18"/>
                <w:highlight w:val="none"/>
              </w:rPr>
            </w:pPr>
            <w:r>
              <w:rPr>
                <w:rFonts w:hint="eastAsia" w:ascii="宋体" w:hAnsi="宋体" w:cs="宋体"/>
                <w:color w:val="auto"/>
                <w:sz w:val="18"/>
                <w:szCs w:val="18"/>
                <w:highlight w:val="none"/>
              </w:rPr>
              <w:t>10.</w:t>
            </w:r>
            <w:r>
              <w:rPr>
                <w:rFonts w:hint="eastAsia" w:ascii="宋体" w:hAnsi="宋体" w:cs="宋体"/>
                <w:b/>
                <w:bCs/>
                <w:color w:val="auto"/>
                <w:sz w:val="18"/>
                <w:szCs w:val="18"/>
                <w:highlight w:val="none"/>
              </w:rPr>
              <w:t>产品具有中国合格评定国家认可委员会(CNAS) 认可检测机构出具的显示安全系统检测报告，</w:t>
            </w:r>
            <w:r>
              <w:rPr>
                <w:rFonts w:hint="eastAsia" w:ascii="宋体" w:hAnsi="宋体" w:cs="宋体"/>
                <w:color w:val="auto"/>
                <w:sz w:val="18"/>
                <w:szCs w:val="18"/>
                <w:highlight w:val="none"/>
              </w:rPr>
              <w:t>检测报告中包含字符叠加、视频通道切换、断电保存、权限管理、视频丢失检查等功能的测试说明</w:t>
            </w:r>
            <w:r>
              <w:rPr>
                <w:rFonts w:hint="eastAsia" w:ascii="宋体" w:hAnsi="宋体" w:cs="宋体"/>
                <w:b/>
                <w:bCs/>
                <w:color w:val="auto"/>
                <w:sz w:val="18"/>
                <w:szCs w:val="18"/>
                <w:highlight w:val="none"/>
              </w:rPr>
              <w:t>，</w:t>
            </w: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投标时提供检测报告。</w:t>
            </w:r>
          </w:p>
          <w:p>
            <w:pPr>
              <w:jc w:val="left"/>
              <w:rPr>
                <w:rFonts w:ascii="宋体" w:hAnsi="宋体" w:cs="宋体"/>
                <w:color w:val="auto"/>
                <w:sz w:val="18"/>
                <w:szCs w:val="18"/>
                <w:highlight w:val="none"/>
              </w:rPr>
            </w:pPr>
            <w:r>
              <w:rPr>
                <w:rFonts w:hint="eastAsia" w:ascii="宋体" w:hAnsi="宋体" w:cs="宋体"/>
                <w:b/>
                <w:bCs/>
                <w:color w:val="auto"/>
                <w:kern w:val="0"/>
                <w:sz w:val="18"/>
                <w:szCs w:val="18"/>
                <w:highlight w:val="none"/>
              </w:rPr>
              <w:t>▲</w:t>
            </w:r>
            <w:r>
              <w:rPr>
                <w:rFonts w:hint="eastAsia" w:ascii="宋体" w:hAnsi="宋体" w:cs="宋体"/>
                <w:b/>
                <w:bCs/>
                <w:color w:val="auto"/>
                <w:sz w:val="18"/>
                <w:szCs w:val="18"/>
                <w:highlight w:val="none"/>
              </w:rPr>
              <w:t>投标时提供厂家3C证书复印件加盖供应商公章。</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台</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sz w:val="18"/>
                <w:szCs w:val="18"/>
                <w:highlight w:val="none"/>
              </w:rPr>
              <w:t>1</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w:t>
            </w:r>
          </w:p>
        </w:tc>
        <w:tc>
          <w:tcPr>
            <w:tcW w:w="10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强、弱电线缆</w:t>
            </w:r>
          </w:p>
        </w:tc>
        <w:tc>
          <w:tcPr>
            <w:tcW w:w="5294" w:type="dxa"/>
            <w:tcBorders>
              <w:top w:val="nil"/>
              <w:left w:val="nil"/>
              <w:bottom w:val="single" w:color="auto" w:sz="4" w:space="0"/>
              <w:right w:val="single" w:color="auto" w:sz="4" w:space="0"/>
            </w:tcBorders>
            <w:shd w:val="clear" w:color="000000" w:fill="FFFFFF"/>
            <w:vAlign w:val="center"/>
          </w:tcPr>
          <w:p>
            <w:pPr>
              <w:widowControl/>
              <w:spacing w:line="280" w:lineRule="exact"/>
              <w:jc w:val="left"/>
              <w:textAlignment w:val="center"/>
              <w:rPr>
                <w:rFonts w:ascii="宋体" w:hAnsi="宋体" w:cs="宋体"/>
                <w:color w:val="auto"/>
                <w:sz w:val="18"/>
                <w:szCs w:val="18"/>
                <w:highlight w:val="none"/>
              </w:rPr>
            </w:pPr>
            <w:r>
              <w:rPr>
                <w:rFonts w:ascii="宋体" w:hAnsi="宋体"/>
                <w:color w:val="auto"/>
                <w:kern w:val="0"/>
                <w:sz w:val="18"/>
                <w:szCs w:val="18"/>
                <w:highlight w:val="none"/>
              </w:rPr>
              <w:t>LED</w:t>
            </w:r>
            <w:r>
              <w:rPr>
                <w:rFonts w:hint="eastAsia" w:ascii="宋体" w:hAnsi="宋体"/>
                <w:color w:val="auto"/>
                <w:kern w:val="0"/>
                <w:sz w:val="18"/>
                <w:szCs w:val="18"/>
                <w:highlight w:val="none"/>
              </w:rPr>
              <w:t>显示</w:t>
            </w:r>
            <w:r>
              <w:rPr>
                <w:rFonts w:ascii="宋体" w:hAnsi="宋体"/>
                <w:color w:val="auto"/>
                <w:kern w:val="0"/>
                <w:sz w:val="18"/>
                <w:szCs w:val="18"/>
                <w:highlight w:val="none"/>
              </w:rPr>
              <w:t>屏的</w:t>
            </w:r>
            <w:r>
              <w:rPr>
                <w:rFonts w:hint="eastAsia" w:ascii="宋体" w:hAnsi="宋体"/>
                <w:color w:val="auto"/>
                <w:kern w:val="0"/>
                <w:sz w:val="18"/>
                <w:szCs w:val="18"/>
                <w:highlight w:val="none"/>
              </w:rPr>
              <w:t>强、弱电</w:t>
            </w:r>
            <w:r>
              <w:rPr>
                <w:rFonts w:ascii="宋体" w:hAnsi="宋体"/>
                <w:color w:val="auto"/>
                <w:kern w:val="0"/>
                <w:sz w:val="18"/>
                <w:szCs w:val="18"/>
                <w:highlight w:val="none"/>
              </w:rPr>
              <w:t>线缆以及信号传输线缆等</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项</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753"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auto"/>
                <w:sz w:val="18"/>
                <w:szCs w:val="18"/>
                <w:highlight w:val="none"/>
              </w:rPr>
            </w:pPr>
          </w:p>
        </w:tc>
        <w:tc>
          <w:tcPr>
            <w:tcW w:w="852" w:type="dxa"/>
            <w:tcBorders>
              <w:top w:val="nil"/>
              <w:left w:val="nil"/>
              <w:bottom w:val="single" w:color="auto" w:sz="4" w:space="0"/>
              <w:right w:val="single" w:color="auto" w:sz="4" w:space="0"/>
            </w:tcBorders>
            <w:shd w:val="clear" w:color="000000" w:fill="FFFFFF"/>
            <w:vAlign w:val="center"/>
          </w:tcPr>
          <w:p>
            <w:pPr>
              <w:jc w:val="left"/>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6</w:t>
            </w:r>
          </w:p>
        </w:tc>
        <w:tc>
          <w:tcPr>
            <w:tcW w:w="10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配电箱</w:t>
            </w:r>
          </w:p>
        </w:tc>
        <w:tc>
          <w:tcPr>
            <w:tcW w:w="5294" w:type="dxa"/>
            <w:tcBorders>
              <w:top w:val="nil"/>
              <w:left w:val="nil"/>
              <w:bottom w:val="single" w:color="auto" w:sz="4" w:space="0"/>
              <w:right w:val="single" w:color="auto" w:sz="4" w:space="0"/>
            </w:tcBorders>
            <w:shd w:val="clear" w:color="000000" w:fill="FFFFFF"/>
            <w:vAlign w:val="center"/>
          </w:tcPr>
          <w:p>
            <w:pPr>
              <w:widowControl/>
              <w:spacing w:line="280" w:lineRule="exact"/>
              <w:jc w:val="left"/>
              <w:textAlignment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配电箱的功率为10kw，PLC+中控控制，高温断电+烟雾断电+故障警示</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个</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0" w:hRule="atLeast"/>
          <w:jc w:val="center"/>
        </w:trPr>
        <w:tc>
          <w:tcPr>
            <w:tcW w:w="589" w:type="dxa"/>
            <w:tcBorders>
              <w:top w:val="nil"/>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7</w:t>
            </w:r>
          </w:p>
        </w:tc>
        <w:tc>
          <w:tcPr>
            <w:tcW w:w="1075"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LED屏安装结构及边框装饰</w:t>
            </w:r>
          </w:p>
        </w:tc>
        <w:tc>
          <w:tcPr>
            <w:tcW w:w="5294" w:type="dxa"/>
            <w:tcBorders>
              <w:top w:val="nil"/>
              <w:left w:val="nil"/>
              <w:bottom w:val="single" w:color="auto" w:sz="4" w:space="0"/>
              <w:right w:val="single" w:color="auto" w:sz="4" w:space="0"/>
            </w:tcBorders>
            <w:shd w:val="clear" w:color="000000" w:fill="FFFFFF"/>
            <w:vAlign w:val="center"/>
          </w:tcPr>
          <w:p>
            <w:pPr>
              <w:jc w:val="left"/>
              <w:rPr>
                <w:rFonts w:ascii="宋体" w:hAnsi="宋体"/>
                <w:color w:val="auto"/>
                <w:kern w:val="0"/>
                <w:sz w:val="18"/>
                <w:szCs w:val="18"/>
                <w:highlight w:val="none"/>
              </w:rPr>
            </w:pPr>
            <w:r>
              <w:rPr>
                <w:rFonts w:hint="eastAsia" w:ascii="宋体" w:hAnsi="宋体"/>
                <w:color w:val="auto"/>
                <w:kern w:val="0"/>
                <w:sz w:val="18"/>
                <w:szCs w:val="18"/>
                <w:highlight w:val="none"/>
              </w:rPr>
              <w:t>1.钢结构所用钢材均采用Q235B镀锌钢，其质量标准符合《碳素结构钢》GB/T 700-2006的规定；</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2.Q235B与Q235B钢间焊接应采用E43型焊条，其质量标准应符合《非合金钢及细晶粒钢焊条》GB/T 5117-2012的规定。</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3.构件均为角焊缝，三级焊缝，所有对接焊缝均需焊透，沿接触面满焊。</w:t>
            </w:r>
          </w:p>
          <w:p>
            <w:pPr>
              <w:jc w:val="left"/>
              <w:rPr>
                <w:rFonts w:ascii="宋体" w:hAnsi="宋体"/>
                <w:color w:val="auto"/>
                <w:kern w:val="0"/>
                <w:sz w:val="18"/>
                <w:szCs w:val="18"/>
                <w:highlight w:val="none"/>
              </w:rPr>
            </w:pPr>
            <w:r>
              <w:rPr>
                <w:rFonts w:hint="eastAsia" w:ascii="宋体" w:hAnsi="宋体"/>
                <w:color w:val="auto"/>
                <w:kern w:val="0"/>
                <w:sz w:val="18"/>
                <w:szCs w:val="18"/>
                <w:highlight w:val="none"/>
              </w:rPr>
              <w:t>4.螺栓、螺母质量标准应符合GB/T 3098.1-2010\GB3098.2-2015，螺栓等级为4.8S。</w:t>
            </w:r>
          </w:p>
          <w:p>
            <w:pPr>
              <w:widowControl/>
              <w:spacing w:line="280" w:lineRule="exact"/>
              <w:jc w:val="left"/>
              <w:textAlignment w:val="center"/>
              <w:rPr>
                <w:rFonts w:ascii="宋体" w:hAnsi="宋体" w:cs="宋体"/>
                <w:color w:val="auto"/>
                <w:sz w:val="18"/>
                <w:szCs w:val="18"/>
                <w:highlight w:val="none"/>
              </w:rPr>
            </w:pPr>
            <w:r>
              <w:rPr>
                <w:rFonts w:hint="eastAsia" w:ascii="宋体" w:hAnsi="宋体"/>
                <w:color w:val="auto"/>
                <w:kern w:val="0"/>
                <w:sz w:val="18"/>
                <w:szCs w:val="18"/>
                <w:highlight w:val="none"/>
              </w:rPr>
              <w:t>5.不锈钢包边框和底座盖板。</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项</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20" w:hRule="atLeast"/>
          <w:jc w:val="center"/>
        </w:trPr>
        <w:tc>
          <w:tcPr>
            <w:tcW w:w="58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color w:val="auto"/>
                <w:kern w:val="0"/>
                <w:sz w:val="18"/>
                <w:szCs w:val="18"/>
                <w:highlight w:val="none"/>
              </w:rPr>
            </w:pPr>
            <w:r>
              <w:rPr>
                <w:rFonts w:ascii="宋体" w:hAnsi="宋体" w:cs="宋体"/>
                <w:color w:val="auto"/>
                <w:kern w:val="0"/>
                <w:sz w:val="18"/>
                <w:szCs w:val="18"/>
                <w:highlight w:val="none"/>
              </w:rPr>
              <w:t>8</w:t>
            </w:r>
          </w:p>
        </w:tc>
        <w:tc>
          <w:tcPr>
            <w:tcW w:w="107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备品备件</w:t>
            </w:r>
          </w:p>
        </w:tc>
        <w:tc>
          <w:tcPr>
            <w:tcW w:w="5294" w:type="dxa"/>
            <w:tcBorders>
              <w:top w:val="nil"/>
              <w:left w:val="nil"/>
              <w:bottom w:val="single" w:color="auto" w:sz="4" w:space="0"/>
              <w:right w:val="single" w:color="auto" w:sz="4" w:space="0"/>
            </w:tcBorders>
            <w:shd w:val="clear" w:color="000000" w:fill="FFFFFF"/>
            <w:vAlign w:val="center"/>
          </w:tcPr>
          <w:p>
            <w:pPr>
              <w:widowControl/>
              <w:spacing w:line="280" w:lineRule="exact"/>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同批次同墨色模块4块，电源、接收卡、转接板各1个。</w:t>
            </w:r>
          </w:p>
          <w:p>
            <w:pPr>
              <w:widowControl/>
              <w:spacing w:line="280" w:lineRule="exact"/>
              <w:jc w:val="left"/>
              <w:textAlignment w:val="center"/>
              <w:rPr>
                <w:rFonts w:ascii="宋体" w:hAnsi="宋体"/>
                <w:color w:val="auto"/>
                <w:kern w:val="0"/>
                <w:sz w:val="18"/>
                <w:szCs w:val="18"/>
                <w:highlight w:val="none"/>
              </w:rPr>
            </w:pPr>
            <w:r>
              <w:rPr>
                <w:rFonts w:hint="eastAsia" w:ascii="宋体" w:hAnsi="宋体"/>
                <w:color w:val="auto"/>
                <w:kern w:val="0"/>
                <w:sz w:val="18"/>
                <w:szCs w:val="18"/>
                <w:highlight w:val="none"/>
              </w:rPr>
              <w:t>灯珠1</w:t>
            </w:r>
            <w:r>
              <w:rPr>
                <w:rFonts w:ascii="宋体" w:hAnsi="宋体"/>
                <w:color w:val="auto"/>
                <w:kern w:val="0"/>
                <w:sz w:val="18"/>
                <w:szCs w:val="18"/>
                <w:highlight w:val="none"/>
              </w:rPr>
              <w:t>00</w:t>
            </w:r>
            <w:r>
              <w:rPr>
                <w:rFonts w:hint="eastAsia" w:ascii="宋体" w:hAnsi="宋体"/>
                <w:color w:val="auto"/>
                <w:kern w:val="0"/>
                <w:sz w:val="18"/>
                <w:szCs w:val="18"/>
                <w:highlight w:val="none"/>
              </w:rPr>
              <w:t>pcs、排线</w:t>
            </w:r>
            <w:r>
              <w:rPr>
                <w:rFonts w:ascii="宋体" w:hAnsi="宋体"/>
                <w:color w:val="auto"/>
                <w:kern w:val="0"/>
                <w:sz w:val="18"/>
                <w:szCs w:val="18"/>
                <w:highlight w:val="none"/>
              </w:rPr>
              <w:t>4</w:t>
            </w:r>
            <w:r>
              <w:rPr>
                <w:rFonts w:hint="eastAsia" w:ascii="宋体" w:hAnsi="宋体"/>
                <w:color w:val="auto"/>
                <w:kern w:val="0"/>
                <w:sz w:val="18"/>
                <w:szCs w:val="18"/>
                <w:highlight w:val="none"/>
              </w:rPr>
              <w:t>条。</w:t>
            </w:r>
          </w:p>
        </w:tc>
        <w:tc>
          <w:tcPr>
            <w:tcW w:w="626"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项</w:t>
            </w:r>
          </w:p>
        </w:tc>
        <w:tc>
          <w:tcPr>
            <w:tcW w:w="627"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53"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c>
          <w:tcPr>
            <w:tcW w:w="852" w:type="dxa"/>
            <w:tcBorders>
              <w:top w:val="nil"/>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371" w:hRule="atLeast"/>
          <w:jc w:val="center"/>
        </w:trPr>
        <w:tc>
          <w:tcPr>
            <w:tcW w:w="58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9</w:t>
            </w:r>
          </w:p>
        </w:tc>
        <w:tc>
          <w:tcPr>
            <w:tcW w:w="107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olor w:val="auto"/>
                <w:kern w:val="0"/>
                <w:sz w:val="18"/>
                <w:szCs w:val="18"/>
                <w:highlight w:val="none"/>
              </w:rPr>
            </w:pPr>
            <w:r>
              <w:rPr>
                <w:rFonts w:hint="eastAsia" w:ascii="宋体" w:hAnsi="宋体"/>
                <w:color w:val="auto"/>
                <w:kern w:val="0"/>
                <w:sz w:val="18"/>
                <w:szCs w:val="18"/>
                <w:highlight w:val="none"/>
              </w:rPr>
              <w:t>机柜</w:t>
            </w:r>
          </w:p>
        </w:tc>
        <w:tc>
          <w:tcPr>
            <w:tcW w:w="529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textAlignment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rPr>
              <w:t>机柜尺寸（mm）：≥</w:t>
            </w:r>
            <w:r>
              <w:rPr>
                <w:rFonts w:ascii="宋体" w:hAnsi="宋体"/>
                <w:color w:val="auto"/>
                <w:kern w:val="0"/>
                <w:sz w:val="18"/>
                <w:szCs w:val="18"/>
                <w:highlight w:val="none"/>
              </w:rPr>
              <w:t>600*</w:t>
            </w:r>
            <w:r>
              <w:rPr>
                <w:rFonts w:hint="eastAsia" w:ascii="宋体" w:hAnsi="宋体"/>
                <w:color w:val="auto"/>
                <w:kern w:val="0"/>
                <w:sz w:val="18"/>
                <w:szCs w:val="18"/>
                <w:highlight w:val="none"/>
                <w:lang w:val="en-US" w:eastAsia="zh-CN"/>
              </w:rPr>
              <w:t>8</w:t>
            </w:r>
            <w:r>
              <w:rPr>
                <w:rFonts w:ascii="宋体" w:hAnsi="宋体"/>
                <w:color w:val="auto"/>
                <w:kern w:val="0"/>
                <w:sz w:val="18"/>
                <w:szCs w:val="18"/>
                <w:highlight w:val="none"/>
              </w:rPr>
              <w:t>00*2000</w:t>
            </w:r>
            <w:r>
              <w:rPr>
                <w:rFonts w:hint="eastAsia" w:ascii="宋体" w:hAnsi="宋体"/>
                <w:color w:val="auto"/>
                <w:kern w:val="0"/>
                <w:sz w:val="18"/>
                <w:szCs w:val="18"/>
                <w:highlight w:val="none"/>
              </w:rPr>
              <w:t>，4</w:t>
            </w:r>
            <w:r>
              <w:rPr>
                <w:rFonts w:ascii="宋体" w:hAnsi="宋体"/>
                <w:color w:val="auto"/>
                <w:kern w:val="0"/>
                <w:sz w:val="18"/>
                <w:szCs w:val="18"/>
                <w:highlight w:val="none"/>
              </w:rPr>
              <w:t>2</w:t>
            </w:r>
            <w:r>
              <w:rPr>
                <w:rFonts w:hint="eastAsia" w:ascii="宋体" w:hAnsi="宋体"/>
                <w:color w:val="auto"/>
                <w:kern w:val="0"/>
                <w:sz w:val="18"/>
                <w:szCs w:val="18"/>
                <w:highlight w:val="none"/>
              </w:rPr>
              <w:t>U，带侧板，表面颜色：灰色</w:t>
            </w:r>
            <w:r>
              <w:rPr>
                <w:rFonts w:hint="eastAsia" w:ascii="宋体" w:hAnsi="宋体"/>
                <w:color w:val="auto"/>
                <w:kern w:val="0"/>
                <w:sz w:val="18"/>
                <w:szCs w:val="18"/>
                <w:highlight w:val="none"/>
                <w:lang w:eastAsia="zh-CN"/>
              </w:rPr>
              <w:t>，</w:t>
            </w:r>
            <w:r>
              <w:rPr>
                <w:rFonts w:hint="eastAsia" w:ascii="宋体" w:hAnsi="宋体"/>
                <w:color w:val="auto"/>
                <w:kern w:val="0"/>
                <w:sz w:val="18"/>
                <w:szCs w:val="18"/>
                <w:highlight w:val="none"/>
                <w:lang w:val="en-US" w:eastAsia="zh-CN"/>
              </w:rPr>
              <w:t>包含旧机柜设备迁移至新机柜工作</w:t>
            </w:r>
          </w:p>
        </w:tc>
        <w:tc>
          <w:tcPr>
            <w:tcW w:w="62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r>
              <w:rPr>
                <w:rFonts w:hint="eastAsia" w:ascii="宋体" w:hAnsi="宋体" w:cs="宋体"/>
                <w:color w:val="auto"/>
                <w:sz w:val="18"/>
                <w:szCs w:val="18"/>
                <w:highlight w:val="none"/>
              </w:rPr>
              <w:t>台</w:t>
            </w:r>
          </w:p>
        </w:tc>
        <w:tc>
          <w:tcPr>
            <w:tcW w:w="62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w:t>
            </w:r>
          </w:p>
        </w:tc>
        <w:tc>
          <w:tcPr>
            <w:tcW w:w="75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r>
      <w:tr>
        <w:tblPrEx>
          <w:tblCellMar>
            <w:top w:w="0" w:type="dxa"/>
            <w:left w:w="108" w:type="dxa"/>
            <w:bottom w:w="0" w:type="dxa"/>
            <w:right w:w="108" w:type="dxa"/>
          </w:tblCellMar>
        </w:tblPrEx>
        <w:trPr>
          <w:trHeight w:val="371" w:hRule="atLeast"/>
          <w:jc w:val="center"/>
        </w:trPr>
        <w:tc>
          <w:tcPr>
            <w:tcW w:w="589"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80" w:lineRule="exact"/>
              <w:jc w:val="center"/>
              <w:rPr>
                <w:rFonts w:hint="default"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10</w:t>
            </w:r>
          </w:p>
        </w:tc>
        <w:tc>
          <w:tcPr>
            <w:tcW w:w="1075"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default" w:ascii="宋体" w:hAnsi="宋体" w:eastAsia="宋体"/>
                <w:color w:val="auto"/>
                <w:kern w:val="0"/>
                <w:sz w:val="18"/>
                <w:szCs w:val="18"/>
                <w:highlight w:val="none"/>
                <w:lang w:val="en-US" w:eastAsia="zh-CN"/>
              </w:rPr>
            </w:pPr>
            <w:r>
              <w:rPr>
                <w:rFonts w:hint="eastAsia" w:ascii="宋体" w:hAnsi="宋体"/>
                <w:color w:val="auto"/>
                <w:kern w:val="0"/>
                <w:sz w:val="18"/>
                <w:szCs w:val="18"/>
                <w:highlight w:val="none"/>
                <w:lang w:val="en-US" w:eastAsia="zh-CN"/>
              </w:rPr>
              <w:t>控制电脑</w:t>
            </w:r>
          </w:p>
        </w:tc>
        <w:tc>
          <w:tcPr>
            <w:tcW w:w="5294"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CPU:I5 12600F</w:t>
            </w:r>
          </w:p>
          <w:p>
            <w:pPr>
              <w:widowControl/>
              <w:spacing w:line="280" w:lineRule="exact"/>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内存:16G DDR4</w:t>
            </w:r>
          </w:p>
          <w:p>
            <w:pPr>
              <w:widowControl/>
              <w:spacing w:line="280" w:lineRule="exact"/>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存储:1T固态+1T机械</w:t>
            </w:r>
          </w:p>
          <w:p>
            <w:pPr>
              <w:widowControl/>
              <w:spacing w:line="280" w:lineRule="exact"/>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独显要求输出接口:HDMI+DVI</w:t>
            </w:r>
          </w:p>
          <w:p>
            <w:pPr>
              <w:widowControl/>
              <w:spacing w:line="280" w:lineRule="exact"/>
              <w:jc w:val="left"/>
              <w:textAlignment w:val="center"/>
              <w:rPr>
                <w:rFonts w:hint="eastAsia" w:ascii="宋体" w:hAnsi="宋体"/>
                <w:color w:val="auto"/>
                <w:kern w:val="0"/>
                <w:sz w:val="18"/>
                <w:szCs w:val="18"/>
                <w:highlight w:val="none"/>
              </w:rPr>
            </w:pPr>
            <w:r>
              <w:rPr>
                <w:rFonts w:hint="eastAsia" w:ascii="宋体" w:hAnsi="宋体"/>
                <w:color w:val="auto"/>
                <w:kern w:val="0"/>
                <w:sz w:val="18"/>
                <w:szCs w:val="18"/>
                <w:highlight w:val="none"/>
              </w:rPr>
              <w:t>显示器：1920×1080</w:t>
            </w:r>
          </w:p>
        </w:tc>
        <w:tc>
          <w:tcPr>
            <w:tcW w:w="626"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eastAsia"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台</w:t>
            </w:r>
          </w:p>
        </w:tc>
        <w:tc>
          <w:tcPr>
            <w:tcW w:w="627"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hint="eastAsia" w:ascii="宋体" w:hAnsi="宋体" w:eastAsia="宋体" w:cs="宋体"/>
                <w:color w:val="auto"/>
                <w:kern w:val="0"/>
                <w:sz w:val="18"/>
                <w:szCs w:val="18"/>
                <w:highlight w:val="none"/>
                <w:lang w:val="en-US" w:eastAsia="zh-CN"/>
              </w:rPr>
            </w:pPr>
            <w:r>
              <w:rPr>
                <w:rFonts w:hint="eastAsia" w:ascii="宋体" w:hAnsi="宋体" w:cs="宋体"/>
                <w:color w:val="auto"/>
                <w:kern w:val="0"/>
                <w:sz w:val="18"/>
                <w:szCs w:val="18"/>
                <w:highlight w:val="none"/>
                <w:lang w:val="en-US" w:eastAsia="zh-CN"/>
              </w:rPr>
              <w:t>1</w:t>
            </w:r>
          </w:p>
        </w:tc>
        <w:tc>
          <w:tcPr>
            <w:tcW w:w="753"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c>
          <w:tcPr>
            <w:tcW w:w="852" w:type="dxa"/>
            <w:tcBorders>
              <w:top w:val="single" w:color="auto" w:sz="4" w:space="0"/>
              <w:left w:val="nil"/>
              <w:bottom w:val="single" w:color="auto" w:sz="4" w:space="0"/>
              <w:right w:val="single" w:color="auto" w:sz="4" w:space="0"/>
            </w:tcBorders>
            <w:shd w:val="clear" w:color="000000" w:fill="FFFFFF"/>
            <w:vAlign w:val="center"/>
          </w:tcPr>
          <w:p>
            <w:pPr>
              <w:widowControl/>
              <w:spacing w:line="280" w:lineRule="exact"/>
              <w:jc w:val="center"/>
              <w:textAlignment w:val="center"/>
              <w:rPr>
                <w:rFonts w:ascii="宋体" w:hAnsi="宋体" w:cs="宋体"/>
                <w:color w:val="auto"/>
                <w:sz w:val="18"/>
                <w:szCs w:val="18"/>
                <w:highlight w:val="none"/>
              </w:rPr>
            </w:pPr>
          </w:p>
        </w:tc>
      </w:tr>
    </w:tbl>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lang w:val="en-US" w:eastAsia="zh-CN"/>
        </w:rPr>
        <w:t>注：上述采购要求为最低要求，不得负偏离，否则视为无效报价。</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rPr>
        <w:t>供货与安装周期：签订合同之日起30日历天内交货、安装、调试完毕。如因</w:t>
      </w:r>
      <w:r>
        <w:rPr>
          <w:rFonts w:hint="eastAsia" w:ascii="宋体" w:hAnsi="宋体" w:eastAsia="宋体" w:cs="宋体"/>
          <w:b w:val="0"/>
          <w:bCs w:val="0"/>
          <w:color w:val="auto"/>
          <w:sz w:val="28"/>
          <w:szCs w:val="28"/>
          <w:highlight w:val="none"/>
          <w:lang w:eastAsia="zh-CN"/>
        </w:rPr>
        <w:t>成交供应商</w:t>
      </w:r>
      <w:r>
        <w:rPr>
          <w:rFonts w:hint="eastAsia" w:ascii="宋体" w:hAnsi="宋体" w:eastAsia="宋体" w:cs="宋体"/>
          <w:b w:val="0"/>
          <w:bCs w:val="0"/>
          <w:color w:val="auto"/>
          <w:sz w:val="28"/>
          <w:szCs w:val="28"/>
          <w:highlight w:val="none"/>
        </w:rPr>
        <w:t>原因延期的，除扣除全部履约保证金外，每推迟一天加罚2000元。</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rPr>
        <w:t>交货、安装地点：成</w:t>
      </w:r>
      <w:r>
        <w:rPr>
          <w:rFonts w:hint="eastAsia" w:ascii="宋体" w:hAnsi="宋体" w:eastAsia="宋体" w:cs="宋体"/>
          <w:bCs/>
          <w:color w:val="auto"/>
          <w:sz w:val="28"/>
          <w:szCs w:val="28"/>
          <w:highlight w:val="none"/>
        </w:rPr>
        <w:t>交供应商应按照采购单位的要求将货物运至采购单位指定地点安装并且调试完成，确保正常使用。</w:t>
      </w:r>
    </w:p>
    <w:p>
      <w:pPr>
        <w:keepNext w:val="0"/>
        <w:keepLines w:val="0"/>
        <w:pageBreakBefore w:val="0"/>
        <w:widowControl w:val="0"/>
        <w:numPr>
          <w:ilvl w:val="0"/>
          <w:numId w:val="4"/>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采购标的需满足的服务标准、期限、效率等要求</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val="en-US" w:eastAsia="zh-CN"/>
        </w:rPr>
        <w:t>1.</w:t>
      </w:r>
      <w:r>
        <w:rPr>
          <w:rFonts w:hint="eastAsia" w:ascii="宋体" w:hAnsi="宋体" w:eastAsia="宋体" w:cs="宋体"/>
          <w:bCs/>
          <w:color w:val="auto"/>
          <w:sz w:val="28"/>
          <w:szCs w:val="28"/>
          <w:highlight w:val="none"/>
        </w:rPr>
        <w:t>项目要求整体质保三年，本项目所有货物必须提供三年上门服务及全免费质保等售后服务。（原厂质保期高于供应商承诺质保期的，按原厂质保期计算。自验收合格报告签字确认日起，开始进入质保期）。</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highlight w:val="none"/>
        </w:rPr>
      </w:pPr>
      <w:r>
        <w:rPr>
          <w:rFonts w:hint="eastAsia" w:ascii="宋体" w:hAnsi="宋体" w:cs="宋体"/>
          <w:bCs/>
          <w:color w:val="auto"/>
          <w:sz w:val="28"/>
          <w:szCs w:val="28"/>
          <w:highlight w:val="none"/>
          <w:lang w:val="en-US" w:eastAsia="zh-CN"/>
        </w:rPr>
        <w:t>2.</w:t>
      </w:r>
      <w:r>
        <w:rPr>
          <w:rFonts w:hint="eastAsia" w:ascii="宋体" w:hAnsi="宋体" w:eastAsia="宋体" w:cs="宋体"/>
          <w:bCs/>
          <w:color w:val="auto"/>
          <w:sz w:val="28"/>
          <w:szCs w:val="28"/>
          <w:highlight w:val="none"/>
        </w:rPr>
        <w:t>在三年免费保修期内，成交供应商在接到用户单位电话维修通知后，供应商到达现场不超过4小时，一般质量问题在24小时内负责修复，确保不影响用户单位实际使用。供应商超时或未在规定的时间内及时处理故障，每次罚2000元扣款。质保期内，同一商品、同一质量问题连续两次维修仍无法正常使用，成交供应商应无条件给予全套更新</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六、采购标的的验收标准</w:t>
      </w:r>
    </w:p>
    <w:p>
      <w:pPr>
        <w:keepNext w:val="0"/>
        <w:keepLines w:val="0"/>
        <w:pageBreakBefore w:val="0"/>
        <w:widowControl w:val="0"/>
        <w:tabs>
          <w:tab w:val="left" w:pos="6860"/>
          <w:tab w:val="left" w:pos="7140"/>
        </w:tabs>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1.在成交供应商供货安装完毕后，采购单位将组织验收小组根据采购文件和供应商报价文件对供应商所供货物进行验收。如验收时发现有参数偏离且未在报价文件中说明的，视为验收不合格。</w:t>
      </w:r>
    </w:p>
    <w:p>
      <w:pPr>
        <w:keepNext w:val="0"/>
        <w:keepLines w:val="0"/>
        <w:pageBreakBefore w:val="0"/>
        <w:widowControl w:val="0"/>
        <w:tabs>
          <w:tab w:val="left" w:pos="6860"/>
          <w:tab w:val="left" w:pos="7140"/>
        </w:tabs>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2.在采购单位收到供应商提供的产品后，由启东市市场监督管理局组织抽样检验，如在抽检过程中供应商不能到场配合的，将视采购单位为其委托单位配合抽检，并在相关文书签字确认。市管局认为有必要的情况下，可采取公证抽样取证办法。在抽检过程中所破坏的货物，由供应商补全，费用不再追加。</w:t>
      </w:r>
    </w:p>
    <w:p>
      <w:pPr>
        <w:keepNext w:val="0"/>
        <w:keepLines w:val="0"/>
        <w:pageBreakBefore w:val="0"/>
        <w:widowControl w:val="0"/>
        <w:tabs>
          <w:tab w:val="left" w:pos="6860"/>
          <w:tab w:val="left" w:pos="7140"/>
        </w:tabs>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highlight w:val="none"/>
        </w:rPr>
      </w:pPr>
      <w:r>
        <w:rPr>
          <w:rFonts w:hint="eastAsia" w:ascii="宋体" w:hAnsi="宋体" w:eastAsia="宋体" w:cs="宋体"/>
          <w:color w:val="auto"/>
          <w:sz w:val="28"/>
          <w:szCs w:val="28"/>
          <w:highlight w:val="none"/>
          <w:lang w:val="en-US" w:eastAsia="zh-CN"/>
        </w:rPr>
        <w:t>3.采购单位在收到成交供应商提交的书面项目验收申请后7个工作日内，将组织验收小组根据采购文件和供应商报价文件对供应商所供货物进行验收。如验收时发现所供货物的数量、技术参数等与采购文件不一致，采购单位将根据启东市市场监督管理局等部门的意见，向成交供应商签发整改通知书。成交供应商在收到整改通知书后七日内必须按要求整改，如再次不符合要求或逾期，采购人将视作项目整体验收不合格，终止合同履行，履约保证金不予退还并报相关部门进行处理。必要时，采购单位可邀请相关质量监督部门对成交供应商所供货物进行验收及检测，因检测发生的一切费用由成交供应商负责，如验收或检测发现所供货物不合格，将解除双方合同、履约保证金不予退还并进行相关处罚。因检测导致货物损坏的，由成交供应商免费补足，确保采购人正常使用</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七、采购标的的其他技术、服务等要求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val="0"/>
          <w:bCs/>
          <w:color w:val="auto"/>
          <w:sz w:val="28"/>
          <w:szCs w:val="28"/>
          <w:highlight w:val="none"/>
        </w:rPr>
        <w:t>1.商品包装环保要求：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（1）商品包装层数不得超过 3 层，空隙率不大于 40%；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（2）商品包装尽可能使用单一材质的包装材料，如因功能需求必需使用不同材质，不同材质间应便于分离；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（3）商品包装中铅、汞、镉、六价铬的总含量应不大于100mg/kg；</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（4）商品包装印刷使用的油墨中挥发性有机化合物(VOCs)含量应不大于 5%（以重量计）；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（5）塑料材质商品包装上呈现的印刷颜色不得超过 6 色；</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（6）纸质商品包装应使用 75%以上的可再生纤维原料生产；</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（7）木质商品包装的原料应来源于可持续性森林。</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rPr>
        <w:t>2.快递包装环保要求：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（1）快递包装中重金属（铅、汞、镉、六价铬）总量应不大于 100mg/kg；</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（2）快递包装印刷使用的油墨中不应添加邻苯二甲酸酯，其挥发性有机化合物(VOCs)含量应不大于5%（以重量计）；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（3）快递包装中使用纸基材的包装材料，纸基材中的有机氯的含量应不大于 150 mg/kg；</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（4）快递包装中使用塑料基材的包装材料不得使用邻苯二甲酸二异壬酯、邻苯二甲酸二正辛酯、邻苯二甲酸二(2-乙基)己酯、邻苯二甲酸二异癸酯、邻苯二甲酸丁基苄基酯、邻苯二甲酸二丁酯等作为增塑剂；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（5）快递中使用的塑料包装袋不得使用聚氯乙烯作为原料，且原料应为单一材质制成，生物分解率大于60%；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（6）快递中使用的充气类填充物不得使用聚氯乙烯作为 原料，且原料为单一材质制成，生物分解率大于60%；</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（7）快递中使用的集装袋应为单一材质制成，其重复使用次数应不小于 80 次；</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（8）快递中应使用幅宽不大于45mm 的生物降解胶带；</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（9）快递包装中不得使用溶剂型胶粘剂；</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（11）快递应使用电子面单；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（12）直接使用商品包装作为快递包装的商品，其商品包装满足《商品包装政府采购需求标准（试行）》即可；</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（13）快递包装产品质量和封装方式应符合相关国家或行业标准技术指标要求。</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b w:val="0"/>
          <w:bCs/>
          <w:color w:val="auto"/>
          <w:kern w:val="0"/>
          <w:sz w:val="28"/>
          <w:szCs w:val="28"/>
          <w:highlight w:val="none"/>
        </w:rPr>
      </w:pPr>
      <w:r>
        <w:rPr>
          <w:rFonts w:hint="eastAsia" w:ascii="宋体" w:hAnsi="宋体" w:eastAsia="宋体" w:cs="宋体"/>
          <w:b w:val="0"/>
          <w:bCs/>
          <w:color w:val="auto"/>
          <w:kern w:val="0"/>
          <w:sz w:val="28"/>
          <w:szCs w:val="28"/>
          <w:highlight w:val="none"/>
        </w:rPr>
        <w:t>3.绿色数据中心</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kern w:val="0"/>
          <w:sz w:val="28"/>
          <w:szCs w:val="28"/>
          <w:highlight w:val="none"/>
        </w:rPr>
      </w:pPr>
      <w:r>
        <w:rPr>
          <w:rFonts w:hint="eastAsia" w:ascii="宋体" w:hAnsi="宋体" w:eastAsia="宋体" w:cs="宋体"/>
          <w:b w:val="0"/>
          <w:bCs/>
          <w:color w:val="auto"/>
          <w:kern w:val="0"/>
          <w:sz w:val="28"/>
          <w:szCs w:val="28"/>
          <w:highlight w:val="none"/>
        </w:rPr>
        <w:t>4.低挥发性有机化合物产品：</w:t>
      </w:r>
      <w:r>
        <w:rPr>
          <w:rFonts w:hint="eastAsia" w:ascii="宋体" w:hAnsi="宋体" w:eastAsia="宋体" w:cs="宋体"/>
          <w:color w:val="auto"/>
          <w:kern w:val="0"/>
          <w:sz w:val="28"/>
          <w:szCs w:val="28"/>
          <w:highlight w:val="none"/>
          <w:lang w:val="zh-CN"/>
        </w:rPr>
        <w:t>本项目中如有涉及涂料、胶黏剂、油墨、清洗剂等挥发性有机物产品的，属于强制性标准的，供应商应当执行国家和我省VOCs含量限制标准。供应商提供符合推荐性标准的涂料、胶黏剂、油墨、清洗剂等挥发性有机物产品的，</w:t>
      </w:r>
      <w:r>
        <w:rPr>
          <w:rFonts w:hint="eastAsia" w:ascii="宋体" w:hAnsi="宋体" w:eastAsia="宋体" w:cs="宋体"/>
          <w:color w:val="auto"/>
          <w:kern w:val="0"/>
          <w:sz w:val="28"/>
          <w:szCs w:val="28"/>
          <w:highlight w:val="none"/>
        </w:rPr>
        <w:t>予以评审优惠。</w:t>
      </w:r>
      <w:r>
        <w:rPr>
          <w:rFonts w:hint="eastAsia" w:ascii="宋体" w:hAnsi="宋体" w:eastAsia="宋体" w:cs="宋体"/>
          <w:color w:val="auto"/>
          <w:kern w:val="0"/>
          <w:sz w:val="28"/>
          <w:szCs w:val="28"/>
          <w:highlight w:val="none"/>
          <w:lang w:val="zh-CN"/>
        </w:rPr>
        <w:t>在通用类货物、家具、印刷、公务车辆维修等采购项目中，供应商</w:t>
      </w:r>
      <w:r>
        <w:rPr>
          <w:rFonts w:hint="eastAsia" w:ascii="宋体" w:hAnsi="宋体" w:eastAsia="宋体" w:cs="宋体"/>
          <w:color w:val="auto"/>
          <w:kern w:val="0"/>
          <w:sz w:val="28"/>
          <w:szCs w:val="28"/>
          <w:highlight w:val="none"/>
        </w:rPr>
        <w:t>应</w:t>
      </w:r>
      <w:r>
        <w:rPr>
          <w:rFonts w:hint="eastAsia" w:ascii="宋体" w:hAnsi="宋体" w:eastAsia="宋体" w:cs="宋体"/>
          <w:color w:val="auto"/>
          <w:kern w:val="0"/>
          <w:sz w:val="28"/>
          <w:szCs w:val="28"/>
          <w:highlight w:val="none"/>
          <w:lang w:val="zh-CN"/>
        </w:rPr>
        <w:t>优先使用低挥发性原辅材料</w:t>
      </w:r>
      <w:r>
        <w:rPr>
          <w:rFonts w:hint="eastAsia" w:ascii="宋体" w:hAnsi="宋体" w:eastAsia="宋体" w:cs="宋体"/>
          <w:color w:val="auto"/>
          <w:kern w:val="0"/>
          <w:sz w:val="28"/>
          <w:szCs w:val="28"/>
          <w:highlight w:val="none"/>
        </w:rPr>
        <w:t>，将使用低</w:t>
      </w:r>
      <w:r>
        <w:rPr>
          <w:rFonts w:hint="eastAsia" w:ascii="宋体" w:hAnsi="宋体" w:eastAsia="宋体" w:cs="宋体"/>
          <w:color w:val="auto"/>
          <w:kern w:val="0"/>
          <w:sz w:val="28"/>
          <w:szCs w:val="28"/>
          <w:highlight w:val="none"/>
          <w:lang w:val="zh-CN"/>
        </w:rPr>
        <w:t>VOCs含量的</w:t>
      </w:r>
      <w:r>
        <w:rPr>
          <w:rFonts w:hint="eastAsia" w:ascii="宋体" w:hAnsi="宋体" w:eastAsia="宋体" w:cs="宋体"/>
          <w:color w:val="auto"/>
          <w:kern w:val="0"/>
          <w:sz w:val="28"/>
          <w:szCs w:val="28"/>
          <w:highlight w:val="none"/>
        </w:rPr>
        <w:t>涂料、</w:t>
      </w:r>
      <w:r>
        <w:rPr>
          <w:rFonts w:hint="eastAsia" w:ascii="宋体" w:hAnsi="宋体" w:eastAsia="宋体" w:cs="宋体"/>
          <w:color w:val="auto"/>
          <w:kern w:val="0"/>
          <w:sz w:val="28"/>
          <w:szCs w:val="28"/>
          <w:highlight w:val="none"/>
          <w:lang w:val="zh-CN"/>
        </w:rPr>
        <w:t>胶黏剂</w:t>
      </w:r>
      <w:r>
        <w:rPr>
          <w:rFonts w:hint="eastAsia" w:ascii="宋体" w:hAnsi="宋体" w:eastAsia="宋体" w:cs="宋体"/>
          <w:color w:val="auto"/>
          <w:kern w:val="0"/>
          <w:sz w:val="28"/>
          <w:szCs w:val="28"/>
          <w:highlight w:val="none"/>
        </w:rPr>
        <w:t>等纳入合同条款。</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b w:val="0"/>
          <w:bCs/>
          <w:color w:val="auto"/>
          <w:kern w:val="0"/>
          <w:sz w:val="28"/>
          <w:szCs w:val="28"/>
          <w:highlight w:val="none"/>
        </w:rPr>
        <w:t>5.节能环保产品：</w:t>
      </w:r>
      <w:r>
        <w:rPr>
          <w:rFonts w:hint="eastAsia" w:ascii="宋体" w:hAnsi="宋体" w:eastAsia="宋体" w:cs="宋体"/>
          <w:b w:val="0"/>
          <w:bCs/>
          <w:color w:val="auto"/>
          <w:kern w:val="0"/>
          <w:sz w:val="28"/>
          <w:szCs w:val="28"/>
          <w:highlight w:val="none"/>
          <w:lang w:val="zh-CN"/>
        </w:rPr>
        <w:t>依</w:t>
      </w:r>
      <w:r>
        <w:rPr>
          <w:rFonts w:hint="eastAsia" w:ascii="宋体" w:hAnsi="宋体" w:eastAsia="宋体" w:cs="宋体"/>
          <w:color w:val="auto"/>
          <w:kern w:val="0"/>
          <w:sz w:val="28"/>
          <w:szCs w:val="28"/>
          <w:highlight w:val="none"/>
          <w:lang w:val="zh-CN"/>
        </w:rPr>
        <w:t>据财政部、国家发展和改革委员会发布的《节能产品政府采购品目清单》，本项目中有政府强制采购节能产品的，只能选择具有国家确定的认证机构出具的、处于有效期之内的节能产品认证证书的产品进行报价，认证机构详见国家市场监督管理总局发布的《参与实施政府采购节能产品认证机构名录》和《参与实施政府采购环境标志产品认证机构名录》。</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rPr>
        <w:t>八、</w:t>
      </w:r>
      <w:r>
        <w:rPr>
          <w:rFonts w:hint="eastAsia" w:ascii="宋体" w:hAnsi="宋体" w:eastAsia="宋体" w:cs="宋体"/>
          <w:b w:val="0"/>
          <w:bCs/>
          <w:color w:val="auto"/>
          <w:sz w:val="28"/>
          <w:szCs w:val="28"/>
          <w:highlight w:val="none"/>
          <w:lang w:val="en-US" w:eastAsia="zh-CN"/>
        </w:rPr>
        <w:t>本项目核心产品为：LED视频控制服务器。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九、商务要求</w:t>
      </w:r>
    </w:p>
    <w:p>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供应商的投标报价应包括但不限于投标人自制的或外购的全部设备及材料的价格费用、运杂费(运抵招标人工地现场)、运输保险费、配套及辅助材料设备费（包括但不限于常规的配套、辅材等）、上货费、卸货费、</w:t>
      </w:r>
      <w:r>
        <w:rPr>
          <w:rFonts w:hint="eastAsia" w:ascii="宋体" w:hAnsi="宋体" w:cs="宋体"/>
          <w:b w:val="0"/>
          <w:bCs/>
          <w:color w:val="auto"/>
          <w:sz w:val="28"/>
          <w:szCs w:val="28"/>
          <w:highlight w:val="none"/>
          <w:lang w:val="en-US" w:eastAsia="zh-CN"/>
        </w:rPr>
        <w:t>人员培训、</w:t>
      </w:r>
      <w:r>
        <w:rPr>
          <w:rFonts w:hint="eastAsia" w:ascii="宋体" w:hAnsi="宋体" w:eastAsia="宋体" w:cs="宋体"/>
          <w:b w:val="0"/>
          <w:bCs/>
          <w:color w:val="auto"/>
          <w:sz w:val="28"/>
          <w:szCs w:val="28"/>
          <w:highlight w:val="none"/>
          <w:lang w:val="en-US" w:eastAsia="zh-CN"/>
        </w:rPr>
        <w:t>原材料涨跌风险费用、人工费上涨风险费用、进退场费、赶工费、安装调试费（含设备拆分及组装费用、所需水电等费用）、所需的各种检测验收费用、劳务费、资料费、质保期内维修保养费用、</w:t>
      </w:r>
      <w:r>
        <w:rPr>
          <w:rFonts w:hint="eastAsia" w:ascii="宋体" w:hAnsi="宋体" w:cs="宋体"/>
          <w:b w:val="0"/>
          <w:bCs/>
          <w:color w:val="auto"/>
          <w:sz w:val="28"/>
          <w:szCs w:val="28"/>
          <w:highlight w:val="none"/>
          <w:lang w:val="en-US" w:eastAsia="zh-CN"/>
        </w:rPr>
        <w:t>售后服务、</w:t>
      </w:r>
      <w:r>
        <w:rPr>
          <w:rFonts w:hint="eastAsia" w:ascii="宋体" w:hAnsi="宋体" w:eastAsia="宋体" w:cs="宋体"/>
          <w:b w:val="0"/>
          <w:bCs/>
          <w:color w:val="auto"/>
          <w:sz w:val="28"/>
          <w:szCs w:val="28"/>
          <w:highlight w:val="none"/>
          <w:lang w:val="en-US" w:eastAsia="zh-CN"/>
        </w:rPr>
        <w:t>保证正常使用期间所需的检修、检测费用、</w:t>
      </w:r>
      <w:r>
        <w:rPr>
          <w:rFonts w:hint="eastAsia" w:ascii="宋体" w:hAnsi="宋体" w:cs="宋体"/>
          <w:b/>
          <w:bCs/>
          <w:color w:val="auto"/>
          <w:sz w:val="28"/>
          <w:szCs w:val="28"/>
          <w:highlight w:val="none"/>
          <w:lang w:val="en-US" w:eastAsia="zh-CN"/>
        </w:rPr>
        <w:t>招标代理费、专家</w:t>
      </w:r>
      <w:r>
        <w:rPr>
          <w:rFonts w:hint="eastAsia" w:ascii="宋体" w:hAnsi="宋体" w:eastAsia="宋体" w:cs="宋体"/>
          <w:b/>
          <w:bCs/>
          <w:color w:val="auto"/>
          <w:sz w:val="28"/>
          <w:szCs w:val="28"/>
          <w:highlight w:val="none"/>
          <w:lang w:val="en-US" w:eastAsia="zh-CN"/>
        </w:rPr>
        <w:t>评</w:t>
      </w:r>
      <w:r>
        <w:rPr>
          <w:rFonts w:hint="eastAsia" w:ascii="宋体" w:hAnsi="宋体" w:cs="宋体"/>
          <w:b/>
          <w:bCs/>
          <w:color w:val="auto"/>
          <w:sz w:val="28"/>
          <w:szCs w:val="28"/>
          <w:highlight w:val="none"/>
          <w:lang w:val="en-US" w:eastAsia="zh-CN"/>
        </w:rPr>
        <w:t>标</w:t>
      </w:r>
      <w:r>
        <w:rPr>
          <w:rFonts w:hint="eastAsia" w:ascii="宋体" w:hAnsi="宋体" w:eastAsia="宋体" w:cs="宋体"/>
          <w:b/>
          <w:bCs/>
          <w:color w:val="auto"/>
          <w:sz w:val="28"/>
          <w:szCs w:val="28"/>
          <w:highlight w:val="none"/>
          <w:lang w:val="en-US" w:eastAsia="zh-CN"/>
        </w:rPr>
        <w:t>费（按实收取）、</w:t>
      </w:r>
      <w:r>
        <w:rPr>
          <w:rFonts w:hint="eastAsia" w:ascii="宋体" w:hAnsi="宋体" w:eastAsia="宋体" w:cs="宋体"/>
          <w:b w:val="0"/>
          <w:bCs/>
          <w:color w:val="auto"/>
          <w:sz w:val="28"/>
          <w:szCs w:val="28"/>
          <w:highlight w:val="none"/>
          <w:lang w:val="en-US" w:eastAsia="zh-CN"/>
        </w:rPr>
        <w:t>保险、利润、税金（包括进口货物须缴纳的税金）、政策性文件规定及合同包含的所有风险、责任等各项所有应有费用以及投标人认为需要的其它费用等一切费用。</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highlight w:val="none"/>
        </w:rPr>
      </w:pPr>
      <w:r>
        <w:rPr>
          <w:rFonts w:hint="eastAsia" w:ascii="宋体" w:hAnsi="宋体" w:eastAsia="宋体" w:cs="宋体"/>
          <w:b w:val="0"/>
          <w:bCs/>
          <w:color w:val="auto"/>
          <w:sz w:val="28"/>
          <w:szCs w:val="28"/>
          <w:highlight w:val="none"/>
          <w:lang w:val="en-US" w:eastAsia="zh-CN"/>
        </w:rPr>
        <w:t>2.无论本文件是否以文字形式规定，报价供应商应具备足够的专业知识和能力判定本项目所需的一切材料、施工、服务、材料检测等各种未预见费用，采购方不接受任何可选择的报价，成交供应商也不得在供货、安装期间提出任何增加费用的要求，更不得减少供货数量，不得降低安装质量。</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lang w:val="fr-FR" w:eastAsia="zh-CN"/>
        </w:rPr>
      </w:pPr>
      <w:r>
        <w:rPr>
          <w:rFonts w:hint="eastAsia" w:ascii="宋体" w:hAnsi="宋体" w:eastAsia="宋体" w:cs="宋体"/>
          <w:color w:val="auto"/>
          <w:sz w:val="28"/>
          <w:szCs w:val="28"/>
          <w:highlight w:val="none"/>
        </w:rPr>
        <w:t>十、付款方式：</w:t>
      </w:r>
      <w:r>
        <w:rPr>
          <w:rFonts w:hint="eastAsia" w:ascii="宋体" w:hAnsi="宋体" w:eastAsia="宋体" w:cs="宋体"/>
          <w:bCs/>
          <w:color w:val="auto"/>
          <w:sz w:val="28"/>
          <w:szCs w:val="28"/>
          <w:highlight w:val="none"/>
        </w:rPr>
        <w:t>合同签订后30日内预付合同价的30%，凭启东市市场监督管理局出具合格的检测报告，经验收合格后付至合同价的</w:t>
      </w:r>
      <w:r>
        <w:rPr>
          <w:rFonts w:hint="eastAsia" w:ascii="宋体" w:hAnsi="宋体" w:eastAsia="宋体" w:cs="宋体"/>
          <w:b w:val="0"/>
          <w:bCs/>
          <w:color w:val="auto"/>
          <w:sz w:val="28"/>
          <w:szCs w:val="28"/>
          <w:highlight w:val="none"/>
          <w:lang w:val="en-US" w:eastAsia="zh-CN"/>
        </w:rPr>
        <w:t>90%；</w:t>
      </w:r>
      <w:r>
        <w:rPr>
          <w:rFonts w:hint="eastAsia" w:ascii="宋体" w:hAnsi="宋体" w:cs="宋体"/>
          <w:b w:val="0"/>
          <w:bCs/>
          <w:color w:val="auto"/>
          <w:sz w:val="28"/>
          <w:szCs w:val="28"/>
          <w:highlight w:val="none"/>
          <w:lang w:val="en-US" w:eastAsia="zh-CN"/>
        </w:rPr>
        <w:t>余款于服务期满（</w:t>
      </w:r>
      <w:r>
        <w:rPr>
          <w:rFonts w:hint="eastAsia" w:ascii="宋体" w:hAnsi="宋体" w:eastAsia="宋体" w:cs="宋体"/>
          <w:b w:val="0"/>
          <w:bCs/>
          <w:color w:val="auto"/>
          <w:sz w:val="28"/>
          <w:szCs w:val="28"/>
          <w:highlight w:val="none"/>
          <w:lang w:val="en-US" w:eastAsia="zh-CN"/>
        </w:rPr>
        <w:t>从验收合格之日算起</w:t>
      </w:r>
      <w:r>
        <w:rPr>
          <w:rFonts w:hint="eastAsia" w:ascii="宋体" w:hAnsi="宋体" w:cs="宋体"/>
          <w:b w:val="0"/>
          <w:bCs/>
          <w:color w:val="auto"/>
          <w:sz w:val="28"/>
          <w:szCs w:val="28"/>
          <w:highlight w:val="none"/>
          <w:lang w:val="en-US" w:eastAsia="zh-CN"/>
        </w:rPr>
        <w:t>），经采购人确认</w:t>
      </w:r>
      <w:r>
        <w:rPr>
          <w:rFonts w:hint="eastAsia" w:ascii="宋体" w:hAnsi="宋体" w:eastAsia="宋体" w:cs="宋体"/>
          <w:b w:val="0"/>
          <w:bCs/>
          <w:color w:val="auto"/>
          <w:sz w:val="28"/>
          <w:szCs w:val="28"/>
          <w:highlight w:val="none"/>
          <w:lang w:val="en-US" w:eastAsia="zh-CN"/>
        </w:rPr>
        <w:t>后一次性付清</w:t>
      </w:r>
      <w:r>
        <w:rPr>
          <w:rFonts w:hint="eastAsia" w:ascii="宋体" w:hAnsi="宋体" w:eastAsia="宋体" w:cs="宋体"/>
          <w:color w:val="auto"/>
          <w:sz w:val="28"/>
          <w:szCs w:val="28"/>
          <w:highlight w:val="none"/>
          <w:lang w:val="fr-FR"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（备注：对满足合同支付条件的，采购人应当自收到发票后30日内支付资金）</w:t>
      </w:r>
    </w:p>
    <w:p>
      <w:pPr>
        <w:keepNext w:val="0"/>
        <w:keepLines w:val="0"/>
        <w:pageBreakBefore w:val="0"/>
        <w:widowControl w:val="0"/>
        <w:numPr>
          <w:ilvl w:val="0"/>
          <w:numId w:val="5"/>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履约保证金：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本项目成交后的履约保证金为项目成交价的10%，成交供应商的履约保证金须在成交通知书发出之日起至合同签订前汇入采购单位账户（应当以数字人民币、支票、汇票或者金融机构、担保机构出具的保函等非现金形式提交），成交供应商凭成交通知书与采购单位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2、成交供应商全部履约合同义务，经采购单位验收合格无质量、进度等问题的，采购人在验收合格后一次性退还履约保证金，采购人若逾期退还履约保证金的，按照逾期部分的</w:t>
      </w:r>
      <w:r>
        <w:rPr>
          <w:rFonts w:hint="eastAsia" w:ascii="宋体" w:hAnsi="宋体" w:eastAsia="宋体" w:cs="宋体"/>
          <w:color w:val="auto"/>
          <w:sz w:val="28"/>
          <w:szCs w:val="28"/>
          <w:highlight w:val="none"/>
          <w:u w:val="single"/>
        </w:rPr>
        <w:t>每日0.05%</w:t>
      </w:r>
      <w:r>
        <w:rPr>
          <w:rFonts w:hint="eastAsia" w:ascii="宋体" w:hAnsi="宋体" w:eastAsia="宋体" w:cs="宋体"/>
          <w:color w:val="auto"/>
          <w:sz w:val="28"/>
          <w:szCs w:val="28"/>
          <w:highlight w:val="none"/>
        </w:rPr>
        <w:t>支付违约金。</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3、发生以下情况的，履约保证金不予退还或部分退还：</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a.签订合同后，成交供应商不履行合同义务的，采购单位有权全额扣除履约保证金，全额不予退还，同时采购单位亦有权终止合同，成交供应商还须承担相应的法律赔偿责任。</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b.成交供应商在履约过程中发生违约行为，给采购单位造成损失的，采购单位有权在成交供应商缴纳的履约保证金中予以扣款，以弥补采购单位经济损失，不足的部分成交供应商另外补齐。</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为贯彻《优化营商环境条例》，进一步降低供应商参与政府采购活动成本，根据《关于在政府采购领域开展履约保证保险网上办理试行工作的通知》通财购【2022】8号文规定：集中采购的中标（成交）供应商可在南通市公共资源交易金融服务平台“履约保证保险”模块在线申请履约保证保险投保。</w:t>
      </w:r>
    </w:p>
    <w:p>
      <w:pPr>
        <w:keepNext w:val="0"/>
        <w:keepLines w:val="0"/>
        <w:pageBreakBefore w:val="0"/>
        <w:widowControl w:val="0"/>
        <w:tabs>
          <w:tab w:val="left" w:pos="2520"/>
        </w:tabs>
        <w:kinsoku/>
        <w:wordWrap/>
        <w:overflowPunct/>
        <w:topLinePunct w:val="0"/>
        <w:autoSpaceDE/>
        <w:autoSpaceDN/>
        <w:bidi w:val="0"/>
        <w:adjustRightInd w:val="0"/>
        <w:snapToGrid w:val="0"/>
        <w:spacing w:line="500" w:lineRule="exact"/>
        <w:ind w:firstLine="562" w:firstLineChars="200"/>
        <w:textAlignment w:val="auto"/>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二</w:t>
      </w:r>
      <w:r>
        <w:rPr>
          <w:rFonts w:hint="eastAsia" w:ascii="宋体" w:hAnsi="宋体" w:eastAsia="宋体" w:cs="宋体"/>
          <w:b/>
          <w:color w:val="auto"/>
          <w:sz w:val="28"/>
          <w:szCs w:val="28"/>
          <w:highlight w:val="none"/>
        </w:rPr>
        <w:t>、本项目（不接受）进口产品响应</w:t>
      </w:r>
    </w:p>
    <w:p>
      <w:pPr>
        <w:pStyle w:val="2"/>
        <w:keepNext w:val="0"/>
        <w:keepLines w:val="0"/>
        <w:pageBreakBefore w:val="0"/>
        <w:widowControl w:val="0"/>
        <w:kinsoku/>
        <w:wordWrap/>
        <w:overflowPunct/>
        <w:topLinePunct w:val="0"/>
        <w:autoSpaceDE/>
        <w:autoSpaceDN/>
        <w:bidi w:val="0"/>
        <w:spacing w:after="0" w:line="500" w:lineRule="exact"/>
        <w:ind w:firstLine="562" w:firstLineChars="200"/>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w:t>
      </w:r>
      <w:r>
        <w:rPr>
          <w:rFonts w:hint="eastAsia" w:ascii="宋体" w:hAnsi="宋体" w:eastAsia="宋体" w:cs="宋体"/>
          <w:b/>
          <w:color w:val="auto"/>
          <w:sz w:val="28"/>
          <w:szCs w:val="28"/>
          <w:highlight w:val="none"/>
          <w:lang w:val="en-US" w:eastAsia="zh-CN"/>
        </w:rPr>
        <w:t>三</w:t>
      </w:r>
      <w:r>
        <w:rPr>
          <w:rFonts w:hint="eastAsia" w:ascii="宋体" w:hAnsi="宋体" w:eastAsia="宋体" w:cs="宋体"/>
          <w:b/>
          <w:color w:val="auto"/>
          <w:sz w:val="28"/>
          <w:szCs w:val="28"/>
          <w:highlight w:val="none"/>
        </w:rPr>
        <w:t>、合同条款</w:t>
      </w:r>
    </w:p>
    <w:p>
      <w:pPr>
        <w:pStyle w:val="42"/>
        <w:keepNext w:val="0"/>
        <w:keepLines w:val="0"/>
        <w:pageBreakBefore w:val="0"/>
        <w:widowControl w:val="0"/>
        <w:tabs>
          <w:tab w:val="left" w:pos="5622"/>
        </w:tabs>
        <w:kinsoku/>
        <w:wordWrap/>
        <w:overflowPunct/>
        <w:topLinePunct w:val="0"/>
        <w:autoSpaceDE/>
        <w:autoSpaceDN/>
        <w:bidi w:val="0"/>
        <w:adjustRightInd/>
        <w:snapToGrid/>
        <w:spacing w:after="0" w:line="500" w:lineRule="exact"/>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甲方：（</w:t>
      </w:r>
      <w:r>
        <w:rPr>
          <w:rFonts w:hint="eastAsia" w:ascii="宋体" w:hAnsi="宋体" w:eastAsia="宋体" w:cs="宋体"/>
          <w:color w:val="auto"/>
          <w:sz w:val="24"/>
          <w:szCs w:val="24"/>
          <w:highlight w:val="none"/>
          <w:u w:val="none"/>
          <w:lang w:val="en-US" w:eastAsia="zh-CN"/>
        </w:rPr>
        <w:t>采购方</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rPr>
        <w:tab/>
      </w:r>
    </w:p>
    <w:p>
      <w:pPr>
        <w:pStyle w:val="42"/>
        <w:keepNext w:val="0"/>
        <w:keepLines w:val="0"/>
        <w:pageBreakBefore w:val="0"/>
        <w:widowControl w:val="0"/>
        <w:kinsoku/>
        <w:wordWrap/>
        <w:overflowPunct/>
        <w:topLinePunct w:val="0"/>
        <w:autoSpaceDE/>
        <w:autoSpaceDN/>
        <w:bidi w:val="0"/>
        <w:adjustRightInd/>
        <w:snapToGrid/>
        <w:spacing w:after="0" w:line="5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u w:val="none"/>
        </w:rPr>
        <w:t>乙方：（</w:t>
      </w:r>
      <w:r>
        <w:rPr>
          <w:rFonts w:hint="eastAsia" w:ascii="宋体" w:hAnsi="宋体" w:eastAsia="宋体" w:cs="宋体"/>
          <w:color w:val="auto"/>
          <w:sz w:val="24"/>
          <w:szCs w:val="24"/>
          <w:highlight w:val="none"/>
          <w:u w:val="none"/>
          <w:lang w:val="en-US" w:eastAsia="zh-CN"/>
        </w:rPr>
        <w:t>供货方</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lang w:val="en-US" w:eastAsia="zh-CN"/>
        </w:rPr>
        <w:t xml:space="preserve">                               </w:t>
      </w:r>
    </w:p>
    <w:p>
      <w:pPr>
        <w:pStyle w:val="42"/>
        <w:keepNext w:val="0"/>
        <w:keepLines w:val="0"/>
        <w:pageBreakBefore w:val="0"/>
        <w:widowControl w:val="0"/>
        <w:kinsoku/>
        <w:wordWrap/>
        <w:overflowPunct/>
        <w:topLinePunct w:val="0"/>
        <w:autoSpaceDE/>
        <w:autoSpaceDN/>
        <w:bidi w:val="0"/>
        <w:adjustRightInd/>
        <w:snapToGrid/>
        <w:spacing w:after="0" w:line="500" w:lineRule="exact"/>
        <w:ind w:firstLine="501" w:firstLineChars="209"/>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根据《中华人民共和国民法典》、《中华人民共和国政府采购法》 等法律法规的规定以及</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项目采购结果，甲乙双方遵循平等、自愿、公平、诚实信用的原则，就</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none"/>
        </w:rPr>
        <w:t>项目事宜经双方协商一致，订立本合同。</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第一条</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货物供应明细如下：</w:t>
      </w:r>
    </w:p>
    <w:tbl>
      <w:tblPr>
        <w:tblStyle w:val="13"/>
        <w:tblW w:w="4863" w:type="pct"/>
        <w:tblInd w:w="110" w:type="dxa"/>
        <w:tblLayout w:type="fixed"/>
        <w:tblCellMar>
          <w:top w:w="0" w:type="dxa"/>
          <w:left w:w="108" w:type="dxa"/>
          <w:bottom w:w="0" w:type="dxa"/>
          <w:right w:w="108" w:type="dxa"/>
        </w:tblCellMar>
      </w:tblPr>
      <w:tblGrid>
        <w:gridCol w:w="553"/>
        <w:gridCol w:w="1301"/>
        <w:gridCol w:w="1264"/>
        <w:gridCol w:w="753"/>
        <w:gridCol w:w="753"/>
        <w:gridCol w:w="753"/>
        <w:gridCol w:w="967"/>
        <w:gridCol w:w="967"/>
        <w:gridCol w:w="977"/>
      </w:tblGrid>
      <w:tr>
        <w:tblPrEx>
          <w:tblCellMar>
            <w:top w:w="0" w:type="dxa"/>
            <w:left w:w="108" w:type="dxa"/>
            <w:bottom w:w="0" w:type="dxa"/>
            <w:right w:w="108" w:type="dxa"/>
          </w:tblCellMar>
        </w:tblPrEx>
        <w:trPr>
          <w:trHeight w:val="544"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设备名称</w:t>
            </w:r>
          </w:p>
        </w:tc>
        <w:tc>
          <w:tcPr>
            <w:tcW w:w="76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top"/>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技术参数</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品牌</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单位</w:t>
            </w: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数量</w:t>
            </w: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单价（元）</w:t>
            </w: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合计（元）</w:t>
            </w: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tblPrEx>
          <w:tblCellMar>
            <w:top w:w="0" w:type="dxa"/>
            <w:left w:w="108" w:type="dxa"/>
            <w:bottom w:w="0" w:type="dxa"/>
            <w:right w:w="108" w:type="dxa"/>
          </w:tblCellMar>
        </w:tblPrEx>
        <w:trPr>
          <w:trHeight w:val="544"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sz w:val="24"/>
                <w:highlight w:val="none"/>
              </w:rPr>
            </w:pPr>
          </w:p>
        </w:tc>
        <w:tc>
          <w:tcPr>
            <w:tcW w:w="762"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4"/>
                <w:highlight w:val="none"/>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highlight w:val="none"/>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sz w:val="24"/>
                <w:highlight w:val="none"/>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r>
      <w:tr>
        <w:tblPrEx>
          <w:tblCellMar>
            <w:top w:w="0" w:type="dxa"/>
            <w:left w:w="108" w:type="dxa"/>
            <w:bottom w:w="0" w:type="dxa"/>
            <w:right w:w="108" w:type="dxa"/>
          </w:tblCellMar>
        </w:tblPrEx>
        <w:trPr>
          <w:trHeight w:val="544"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w:t>
            </w: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highlight w:val="none"/>
                <w:lang w:bidi="ar"/>
              </w:rPr>
            </w:pPr>
          </w:p>
        </w:tc>
        <w:tc>
          <w:tcPr>
            <w:tcW w:w="762"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4"/>
                <w:highlight w:val="none"/>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r>
      <w:tr>
        <w:tblPrEx>
          <w:tblCellMar>
            <w:top w:w="0" w:type="dxa"/>
            <w:left w:w="108" w:type="dxa"/>
            <w:bottom w:w="0" w:type="dxa"/>
            <w:right w:w="108" w:type="dxa"/>
          </w:tblCellMar>
        </w:tblPrEx>
        <w:trPr>
          <w:trHeight w:val="544"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highlight w:val="none"/>
                <w:lang w:bidi="ar"/>
              </w:rPr>
            </w:pP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highlight w:val="none"/>
                <w:lang w:bidi="ar"/>
              </w:rPr>
            </w:pPr>
          </w:p>
        </w:tc>
        <w:tc>
          <w:tcPr>
            <w:tcW w:w="762"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4"/>
                <w:highlight w:val="none"/>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r>
      <w:tr>
        <w:tblPrEx>
          <w:tblCellMar>
            <w:top w:w="0" w:type="dxa"/>
            <w:left w:w="108" w:type="dxa"/>
            <w:bottom w:w="0" w:type="dxa"/>
            <w:right w:w="108" w:type="dxa"/>
          </w:tblCellMar>
        </w:tblPrEx>
        <w:trPr>
          <w:trHeight w:val="544"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highlight w:val="none"/>
                <w:lang w:bidi="ar"/>
              </w:rPr>
            </w:pP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w:t>
            </w:r>
          </w:p>
        </w:tc>
        <w:tc>
          <w:tcPr>
            <w:tcW w:w="762" w:type="pct"/>
            <w:tcBorders>
              <w:top w:val="single" w:color="000000" w:sz="4" w:space="0"/>
              <w:left w:val="single" w:color="000000" w:sz="4" w:space="0"/>
              <w:bottom w:val="single" w:color="000000" w:sz="4" w:space="0"/>
              <w:right w:val="single" w:color="000000" w:sz="4" w:space="0"/>
            </w:tcBorders>
          </w:tcPr>
          <w:p>
            <w:pPr>
              <w:widowControl/>
              <w:jc w:val="left"/>
              <w:textAlignment w:val="top"/>
              <w:rPr>
                <w:rFonts w:hint="eastAsia" w:ascii="宋体" w:hAnsi="宋体" w:eastAsia="宋体" w:cs="宋体"/>
                <w:color w:val="auto"/>
                <w:sz w:val="24"/>
                <w:highlight w:val="none"/>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4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3"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c>
          <w:tcPr>
            <w:tcW w:w="58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4"/>
                <w:highlight w:val="none"/>
                <w:lang w:bidi="ar"/>
              </w:rPr>
            </w:pPr>
          </w:p>
        </w:tc>
      </w:tr>
      <w:tr>
        <w:tblPrEx>
          <w:tblCellMar>
            <w:top w:w="0" w:type="dxa"/>
            <w:left w:w="108" w:type="dxa"/>
            <w:bottom w:w="0" w:type="dxa"/>
            <w:right w:w="108" w:type="dxa"/>
          </w:tblCellMar>
        </w:tblPrEx>
        <w:trPr>
          <w:trHeight w:val="527" w:hRule="atLeast"/>
        </w:trPr>
        <w:tc>
          <w:tcPr>
            <w:tcW w:w="33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eastAsia="宋体" w:cs="宋体"/>
                <w:color w:val="auto"/>
                <w:kern w:val="0"/>
                <w:sz w:val="24"/>
                <w:highlight w:val="none"/>
                <w:lang w:bidi="ar"/>
              </w:rPr>
            </w:pPr>
          </w:p>
        </w:tc>
        <w:tc>
          <w:tcPr>
            <w:tcW w:w="785" w:type="pct"/>
            <w:tcBorders>
              <w:top w:val="single" w:color="000000" w:sz="4" w:space="0"/>
              <w:left w:val="single" w:color="000000" w:sz="4" w:space="0"/>
              <w:bottom w:val="single" w:color="000000" w:sz="4" w:space="0"/>
              <w:right w:val="single" w:color="000000" w:sz="4" w:space="0"/>
            </w:tcBorders>
            <w:vAlign w:val="center"/>
          </w:tcPr>
          <w:p>
            <w:pPr>
              <w:widowControl/>
              <w:ind w:firstLine="240" w:firstLineChars="100"/>
              <w:jc w:val="left"/>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合计</w:t>
            </w:r>
          </w:p>
        </w:tc>
        <w:tc>
          <w:tcPr>
            <w:tcW w:w="3879" w:type="pct"/>
            <w:gridSpan w:val="7"/>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大写：            （¥        元）</w:t>
            </w:r>
          </w:p>
        </w:tc>
      </w:tr>
    </w:tbl>
    <w:p>
      <w:pPr>
        <w:keepNext w:val="0"/>
        <w:keepLines w:val="0"/>
        <w:pageBreakBefore w:val="0"/>
        <w:widowControl w:val="0"/>
        <w:kinsoku/>
        <w:wordWrap/>
        <w:overflowPunct/>
        <w:topLinePunct w:val="0"/>
        <w:autoSpaceDE/>
        <w:autoSpaceDN/>
        <w:bidi w:val="0"/>
        <w:adjustRightInd/>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2"/>
          <w:sz w:val="24"/>
          <w:szCs w:val="24"/>
          <w:highlight w:val="none"/>
          <w:lang w:val="en-US" w:eastAsia="zh-CN" w:bidi="ar-SA"/>
        </w:rPr>
        <w:t>供货与安装周期：</w:t>
      </w:r>
      <w:r>
        <w:rPr>
          <w:rFonts w:hint="eastAsia" w:ascii="宋体" w:hAnsi="宋体" w:eastAsia="宋体" w:cs="宋体"/>
          <w:bCs/>
          <w:color w:val="auto"/>
          <w:spacing w:val="0"/>
          <w:sz w:val="24"/>
          <w:szCs w:val="24"/>
          <w:highlight w:val="none"/>
        </w:rPr>
        <w:t>签订合同之日起30日历天内交货、安装、调试完毕。如因</w:t>
      </w:r>
      <w:r>
        <w:rPr>
          <w:rFonts w:hint="eastAsia" w:ascii="宋体" w:hAnsi="宋体" w:eastAsia="宋体" w:cs="宋体"/>
          <w:bCs/>
          <w:color w:val="auto"/>
          <w:spacing w:val="0"/>
          <w:sz w:val="24"/>
          <w:szCs w:val="24"/>
          <w:highlight w:val="none"/>
          <w:lang w:val="en-US" w:eastAsia="zh-CN"/>
        </w:rPr>
        <w:t>乙方</w:t>
      </w:r>
      <w:r>
        <w:rPr>
          <w:rFonts w:hint="eastAsia" w:ascii="宋体" w:hAnsi="宋体" w:eastAsia="宋体" w:cs="宋体"/>
          <w:bCs/>
          <w:color w:val="auto"/>
          <w:spacing w:val="0"/>
          <w:sz w:val="24"/>
          <w:szCs w:val="24"/>
          <w:highlight w:val="none"/>
        </w:rPr>
        <w:t>原因延期的，除扣除全部履约保证金外，每推迟一天加罚2000元</w:t>
      </w:r>
      <w:r>
        <w:rPr>
          <w:rFonts w:hint="eastAsia" w:ascii="宋体" w:hAnsi="宋体" w:eastAsia="宋体" w:cs="宋体"/>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第二条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质量要求及</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对质量负责的条件和期限：</w:t>
      </w:r>
    </w:p>
    <w:p>
      <w:pPr>
        <w:keepNext w:val="0"/>
        <w:keepLines w:val="0"/>
        <w:pageBreakBefore w:val="0"/>
        <w:widowControl w:val="0"/>
        <w:kinsoku/>
        <w:wordWrap/>
        <w:overflowPunct/>
        <w:topLinePunct w:val="0"/>
        <w:autoSpaceDE/>
        <w:autoSpaceDN/>
        <w:bidi w:val="0"/>
        <w:adjustRightInd/>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kern w:val="2"/>
          <w:sz w:val="24"/>
          <w:szCs w:val="24"/>
          <w:highlight w:val="none"/>
          <w:lang w:val="en-US" w:eastAsia="zh-CN" w:bidi="ar-SA"/>
        </w:rPr>
        <w:t>1.</w:t>
      </w:r>
      <w:r>
        <w:rPr>
          <w:rFonts w:hint="eastAsia" w:ascii="宋体" w:hAnsi="宋体" w:eastAsia="宋体" w:cs="宋体"/>
          <w:color w:val="auto"/>
          <w:spacing w:val="0"/>
          <w:sz w:val="24"/>
          <w:szCs w:val="24"/>
          <w:highlight w:val="none"/>
          <w:lang w:val="en-US" w:eastAsia="zh-CN"/>
        </w:rPr>
        <w:t>产品必须是全新、未使用过的符合采购需求、符合国家质量检测标准的原装合格正品，并在供货时提供相关证明材料、随机资料及相关软件资源，如未提供则视为验收不合格，取消其成交资格，履约保证金不予退还</w:t>
      </w:r>
      <w:r>
        <w:rPr>
          <w:rFonts w:hint="eastAsia" w:ascii="宋体" w:hAnsi="宋体" w:eastAsia="宋体" w:cs="宋体"/>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kern w:val="2"/>
          <w:sz w:val="24"/>
          <w:szCs w:val="24"/>
          <w:highlight w:val="none"/>
          <w:lang w:val="en-US" w:eastAsia="zh-CN" w:bidi="ar-SA"/>
        </w:rPr>
        <w:t>2.</w:t>
      </w:r>
      <w:r>
        <w:rPr>
          <w:rFonts w:hint="eastAsia" w:ascii="宋体" w:hAnsi="宋体" w:eastAsia="宋体" w:cs="宋体"/>
          <w:bCs/>
          <w:color w:val="auto"/>
          <w:spacing w:val="0"/>
          <w:sz w:val="24"/>
          <w:szCs w:val="24"/>
          <w:highlight w:val="none"/>
        </w:rPr>
        <w:t>项目要求整体质保三年，本项目所有货物必须提供三年上门服务及全免费质保等售后服务。（原厂质保期高于</w:t>
      </w:r>
      <w:r>
        <w:rPr>
          <w:rFonts w:hint="eastAsia" w:ascii="宋体" w:hAnsi="宋体" w:eastAsia="宋体" w:cs="宋体"/>
          <w:bCs/>
          <w:color w:val="auto"/>
          <w:spacing w:val="0"/>
          <w:sz w:val="24"/>
          <w:szCs w:val="24"/>
          <w:highlight w:val="none"/>
          <w:lang w:eastAsia="zh-CN"/>
        </w:rPr>
        <w:t>乙方</w:t>
      </w:r>
      <w:r>
        <w:rPr>
          <w:rFonts w:hint="eastAsia" w:ascii="宋体" w:hAnsi="宋体" w:eastAsia="宋体" w:cs="宋体"/>
          <w:bCs/>
          <w:color w:val="auto"/>
          <w:spacing w:val="0"/>
          <w:sz w:val="24"/>
          <w:szCs w:val="24"/>
          <w:highlight w:val="none"/>
        </w:rPr>
        <w:t>承诺质保期的，按原厂质保期计算。自验收合格报告签字确认日起，开始进入质保期）</w:t>
      </w:r>
      <w:r>
        <w:rPr>
          <w:rFonts w:hint="eastAsia" w:ascii="宋体" w:hAnsi="宋体" w:eastAsia="宋体" w:cs="宋体"/>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第三条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交货地点及相关费用：</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本合同的交货地点为</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所指定地址：</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应按照</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的要求，</w:t>
      </w:r>
      <w:r>
        <w:rPr>
          <w:rFonts w:hint="eastAsia" w:ascii="宋体" w:hAnsi="宋体" w:eastAsia="宋体" w:cs="宋体"/>
          <w:bCs/>
          <w:color w:val="auto"/>
          <w:spacing w:val="0"/>
          <w:sz w:val="24"/>
          <w:szCs w:val="24"/>
          <w:highlight w:val="none"/>
        </w:rPr>
        <w:t>将货物运至</w:t>
      </w:r>
      <w:r>
        <w:rPr>
          <w:rFonts w:hint="eastAsia" w:ascii="宋体" w:hAnsi="宋体" w:eastAsia="宋体" w:cs="宋体"/>
          <w:bCs/>
          <w:color w:val="auto"/>
          <w:spacing w:val="0"/>
          <w:sz w:val="24"/>
          <w:szCs w:val="24"/>
          <w:highlight w:val="none"/>
          <w:lang w:val="en-US" w:eastAsia="zh-CN"/>
        </w:rPr>
        <w:t>甲方</w:t>
      </w:r>
      <w:r>
        <w:rPr>
          <w:rFonts w:hint="eastAsia" w:ascii="宋体" w:hAnsi="宋体" w:eastAsia="宋体" w:cs="宋体"/>
          <w:bCs/>
          <w:color w:val="auto"/>
          <w:spacing w:val="0"/>
          <w:sz w:val="24"/>
          <w:szCs w:val="24"/>
          <w:highlight w:val="none"/>
        </w:rPr>
        <w:t>指定地点安装并且调试完成，确保正常使用</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交货方式：由</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送货至约定的交货地点，费用及商品在途中风险由</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承担。</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第四条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验收方法及提出质量异议的期限：</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kern w:val="2"/>
          <w:sz w:val="24"/>
          <w:szCs w:val="24"/>
          <w:highlight w:val="none"/>
          <w:lang w:val="en-US" w:eastAsia="zh-CN" w:bidi="ar-SA"/>
        </w:rPr>
      </w:pPr>
      <w:r>
        <w:rPr>
          <w:rFonts w:hint="eastAsia" w:ascii="宋体" w:hAnsi="宋体" w:eastAsia="宋体" w:cs="宋体"/>
          <w:color w:val="auto"/>
          <w:spacing w:val="0"/>
          <w:sz w:val="24"/>
          <w:szCs w:val="24"/>
          <w:highlight w:val="none"/>
          <w:lang w:val="en-US" w:eastAsia="zh-CN"/>
        </w:rPr>
        <w:t>1.在乙方供货安装完毕后，甲方将组织验收小组根据采购文件和乙方报价文件对乙方所供货物进行验收。如验收时发现有参数偏离且未在报价文件中说明的，视为验收不合格</w:t>
      </w:r>
      <w:r>
        <w:rPr>
          <w:rFonts w:hint="eastAsia" w:ascii="宋体" w:hAnsi="宋体" w:eastAsia="宋体" w:cs="宋体"/>
          <w:color w:val="auto"/>
          <w:spacing w:val="0"/>
          <w:kern w:val="2"/>
          <w:sz w:val="24"/>
          <w:szCs w:val="24"/>
          <w:highlight w:val="none"/>
          <w:lang w:val="en-US" w:eastAsia="zh-CN" w:bidi="ar-SA"/>
        </w:rPr>
        <w:t>。</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2.在甲方收到乙方提供的产品后，由启东市市场监督管理局组织抽样检验，如在抽检过程中乙方不能到场配合的，将视甲方为其委托单位配合抽检，并在相关文书签字确认。市管局认为有必要的情况下，可采取公证抽样取证办法。在抽检过程中所破坏的货物，由乙方补全，费用不再追加</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lang w:val="en-US" w:eastAsia="zh-CN"/>
        </w:rPr>
        <w:t>3.甲方在收到乙方提交的书面项目验收申请后7个工作日内，将组织验收小组根据采购文件和乙方报价文件对乙方所供货物进行验收。如验收时发现所供货物的数量、技术参数等与采购文件不一致，甲方将根据启东市市场监督管理局等部门的意见，向乙方签发整改通知书。乙方在收到整改通知书后七日内必须按要求整改，如再次不符合要求或逾期，甲方将视作项目整体验收不合格，终止合同履行，履约保证金不予退还并报相关部门进行处理。必要时，甲方可邀请相关质量监督部门对乙方所供货物进行验收及检测，因检测发生的一切费用由乙方负责，如验收或检测发现所供货物不合格，将解除双方合同、履约保证金不予退还并进行相关处罚。因检测导致货物损坏的，由乙方免费补足，确保甲方正常使用</w:t>
      </w:r>
      <w:r>
        <w:rPr>
          <w:rFonts w:hint="eastAsia" w:ascii="宋体" w:hAnsi="宋体" w:eastAsia="宋体" w:cs="宋体"/>
          <w:color w:val="auto"/>
          <w:spacing w:val="0"/>
          <w:sz w:val="24"/>
          <w:szCs w:val="24"/>
          <w:highlight w:val="none"/>
        </w:rPr>
        <w:t>。</w:t>
      </w:r>
    </w:p>
    <w:p>
      <w:pPr>
        <w:pStyle w:val="2"/>
        <w:keepNext w:val="0"/>
        <w:keepLines w:val="0"/>
        <w:pageBreakBefore w:val="0"/>
        <w:widowControl w:val="0"/>
        <w:kinsoku/>
        <w:wordWrap/>
        <w:overflowPunct/>
        <w:topLinePunct w:val="0"/>
        <w:autoSpaceDE/>
        <w:autoSpaceDN/>
        <w:bidi w:val="0"/>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第五条</w:t>
      </w:r>
      <w:r>
        <w:rPr>
          <w:rFonts w:hint="eastAsia" w:ascii="宋体" w:hAnsi="宋体" w:eastAsia="宋体" w:cs="宋体"/>
          <w:color w:val="auto"/>
          <w:spacing w:val="0"/>
          <w:sz w:val="24"/>
          <w:szCs w:val="24"/>
          <w:highlight w:val="none"/>
          <w:lang w:val="en-US" w:eastAsia="zh-CN"/>
        </w:rPr>
        <w:t xml:space="preserve"> 约定事项</w:t>
      </w:r>
    </w:p>
    <w:p>
      <w:pPr>
        <w:keepNext w:val="0"/>
        <w:keepLines w:val="0"/>
        <w:pageBreakBefore w:val="0"/>
        <w:widowControl w:val="0"/>
        <w:kinsoku/>
        <w:wordWrap/>
        <w:overflowPunct/>
        <w:topLinePunct w:val="0"/>
        <w:autoSpaceDE/>
        <w:autoSpaceDN/>
        <w:bidi w:val="0"/>
        <w:snapToGrid w:val="0"/>
        <w:spacing w:before="32" w:beforeLines="10" w:after="32" w:afterLines="10" w:line="500" w:lineRule="exact"/>
        <w:ind w:right="0" w:rightChars="0" w:firstLine="480" w:firstLineChars="200"/>
        <w:contextualSpacing/>
        <w:jc w:val="left"/>
        <w:textAlignment w:val="auto"/>
        <w:rPr>
          <w:rFonts w:hint="eastAsia" w:ascii="宋体" w:hAnsi="宋体" w:eastAsia="宋体" w:cs="宋体"/>
          <w:color w:val="auto"/>
          <w:spacing w:val="0"/>
          <w:kern w:val="0"/>
          <w:sz w:val="24"/>
          <w:szCs w:val="24"/>
          <w:highlight w:val="none"/>
          <w:lang w:bidi="ar"/>
        </w:rPr>
      </w:pPr>
      <w:r>
        <w:rPr>
          <w:rFonts w:hint="eastAsia" w:ascii="宋体" w:hAnsi="宋体" w:eastAsia="宋体" w:cs="宋体"/>
          <w:color w:val="auto"/>
          <w:spacing w:val="0"/>
          <w:kern w:val="0"/>
          <w:sz w:val="24"/>
          <w:szCs w:val="24"/>
          <w:highlight w:val="none"/>
          <w:lang w:val="en-US" w:eastAsia="zh-CN" w:bidi="ar"/>
        </w:rPr>
        <w:t>1.货物进场后乙方必须提供相关产品检验检测报告、产品合格证、采购文件中要求提供的相关证书原件供甲方查验核实，否则，甲方有权拒收乙方所购材料，视为验收不合格，没收履约保证金；乙方按要求提供上述材料后，甲方报由启东市市场监督管理局相关职能部门履行抽检流程，按相关规定办理</w:t>
      </w:r>
      <w:r>
        <w:rPr>
          <w:rFonts w:hint="eastAsia" w:ascii="宋体" w:hAnsi="宋体" w:eastAsia="宋体" w:cs="宋体"/>
          <w:color w:val="auto"/>
          <w:spacing w:val="0"/>
          <w:kern w:val="0"/>
          <w:sz w:val="24"/>
          <w:szCs w:val="24"/>
          <w:highlight w:val="none"/>
          <w:lang w:bidi="ar"/>
        </w:rPr>
        <w:t>。</w:t>
      </w:r>
    </w:p>
    <w:p>
      <w:pPr>
        <w:keepNext w:val="0"/>
        <w:keepLines w:val="0"/>
        <w:pageBreakBefore w:val="0"/>
        <w:widowControl w:val="0"/>
        <w:kinsoku/>
        <w:wordWrap/>
        <w:overflowPunct/>
        <w:topLinePunct w:val="0"/>
        <w:autoSpaceDE/>
        <w:autoSpaceDN/>
        <w:bidi w:val="0"/>
        <w:snapToGrid w:val="0"/>
        <w:spacing w:before="32" w:beforeLines="10" w:after="32" w:afterLines="10" w:line="500" w:lineRule="exact"/>
        <w:ind w:right="0" w:rightChars="0" w:firstLine="480" w:firstLineChars="200"/>
        <w:contextualSpacing/>
        <w:jc w:val="left"/>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bidi="ar"/>
        </w:rPr>
        <w:t>2.如在项目实施过程中，如国家标准修改，应按照最新国家标准实施；如本采购文件规定高于国家标准，无论新旧标准，均按本采购文件规定实施；如本采购文件规定低于国家标准，无论新旧标准，均按国家标准规定实施。如采购文件内有内容相互矛盾，以高标准高要求的为准。以上有关风险等由乙方自行承担。</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第六条</w:t>
      </w:r>
      <w:r>
        <w:rPr>
          <w:rFonts w:hint="eastAsia" w:ascii="宋体" w:hAnsi="宋体" w:eastAsia="宋体" w:cs="宋体"/>
          <w:color w:val="auto"/>
          <w:spacing w:val="0"/>
          <w:sz w:val="24"/>
          <w:szCs w:val="24"/>
          <w:highlight w:val="none"/>
          <w:lang w:val="en-US" w:eastAsia="zh-CN"/>
        </w:rPr>
        <w:t xml:space="preserve"> 付款方式</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line="500" w:lineRule="exact"/>
        <w:ind w:right="0" w:rightChars="0" w:firstLine="480" w:firstLineChars="200"/>
        <w:textAlignment w:val="auto"/>
        <w:rPr>
          <w:rFonts w:hint="eastAsia" w:ascii="宋体" w:hAnsi="宋体" w:eastAsia="宋体" w:cs="宋体"/>
          <w:bCs/>
          <w:color w:val="auto"/>
          <w:spacing w:val="0"/>
          <w:sz w:val="24"/>
          <w:szCs w:val="24"/>
          <w:highlight w:val="none"/>
          <w:lang w:val="en-US" w:eastAsia="zh-CN"/>
        </w:rPr>
      </w:pPr>
      <w:r>
        <w:rPr>
          <w:rFonts w:hint="eastAsia" w:ascii="宋体" w:hAnsi="宋体" w:eastAsia="宋体" w:cs="宋体"/>
          <w:bCs/>
          <w:color w:val="auto"/>
          <w:spacing w:val="0"/>
          <w:sz w:val="24"/>
          <w:szCs w:val="24"/>
          <w:highlight w:val="none"/>
        </w:rPr>
        <w:t>合同签订后30日内预付合同价的30%，凭启东市市场监督管理局出具合格的检测报告，经验收合格后付至合同价的</w:t>
      </w:r>
      <w:r>
        <w:rPr>
          <w:rFonts w:hint="eastAsia" w:ascii="宋体" w:hAnsi="宋体" w:eastAsia="宋体" w:cs="宋体"/>
          <w:b w:val="0"/>
          <w:bCs/>
          <w:color w:val="auto"/>
          <w:spacing w:val="0"/>
          <w:sz w:val="24"/>
          <w:szCs w:val="24"/>
          <w:highlight w:val="none"/>
          <w:lang w:val="en-US" w:eastAsia="zh-CN"/>
        </w:rPr>
        <w:t>90%</w:t>
      </w:r>
      <w:r>
        <w:rPr>
          <w:rFonts w:hint="eastAsia" w:ascii="宋体" w:hAnsi="宋体" w:eastAsia="宋体" w:cs="宋体"/>
          <w:bCs/>
          <w:color w:val="auto"/>
          <w:spacing w:val="0"/>
          <w:sz w:val="24"/>
          <w:szCs w:val="24"/>
          <w:highlight w:val="none"/>
          <w:lang w:val="en-US" w:eastAsia="zh-CN"/>
        </w:rPr>
        <w:t>；余款于服务期满（从验收合格之日算起），经采购人确认后一次性付清</w:t>
      </w:r>
      <w:r>
        <w:rPr>
          <w:rFonts w:hint="eastAsia" w:ascii="宋体" w:hAnsi="宋体" w:eastAsia="宋体" w:cs="宋体"/>
          <w:bCs/>
          <w:color w:val="auto"/>
          <w:spacing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val="0"/>
          <w:bCs/>
          <w:color w:val="auto"/>
          <w:spacing w:val="0"/>
          <w:sz w:val="24"/>
          <w:szCs w:val="24"/>
          <w:highlight w:val="none"/>
          <w:lang w:val="en-US" w:eastAsia="zh-CN"/>
        </w:rPr>
        <w:t>（备注：对满足合同支付条件的，甲方应当自收到发票后30日内支付资金）</w:t>
      </w:r>
    </w:p>
    <w:p>
      <w:pPr>
        <w:keepNext w:val="0"/>
        <w:keepLines w:val="0"/>
        <w:pageBreakBefore w:val="0"/>
        <w:widowControl w:val="0"/>
        <w:numPr>
          <w:ilvl w:val="0"/>
          <w:numId w:val="0"/>
        </w:numPr>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第七条</w:t>
      </w:r>
      <w:r>
        <w:rPr>
          <w:rFonts w:hint="eastAsia" w:ascii="宋体" w:hAnsi="宋体" w:eastAsia="宋体" w:cs="宋体"/>
          <w:color w:val="auto"/>
          <w:spacing w:val="0"/>
          <w:sz w:val="24"/>
          <w:szCs w:val="24"/>
          <w:highlight w:val="none"/>
          <w:lang w:val="en-US" w:eastAsia="zh-CN"/>
        </w:rPr>
        <w:t xml:space="preserve"> 履约保证金</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本项目成交后的履约保证金为项目成交价的10%，</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的履约保证金须在成交通知书发出之日起至合同签订前汇入</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账户（应当以数字人民币、支票、汇票或者金融机构、担保机构出具的保函等非现金形式提交），</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凭成交通知书与</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签订合同。超期或未有协商，则视为自动放弃成交资格。</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全部履约合同义务，经</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验收合格无质量、进度等问题的，</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在验收合格后一次性退还履约保证金，</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若逾期退还履约保证金的，按照逾期部分的</w:t>
      </w:r>
      <w:r>
        <w:rPr>
          <w:rFonts w:hint="eastAsia" w:ascii="宋体" w:hAnsi="宋体" w:eastAsia="宋体" w:cs="宋体"/>
          <w:color w:val="auto"/>
          <w:spacing w:val="0"/>
          <w:sz w:val="24"/>
          <w:szCs w:val="24"/>
          <w:highlight w:val="none"/>
          <w:u w:val="single"/>
        </w:rPr>
        <w:t>每日0.05%</w:t>
      </w:r>
      <w:r>
        <w:rPr>
          <w:rFonts w:hint="eastAsia" w:ascii="宋体" w:hAnsi="宋体" w:eastAsia="宋体" w:cs="宋体"/>
          <w:color w:val="auto"/>
          <w:spacing w:val="0"/>
          <w:sz w:val="24"/>
          <w:szCs w:val="24"/>
          <w:highlight w:val="none"/>
        </w:rPr>
        <w:t>支付违约金。</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发生以下情况的，履约保证金不予退还或部分退还：</w:t>
      </w:r>
    </w:p>
    <w:p>
      <w:pPr>
        <w:keepNext w:val="0"/>
        <w:keepLines w:val="0"/>
        <w:pageBreakBefore w:val="0"/>
        <w:widowControl w:val="0"/>
        <w:kinsoku/>
        <w:wordWrap/>
        <w:overflowPunct/>
        <w:topLinePunct w:val="0"/>
        <w:autoSpaceDE/>
        <w:autoSpaceDN/>
        <w:bidi w:val="0"/>
        <w:adjustRightInd w:val="0"/>
        <w:snapToGrid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a.签订合同后，</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不履行合同义务的，</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有权全额扣除履约保证金，全额不予退还，同时</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亦有权终止合同，</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还须承担相应的法律赔偿责任。</w:t>
      </w:r>
    </w:p>
    <w:p>
      <w:pPr>
        <w:keepNext w:val="0"/>
        <w:keepLines w:val="0"/>
        <w:pageBreakBefore w:val="0"/>
        <w:widowControl w:val="0"/>
        <w:numPr>
          <w:ilvl w:val="0"/>
          <w:numId w:val="0"/>
        </w:numPr>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b.</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在履约过程中发生违约行为，给</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造成损失的，</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有权在</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缴纳的履约保证金中予以扣款，以弥补</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经济损失，不足的部分</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另外补齐。</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第八条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 xml:space="preserve">违约责任： </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1.因</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原因延期的，除扣除全部履约保证金外，每推迟一天加罚2000元。</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交付货物时质量明显不符合规定的，而</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有权拒收并有权要求</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限期更换、退货或减少价款等。</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中途无理由退货或者逾期付款的，按照逾期部分的货物总值的每日0.2%支付。</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第九条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保修及后续（售后）服务：</w:t>
      </w:r>
    </w:p>
    <w:p>
      <w:pPr>
        <w:keepNext w:val="0"/>
        <w:keepLines w:val="0"/>
        <w:pageBreakBefore w:val="0"/>
        <w:widowControl w:val="0"/>
        <w:kinsoku/>
        <w:wordWrap/>
        <w:overflowPunct/>
        <w:topLinePunct w:val="0"/>
        <w:autoSpaceDE/>
        <w:autoSpaceDN/>
        <w:bidi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Cs/>
          <w:color w:val="auto"/>
          <w:spacing w:val="0"/>
          <w:sz w:val="24"/>
          <w:szCs w:val="24"/>
          <w:highlight w:val="none"/>
        </w:rPr>
        <w:t>在三年免费保修期内，</w:t>
      </w:r>
      <w:r>
        <w:rPr>
          <w:rFonts w:hint="eastAsia" w:ascii="宋体" w:hAnsi="宋体" w:eastAsia="宋体" w:cs="宋体"/>
          <w:bCs/>
          <w:color w:val="auto"/>
          <w:spacing w:val="0"/>
          <w:sz w:val="24"/>
          <w:szCs w:val="24"/>
          <w:highlight w:val="none"/>
          <w:lang w:eastAsia="zh-CN"/>
        </w:rPr>
        <w:t>乙方</w:t>
      </w:r>
      <w:r>
        <w:rPr>
          <w:rFonts w:hint="eastAsia" w:ascii="宋体" w:hAnsi="宋体" w:eastAsia="宋体" w:cs="宋体"/>
          <w:bCs/>
          <w:color w:val="auto"/>
          <w:spacing w:val="0"/>
          <w:sz w:val="24"/>
          <w:szCs w:val="24"/>
          <w:highlight w:val="none"/>
        </w:rPr>
        <w:t>在接到用户单位电话维修通知后，</w:t>
      </w:r>
      <w:r>
        <w:rPr>
          <w:rFonts w:hint="eastAsia" w:ascii="宋体" w:hAnsi="宋体" w:eastAsia="宋体" w:cs="宋体"/>
          <w:bCs/>
          <w:color w:val="auto"/>
          <w:spacing w:val="0"/>
          <w:sz w:val="24"/>
          <w:szCs w:val="24"/>
          <w:highlight w:val="none"/>
          <w:lang w:eastAsia="zh-CN"/>
        </w:rPr>
        <w:t>乙方</w:t>
      </w:r>
      <w:r>
        <w:rPr>
          <w:rFonts w:hint="eastAsia" w:ascii="宋体" w:hAnsi="宋体" w:eastAsia="宋体" w:cs="宋体"/>
          <w:bCs/>
          <w:color w:val="auto"/>
          <w:spacing w:val="0"/>
          <w:sz w:val="24"/>
          <w:szCs w:val="24"/>
          <w:highlight w:val="none"/>
        </w:rPr>
        <w:t>到达现场不超过4小时，一般质量问题在24小时内负责修复，确保不影响用户单位实际使用。</w:t>
      </w:r>
      <w:r>
        <w:rPr>
          <w:rFonts w:hint="eastAsia" w:ascii="宋体" w:hAnsi="宋体" w:eastAsia="宋体" w:cs="宋体"/>
          <w:bCs/>
          <w:color w:val="auto"/>
          <w:spacing w:val="0"/>
          <w:sz w:val="24"/>
          <w:szCs w:val="24"/>
          <w:highlight w:val="none"/>
          <w:lang w:eastAsia="zh-CN"/>
        </w:rPr>
        <w:t>乙方</w:t>
      </w:r>
      <w:r>
        <w:rPr>
          <w:rFonts w:hint="eastAsia" w:ascii="宋体" w:hAnsi="宋体" w:eastAsia="宋体" w:cs="宋体"/>
          <w:bCs/>
          <w:color w:val="auto"/>
          <w:spacing w:val="0"/>
          <w:sz w:val="24"/>
          <w:szCs w:val="24"/>
          <w:highlight w:val="none"/>
        </w:rPr>
        <w:t>超时或未在规定的时间内及时处理故障，每次罚2000元扣款。质保期内，同一商品、同一质量问题连续两次维修仍无法正常使用，</w:t>
      </w:r>
      <w:r>
        <w:rPr>
          <w:rFonts w:hint="eastAsia" w:ascii="宋体" w:hAnsi="宋体" w:eastAsia="宋体" w:cs="宋体"/>
          <w:bCs/>
          <w:color w:val="auto"/>
          <w:spacing w:val="0"/>
          <w:sz w:val="24"/>
          <w:szCs w:val="24"/>
          <w:highlight w:val="none"/>
          <w:lang w:eastAsia="zh-CN"/>
        </w:rPr>
        <w:t>乙方</w:t>
      </w:r>
      <w:r>
        <w:rPr>
          <w:rFonts w:hint="eastAsia" w:ascii="宋体" w:hAnsi="宋体" w:eastAsia="宋体" w:cs="宋体"/>
          <w:bCs/>
          <w:color w:val="auto"/>
          <w:spacing w:val="0"/>
          <w:sz w:val="24"/>
          <w:szCs w:val="24"/>
          <w:highlight w:val="none"/>
        </w:rPr>
        <w:t>应无条件给予全套更新</w:t>
      </w:r>
      <w:r>
        <w:rPr>
          <w:rFonts w:hint="eastAsia" w:ascii="宋体" w:hAnsi="宋体" w:eastAsia="宋体" w:cs="宋体"/>
          <w:color w:val="auto"/>
          <w:spacing w:val="0"/>
          <w:sz w:val="24"/>
          <w:szCs w:val="24"/>
          <w:highlight w:val="none"/>
        </w:rPr>
        <w:t>。</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第十条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解决合同争议的方式：</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本合同履行过程中如发生争议，</w:t>
      </w:r>
      <w:r>
        <w:rPr>
          <w:rFonts w:hint="eastAsia" w:ascii="宋体" w:hAnsi="宋体" w:cs="宋体"/>
          <w:color w:val="auto"/>
          <w:spacing w:val="0"/>
          <w:sz w:val="24"/>
          <w:szCs w:val="24"/>
          <w:highlight w:val="none"/>
          <w:lang w:val="en-US" w:eastAsia="zh-CN"/>
        </w:rPr>
        <w:t>甲、乙</w:t>
      </w:r>
      <w:r>
        <w:rPr>
          <w:rFonts w:hint="eastAsia" w:ascii="宋体" w:hAnsi="宋体" w:eastAsia="宋体" w:cs="宋体"/>
          <w:color w:val="auto"/>
          <w:spacing w:val="0"/>
          <w:sz w:val="24"/>
          <w:szCs w:val="24"/>
          <w:highlight w:val="none"/>
        </w:rPr>
        <w:t>双方应协商解决，如协商不成，则任何一方均可向</w:t>
      </w:r>
      <w:r>
        <w:rPr>
          <w:rFonts w:hint="eastAsia" w:ascii="宋体" w:hAnsi="宋体" w:eastAsia="宋体" w:cs="宋体"/>
          <w:color w:val="auto"/>
          <w:spacing w:val="0"/>
          <w:sz w:val="24"/>
          <w:szCs w:val="24"/>
          <w:highlight w:val="none"/>
          <w:u w:val="single"/>
        </w:rPr>
        <w:t xml:space="preserve">     启东市   </w:t>
      </w:r>
      <w:r>
        <w:rPr>
          <w:rFonts w:hint="eastAsia" w:ascii="宋体" w:hAnsi="宋体" w:eastAsia="宋体" w:cs="宋体"/>
          <w:color w:val="auto"/>
          <w:spacing w:val="0"/>
          <w:sz w:val="24"/>
          <w:szCs w:val="24"/>
          <w:highlight w:val="none"/>
        </w:rPr>
        <w:t>人民法院提起诉讼。</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第十一条</w:t>
      </w:r>
      <w:r>
        <w:rPr>
          <w:rFonts w:hint="eastAsia" w:ascii="宋体" w:hAnsi="宋体" w:eastAsia="宋体" w:cs="宋体"/>
          <w:color w:val="auto"/>
          <w:spacing w:val="0"/>
          <w:sz w:val="24"/>
          <w:szCs w:val="24"/>
          <w:highlight w:val="none"/>
          <w:lang w:val="en-US" w:eastAsia="zh-CN"/>
        </w:rPr>
        <w:t xml:space="preserve"> </w:t>
      </w:r>
      <w:r>
        <w:rPr>
          <w:rFonts w:hint="eastAsia" w:ascii="宋体" w:hAnsi="宋体" w:eastAsia="宋体" w:cs="宋体"/>
          <w:color w:val="auto"/>
          <w:spacing w:val="0"/>
          <w:sz w:val="24"/>
          <w:szCs w:val="24"/>
          <w:highlight w:val="none"/>
        </w:rPr>
        <w:t>其它约定事项：</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1</w:t>
      </w:r>
      <w:r>
        <w:rPr>
          <w:rFonts w:hint="eastAsia" w:ascii="宋体" w:hAnsi="宋体" w:eastAsia="宋体" w:cs="宋体"/>
          <w:color w:val="auto"/>
          <w:spacing w:val="0"/>
          <w:sz w:val="24"/>
          <w:szCs w:val="24"/>
          <w:highlight w:val="none"/>
          <w:lang w:eastAsia="zh-CN"/>
        </w:rPr>
        <w:t>.</w:t>
      </w:r>
      <w:r>
        <w:rPr>
          <w:rFonts w:hint="eastAsia" w:ascii="宋体" w:hAnsi="宋体" w:cs="宋体"/>
          <w:color w:val="auto"/>
          <w:spacing w:val="0"/>
          <w:sz w:val="24"/>
          <w:szCs w:val="24"/>
          <w:highlight w:val="none"/>
          <w:lang w:val="en-US" w:eastAsia="zh-CN"/>
        </w:rPr>
        <w:t>甲、乙</w:t>
      </w:r>
      <w:r>
        <w:rPr>
          <w:rFonts w:hint="eastAsia" w:ascii="宋体" w:hAnsi="宋体" w:eastAsia="宋体" w:cs="宋体"/>
          <w:color w:val="auto"/>
          <w:spacing w:val="0"/>
          <w:sz w:val="24"/>
          <w:szCs w:val="24"/>
          <w:highlight w:val="none"/>
        </w:rPr>
        <w:t>双方如在本合同的履行过程中，对标的物的质量问题发生争议时，以质量技术监督部门或有权鉴定部门的质量鉴定结果为准，由此所产生的一切费用由</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承担。</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2</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如</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不履行本合同第九条所规定的保修或后续（售后）服务，则</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有权另行聘请其他维修单位进行维修及后续服务，所支出的合理的维修和服务费用在</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的履约保证金中扣付或</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直接向</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索取，如</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的履约保证金不足以支付该维修及后续服务的费用，则</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有权继续向</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追偿。</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3</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rPr>
        <w:t>除不可抗力的原因外，</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超过合同规定的履行期限十日内仍不能交付本合同项目货物的，则视为不能交货，</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有权选择决定是否继续履行本合同，如</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决定终止本合同的履行，则</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必须承担不能交货的违约责任，履约保证金不予退还，同时</w:t>
      </w:r>
      <w:r>
        <w:rPr>
          <w:rFonts w:hint="eastAsia" w:ascii="宋体" w:hAnsi="宋体" w:eastAsia="宋体" w:cs="宋体"/>
          <w:color w:val="auto"/>
          <w:spacing w:val="0"/>
          <w:sz w:val="24"/>
          <w:szCs w:val="24"/>
          <w:highlight w:val="none"/>
          <w:lang w:eastAsia="zh-CN"/>
        </w:rPr>
        <w:t>双方</w:t>
      </w:r>
      <w:r>
        <w:rPr>
          <w:rFonts w:hint="eastAsia" w:ascii="宋体" w:hAnsi="宋体" w:eastAsia="宋体" w:cs="宋体"/>
          <w:color w:val="auto"/>
          <w:spacing w:val="0"/>
          <w:sz w:val="24"/>
          <w:szCs w:val="24"/>
          <w:highlight w:val="none"/>
        </w:rPr>
        <w:t>出具书面材料报鉴证机关备案。</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4</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对</w:t>
      </w:r>
      <w:r>
        <w:rPr>
          <w:rFonts w:hint="eastAsia" w:ascii="宋体" w:hAnsi="宋体" w:eastAsia="宋体" w:cs="宋体"/>
          <w:color w:val="auto"/>
          <w:spacing w:val="0"/>
          <w:sz w:val="24"/>
          <w:szCs w:val="24"/>
          <w:highlight w:val="none"/>
          <w:lang w:eastAsia="zh-CN"/>
        </w:rPr>
        <w:t>甲方</w:t>
      </w:r>
      <w:r>
        <w:rPr>
          <w:rFonts w:hint="eastAsia" w:ascii="宋体" w:hAnsi="宋体" w:eastAsia="宋体" w:cs="宋体"/>
          <w:color w:val="auto"/>
          <w:spacing w:val="0"/>
          <w:sz w:val="24"/>
          <w:szCs w:val="24"/>
          <w:highlight w:val="none"/>
        </w:rPr>
        <w:t>提出货物或服务有欺诈行为的，依照《中华人民共和国消费者权益保护法》的规定承担损害赔偿责任。</w:t>
      </w:r>
    </w:p>
    <w:p>
      <w:pPr>
        <w:keepNext w:val="0"/>
        <w:keepLines w:val="0"/>
        <w:pageBreakBefore w:val="0"/>
        <w:widowControl w:val="0"/>
        <w:kinsoku/>
        <w:wordWrap/>
        <w:overflowPunct/>
        <w:topLinePunct w:val="0"/>
        <w:autoSpaceDE/>
        <w:autoSpaceDN/>
        <w:bidi w:val="0"/>
        <w:adjustRightInd/>
        <w:spacing w:before="32" w:beforeLines="10" w:after="32" w:afterLines="10" w:line="500" w:lineRule="exact"/>
        <w:ind w:right="0" w:rightChars="0" w:firstLine="482" w:firstLineChars="200"/>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第十二条</w:t>
      </w:r>
      <w:r>
        <w:rPr>
          <w:rFonts w:hint="eastAsia" w:ascii="宋体" w:hAnsi="宋体" w:eastAsia="宋体" w:cs="宋体"/>
          <w:color w:val="auto"/>
          <w:spacing w:val="0"/>
          <w:sz w:val="24"/>
          <w:szCs w:val="24"/>
          <w:highlight w:val="none"/>
          <w:lang w:val="en-US" w:eastAsia="zh-CN"/>
        </w:rPr>
        <w:t xml:space="preserve"> 合同生效</w:t>
      </w:r>
    </w:p>
    <w:p>
      <w:pPr>
        <w:pStyle w:val="42"/>
        <w:keepNext w:val="0"/>
        <w:keepLines w:val="0"/>
        <w:pageBreakBefore w:val="0"/>
        <w:widowControl w:val="0"/>
        <w:kinsoku/>
        <w:wordWrap/>
        <w:overflowPunct/>
        <w:topLinePunct w:val="0"/>
        <w:autoSpaceDE/>
        <w:autoSpaceDN/>
        <w:bidi w:val="0"/>
        <w:spacing w:before="32" w:beforeLines="10" w:after="32" w:afterLines="10" w:line="500" w:lineRule="exact"/>
        <w:ind w:right="0" w:rightChars="0" w:firstLine="480" w:firstLineChars="200"/>
        <w:jc w:val="left"/>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none"/>
          <w:lang w:val="en-US" w:eastAsia="zh-CN" w:bidi="en-US"/>
        </w:rPr>
        <w:t>1.</w:t>
      </w:r>
      <w:r>
        <w:rPr>
          <w:rFonts w:hint="eastAsia" w:ascii="宋体" w:hAnsi="宋体" w:eastAsia="宋体" w:cs="宋体"/>
          <w:color w:val="auto"/>
          <w:spacing w:val="0"/>
          <w:sz w:val="24"/>
          <w:szCs w:val="24"/>
          <w:highlight w:val="none"/>
          <w:u w:val="none"/>
        </w:rPr>
        <w:t>合同经双方法定代表人或授权委托代表人签字并加盖单位公章后生效。</w:t>
      </w:r>
    </w:p>
    <w:p>
      <w:pPr>
        <w:pStyle w:val="42"/>
        <w:keepNext w:val="0"/>
        <w:keepLines w:val="0"/>
        <w:pageBreakBefore w:val="0"/>
        <w:widowControl w:val="0"/>
        <w:kinsoku/>
        <w:wordWrap/>
        <w:overflowPunct/>
        <w:topLinePunct w:val="0"/>
        <w:autoSpaceDE/>
        <w:autoSpaceDN/>
        <w:bidi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u w:val="none"/>
          <w:lang w:val="en-US" w:eastAsia="zh-CN" w:bidi="en-US"/>
        </w:rPr>
        <w:t>2.</w:t>
      </w:r>
      <w:r>
        <w:rPr>
          <w:rFonts w:hint="eastAsia" w:ascii="宋体" w:hAnsi="宋体" w:eastAsia="宋体" w:cs="宋体"/>
          <w:color w:val="auto"/>
          <w:spacing w:val="0"/>
          <w:sz w:val="24"/>
          <w:szCs w:val="24"/>
          <w:highlight w:val="none"/>
          <w:u w:val="none"/>
        </w:rPr>
        <w:t>本合同未尽事宜，遵照《中华人民共和国民法典》有关条文执行。</w:t>
      </w:r>
    </w:p>
    <w:p>
      <w:pPr>
        <w:keepNext w:val="0"/>
        <w:keepLines w:val="0"/>
        <w:pageBreakBefore w:val="0"/>
        <w:widowControl w:val="0"/>
        <w:kinsoku/>
        <w:wordWrap/>
        <w:overflowPunct/>
        <w:topLinePunct w:val="0"/>
        <w:autoSpaceDE/>
        <w:autoSpaceDN/>
        <w:bidi w:val="0"/>
        <w:spacing w:before="32" w:beforeLines="10" w:after="32" w:afterLines="10" w:line="500" w:lineRule="exact"/>
        <w:ind w:right="0" w:rightChars="0" w:firstLine="480" w:firstLineChars="200"/>
        <w:textAlignment w:val="auto"/>
        <w:rPr>
          <w:rFonts w:hint="eastAsia" w:ascii="宋体" w:hAnsi="宋体" w:eastAsia="宋体" w:cs="宋体"/>
          <w:color w:val="auto"/>
          <w:spacing w:val="0"/>
          <w:sz w:val="26"/>
          <w:szCs w:val="26"/>
          <w:highlight w:val="none"/>
        </w:rPr>
      </w:pPr>
      <w:r>
        <w:rPr>
          <w:rFonts w:hint="eastAsia" w:ascii="宋体" w:hAnsi="宋体" w:eastAsia="宋体" w:cs="宋体"/>
          <w:color w:val="auto"/>
          <w:spacing w:val="0"/>
          <w:sz w:val="24"/>
          <w:szCs w:val="24"/>
          <w:highlight w:val="none"/>
        </w:rPr>
        <w:t>3.本合同一式柒份，甲、乙双方各执叁份，财政局壹份。</w:t>
      </w:r>
    </w:p>
    <w:p>
      <w:pPr>
        <w:pStyle w:val="35"/>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pStyle w:val="35"/>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 w:val="26"/>
          <w:szCs w:val="26"/>
          <w:highlight w:val="none"/>
        </w:rPr>
      </w:pPr>
      <w:r>
        <w:rPr>
          <w:rFonts w:hint="eastAsia" w:ascii="宋体" w:hAnsi="宋体" w:eastAsia="宋体" w:cs="宋体"/>
          <w:color w:val="auto"/>
          <w:spacing w:val="-6"/>
          <w:sz w:val="26"/>
          <w:szCs w:val="26"/>
          <w:highlight w:val="none"/>
          <w:lang w:eastAsia="zh-CN"/>
        </w:rPr>
        <w:t>乙方</w:t>
      </w:r>
      <w:r>
        <w:rPr>
          <w:rFonts w:hint="eastAsia" w:ascii="宋体" w:hAnsi="宋体" w:eastAsia="宋体" w:cs="宋体"/>
          <w:color w:val="auto"/>
          <w:spacing w:val="-6"/>
          <w:sz w:val="26"/>
          <w:szCs w:val="26"/>
          <w:highlight w:val="none"/>
        </w:rPr>
        <w:t>（盖章）：</w:t>
      </w:r>
      <w:r>
        <w:rPr>
          <w:rFonts w:hint="eastAsia" w:ascii="宋体" w:hAnsi="宋体" w:eastAsia="宋体" w:cs="宋体"/>
          <w:color w:val="auto"/>
          <w:spacing w:val="-6"/>
          <w:sz w:val="26"/>
          <w:szCs w:val="26"/>
          <w:highlight w:val="none"/>
          <w:lang w:val="en-US" w:eastAsia="zh-CN"/>
        </w:rPr>
        <w:t xml:space="preserve">    </w:t>
      </w:r>
      <w:r>
        <w:rPr>
          <w:rFonts w:hint="eastAsia" w:ascii="宋体" w:hAnsi="宋体" w:eastAsia="宋体" w:cs="宋体"/>
          <w:color w:val="auto"/>
          <w:spacing w:val="-6"/>
          <w:sz w:val="26"/>
          <w:szCs w:val="26"/>
          <w:highlight w:val="none"/>
        </w:rPr>
        <w:t xml:space="preserve"> </w:t>
      </w:r>
      <w:r>
        <w:rPr>
          <w:rFonts w:hint="eastAsia" w:ascii="宋体" w:hAnsi="宋体" w:eastAsia="宋体" w:cs="宋体"/>
          <w:color w:val="auto"/>
          <w:spacing w:val="-6"/>
          <w:sz w:val="26"/>
          <w:szCs w:val="26"/>
          <w:highlight w:val="none"/>
          <w:lang w:val="en-US" w:eastAsia="zh-CN"/>
        </w:rPr>
        <w:t xml:space="preserve">                   </w:t>
      </w:r>
      <w:r>
        <w:rPr>
          <w:rFonts w:hint="eastAsia" w:ascii="宋体" w:hAnsi="宋体" w:eastAsia="宋体" w:cs="宋体"/>
          <w:color w:val="auto"/>
          <w:spacing w:val="-6"/>
          <w:sz w:val="26"/>
          <w:szCs w:val="26"/>
          <w:highlight w:val="none"/>
        </w:rPr>
        <w:t xml:space="preserve"> </w:t>
      </w:r>
      <w:r>
        <w:rPr>
          <w:rFonts w:hint="eastAsia" w:ascii="宋体" w:hAnsi="宋体" w:eastAsia="宋体" w:cs="宋体"/>
          <w:color w:val="auto"/>
          <w:spacing w:val="-6"/>
          <w:sz w:val="26"/>
          <w:szCs w:val="26"/>
          <w:highlight w:val="none"/>
          <w:lang w:eastAsia="zh-CN"/>
        </w:rPr>
        <w:t>甲方</w:t>
      </w:r>
      <w:r>
        <w:rPr>
          <w:rFonts w:hint="eastAsia" w:ascii="宋体" w:hAnsi="宋体" w:eastAsia="宋体" w:cs="宋体"/>
          <w:color w:val="auto"/>
          <w:spacing w:val="-6"/>
          <w:sz w:val="26"/>
          <w:szCs w:val="26"/>
          <w:highlight w:val="none"/>
        </w:rPr>
        <w:t>（盖章）：</w:t>
      </w:r>
      <w:r>
        <w:rPr>
          <w:rFonts w:hint="eastAsia" w:ascii="宋体" w:hAnsi="宋体" w:eastAsia="宋体" w:cs="宋体"/>
          <w:color w:val="auto"/>
          <w:spacing w:val="-6"/>
          <w:sz w:val="26"/>
          <w:szCs w:val="26"/>
          <w:highlight w:val="none"/>
          <w:lang w:val="en-US" w:eastAsia="zh-CN"/>
        </w:rPr>
        <w:t xml:space="preserve"> </w:t>
      </w:r>
      <w:r>
        <w:rPr>
          <w:rFonts w:hint="eastAsia" w:ascii="宋体" w:hAnsi="宋体" w:eastAsia="宋体" w:cs="宋体"/>
          <w:color w:val="auto"/>
          <w:spacing w:val="-4"/>
          <w:sz w:val="26"/>
          <w:szCs w:val="26"/>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法定代表人：                        法定代表人：</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 xml:space="preserve">委托代理人：                        委托代理人：            </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 xml:space="preserve">联系电话：                          联系电话：             </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 w:val="26"/>
          <w:szCs w:val="26"/>
          <w:highlight w:val="none"/>
        </w:rPr>
      </w:pPr>
      <w:r>
        <w:rPr>
          <w:rFonts w:hint="eastAsia" w:ascii="宋体" w:hAnsi="宋体" w:eastAsia="宋体" w:cs="宋体"/>
          <w:color w:val="auto"/>
          <w:sz w:val="26"/>
          <w:szCs w:val="26"/>
          <w:highlight w:val="none"/>
        </w:rPr>
        <w:t>开户银行：                          开户银行：</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6"/>
          <w:szCs w:val="26"/>
          <w:highlight w:val="none"/>
        </w:rPr>
        <w:t>银行账号：                          银行账号：</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right="0" w:rightChars="0"/>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签订日期：     年  月   日</w:t>
      </w:r>
    </w:p>
    <w:p>
      <w:pPr>
        <w:rPr>
          <w:rFonts w:hint="eastAsia" w:ascii="宋体" w:hAnsi="宋体" w:eastAsia="宋体" w:cs="宋体"/>
          <w:color w:val="auto"/>
          <w:sz w:val="28"/>
          <w:szCs w:val="28"/>
          <w:highlight w:val="none"/>
          <w:lang w:eastAsia="zh-CN"/>
        </w:rPr>
      </w:pPr>
    </w:p>
    <w:p>
      <w:pPr>
        <w:pStyle w:val="2"/>
        <w:rPr>
          <w:rFonts w:hint="eastAsia" w:ascii="宋体" w:hAnsi="宋体" w:eastAsia="宋体" w:cs="宋体"/>
          <w:color w:val="auto"/>
          <w:sz w:val="28"/>
          <w:szCs w:val="28"/>
          <w:highlight w:val="none"/>
          <w:lang w:eastAsia="zh-CN"/>
        </w:rPr>
      </w:pPr>
    </w:p>
    <w:p>
      <w:pPr>
        <w:rPr>
          <w:rFonts w:hint="eastAsia" w:ascii="宋体" w:hAnsi="宋体" w:eastAsia="宋体" w:cs="宋体"/>
          <w:color w:val="auto"/>
          <w:sz w:val="28"/>
          <w:szCs w:val="28"/>
          <w:highlight w:val="none"/>
          <w:lang w:eastAsia="zh-CN"/>
        </w:rPr>
      </w:pPr>
    </w:p>
    <w:bookmarkEnd w:id="57"/>
    <w:p>
      <w:pPr>
        <w:pStyle w:val="3"/>
        <w:widowControl/>
        <w:adjustRightInd w:val="0"/>
        <w:snapToGrid w:val="0"/>
        <w:spacing w:before="0" w:after="0" w:line="500" w:lineRule="exact"/>
        <w:jc w:val="both"/>
        <w:rPr>
          <w:rFonts w:hint="eastAsia" w:ascii="宋体" w:hAnsi="宋体" w:eastAsia="宋体" w:cs="宋体"/>
          <w:b w:val="0"/>
          <w:color w:val="auto"/>
          <w:sz w:val="36"/>
          <w:szCs w:val="36"/>
          <w:highlight w:val="none"/>
        </w:rPr>
      </w:pPr>
      <w:bookmarkStart w:id="58" w:name="_Toc82505665"/>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ascii="宋体" w:hAnsi="宋体" w:eastAsia="宋体" w:cs="宋体"/>
          <w:b w:val="0"/>
          <w:color w:val="auto"/>
          <w:sz w:val="36"/>
          <w:szCs w:val="36"/>
          <w:highlight w:val="none"/>
        </w:rPr>
      </w:pPr>
    </w:p>
    <w:p>
      <w:pPr>
        <w:rPr>
          <w:rFonts w:hint="eastAsia" w:ascii="宋体" w:hAnsi="宋体" w:eastAsia="宋体" w:cs="宋体"/>
          <w:b w:val="0"/>
          <w:color w:val="auto"/>
          <w:sz w:val="36"/>
          <w:szCs w:val="36"/>
          <w:highlight w:val="none"/>
        </w:rPr>
      </w:pPr>
    </w:p>
    <w:p>
      <w:pPr>
        <w:pStyle w:val="2"/>
        <w:rPr>
          <w:rFonts w:hint="eastAsia"/>
          <w:color w:val="auto"/>
          <w:highlight w:val="none"/>
        </w:rPr>
      </w:pPr>
    </w:p>
    <w:p>
      <w:pPr>
        <w:pStyle w:val="3"/>
        <w:widowControl/>
        <w:adjustRightInd w:val="0"/>
        <w:snapToGrid w:val="0"/>
        <w:spacing w:before="0" w:after="0" w:line="500" w:lineRule="exact"/>
        <w:jc w:val="center"/>
        <w:rPr>
          <w:rFonts w:hint="eastAsia" w:ascii="宋体" w:hAnsi="宋体" w:eastAsia="宋体" w:cs="宋体"/>
          <w:b w:val="0"/>
          <w:color w:val="auto"/>
          <w:highlight w:val="none"/>
        </w:rPr>
      </w:pPr>
      <w:r>
        <w:rPr>
          <w:rFonts w:hint="eastAsia" w:ascii="宋体" w:hAnsi="宋体" w:eastAsia="宋体" w:cs="宋体"/>
          <w:b w:val="0"/>
          <w:color w:val="auto"/>
          <w:sz w:val="36"/>
          <w:szCs w:val="36"/>
          <w:highlight w:val="none"/>
        </w:rPr>
        <w:t>第四部分  响应文件</w:t>
      </w:r>
      <w:bookmarkEnd w:id="56"/>
      <w:r>
        <w:rPr>
          <w:rFonts w:hint="eastAsia" w:ascii="宋体" w:hAnsi="宋体" w:eastAsia="宋体" w:cs="宋体"/>
          <w:b w:val="0"/>
          <w:color w:val="auto"/>
          <w:sz w:val="36"/>
          <w:szCs w:val="36"/>
          <w:highlight w:val="none"/>
        </w:rPr>
        <w:t>组成</w:t>
      </w:r>
      <w:bookmarkEnd w:id="58"/>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响应文件必须按照以下格式及要求进行制作、签署</w:t>
      </w:r>
      <w:r>
        <w:rPr>
          <w:rFonts w:hint="eastAsia" w:ascii="宋体" w:hAnsi="宋体" w:eastAsia="宋体" w:cs="宋体"/>
          <w:b/>
          <w:bCs/>
          <w:color w:val="auto"/>
          <w:sz w:val="28"/>
          <w:szCs w:val="28"/>
          <w:highlight w:val="none"/>
          <w:lang w:val="en-US" w:eastAsia="zh-CN"/>
        </w:rPr>
        <w:t>、密封和提交</w:t>
      </w:r>
      <w:r>
        <w:rPr>
          <w:rFonts w:hint="eastAsia" w:ascii="宋体" w:hAnsi="宋体" w:eastAsia="宋体" w:cs="宋体"/>
          <w:b/>
          <w:bCs/>
          <w:color w:val="auto"/>
          <w:sz w:val="28"/>
          <w:szCs w:val="28"/>
          <w:highlight w:val="none"/>
        </w:rPr>
        <w:t>。（以下内容必须全部提供，</w:t>
      </w:r>
      <w:r>
        <w:rPr>
          <w:rFonts w:hint="eastAsia" w:ascii="宋体" w:hAnsi="宋体" w:eastAsia="宋体" w:cs="宋体"/>
          <w:b/>
          <w:bCs/>
          <w:color w:val="auto"/>
          <w:sz w:val="28"/>
          <w:szCs w:val="28"/>
          <w:highlight w:val="none"/>
          <w:lang w:val="zh-CN"/>
        </w:rPr>
        <w:t>并全部加盖</w:t>
      </w:r>
      <w:r>
        <w:rPr>
          <w:rFonts w:hint="eastAsia" w:ascii="宋体" w:hAnsi="宋体" w:eastAsia="宋体" w:cs="宋体"/>
          <w:b/>
          <w:bCs/>
          <w:color w:val="auto"/>
          <w:sz w:val="28"/>
          <w:szCs w:val="28"/>
          <w:highlight w:val="none"/>
          <w:lang w:val="en-US" w:eastAsia="zh-CN"/>
        </w:rPr>
        <w:t>报价单位公章</w:t>
      </w:r>
      <w:r>
        <w:rPr>
          <w:rFonts w:hint="eastAsia" w:ascii="宋体" w:hAnsi="宋体" w:eastAsia="宋体" w:cs="宋体"/>
          <w:b/>
          <w:bCs/>
          <w:color w:val="auto"/>
          <w:sz w:val="28"/>
          <w:szCs w:val="28"/>
          <w:highlight w:val="none"/>
          <w:lang w:val="zh-CN"/>
        </w:rPr>
        <w:t>。</w:t>
      </w:r>
      <w:r>
        <w:rPr>
          <w:rFonts w:hint="eastAsia" w:ascii="宋体" w:hAnsi="宋体" w:eastAsia="宋体" w:cs="宋体"/>
          <w:b/>
          <w:bCs/>
          <w:color w:val="auto"/>
          <w:sz w:val="28"/>
          <w:szCs w:val="28"/>
          <w:highlight w:val="none"/>
        </w:rPr>
        <w:t>响应文件格式中要求签字的不可打印填写，否则视为无效响应。）</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投标人符合《政府采购法》第二十二条规定条件的</w:t>
      </w:r>
      <w:r>
        <w:rPr>
          <w:rFonts w:hint="eastAsia" w:ascii="宋体" w:hAnsi="宋体" w:eastAsia="宋体" w:cs="宋体"/>
          <w:color w:val="auto"/>
          <w:kern w:val="0"/>
          <w:sz w:val="28"/>
          <w:szCs w:val="28"/>
          <w:highlight w:val="none"/>
          <w:lang w:val="en-US" w:eastAsia="zh-CN"/>
        </w:rPr>
        <w:t>声明</w:t>
      </w:r>
      <w:r>
        <w:rPr>
          <w:rFonts w:hint="eastAsia" w:ascii="宋体" w:hAnsi="宋体" w:eastAsia="宋体" w:cs="宋体"/>
          <w:color w:val="auto"/>
          <w:kern w:val="0"/>
          <w:sz w:val="28"/>
          <w:szCs w:val="28"/>
          <w:highlight w:val="none"/>
        </w:rPr>
        <w:t>函</w:t>
      </w:r>
      <w:r>
        <w:rPr>
          <w:rFonts w:hint="eastAsia" w:ascii="宋体" w:hAnsi="宋体" w:eastAsia="宋体" w:cs="宋体"/>
          <w:color w:val="auto"/>
          <w:kern w:val="0"/>
          <w:sz w:val="28"/>
          <w:szCs w:val="28"/>
          <w:highlight w:val="none"/>
          <w:lang w:val="zh-CN"/>
        </w:rPr>
        <w:t>（格式见附件1）（如分公司参加投标的，另需提供总公司的授权证明）；</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2.法定代表人身份证明书、法定代表人身份证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（格式见附件2）；</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3.法定代表人授权委托书、授权委托人（即代理人）身份证</w:t>
      </w:r>
      <w:r>
        <w:rPr>
          <w:rFonts w:hint="eastAsia" w:ascii="宋体" w:hAnsi="宋体" w:eastAsia="宋体" w:cs="宋体"/>
          <w:color w:val="auto"/>
          <w:sz w:val="28"/>
          <w:szCs w:val="28"/>
          <w:highlight w:val="none"/>
          <w:lang w:val="en-US" w:eastAsia="zh-CN"/>
        </w:rPr>
        <w:t>复印件</w:t>
      </w:r>
      <w:r>
        <w:rPr>
          <w:rFonts w:hint="eastAsia" w:ascii="宋体" w:hAnsi="宋体" w:eastAsia="宋体" w:cs="宋体"/>
          <w:color w:val="auto"/>
          <w:sz w:val="28"/>
          <w:szCs w:val="28"/>
          <w:highlight w:val="none"/>
        </w:rPr>
        <w:t>（格式见附件3</w:t>
      </w:r>
      <w:r>
        <w:rPr>
          <w:rFonts w:hint="eastAsia" w:ascii="宋体" w:hAnsi="宋体" w:eastAsia="宋体" w:cs="宋体"/>
          <w:bCs/>
          <w:color w:val="auto"/>
          <w:sz w:val="28"/>
          <w:highlight w:val="none"/>
        </w:rPr>
        <w:t>，</w:t>
      </w:r>
      <w:r>
        <w:rPr>
          <w:rFonts w:hint="eastAsia" w:ascii="宋体" w:hAnsi="宋体" w:eastAsia="宋体" w:cs="宋体"/>
          <w:color w:val="auto"/>
          <w:kern w:val="0"/>
          <w:sz w:val="28"/>
          <w:szCs w:val="28"/>
          <w:highlight w:val="none"/>
          <w:lang w:val="zh-CN"/>
        </w:rPr>
        <w:t>法定代表人参加的，无需提供授权委托书</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4.</w:t>
      </w:r>
      <w:r>
        <w:rPr>
          <w:rFonts w:hint="eastAsia" w:ascii="宋体" w:hAnsi="宋体" w:eastAsia="宋体" w:cs="宋体"/>
          <w:color w:val="auto"/>
          <w:sz w:val="28"/>
          <w:szCs w:val="28"/>
          <w:highlight w:val="none"/>
          <w:lang w:val="zh-CN"/>
        </w:rPr>
        <w:t>有效</w:t>
      </w:r>
      <w:r>
        <w:rPr>
          <w:rFonts w:hint="eastAsia" w:ascii="宋体" w:hAnsi="宋体" w:eastAsia="宋体" w:cs="宋体"/>
          <w:color w:val="auto"/>
          <w:kern w:val="0"/>
          <w:sz w:val="28"/>
          <w:szCs w:val="28"/>
          <w:highlight w:val="none"/>
          <w:lang w:val="zh-CN"/>
        </w:rPr>
        <w:t>的营业执照</w:t>
      </w:r>
      <w:r>
        <w:rPr>
          <w:rFonts w:hint="eastAsia" w:ascii="宋体" w:hAnsi="宋体" w:eastAsia="宋体" w:cs="宋体"/>
          <w:color w:val="auto"/>
          <w:kern w:val="0"/>
          <w:sz w:val="28"/>
          <w:szCs w:val="28"/>
          <w:highlight w:val="none"/>
          <w:lang w:val="en-US" w:eastAsia="zh-CN"/>
        </w:rPr>
        <w:t>复印件</w:t>
      </w:r>
      <w:r>
        <w:rPr>
          <w:rFonts w:hint="eastAsia" w:ascii="宋体" w:hAnsi="宋体" w:eastAsia="宋体" w:cs="宋体"/>
          <w:color w:val="auto"/>
          <w:kern w:val="0"/>
          <w:sz w:val="28"/>
          <w:szCs w:val="28"/>
          <w:highlight w:val="none"/>
          <w:lang w:val="zh-CN" w:eastAsia="zh-CN"/>
        </w:rPr>
        <w:t>（</w:t>
      </w:r>
      <w:r>
        <w:rPr>
          <w:rFonts w:hint="eastAsia" w:ascii="宋体" w:hAnsi="宋体" w:eastAsia="宋体" w:cs="宋体"/>
          <w:bCs/>
          <w:color w:val="auto"/>
          <w:kern w:val="0"/>
          <w:sz w:val="28"/>
          <w:szCs w:val="28"/>
          <w:highlight w:val="none"/>
          <w:lang w:val="en-US" w:eastAsia="zh-CN"/>
        </w:rPr>
        <w:t>加盖报价单位</w:t>
      </w:r>
      <w:r>
        <w:rPr>
          <w:rFonts w:hint="eastAsia" w:ascii="宋体" w:hAnsi="宋体" w:eastAsia="宋体" w:cs="宋体"/>
          <w:bCs/>
          <w:color w:val="auto"/>
          <w:kern w:val="0"/>
          <w:sz w:val="28"/>
          <w:szCs w:val="28"/>
          <w:highlight w:val="none"/>
          <w:lang w:val="zh-CN"/>
        </w:rPr>
        <w:t>公章</w:t>
      </w:r>
      <w:r>
        <w:rPr>
          <w:rFonts w:hint="eastAsia" w:ascii="宋体" w:hAnsi="宋体" w:eastAsia="宋体" w:cs="宋体"/>
          <w:color w:val="auto"/>
          <w:kern w:val="0"/>
          <w:sz w:val="28"/>
          <w:szCs w:val="28"/>
          <w:highlight w:val="none"/>
          <w:lang w:val="zh-CN" w:eastAsia="zh-CN"/>
        </w:rPr>
        <w:t>）</w:t>
      </w:r>
      <w:r>
        <w:rPr>
          <w:rFonts w:hint="eastAsia" w:ascii="宋体" w:hAnsi="宋体" w:eastAsia="宋体" w:cs="宋体"/>
          <w:color w:val="auto"/>
          <w:kern w:val="0"/>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供应商信用承诺书（格式见附件</w:t>
      </w:r>
      <w:r>
        <w:rPr>
          <w:rFonts w:hint="eastAsia" w:ascii="宋体" w:hAnsi="宋体" w:eastAsia="宋体" w:cs="宋体"/>
          <w:color w:val="auto"/>
          <w:sz w:val="28"/>
          <w:szCs w:val="28"/>
          <w:highlight w:val="none"/>
        </w:rPr>
        <w:t>4</w:t>
      </w:r>
      <w:r>
        <w:rPr>
          <w:rFonts w:hint="eastAsia" w:ascii="宋体" w:hAnsi="宋体" w:eastAsia="宋体" w:cs="宋体"/>
          <w:color w:val="auto"/>
          <w:sz w:val="28"/>
          <w:szCs w:val="28"/>
          <w:highlight w:val="none"/>
          <w:lang w:val="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zh-CN"/>
        </w:rPr>
        <w:t>.询价响应函（格式见附件5）；</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.商务部分正负偏离表（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cs="宋体"/>
          <w:color w:val="auto"/>
          <w:sz w:val="28"/>
          <w:szCs w:val="28"/>
          <w:highlight w:val="none"/>
          <w:lang w:val="en-US" w:eastAsia="zh-CN"/>
        </w:rPr>
        <w:t>6</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技术部分正负偏离表（</w:t>
      </w:r>
      <w:r>
        <w:rPr>
          <w:rFonts w:hint="eastAsia" w:ascii="宋体" w:hAnsi="宋体" w:eastAsia="宋体" w:cs="宋体"/>
          <w:bCs/>
          <w:color w:val="auto"/>
          <w:kern w:val="0"/>
          <w:sz w:val="28"/>
          <w:szCs w:val="28"/>
          <w:highlight w:val="none"/>
          <w:lang w:val="zh-CN"/>
        </w:rPr>
        <w:t>格式见</w:t>
      </w:r>
      <w:r>
        <w:rPr>
          <w:rFonts w:hint="eastAsia" w:ascii="宋体" w:hAnsi="宋体" w:eastAsia="宋体" w:cs="宋体"/>
          <w:color w:val="auto"/>
          <w:sz w:val="28"/>
          <w:szCs w:val="28"/>
          <w:highlight w:val="none"/>
        </w:rPr>
        <w:t>附件</w:t>
      </w:r>
      <w:r>
        <w:rPr>
          <w:rFonts w:hint="eastAsia" w:ascii="宋体" w:hAnsi="宋体" w:cs="宋体"/>
          <w:color w:val="auto"/>
          <w:sz w:val="28"/>
          <w:szCs w:val="28"/>
          <w:highlight w:val="none"/>
          <w:lang w:val="en-US" w:eastAsia="zh-CN"/>
        </w:rPr>
        <w:t>7</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填制正负偏离表，完全响应的，请以空白表列示。不完全响应的，</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lang w:val="zh-CN"/>
        </w:rPr>
      </w:pPr>
      <w:r>
        <w:rPr>
          <w:rFonts w:hint="eastAsia" w:ascii="宋体" w:hAnsi="宋体" w:eastAsia="宋体" w:cs="宋体"/>
          <w:color w:val="auto"/>
          <w:sz w:val="28"/>
          <w:szCs w:val="28"/>
          <w:highlight w:val="none"/>
          <w:lang w:val="zh-CN"/>
        </w:rPr>
        <w:t>必须在偏离表中列示；列示不全的，视同故意隐瞒。</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.报价总表及分项报价明细表（格式见附件</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rPr>
        <w:t>.中小微企业声明函、福利企业等的说明材料（如有，格式见附</w:t>
      </w:r>
      <w:r>
        <w:rPr>
          <w:rFonts w:hint="eastAsia" w:ascii="宋体" w:hAnsi="宋体" w:eastAsia="宋体" w:cs="宋体"/>
          <w:color w:val="auto"/>
          <w:sz w:val="28"/>
          <w:szCs w:val="28"/>
          <w:highlight w:val="none"/>
          <w:lang w:val="en-US" w:eastAsia="zh-CN"/>
        </w:rPr>
        <w:t>件</w:t>
      </w:r>
      <w:r>
        <w:rPr>
          <w:rFonts w:hint="eastAsia" w:ascii="宋体" w:hAnsi="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kern w:val="0"/>
          <w:sz w:val="28"/>
          <w:szCs w:val="28"/>
          <w:highlight w:val="none"/>
          <w:lang w:val="zh-CN"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rPr>
        <w:t>提供</w:t>
      </w:r>
      <w:r>
        <w:rPr>
          <w:rFonts w:hint="eastAsia" w:ascii="宋体" w:hAnsi="宋体" w:eastAsia="宋体" w:cs="宋体"/>
          <w:color w:val="auto"/>
          <w:sz w:val="28"/>
          <w:szCs w:val="28"/>
          <w:highlight w:val="none"/>
          <w:lang w:val="en-US" w:eastAsia="zh-CN"/>
        </w:rPr>
        <w:t>货物及技术需求一览表</w:t>
      </w:r>
      <w:r>
        <w:rPr>
          <w:rFonts w:hint="eastAsia" w:ascii="宋体" w:hAnsi="宋体" w:eastAsia="宋体" w:cs="宋体"/>
          <w:color w:val="auto"/>
          <w:sz w:val="28"/>
          <w:szCs w:val="28"/>
          <w:highlight w:val="none"/>
        </w:rPr>
        <w:t>中</w:t>
      </w:r>
      <w:r>
        <w:rPr>
          <w:rFonts w:hint="eastAsia" w:ascii="宋体" w:hAnsi="宋体" w:eastAsia="宋体" w:cs="宋体"/>
          <w:color w:val="auto"/>
          <w:sz w:val="28"/>
          <w:szCs w:val="28"/>
          <w:highlight w:val="none"/>
          <w:lang w:val="en-US" w:eastAsia="zh-CN"/>
        </w:rPr>
        <w:t>需投标时提供的</w:t>
      </w:r>
      <w:r>
        <w:rPr>
          <w:rFonts w:hint="eastAsia" w:ascii="宋体" w:hAnsi="宋体" w:eastAsia="宋体" w:cs="宋体"/>
          <w:color w:val="auto"/>
          <w:sz w:val="28"/>
          <w:szCs w:val="28"/>
          <w:highlight w:val="none"/>
        </w:rPr>
        <w:t>证明材料</w:t>
      </w:r>
      <w:r>
        <w:rPr>
          <w:rFonts w:hint="eastAsia" w:ascii="宋体" w:hAnsi="宋体" w:eastAsia="宋体" w:cs="宋体"/>
          <w:color w:val="auto"/>
          <w:sz w:val="28"/>
          <w:szCs w:val="28"/>
          <w:highlight w:val="none"/>
          <w:lang w:val="en-US" w:eastAsia="zh-CN"/>
        </w:rPr>
        <w:t>；</w:t>
      </w:r>
      <w:r>
        <w:rPr>
          <w:rFonts w:hint="eastAsia" w:ascii="宋体" w:hAnsi="宋体" w:eastAsia="宋体" w:cs="宋体"/>
          <w:color w:val="auto"/>
          <w:kern w:val="0"/>
          <w:sz w:val="28"/>
          <w:szCs w:val="28"/>
          <w:highlight w:val="none"/>
          <w:lang w:val="zh-CN" w:eastAsia="zh-CN"/>
        </w:rPr>
        <w:t>（</w:t>
      </w:r>
      <w:r>
        <w:rPr>
          <w:rFonts w:hint="eastAsia" w:ascii="宋体" w:hAnsi="宋体" w:eastAsia="宋体" w:cs="宋体"/>
          <w:bCs/>
          <w:color w:val="auto"/>
          <w:kern w:val="0"/>
          <w:sz w:val="28"/>
          <w:szCs w:val="28"/>
          <w:highlight w:val="none"/>
          <w:lang w:val="en-US" w:eastAsia="zh-CN"/>
        </w:rPr>
        <w:t>加盖报价单位</w:t>
      </w:r>
      <w:r>
        <w:rPr>
          <w:rFonts w:hint="eastAsia" w:ascii="宋体" w:hAnsi="宋体" w:eastAsia="宋体" w:cs="宋体"/>
          <w:bCs/>
          <w:color w:val="auto"/>
          <w:kern w:val="0"/>
          <w:sz w:val="28"/>
          <w:szCs w:val="28"/>
          <w:highlight w:val="none"/>
          <w:lang w:val="zh-CN"/>
        </w:rPr>
        <w:t>公章</w:t>
      </w:r>
      <w:r>
        <w:rPr>
          <w:rFonts w:hint="eastAsia" w:ascii="宋体" w:hAnsi="宋体" w:eastAsia="宋体" w:cs="宋体"/>
          <w:color w:val="auto"/>
          <w:kern w:val="0"/>
          <w:sz w:val="28"/>
          <w:szCs w:val="28"/>
          <w:highlight w:val="none"/>
          <w:lang w:val="zh-CN" w:eastAsia="zh-CN"/>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.本项目采购文件要求响应供应商提供的和响应供应商认为与本项目有关的并可以提供的其他材料。</w:t>
      </w:r>
    </w:p>
    <w:p>
      <w:pPr>
        <w:keepNext w:val="0"/>
        <w:keepLines w:val="0"/>
        <w:pageBreakBefore w:val="0"/>
        <w:widowControl w:val="0"/>
        <w:kinsoku/>
        <w:wordWrap/>
        <w:overflowPunct/>
        <w:topLinePunct w:val="0"/>
        <w:autoSpaceDE/>
        <w:autoSpaceDN/>
        <w:bidi w:val="0"/>
        <w:adjustRightInd w:val="0"/>
        <w:snapToGrid w:val="0"/>
        <w:spacing w:line="480" w:lineRule="exact"/>
        <w:ind w:firstLine="562" w:firstLineChars="200"/>
        <w:jc w:val="left"/>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pPr>
        <w:rPr>
          <w:rFonts w:hint="eastAsia" w:ascii="宋体" w:hAnsi="宋体" w:eastAsia="宋体" w:cs="宋体"/>
          <w:color w:val="auto"/>
          <w:kern w:val="0"/>
          <w:sz w:val="32"/>
          <w:szCs w:val="32"/>
          <w:highlight w:val="none"/>
          <w:lang w:val="zh-CN"/>
        </w:rPr>
      </w:pPr>
    </w:p>
    <w:p>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附件1</w:t>
      </w:r>
    </w:p>
    <w:p>
      <w:pPr>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投标人符合《政府采购法》第二十二条规定条件的声明函</w:t>
      </w:r>
    </w:p>
    <w:p>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pPr>
        <w:spacing w:line="52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________________ _</w:t>
      </w:r>
      <w:r>
        <w:rPr>
          <w:rFonts w:hint="eastAsia" w:ascii="宋体" w:hAnsi="宋体" w:eastAsia="宋体" w:cs="宋体"/>
          <w:bCs/>
          <w:color w:val="auto"/>
          <w:sz w:val="24"/>
          <w:szCs w:val="21"/>
          <w:highlight w:val="none"/>
        </w:rPr>
        <w:t>（项目名称）</w:t>
      </w:r>
      <w:r>
        <w:rPr>
          <w:rFonts w:hint="eastAsia" w:ascii="宋体" w:hAnsi="宋体" w:eastAsia="宋体" w:cs="宋体"/>
          <w:bCs/>
          <w:color w:val="auto"/>
          <w:sz w:val="24"/>
          <w:szCs w:val="21"/>
          <w:highlight w:val="none"/>
          <w:lang w:val="en-US" w:eastAsia="zh-CN"/>
        </w:rPr>
        <w:t>的</w:t>
      </w:r>
      <w:r>
        <w:rPr>
          <w:rFonts w:hint="eastAsia" w:ascii="宋体" w:hAnsi="宋体" w:eastAsia="宋体" w:cs="宋体"/>
          <w:bCs/>
          <w:color w:val="auto"/>
          <w:sz w:val="24"/>
          <w:szCs w:val="21"/>
          <w:highlight w:val="none"/>
        </w:rPr>
        <w:t>投标活动。针对《中华人民共和国政府采购法》第二十二条规定做出如下声明：</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pPr>
        <w:spacing w:line="500" w:lineRule="exact"/>
        <w:ind w:firstLine="482"/>
        <w:rPr>
          <w:rFonts w:hint="eastAsia" w:ascii="宋体" w:hAnsi="宋体" w:eastAsia="宋体" w:cs="宋体"/>
          <w:color w:val="auto"/>
          <w:sz w:val="24"/>
          <w:highlight w:val="none"/>
        </w:rPr>
      </w:pPr>
    </w:p>
    <w:p>
      <w:pPr>
        <w:spacing w:line="500" w:lineRule="exact"/>
        <w:rPr>
          <w:rFonts w:hint="eastAsia" w:ascii="宋体" w:hAnsi="宋体" w:eastAsia="宋体" w:cs="宋体"/>
          <w:color w:val="auto"/>
          <w:sz w:val="24"/>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500" w:lineRule="exact"/>
        <w:rPr>
          <w:rFonts w:hint="eastAsia" w:ascii="宋体" w:hAnsi="宋体" w:eastAsia="宋体" w:cs="宋体"/>
          <w:bCs/>
          <w:color w:val="auto"/>
          <w:sz w:val="24"/>
          <w:szCs w:val="21"/>
          <w:highlight w:val="none"/>
        </w:rPr>
      </w:pPr>
    </w:p>
    <w:p>
      <w:pPr>
        <w:spacing w:line="460" w:lineRule="exact"/>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pPr>
        <w:spacing w:line="460" w:lineRule="exact"/>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pPr>
        <w:spacing w:line="360" w:lineRule="auto"/>
        <w:rPr>
          <w:rFonts w:hint="eastAsia" w:ascii="宋体" w:hAnsi="宋体" w:eastAsia="宋体" w:cs="宋体"/>
          <w:bCs/>
          <w:color w:val="auto"/>
          <w:sz w:val="28"/>
          <w:szCs w:val="22"/>
          <w:highlight w:val="none"/>
        </w:rPr>
      </w:pPr>
    </w:p>
    <w:p>
      <w:pPr>
        <w:spacing w:line="360" w:lineRule="auto"/>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br w:type="page"/>
      </w:r>
    </w:p>
    <w:p>
      <w:pPr>
        <w:jc w:val="left"/>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附件2</w:t>
      </w:r>
    </w:p>
    <w:p>
      <w:pPr>
        <w:spacing w:line="5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pPr>
        <w:spacing w:line="480" w:lineRule="exact"/>
        <w:rPr>
          <w:rFonts w:hint="eastAsia" w:ascii="宋体" w:hAnsi="宋体" w:eastAsia="宋体" w:cs="宋体"/>
          <w:color w:val="auto"/>
          <w:sz w:val="24"/>
          <w:highlight w:val="none"/>
        </w:rPr>
      </w:pPr>
    </w:p>
    <w:p>
      <w:pPr>
        <w:spacing w:line="48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先生/女士，身份证号码：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pPr>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pPr>
        <w:spacing w:line="480" w:lineRule="exact"/>
        <w:ind w:firstLine="480"/>
        <w:rPr>
          <w:rFonts w:hint="eastAsia" w:ascii="宋体" w:hAnsi="宋体" w:eastAsia="宋体" w:cs="宋体"/>
          <w:color w:val="auto"/>
          <w:sz w:val="24"/>
          <w:highlight w:val="none"/>
        </w:rPr>
      </w:pPr>
    </w:p>
    <w:p>
      <w:pPr>
        <w:spacing w:after="120"/>
        <w:rPr>
          <w:rFonts w:hint="eastAsia" w:ascii="宋体" w:hAnsi="宋体" w:eastAsia="宋体" w:cs="宋体"/>
          <w:color w:val="auto"/>
          <w:szCs w:val="20"/>
          <w:highlight w:val="none"/>
        </w:rPr>
      </w:pPr>
    </w:p>
    <w:p>
      <w:pPr>
        <w:adjustRightInd w:val="0"/>
        <w:spacing w:line="480" w:lineRule="auto"/>
        <w:ind w:left="3255" w:leftChars="1550" w:firstLine="210" w:firstLineChars="100"/>
        <w:rPr>
          <w:rFonts w:hint="eastAsia" w:ascii="宋体" w:hAnsi="宋体" w:eastAsia="宋体" w:cs="宋体"/>
          <w:color w:val="auto"/>
          <w:sz w:val="24"/>
          <w:highlight w:val="none"/>
        </w:rPr>
      </w:pP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单位名称(盖公章)：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pPr>
        <w:adjustRightInd w:val="0"/>
        <w:spacing w:line="48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rPr>
          <w:rFonts w:hint="eastAsia" w:ascii="宋体" w:hAnsi="宋体" w:eastAsia="宋体" w:cs="宋体"/>
          <w:color w:val="auto"/>
          <w:highlight w:val="none"/>
        </w:rPr>
      </w:pPr>
    </w:p>
    <w:p>
      <w:pPr>
        <w:widowControl/>
        <w:spacing w:line="360" w:lineRule="auto"/>
        <w:rPr>
          <w:rFonts w:hint="eastAsia" w:ascii="宋体" w:hAnsi="宋体" w:eastAsia="宋体" w:cs="宋体"/>
          <w:b/>
          <w:bCs/>
          <w:color w:val="auto"/>
          <w:kern w:val="0"/>
          <w:sz w:val="28"/>
          <w:szCs w:val="28"/>
          <w:highlight w:val="none"/>
        </w:rPr>
      </w:pPr>
      <w:r>
        <w:rPr>
          <w:rFonts w:hint="eastAsia" w:ascii="宋体" w:hAnsi="宋体" w:eastAsia="宋体" w:cs="宋体"/>
          <w:b/>
          <w:color w:val="auto"/>
          <w:sz w:val="24"/>
          <w:highlight w:val="none"/>
        </w:rPr>
        <w:t>附：法定代表人的身份证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复印件盖单位公章</w:t>
      </w:r>
    </w:p>
    <w:p>
      <w:pPr>
        <w:adjustRightInd w:val="0"/>
        <w:snapToGrid w:val="0"/>
        <w:spacing w:line="312" w:lineRule="auto"/>
        <w:ind w:firstLine="562" w:firstLineChars="200"/>
        <w:jc w:val="left"/>
        <w:rPr>
          <w:rFonts w:hint="eastAsia" w:ascii="宋体" w:hAnsi="宋体" w:eastAsia="宋体" w:cs="宋体"/>
          <w:b/>
          <w:color w:val="auto"/>
          <w:sz w:val="28"/>
          <w:szCs w:val="28"/>
          <w:highlight w:val="none"/>
        </w:rPr>
      </w:pPr>
    </w:p>
    <w:p>
      <w:pPr>
        <w:adjustRightInd w:val="0"/>
        <w:snapToGrid w:val="0"/>
        <w:spacing w:line="312" w:lineRule="auto"/>
        <w:jc w:val="left"/>
        <w:rPr>
          <w:rFonts w:hint="eastAsia" w:ascii="宋体" w:hAnsi="宋体" w:eastAsia="宋体" w:cs="宋体"/>
          <w:color w:val="auto"/>
          <w:sz w:val="32"/>
          <w:szCs w:val="32"/>
          <w:highlight w:val="none"/>
        </w:rPr>
      </w:pPr>
      <w:r>
        <w:rPr>
          <w:rFonts w:hint="eastAsia" w:ascii="宋体" w:hAnsi="宋体" w:eastAsia="宋体" w:cs="宋体"/>
          <w:b/>
          <w:bCs/>
          <w:color w:val="auto"/>
          <w:sz w:val="28"/>
          <w:szCs w:val="28"/>
          <w:highlight w:val="none"/>
        </w:rPr>
        <w:br w:type="page"/>
      </w:r>
      <w:r>
        <w:rPr>
          <w:rFonts w:hint="eastAsia" w:ascii="宋体" w:hAnsi="宋体" w:eastAsia="宋体" w:cs="宋体"/>
          <w:color w:val="auto"/>
          <w:sz w:val="32"/>
          <w:szCs w:val="32"/>
          <w:highlight w:val="none"/>
        </w:rPr>
        <w:t>附件3</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法定代表人授权委托书</w:t>
      </w:r>
    </w:p>
    <w:p>
      <w:pPr>
        <w:adjustRightInd w:val="0"/>
        <w:snapToGrid w:val="0"/>
        <w:spacing w:line="312" w:lineRule="auto"/>
        <w:ind w:firstLine="480" w:firstLineChars="200"/>
        <w:jc w:val="left"/>
        <w:rPr>
          <w:rFonts w:hint="eastAsia" w:ascii="宋体" w:hAnsi="宋体" w:eastAsia="宋体" w:cs="宋体"/>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启东市机关事务服务中心</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我</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（响应供应商全称）</w:t>
      </w:r>
      <w:r>
        <w:rPr>
          <w:rFonts w:hint="eastAsia" w:ascii="宋体" w:hAnsi="宋体" w:eastAsia="宋体" w:cs="宋体"/>
          <w:color w:val="auto"/>
          <w:sz w:val="24"/>
          <w:szCs w:val="24"/>
          <w:highlight w:val="none"/>
        </w:rPr>
        <w:t>的法定代表人，现授权</w:t>
      </w:r>
      <w:r>
        <w:rPr>
          <w:rFonts w:hint="eastAsia" w:ascii="宋体" w:hAnsi="宋体" w:eastAsia="宋体" w:cs="宋体"/>
          <w:color w:val="auto"/>
          <w:sz w:val="24"/>
          <w:szCs w:val="24"/>
          <w:highlight w:val="none"/>
          <w:u w:val="single"/>
        </w:rPr>
        <w:t>（姓名）</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为我公司的授权委托人（即代理人），以我公司的名义参加采购</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项目的响应报价，全权代表我公司处理本次询价采购的一切事宜。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授权委托人（即代理人）在采购过程中所签署的一切文件、报价、承诺和处理与之有关的一切事项，我均予以承认。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授权委托人无转委权。</w:t>
      </w:r>
    </w:p>
    <w:p>
      <w:pPr>
        <w:spacing w:line="312" w:lineRule="auto"/>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授权委托人</w:t>
      </w:r>
      <w:r>
        <w:rPr>
          <w:rFonts w:hint="eastAsia" w:ascii="宋体" w:hAnsi="宋体" w:eastAsia="宋体" w:cs="宋体"/>
          <w:color w:val="auto"/>
          <w:sz w:val="24"/>
          <w:szCs w:val="24"/>
          <w:highlight w:val="none"/>
          <w:lang w:bidi="ar"/>
        </w:rPr>
        <w:t>（签字）：</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性别：</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年龄：</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职务：</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身份证号码：</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通讯地址：</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联系电话：</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法定代表人（签字或盖章）：</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 xml:space="preserve"> </w:t>
      </w:r>
    </w:p>
    <w:p>
      <w:pPr>
        <w:spacing w:line="440" w:lineRule="exact"/>
        <w:rPr>
          <w:rFonts w:hint="eastAsia" w:ascii="宋体" w:hAnsi="宋体" w:eastAsia="宋体" w:cs="宋体"/>
          <w:color w:val="auto"/>
          <w:sz w:val="24"/>
          <w:szCs w:val="24"/>
          <w:highlight w:val="none"/>
        </w:rPr>
      </w:pPr>
    </w:p>
    <w:p>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
        </w:rPr>
        <w:t>供应商（</w:t>
      </w:r>
      <w:r>
        <w:rPr>
          <w:rFonts w:hint="eastAsia" w:ascii="宋体" w:hAnsi="宋体" w:eastAsia="宋体" w:cs="宋体"/>
          <w:color w:val="auto"/>
          <w:sz w:val="24"/>
          <w:szCs w:val="24"/>
          <w:highlight w:val="none"/>
          <w:lang w:eastAsia="zh-CN" w:bidi="ar"/>
        </w:rPr>
        <w:t>盖公章</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u w:val="single"/>
          <w:lang w:bidi="ar"/>
        </w:rPr>
        <w:t xml:space="preserve">                          </w:t>
      </w:r>
    </w:p>
    <w:p>
      <w:pPr>
        <w:spacing w:line="440" w:lineRule="exact"/>
        <w:rPr>
          <w:rFonts w:hint="eastAsia" w:ascii="宋体" w:hAnsi="宋体" w:eastAsia="宋体" w:cs="宋体"/>
          <w:color w:val="auto"/>
          <w:sz w:val="24"/>
          <w:szCs w:val="24"/>
          <w:highlight w:val="none"/>
        </w:rPr>
      </w:pPr>
    </w:p>
    <w:p>
      <w:pPr>
        <w:jc w:val="righ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lang w:eastAsia="zh-CN" w:bidi="ar"/>
        </w:rPr>
        <w:t>日期：</w:t>
      </w:r>
      <w:r>
        <w:rPr>
          <w:rFonts w:hint="eastAsia" w:ascii="宋体" w:hAnsi="宋体" w:eastAsia="宋体" w:cs="宋体"/>
          <w:color w:val="auto"/>
          <w:sz w:val="24"/>
          <w:szCs w:val="24"/>
          <w:highlight w:val="none"/>
          <w:lang w:bidi="ar"/>
        </w:rPr>
        <w:t xml:space="preserve"> </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年</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月</w:t>
      </w:r>
      <w:r>
        <w:rPr>
          <w:rFonts w:hint="eastAsia" w:ascii="宋体" w:hAnsi="宋体" w:eastAsia="宋体" w:cs="宋体"/>
          <w:color w:val="auto"/>
          <w:sz w:val="24"/>
          <w:szCs w:val="24"/>
          <w:highlight w:val="none"/>
          <w:u w:val="single"/>
          <w:lang w:bidi="ar"/>
        </w:rPr>
        <w:t xml:space="preserve">    </w:t>
      </w:r>
      <w:r>
        <w:rPr>
          <w:rFonts w:hint="eastAsia" w:ascii="宋体" w:hAnsi="宋体" w:eastAsia="宋体" w:cs="宋体"/>
          <w:color w:val="auto"/>
          <w:sz w:val="24"/>
          <w:szCs w:val="24"/>
          <w:highlight w:val="none"/>
          <w:lang w:bidi="ar"/>
        </w:rPr>
        <w:t>日</w:t>
      </w:r>
    </w:p>
    <w:p>
      <w:pPr>
        <w:pStyle w:val="2"/>
        <w:rPr>
          <w:rFonts w:hint="eastAsia" w:ascii="宋体" w:hAnsi="宋体" w:eastAsia="宋体" w:cs="宋体"/>
          <w:color w:val="auto"/>
          <w:sz w:val="24"/>
          <w:szCs w:val="24"/>
          <w:highlight w:val="none"/>
        </w:rPr>
      </w:pPr>
    </w:p>
    <w:p>
      <w:pPr>
        <w:snapToGrid w:val="0"/>
        <w:spacing w:line="400" w:lineRule="exact"/>
        <w:ind w:firstLine="463" w:firstLineChars="192"/>
        <w:contextualSpacing/>
        <w:rPr>
          <w:rFonts w:hint="eastAsia" w:ascii="宋体" w:hAnsi="宋体" w:eastAsia="宋体" w:cs="宋体"/>
          <w:b/>
          <w:color w:val="auto"/>
          <w:kern w:val="0"/>
          <w:sz w:val="24"/>
          <w:szCs w:val="24"/>
          <w:highlight w:val="none"/>
        </w:rPr>
      </w:pPr>
    </w:p>
    <w:p>
      <w:pPr>
        <w:adjustRightInd w:val="0"/>
        <w:snapToGrid w:val="0"/>
        <w:spacing w:line="312" w:lineRule="auto"/>
        <w:jc w:val="left"/>
        <w:rPr>
          <w:rFonts w:hint="eastAsia" w:ascii="宋体" w:hAnsi="宋体" w:eastAsia="宋体" w:cs="宋体"/>
          <w:b/>
          <w:color w:val="auto"/>
          <w:kern w:val="0"/>
          <w:sz w:val="24"/>
          <w:szCs w:val="24"/>
          <w:highlight w:val="none"/>
        </w:rPr>
      </w:pPr>
    </w:p>
    <w:p>
      <w:pPr>
        <w:adjustRightInd w:val="0"/>
        <w:snapToGrid w:val="0"/>
        <w:spacing w:line="312" w:lineRule="auto"/>
        <w:jc w:val="left"/>
        <w:rPr>
          <w:rFonts w:hint="eastAsia" w:ascii="宋体" w:hAnsi="宋体" w:eastAsia="宋体" w:cs="宋体"/>
          <w:b/>
          <w:color w:val="auto"/>
          <w:sz w:val="24"/>
          <w:highlight w:val="none"/>
        </w:rPr>
      </w:pPr>
      <w:r>
        <w:rPr>
          <w:rFonts w:hint="eastAsia" w:ascii="宋体" w:hAnsi="宋体" w:eastAsia="宋体" w:cs="宋体"/>
          <w:b/>
          <w:color w:val="auto"/>
          <w:kern w:val="0"/>
          <w:sz w:val="24"/>
          <w:szCs w:val="24"/>
          <w:highlight w:val="none"/>
        </w:rPr>
        <w:t>附：代理人(被授权人)身份证</w:t>
      </w:r>
      <w:r>
        <w:rPr>
          <w:rFonts w:hint="eastAsia" w:ascii="宋体" w:hAnsi="宋体" w:cs="宋体"/>
          <w:b/>
          <w:color w:val="auto"/>
          <w:kern w:val="0"/>
          <w:sz w:val="24"/>
          <w:szCs w:val="24"/>
          <w:highlight w:val="none"/>
          <w:lang w:val="en-US" w:eastAsia="zh-CN"/>
        </w:rPr>
        <w:t>正反面</w:t>
      </w:r>
      <w:r>
        <w:rPr>
          <w:rFonts w:hint="eastAsia" w:ascii="宋体" w:hAnsi="宋体" w:eastAsia="宋体" w:cs="宋体"/>
          <w:b/>
          <w:color w:val="auto"/>
          <w:kern w:val="0"/>
          <w:sz w:val="24"/>
          <w:szCs w:val="24"/>
          <w:highlight w:val="none"/>
        </w:rPr>
        <w:t>复印件盖公章</w:t>
      </w:r>
      <w:r>
        <w:rPr>
          <w:rFonts w:hint="eastAsia" w:ascii="宋体" w:hAnsi="宋体" w:eastAsia="宋体" w:cs="宋体"/>
          <w:bCs/>
          <w:color w:val="auto"/>
          <w:sz w:val="28"/>
          <w:szCs w:val="28"/>
          <w:highlight w:val="none"/>
        </w:rPr>
        <w:br w:type="page"/>
      </w:r>
    </w:p>
    <w:p>
      <w:pPr>
        <w:spacing w:line="312"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附件4</w:t>
      </w:r>
    </w:p>
    <w:p>
      <w:pPr>
        <w:spacing w:before="240" w:line="312" w:lineRule="auto"/>
        <w:jc w:val="center"/>
        <w:rPr>
          <w:rFonts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供应商信用承诺书</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为营造公开、公平、公正的公共资源交易环境，树立诚信守法的投标人形象，本人代表本单位作出以下承诺：</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二、严格依照国家和省、市、县关于招标投标等方面的法律、法规、规章、规范性文件，参加公共资源交易招标投标活动；积极履行社会责任，促进廉政建设；</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三、严格遵守即时信息公示规定，及时更新公共资源交易中心主体信息库中信息；</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五、本单位自愿接受招标投标有关行政监督部门的依法检查。如发生违法违规或不良行为或存在其他法律法规对招标投标行为予以限制的情形，自愿接受招标投标有关行政监督部门依法给予的行政处罚（处理），并依法承担相应的法律责任；</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六、自觉接受政府部门、行业组织、社会公众、新闻舆论等监督；</w:t>
      </w:r>
    </w:p>
    <w:p>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bidi="ar"/>
        </w:rPr>
        <w:t>七、上述承诺已向本单位员工作了宣传教育；</w:t>
      </w:r>
    </w:p>
    <w:p>
      <w:pPr>
        <w:spacing w:line="360" w:lineRule="auto"/>
        <w:ind w:firstLine="482" w:firstLineChars="20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bidi="ar"/>
        </w:rPr>
        <w:t>如有违反上述承诺的不良行为，本单位同意将其予以上网公示。</w:t>
      </w:r>
    </w:p>
    <w:p>
      <w:pPr>
        <w:spacing w:line="360" w:lineRule="auto"/>
        <w:rPr>
          <w:rFonts w:ascii="宋体" w:hAnsi="宋体" w:cs="宋体"/>
          <w:color w:val="auto"/>
          <w:kern w:val="0"/>
          <w:sz w:val="24"/>
          <w:highlight w:val="none"/>
          <w:lang w:val="zh-CN"/>
        </w:rPr>
      </w:pPr>
    </w:p>
    <w:p>
      <w:pPr>
        <w:spacing w:line="360" w:lineRule="auto"/>
        <w:ind w:firstLine="4560" w:firstLineChars="1900"/>
        <w:rPr>
          <w:rFonts w:ascii="宋体" w:hAnsi="宋体" w:cs="宋体"/>
          <w:color w:val="auto"/>
          <w:kern w:val="0"/>
          <w:sz w:val="24"/>
          <w:highlight w:val="none"/>
          <w:lang w:val="zh-CN"/>
        </w:rPr>
      </w:pPr>
    </w:p>
    <w:p>
      <w:pPr>
        <w:spacing w:line="360" w:lineRule="auto"/>
        <w:ind w:firstLine="3080" w:firstLineChars="1100"/>
        <w:rPr>
          <w:rFonts w:ascii="宋体" w:hAnsi="宋体" w:cs="宋体"/>
          <w:color w:val="auto"/>
          <w:kern w:val="0"/>
          <w:sz w:val="28"/>
          <w:szCs w:val="28"/>
          <w:highlight w:val="none"/>
          <w:u w:val="single"/>
          <w:lang w:val="zh-CN"/>
        </w:rPr>
      </w:pPr>
      <w:r>
        <w:rPr>
          <w:rFonts w:hint="eastAsia" w:ascii="宋体" w:hAnsi="宋体" w:cs="宋体"/>
          <w:color w:val="auto"/>
          <w:kern w:val="0"/>
          <w:sz w:val="28"/>
          <w:szCs w:val="28"/>
          <w:highlight w:val="none"/>
          <w:lang w:val="zh-CN" w:bidi="ar"/>
        </w:rPr>
        <w:t>投标供应商全称(盖公章)：</w:t>
      </w:r>
    </w:p>
    <w:p>
      <w:pPr>
        <w:spacing w:line="360" w:lineRule="auto"/>
        <w:ind w:firstLine="3080" w:firstLineChars="1100"/>
        <w:rPr>
          <w:rFonts w:ascii="宋体" w:hAnsi="宋体" w:cs="宋体"/>
          <w:color w:val="auto"/>
          <w:sz w:val="28"/>
          <w:szCs w:val="28"/>
          <w:highlight w:val="none"/>
          <w:u w:val="single"/>
          <w:lang w:val="zh-CN"/>
        </w:rPr>
      </w:pPr>
      <w:r>
        <w:rPr>
          <w:rFonts w:hint="eastAsia" w:ascii="宋体" w:hAnsi="宋体" w:cs="宋体"/>
          <w:color w:val="auto"/>
          <w:kern w:val="0"/>
          <w:sz w:val="28"/>
          <w:szCs w:val="28"/>
          <w:highlight w:val="none"/>
          <w:lang w:val="zh-CN" w:bidi="ar"/>
        </w:rPr>
        <w:t>法定代表人（签字或盖章）：</w:t>
      </w:r>
    </w:p>
    <w:p>
      <w:pPr>
        <w:spacing w:line="360" w:lineRule="auto"/>
        <w:ind w:firstLine="3080" w:firstLineChars="1100"/>
        <w:rPr>
          <w:rFonts w:ascii="宋体" w:hAnsi="宋体" w:cs="宋体"/>
          <w:color w:val="auto"/>
          <w:kern w:val="0"/>
          <w:sz w:val="28"/>
          <w:szCs w:val="28"/>
          <w:highlight w:val="none"/>
          <w:lang w:val="zh-CN" w:bidi="ar"/>
        </w:rPr>
      </w:pPr>
      <w:r>
        <w:rPr>
          <w:rFonts w:hint="eastAsia" w:ascii="宋体" w:hAnsi="宋体" w:cs="宋体"/>
          <w:color w:val="auto"/>
          <w:kern w:val="0"/>
          <w:sz w:val="28"/>
          <w:szCs w:val="28"/>
          <w:highlight w:val="none"/>
          <w:lang w:val="zh-CN" w:bidi="ar"/>
        </w:rPr>
        <w:t>时间：  年  月   日</w:t>
      </w:r>
    </w:p>
    <w:p>
      <w:pPr>
        <w:snapToGrid w:val="0"/>
        <w:spacing w:line="300" w:lineRule="auto"/>
        <w:contextualSpacing/>
        <w:rPr>
          <w:rFonts w:hint="eastAsia" w:ascii="宋体" w:hAnsi="宋体" w:eastAsia="宋体" w:cs="宋体"/>
          <w:color w:val="auto"/>
          <w:sz w:val="28"/>
          <w:szCs w:val="28"/>
          <w:highlight w:val="none"/>
        </w:rPr>
      </w:pPr>
    </w:p>
    <w:p>
      <w:pPr>
        <w:rPr>
          <w:rFonts w:hint="eastAsia"/>
          <w:color w:val="auto"/>
          <w:highlight w:val="none"/>
          <w:lang w:val="en-US" w:eastAsia="zh-CN"/>
        </w:rPr>
      </w:pPr>
    </w:p>
    <w:p>
      <w:pPr>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附件5</w:t>
      </w:r>
    </w:p>
    <w:p>
      <w:pPr>
        <w:jc w:val="center"/>
        <w:rPr>
          <w:rFonts w:ascii="宋体" w:hAnsi="宋体"/>
          <w:b/>
          <w:color w:val="auto"/>
          <w:sz w:val="32"/>
          <w:szCs w:val="32"/>
          <w:highlight w:val="none"/>
        </w:rPr>
      </w:pPr>
      <w:r>
        <w:rPr>
          <w:rFonts w:hint="eastAsia" w:ascii="宋体" w:hAnsi="宋体"/>
          <w:b/>
          <w:color w:val="auto"/>
          <w:sz w:val="32"/>
          <w:szCs w:val="32"/>
          <w:highlight w:val="none"/>
        </w:rPr>
        <w:t>询价响应函</w:t>
      </w:r>
    </w:p>
    <w:p>
      <w:pPr>
        <w:adjustRightInd w:val="0"/>
        <w:spacing w:line="420" w:lineRule="exact"/>
        <w:jc w:val="left"/>
        <w:textAlignment w:val="baseline"/>
        <w:rPr>
          <w:rFonts w:ascii="宋体" w:hAnsi="宋体"/>
          <w:color w:val="auto"/>
          <w:sz w:val="24"/>
          <w:szCs w:val="21"/>
          <w:highlight w:val="none"/>
        </w:rPr>
      </w:pPr>
      <w:r>
        <w:rPr>
          <w:rFonts w:hint="eastAsia" w:ascii="宋体" w:hAnsi="宋体"/>
          <w:color w:val="auto"/>
          <w:sz w:val="24"/>
          <w:szCs w:val="21"/>
          <w:highlight w:val="none"/>
        </w:rPr>
        <w:t>致：</w:t>
      </w:r>
      <w:r>
        <w:rPr>
          <w:rFonts w:hint="eastAsia" w:ascii="宋体" w:hAnsi="宋体"/>
          <w:color w:val="auto"/>
          <w:sz w:val="24"/>
          <w:szCs w:val="21"/>
          <w:highlight w:val="none"/>
          <w:u w:val="single"/>
          <w:lang w:val="en-US" w:eastAsia="zh-CN"/>
        </w:rPr>
        <w:t xml:space="preserve">               </w:t>
      </w:r>
      <w:r>
        <w:rPr>
          <w:rFonts w:hint="eastAsia" w:ascii="宋体" w:hAnsi="宋体"/>
          <w:color w:val="auto"/>
          <w:sz w:val="24"/>
          <w:szCs w:val="21"/>
          <w:highlight w:val="none"/>
          <w:lang w:val="en-US" w:eastAsia="zh-CN"/>
        </w:rPr>
        <w:t xml:space="preserve">  </w:t>
      </w:r>
      <w:r>
        <w:rPr>
          <w:rFonts w:hint="eastAsia" w:ascii="宋体" w:hAnsi="宋体"/>
          <w:color w:val="auto"/>
          <w:sz w:val="24"/>
          <w:szCs w:val="21"/>
          <w:highlight w:val="none"/>
        </w:rPr>
        <w:t>（采购人名称）</w:t>
      </w:r>
    </w:p>
    <w:p>
      <w:pPr>
        <w:adjustRightInd w:val="0"/>
        <w:spacing w:line="420" w:lineRule="exact"/>
        <w:ind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根据贵方的__________（项目</w:t>
      </w:r>
      <w:r>
        <w:rPr>
          <w:rFonts w:ascii="宋体" w:hAnsi="宋体"/>
          <w:color w:val="auto"/>
          <w:sz w:val="24"/>
          <w:szCs w:val="21"/>
          <w:highlight w:val="none"/>
        </w:rPr>
        <w:t>名称</w:t>
      </w:r>
      <w:r>
        <w:rPr>
          <w:rFonts w:hint="eastAsia" w:ascii="宋体" w:hAnsi="宋体"/>
          <w:color w:val="auto"/>
          <w:sz w:val="24"/>
          <w:szCs w:val="21"/>
          <w:highlight w:val="none"/>
        </w:rPr>
        <w:t>）询价文件，正式授权下述签字人_____(姓名)代表我方______________（供应商的名称），全权处理本次项目询价的有关事宜。</w:t>
      </w:r>
    </w:p>
    <w:p>
      <w:pPr>
        <w:adjustRightInd w:val="0"/>
        <w:spacing w:line="420" w:lineRule="exact"/>
        <w:ind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据此函，__________签字人兹宣布同意如下：</w:t>
      </w:r>
    </w:p>
    <w:p>
      <w:pPr>
        <w:adjustRightInd w:val="0"/>
        <w:spacing w:line="420" w:lineRule="exact"/>
        <w:ind w:firstLine="480"/>
        <w:jc w:val="left"/>
        <w:textAlignment w:val="baseline"/>
        <w:rPr>
          <w:rFonts w:ascii="宋体" w:hAnsi="宋体"/>
          <w:color w:val="auto"/>
          <w:sz w:val="24"/>
          <w:szCs w:val="21"/>
          <w:highlight w:val="none"/>
        </w:rPr>
      </w:pPr>
      <w:r>
        <w:rPr>
          <w:rFonts w:hint="eastAsia" w:ascii="宋体" w:hAnsi="宋体"/>
          <w:color w:val="auto"/>
          <w:sz w:val="24"/>
          <w:szCs w:val="21"/>
          <w:highlight w:val="none"/>
        </w:rPr>
        <w:t>1.按询价文件规定的各项要求，向买方提供所需货物、服务（包含与货物相关的服务及与服务相关的货物）。</w:t>
      </w:r>
    </w:p>
    <w:p>
      <w:pPr>
        <w:adjustRightInd w:val="0"/>
        <w:spacing w:line="420" w:lineRule="exact"/>
        <w:ind w:firstLine="480" w:firstLineChars="200"/>
        <w:jc w:val="left"/>
        <w:textAlignment w:val="baseline"/>
        <w:rPr>
          <w:rFonts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.我们已详细审核全部询价文件及其有效补充文件，我们知道必须放弃提出含糊不清或误解问题的权利。</w:t>
      </w:r>
    </w:p>
    <w:p>
      <w:pPr>
        <w:adjustRightInd w:val="0"/>
        <w:spacing w:line="420" w:lineRule="exact"/>
        <w:ind w:firstLine="480"/>
        <w:jc w:val="left"/>
        <w:textAlignment w:val="baseline"/>
        <w:rPr>
          <w:rFonts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.我们同意从规定的开标日期起遵循本响应文件，并在规定的询价有效期期满之前均具有约束力。</w:t>
      </w:r>
    </w:p>
    <w:p>
      <w:pPr>
        <w:adjustRightInd w:val="0"/>
        <w:spacing w:line="420" w:lineRule="exact"/>
        <w:ind w:firstLine="480"/>
        <w:jc w:val="left"/>
        <w:textAlignment w:val="baseline"/>
        <w:rPr>
          <w:rFonts w:ascii="宋体" w:hAnsi="宋体"/>
          <w:color w:val="auto"/>
          <w:sz w:val="24"/>
          <w:szCs w:val="21"/>
          <w:highlight w:val="none"/>
        </w:rPr>
      </w:pPr>
      <w:r>
        <w:rPr>
          <w:rFonts w:ascii="宋体" w:hAnsi="宋体"/>
          <w:color w:val="auto"/>
          <w:sz w:val="24"/>
          <w:szCs w:val="21"/>
          <w:highlight w:val="none"/>
        </w:rPr>
        <w:t>4</w:t>
      </w:r>
      <w:r>
        <w:rPr>
          <w:rFonts w:hint="eastAsia" w:ascii="宋体" w:hAnsi="宋体"/>
          <w:color w:val="auto"/>
          <w:sz w:val="24"/>
          <w:szCs w:val="21"/>
          <w:highlight w:val="none"/>
        </w:rPr>
        <w:t>.同意向贵方提供贵方可能另外要求的与询价有关的任何证据或资料，并保证我方已提供和将要提供的文件是真实的、准确的。</w:t>
      </w:r>
    </w:p>
    <w:p>
      <w:pPr>
        <w:adjustRightInd w:val="0"/>
        <w:spacing w:line="420" w:lineRule="exact"/>
        <w:ind w:firstLine="480"/>
        <w:jc w:val="left"/>
        <w:textAlignment w:val="baseline"/>
        <w:rPr>
          <w:rFonts w:ascii="宋体" w:hAnsi="宋体"/>
          <w:color w:val="auto"/>
          <w:sz w:val="24"/>
          <w:szCs w:val="21"/>
          <w:highlight w:val="none"/>
        </w:rPr>
      </w:pPr>
      <w:r>
        <w:rPr>
          <w:rFonts w:ascii="宋体" w:hAnsi="宋体"/>
          <w:color w:val="auto"/>
          <w:sz w:val="24"/>
          <w:szCs w:val="21"/>
          <w:highlight w:val="none"/>
        </w:rPr>
        <w:t>5</w:t>
      </w:r>
      <w:r>
        <w:rPr>
          <w:rFonts w:hint="eastAsia" w:ascii="宋体" w:hAnsi="宋体"/>
          <w:color w:val="auto"/>
          <w:sz w:val="24"/>
          <w:szCs w:val="21"/>
          <w:highlight w:val="none"/>
        </w:rPr>
        <w:t>.一旦我方成交,我方将根据询价文件的规定，严格履行合同的责任和义务,并保证在询价文件规定的时间完成项目，交付买方验收、使用。</w:t>
      </w:r>
    </w:p>
    <w:p>
      <w:pPr>
        <w:adjustRightInd w:val="0"/>
        <w:spacing w:line="420" w:lineRule="exact"/>
        <w:ind w:left="425"/>
        <w:jc w:val="left"/>
        <w:textAlignment w:val="baseline"/>
        <w:rPr>
          <w:rFonts w:ascii="宋体" w:hAnsi="宋体"/>
          <w:color w:val="auto"/>
          <w:sz w:val="24"/>
          <w:szCs w:val="21"/>
          <w:highlight w:val="none"/>
        </w:rPr>
      </w:pPr>
      <w:r>
        <w:rPr>
          <w:rFonts w:ascii="宋体" w:hAnsi="宋体"/>
          <w:color w:val="auto"/>
          <w:sz w:val="24"/>
          <w:szCs w:val="21"/>
          <w:highlight w:val="none"/>
        </w:rPr>
        <w:t>6</w:t>
      </w:r>
      <w:r>
        <w:rPr>
          <w:rFonts w:hint="eastAsia" w:ascii="宋体" w:hAnsi="宋体"/>
          <w:color w:val="auto"/>
          <w:sz w:val="24"/>
          <w:szCs w:val="21"/>
          <w:highlight w:val="none"/>
        </w:rPr>
        <w:t>.我方与本询价有关的正式通讯地址为：</w:t>
      </w:r>
    </w:p>
    <w:p>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地          址：</w:t>
      </w: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邮          编：</w:t>
      </w: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电          话：</w:t>
      </w: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传          真：</w:t>
      </w: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供应商开户行：</w:t>
      </w: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 xml:space="preserve">账          号： </w:t>
      </w:r>
    </w:p>
    <w:p>
      <w:pPr>
        <w:adjustRightInd w:val="0"/>
        <w:spacing w:line="420" w:lineRule="exact"/>
        <w:ind w:left="420" w:leftChars="200" w:firstLine="480" w:firstLineChars="200"/>
        <w:jc w:val="left"/>
        <w:textAlignment w:val="baseline"/>
        <w:rPr>
          <w:rFonts w:ascii="宋体" w:hAnsi="宋体"/>
          <w:color w:val="auto"/>
          <w:sz w:val="24"/>
          <w:szCs w:val="21"/>
          <w:highlight w:val="none"/>
        </w:rPr>
      </w:pPr>
      <w:r>
        <w:rPr>
          <w:rFonts w:hint="eastAsia" w:ascii="宋体" w:hAnsi="宋体"/>
          <w:color w:val="auto"/>
          <w:sz w:val="24"/>
          <w:szCs w:val="21"/>
          <w:highlight w:val="none"/>
        </w:rPr>
        <w:t>日           期：________年____月____日</w:t>
      </w:r>
    </w:p>
    <w:p>
      <w:pPr>
        <w:rPr>
          <w:rFonts w:ascii="宋体" w:hAnsi="宋体"/>
          <w:b/>
          <w:color w:val="auto"/>
          <w:sz w:val="32"/>
          <w:szCs w:val="32"/>
          <w:highlight w:val="none"/>
        </w:rPr>
      </w:pPr>
    </w:p>
    <w:p>
      <w:pPr>
        <w:pStyle w:val="2"/>
        <w:rPr>
          <w:rFonts w:hint="eastAsia" w:ascii="宋体" w:hAnsi="宋体" w:eastAsia="宋体" w:cs="宋体"/>
          <w:color w:val="auto"/>
          <w:sz w:val="32"/>
          <w:szCs w:val="32"/>
          <w:highlight w:val="none"/>
          <w:lang w:val="en-US" w:eastAsia="zh-CN"/>
        </w:rPr>
      </w:pPr>
    </w:p>
    <w:p>
      <w:pPr>
        <w:rPr>
          <w:rFonts w:hint="eastAsia" w:ascii="宋体" w:hAnsi="宋体" w:eastAsia="宋体" w:cs="宋体"/>
          <w:color w:val="auto"/>
          <w:sz w:val="32"/>
          <w:szCs w:val="32"/>
          <w:highlight w:val="none"/>
          <w:lang w:val="en-US" w:eastAsia="zh-CN"/>
        </w:rPr>
      </w:pPr>
    </w:p>
    <w:p>
      <w:pPr>
        <w:pStyle w:val="2"/>
        <w:rPr>
          <w:rFonts w:hint="default"/>
          <w:color w:val="auto"/>
          <w:highlight w:val="none"/>
          <w:lang w:val="en-US" w:eastAsia="zh-CN"/>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rPr>
      </w:pP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6</w:t>
      </w:r>
    </w:p>
    <w:p>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商务部分正负偏离表</w:t>
      </w: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采购文件要求的商务条款</w:t>
            </w:r>
          </w:p>
        </w:tc>
        <w:tc>
          <w:tcPr>
            <w:tcW w:w="1413"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pPr>
              <w:spacing w:line="340" w:lineRule="exact"/>
              <w:jc w:val="center"/>
              <w:rPr>
                <w:rFonts w:hint="eastAsia" w:ascii="宋体" w:hAnsi="宋体" w:eastAsia="宋体" w:cs="宋体"/>
                <w:color w:val="auto"/>
                <w:sz w:val="28"/>
                <w:szCs w:val="28"/>
                <w:highlight w:val="none"/>
              </w:rPr>
            </w:pPr>
          </w:p>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bl>
    <w:p>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1.如响应供应商提交的响应文件与采购文件第三部分“项目需求”中的商务部分的要求有偏离的，应逐条填列在偏离表中。未填写的内容视为完全响应本采购文件要求。</w:t>
      </w:r>
    </w:p>
    <w:p>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pPr>
        <w:spacing w:line="312" w:lineRule="auto"/>
        <w:ind w:firstLine="807" w:firstLineChars="287"/>
        <w:rPr>
          <w:rFonts w:hint="eastAsia" w:ascii="宋体" w:hAnsi="宋体" w:eastAsia="宋体" w:cs="宋体"/>
          <w:b/>
          <w:color w:val="auto"/>
          <w:sz w:val="28"/>
          <w:szCs w:val="28"/>
          <w:highlight w:val="none"/>
        </w:rPr>
      </w:pPr>
    </w:p>
    <w:p>
      <w:pPr>
        <w:spacing w:line="312" w:lineRule="auto"/>
        <w:ind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法定代表人（签字或盖章）：</w:t>
      </w:r>
    </w:p>
    <w:p>
      <w:pPr>
        <w:spacing w:line="312" w:lineRule="auto"/>
        <w:ind w:firstLine="1960" w:firstLineChars="7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日期：年月日</w:t>
      </w:r>
    </w:p>
    <w:p>
      <w:pPr>
        <w:widowControl/>
        <w:spacing w:line="312" w:lineRule="auto"/>
        <w:jc w:val="left"/>
        <w:rPr>
          <w:rFonts w:hint="eastAsia" w:ascii="宋体" w:hAnsi="宋体" w:eastAsia="宋体" w:cs="宋体"/>
          <w:b/>
          <w:bCs/>
          <w:color w:val="auto"/>
          <w:sz w:val="32"/>
          <w:szCs w:val="32"/>
          <w:highlight w:val="none"/>
        </w:rPr>
      </w:pPr>
      <w:r>
        <w:rPr>
          <w:rFonts w:hint="eastAsia" w:ascii="宋体" w:hAnsi="宋体" w:eastAsia="宋体" w:cs="宋体"/>
          <w:b/>
          <w:color w:val="auto"/>
          <w:sz w:val="24"/>
          <w:highlight w:val="none"/>
        </w:rPr>
        <w:br w:type="page"/>
      </w:r>
    </w:p>
    <w:p>
      <w:pPr>
        <w:widowControl/>
        <w:spacing w:line="312"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7</w:t>
      </w:r>
    </w:p>
    <w:p>
      <w:pPr>
        <w:snapToGrid w:val="0"/>
        <w:spacing w:line="300" w:lineRule="auto"/>
        <w:contextualSpacing/>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技术部分正负偏离表</w:t>
      </w:r>
    </w:p>
    <w:p>
      <w:pPr>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（由响应供应商据实填写，表格不够自行添加）</w:t>
      </w:r>
    </w:p>
    <w:tbl>
      <w:tblPr>
        <w:tblStyle w:val="13"/>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1"/>
        <w:gridCol w:w="1844"/>
        <w:gridCol w:w="2774"/>
        <w:gridCol w:w="2077"/>
        <w:gridCol w:w="114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1254"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采购文件要求的技术要求</w:t>
            </w:r>
          </w:p>
        </w:tc>
        <w:tc>
          <w:tcPr>
            <w:tcW w:w="1413" w:type="pct"/>
            <w:tcBorders>
              <w:top w:val="single" w:color="auto" w:sz="12" w:space="0"/>
              <w:left w:val="single" w:color="auto" w:sz="6" w:space="0"/>
              <w:bottom w:val="single" w:color="auto" w:sz="6" w:space="0"/>
              <w:right w:val="single" w:color="auto" w:sz="6" w:space="0"/>
            </w:tcBorders>
            <w:noWrap/>
            <w:vAlign w:val="center"/>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noWrap/>
          </w:tcPr>
          <w:p>
            <w:pPr>
              <w:spacing w:line="340" w:lineRule="exact"/>
              <w:jc w:val="center"/>
              <w:rPr>
                <w:rFonts w:hint="eastAsia" w:ascii="宋体" w:hAnsi="宋体" w:eastAsia="宋体" w:cs="宋体"/>
                <w:color w:val="auto"/>
                <w:sz w:val="28"/>
                <w:szCs w:val="28"/>
                <w:highlight w:val="none"/>
              </w:rPr>
            </w:pPr>
          </w:p>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noWrap/>
          </w:tcPr>
          <w:p>
            <w:pPr>
              <w:spacing w:line="340" w:lineRule="exact"/>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254"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095"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1413" w:type="pct"/>
            <w:tcBorders>
              <w:top w:val="single" w:color="auto" w:sz="6" w:space="0"/>
              <w:left w:val="single" w:color="auto" w:sz="6" w:space="0"/>
              <w:bottom w:val="single" w:color="auto" w:sz="6" w:space="0"/>
              <w:right w:val="single" w:color="auto" w:sz="6" w:space="0"/>
            </w:tcBorders>
            <w:noWrap/>
            <w:vAlign w:val="center"/>
          </w:tcPr>
          <w:p>
            <w:pPr>
              <w:spacing w:line="340" w:lineRule="exact"/>
              <w:jc w:val="left"/>
              <w:rPr>
                <w:rFonts w:hint="eastAsia" w:ascii="宋体" w:hAnsi="宋体" w:eastAsia="宋体" w:cs="宋体"/>
                <w:color w:val="auto"/>
                <w:sz w:val="28"/>
                <w:szCs w:val="28"/>
                <w:highlight w:val="none"/>
              </w:rPr>
            </w:pPr>
          </w:p>
        </w:tc>
        <w:tc>
          <w:tcPr>
            <w:tcW w:w="778" w:type="pct"/>
            <w:tcBorders>
              <w:top w:val="single" w:color="auto" w:sz="6" w:space="0"/>
              <w:left w:val="single" w:color="auto" w:sz="6" w:space="0"/>
              <w:bottom w:val="single" w:color="auto" w:sz="6" w:space="0"/>
              <w:right w:val="single" w:color="auto" w:sz="12" w:space="0"/>
            </w:tcBorders>
            <w:noWrap/>
          </w:tcPr>
          <w:p>
            <w:pPr>
              <w:spacing w:line="340" w:lineRule="exact"/>
              <w:jc w:val="left"/>
              <w:rPr>
                <w:rFonts w:hint="eastAsia" w:ascii="宋体" w:hAnsi="宋体" w:eastAsia="宋体" w:cs="宋体"/>
                <w:color w:val="auto"/>
                <w:sz w:val="28"/>
                <w:szCs w:val="28"/>
                <w:highlight w:val="none"/>
              </w:rPr>
            </w:pPr>
          </w:p>
        </w:tc>
      </w:tr>
    </w:tbl>
    <w:p>
      <w:pPr>
        <w:snapToGrid w:val="0"/>
        <w:spacing w:line="300" w:lineRule="auto"/>
        <w:contextualSpacing/>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注：</w:t>
      </w:r>
    </w:p>
    <w:p>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1.如响应供应商提交的响应文件与采购文件第三部分“项目需求”中的技术部分的要求有偏离的，应逐条填列在偏离表中。未填写的内容视为完全响应本采购文件要求。</w:t>
      </w:r>
    </w:p>
    <w:p>
      <w:pPr>
        <w:snapToGrid w:val="0"/>
        <w:spacing w:line="300" w:lineRule="auto"/>
        <w:ind w:firstLine="560" w:firstLineChars="200"/>
        <w:contextualSpacing/>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2.“偏离说明”一栏选择“正偏离”、“负偏离”、“无偏离”进行填写。正偏离的确认和负偏离的是否响应采购文件，由询价小组认定。</w:t>
      </w:r>
    </w:p>
    <w:p>
      <w:pPr>
        <w:snapToGrid w:val="0"/>
        <w:spacing w:line="300" w:lineRule="auto"/>
        <w:ind w:firstLine="560" w:firstLineChars="200"/>
        <w:contextualSpacing/>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3.供应商若提供其他增值服务，可以在表中自行据实填写。</w:t>
      </w:r>
    </w:p>
    <w:p>
      <w:pPr>
        <w:spacing w:line="312" w:lineRule="auto"/>
        <w:ind w:firstLine="2520" w:firstLineChars="9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响应供应商全称（盖公章）：</w:t>
      </w:r>
    </w:p>
    <w:p>
      <w:pPr>
        <w:spacing w:line="312" w:lineRule="auto"/>
        <w:ind w:left="480" w:firstLine="1960" w:firstLineChars="7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法定代表人（签字或盖章）：</w:t>
      </w:r>
    </w:p>
    <w:p>
      <w:pPr>
        <w:spacing w:line="312" w:lineRule="auto"/>
        <w:ind w:firstLine="2520" w:firstLineChars="900"/>
        <w:rPr>
          <w:rFonts w:hint="eastAsia" w:ascii="宋体" w:hAnsi="宋体" w:eastAsia="宋体" w:cs="宋体"/>
          <w:color w:val="auto"/>
          <w:sz w:val="28"/>
          <w:szCs w:val="28"/>
          <w:highlight w:val="none"/>
        </w:rPr>
      </w:pPr>
      <w:bookmarkStart w:id="59" w:name="_Toc71282465"/>
      <w:bookmarkStart w:id="60" w:name="_Toc71282604"/>
      <w:bookmarkStart w:id="61" w:name="_Toc71282449"/>
      <w:r>
        <w:rPr>
          <w:rFonts w:hint="eastAsia" w:ascii="宋体" w:hAnsi="宋体" w:eastAsia="宋体" w:cs="宋体"/>
          <w:color w:val="auto"/>
          <w:sz w:val="28"/>
          <w:szCs w:val="28"/>
          <w:highlight w:val="none"/>
        </w:rPr>
        <w:t>日期：年月日</w:t>
      </w:r>
      <w:bookmarkEnd w:id="59"/>
      <w:bookmarkEnd w:id="60"/>
      <w:bookmarkEnd w:id="61"/>
    </w:p>
    <w:p>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8</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报价总表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eastAsia="宋体"/>
          <w:color w:val="auto"/>
          <w:highlight w:val="none"/>
          <w:lang w:val="en-US" w:eastAsia="zh-CN"/>
        </w:rPr>
      </w:pPr>
      <w:r>
        <w:rPr>
          <w:rFonts w:hint="eastAsia" w:ascii="宋体" w:hAnsi="宋体" w:eastAsia="宋体" w:cs="宋体"/>
          <w:color w:val="auto"/>
          <w:kern w:val="0"/>
          <w:sz w:val="28"/>
          <w:szCs w:val="28"/>
          <w:highlight w:val="none"/>
        </w:rPr>
        <w:t>项目名称：</w:t>
      </w:r>
    </w:p>
    <w:tbl>
      <w:tblPr>
        <w:tblStyle w:val="13"/>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响应货物、服务名称</w:t>
            </w:r>
          </w:p>
        </w:tc>
        <w:tc>
          <w:tcPr>
            <w:tcW w:w="4607" w:type="dxa"/>
            <w:noWrap/>
          </w:tcPr>
          <w:p>
            <w:pPr>
              <w:jc w:val="cente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响应总报价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pPr>
              <w:rPr>
                <w:rFonts w:hint="eastAsia" w:ascii="宋体" w:hAnsi="宋体" w:eastAsia="宋体" w:cs="宋体"/>
                <w:color w:val="auto"/>
                <w:szCs w:val="22"/>
                <w:highlight w:val="none"/>
              </w:rPr>
            </w:pPr>
          </w:p>
        </w:tc>
        <w:tc>
          <w:tcPr>
            <w:tcW w:w="4607" w:type="dxa"/>
            <w:noWrap/>
          </w:tcPr>
          <w:p>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大写：</w:t>
            </w:r>
            <w:r>
              <w:rPr>
                <w:rFonts w:hint="eastAsia" w:ascii="宋体" w:hAnsi="宋体" w:eastAsia="宋体" w:cs="宋体"/>
                <w:color w:val="auto"/>
                <w:kern w:val="0"/>
                <w:sz w:val="28"/>
                <w:szCs w:val="28"/>
                <w:highlight w:val="none"/>
              </w:rPr>
              <w:br w:type="textWrapping"/>
            </w:r>
          </w:p>
          <w:p>
            <w:pPr>
              <w:rPr>
                <w:rFonts w:hint="eastAsia" w:ascii="宋体" w:hAnsi="宋体" w:eastAsia="宋体" w:cs="宋体"/>
                <w:color w:val="auto"/>
                <w:szCs w:val="22"/>
                <w:highlight w:val="none"/>
                <w:u w:val="single"/>
              </w:rPr>
            </w:pPr>
            <w:r>
              <w:rPr>
                <w:rFonts w:hint="eastAsia" w:ascii="宋体" w:hAnsi="宋体" w:eastAsia="宋体" w:cs="宋体"/>
                <w:color w:val="auto"/>
                <w:kern w:val="0"/>
                <w:sz w:val="28"/>
                <w:szCs w:val="28"/>
                <w:highlight w:val="none"/>
              </w:rPr>
              <w:t>小写：</w:t>
            </w:r>
            <w:r>
              <w:rPr>
                <w:rFonts w:hint="eastAsia" w:ascii="宋体" w:hAnsi="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pPr>
              <w:rPr>
                <w:rFonts w:hint="eastAsia" w:ascii="宋体" w:hAnsi="宋体" w:eastAsia="宋体" w:cs="宋体"/>
                <w:color w:val="auto"/>
                <w:szCs w:val="22"/>
                <w:highlight w:val="none"/>
              </w:rPr>
            </w:pPr>
            <w:r>
              <w:rPr>
                <w:rFonts w:hint="eastAsia" w:ascii="宋体" w:hAnsi="宋体" w:eastAsia="宋体" w:cs="宋体"/>
                <w:color w:val="auto"/>
                <w:kern w:val="0"/>
                <w:sz w:val="28"/>
                <w:szCs w:val="28"/>
                <w:highlight w:val="none"/>
              </w:rPr>
              <w:t>主要货物、服务制造商及产地</w:t>
            </w:r>
          </w:p>
        </w:tc>
        <w:tc>
          <w:tcPr>
            <w:tcW w:w="4607" w:type="dxa"/>
            <w:noWrap/>
          </w:tcPr>
          <w:p>
            <w:pPr>
              <w:rPr>
                <w:rFonts w:hint="eastAsia" w:ascii="宋体" w:hAnsi="宋体" w:eastAsia="宋体" w:cs="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pPr>
              <w:rPr>
                <w:rFonts w:hint="eastAsia" w:ascii="宋体" w:hAnsi="宋体" w:eastAsia="宋体" w:cs="宋体"/>
                <w:color w:val="auto"/>
                <w:szCs w:val="22"/>
                <w:highlight w:val="none"/>
              </w:rPr>
            </w:pPr>
          </w:p>
        </w:tc>
        <w:tc>
          <w:tcPr>
            <w:tcW w:w="4607" w:type="dxa"/>
            <w:noWrap/>
          </w:tcPr>
          <w:p>
            <w:pPr>
              <w:rPr>
                <w:rFonts w:hint="eastAsia" w:ascii="宋体" w:hAnsi="宋体" w:eastAsia="宋体" w:cs="宋体"/>
                <w:color w:val="auto"/>
                <w:szCs w:val="22"/>
                <w:highlight w:val="none"/>
              </w:rPr>
            </w:pPr>
          </w:p>
        </w:tc>
      </w:tr>
    </w:tbl>
    <w:p>
      <w:pPr>
        <w:spacing w:line="440" w:lineRule="exact"/>
        <w:jc w:val="left"/>
        <w:rPr>
          <w:rFonts w:hint="eastAsia" w:ascii="宋体" w:hAnsi="宋体" w:eastAsia="宋体" w:cs="宋体"/>
          <w:color w:val="auto"/>
          <w:spacing w:val="4"/>
          <w:sz w:val="28"/>
          <w:szCs w:val="28"/>
          <w:highlight w:val="none"/>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lang w:val="en-US" w:eastAsia="zh-CN"/>
        </w:rPr>
        <w:t>响应供应商全称(盖公章)</w:t>
      </w:r>
      <w:r>
        <w:rPr>
          <w:rFonts w:hint="eastAsia" w:ascii="宋体" w:hAnsi="宋体" w:eastAsia="宋体" w:cs="宋体"/>
          <w:color w:val="auto"/>
          <w:spacing w:val="4"/>
          <w:sz w:val="28"/>
          <w:szCs w:val="28"/>
          <w:highlight w:val="none"/>
        </w:rPr>
        <w:t>：</w:t>
      </w:r>
    </w:p>
    <w:p>
      <w:pPr>
        <w:keepNext w:val="0"/>
        <w:keepLines w:val="0"/>
        <w:pageBreakBefore w:val="0"/>
        <w:kinsoku/>
        <w:wordWrap/>
        <w:overflowPunct/>
        <w:topLinePunct w:val="0"/>
        <w:autoSpaceDE/>
        <w:autoSpaceDN/>
        <w:bidi w:val="0"/>
        <w:adjustRightInd/>
        <w:snapToGrid/>
        <w:spacing w:beforeAutospacing="0" w:afterAutospacing="0" w:line="480" w:lineRule="auto"/>
        <w:jc w:val="left"/>
        <w:textAlignment w:val="auto"/>
        <w:rPr>
          <w:rFonts w:hint="eastAsia"/>
          <w:color w:val="auto"/>
          <w:highlight w:val="none"/>
        </w:rPr>
      </w:pPr>
      <w:r>
        <w:rPr>
          <w:rFonts w:hint="eastAsia" w:ascii="宋体" w:hAnsi="宋体" w:eastAsia="宋体" w:cs="宋体"/>
          <w:color w:val="auto"/>
          <w:spacing w:val="4"/>
          <w:sz w:val="28"/>
          <w:szCs w:val="28"/>
          <w:highlight w:val="none"/>
        </w:rPr>
        <w:t>法定代表人被授权人（签字或盖章）：</w:t>
      </w:r>
    </w:p>
    <w:p>
      <w:pPr>
        <w:pStyle w:val="2"/>
        <w:keepNext w:val="0"/>
        <w:keepLines w:val="0"/>
        <w:pageBreakBefore w:val="0"/>
        <w:kinsoku/>
        <w:wordWrap/>
        <w:overflowPunct/>
        <w:topLinePunct w:val="0"/>
        <w:autoSpaceDE/>
        <w:autoSpaceDN/>
        <w:bidi w:val="0"/>
        <w:adjustRightInd/>
        <w:snapToGrid/>
        <w:spacing w:beforeAutospacing="0" w:after="0" w:afterAutospacing="0" w:line="480" w:lineRule="auto"/>
        <w:textAlignment w:val="auto"/>
        <w:rPr>
          <w:rFonts w:hint="eastAsia" w:ascii="宋体" w:hAnsi="宋体" w:eastAsia="宋体" w:cs="宋体"/>
          <w:color w:val="auto"/>
          <w:spacing w:val="4"/>
          <w:sz w:val="28"/>
          <w:szCs w:val="28"/>
          <w:highlight w:val="none"/>
        </w:rPr>
      </w:pPr>
      <w:r>
        <w:rPr>
          <w:rFonts w:hint="eastAsia" w:ascii="宋体" w:hAnsi="宋体" w:cs="宋体"/>
          <w:color w:val="auto"/>
          <w:spacing w:val="4"/>
          <w:sz w:val="28"/>
          <w:szCs w:val="28"/>
          <w:highlight w:val="none"/>
          <w:lang w:val="en-US" w:eastAsia="zh-CN"/>
        </w:rPr>
        <w:t>联系电话：</w:t>
      </w:r>
    </w:p>
    <w:p>
      <w:pPr>
        <w:keepNext w:val="0"/>
        <w:keepLines w:val="0"/>
        <w:pageBreakBefore w:val="0"/>
        <w:kinsoku/>
        <w:wordWrap/>
        <w:overflowPunct/>
        <w:topLinePunct w:val="0"/>
        <w:autoSpaceDE/>
        <w:autoSpaceDN/>
        <w:bidi w:val="0"/>
        <w:adjustRightInd/>
        <w:snapToGrid/>
        <w:spacing w:beforeAutospacing="0" w:afterAutospacing="0" w:line="480" w:lineRule="auto"/>
        <w:jc w:val="left"/>
        <w:textAlignment w:val="auto"/>
        <w:rPr>
          <w:rFonts w:hint="eastAsia" w:ascii="宋体" w:hAnsi="宋体" w:eastAsia="宋体" w:cs="宋体"/>
          <w:color w:val="auto"/>
          <w:spacing w:val="4"/>
          <w:sz w:val="28"/>
          <w:szCs w:val="28"/>
          <w:highlight w:val="none"/>
        </w:rPr>
      </w:pPr>
      <w:r>
        <w:rPr>
          <w:rFonts w:hint="eastAsia" w:ascii="宋体" w:hAnsi="宋体" w:eastAsia="宋体" w:cs="宋体"/>
          <w:color w:val="auto"/>
          <w:spacing w:val="4"/>
          <w:sz w:val="28"/>
          <w:szCs w:val="28"/>
          <w:highlight w:val="none"/>
        </w:rPr>
        <w:t>日期：   年</w:t>
      </w:r>
      <w:r>
        <w:rPr>
          <w:rFonts w:hint="eastAsia" w:ascii="宋体" w:hAnsi="宋体" w:eastAsia="宋体" w:cs="宋体"/>
          <w:color w:val="auto"/>
          <w:spacing w:val="4"/>
          <w:sz w:val="28"/>
          <w:szCs w:val="28"/>
          <w:highlight w:val="none"/>
          <w:lang w:val="en-US" w:eastAsia="zh-CN"/>
        </w:rPr>
        <w:t xml:space="preserve"> </w:t>
      </w:r>
      <w:r>
        <w:rPr>
          <w:rFonts w:hint="eastAsia" w:ascii="宋体" w:hAnsi="宋体" w:eastAsia="宋体" w:cs="宋体"/>
          <w:color w:val="auto"/>
          <w:spacing w:val="4"/>
          <w:sz w:val="28"/>
          <w:szCs w:val="28"/>
          <w:highlight w:val="none"/>
        </w:rPr>
        <w:t xml:space="preserve"> 月  日</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宋体" w:hAnsi="宋体" w:eastAsia="宋体" w:cs="宋体"/>
          <w:b/>
          <w:color w:val="auto"/>
          <w:sz w:val="28"/>
          <w:szCs w:val="28"/>
          <w:highlight w:val="none"/>
        </w:rPr>
        <w:sectPr>
          <w:footerReference r:id="rId5" w:type="default"/>
          <w:footerReference r:id="rId6" w:type="even"/>
          <w:pgSz w:w="11906" w:h="16838"/>
          <w:pgMar w:top="1440" w:right="1800" w:bottom="1440" w:left="1800" w:header="851" w:footer="992" w:gutter="0"/>
          <w:pgNumType w:fmt="decimal"/>
          <w:cols w:space="720" w:num="1"/>
          <w:docGrid w:linePitch="360" w:charSpace="0"/>
        </w:sectPr>
      </w:pPr>
    </w:p>
    <w:p>
      <w:pPr>
        <w:spacing w:line="312" w:lineRule="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9</w:t>
      </w:r>
    </w:p>
    <w:p>
      <w:pPr>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分项报价明细表（货物类）</w:t>
      </w:r>
    </w:p>
    <w:tbl>
      <w:tblPr>
        <w:tblStyle w:val="13"/>
        <w:tblW w:w="10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8"/>
        <w:gridCol w:w="952"/>
        <w:gridCol w:w="1320"/>
        <w:gridCol w:w="837"/>
        <w:gridCol w:w="958"/>
        <w:gridCol w:w="709"/>
        <w:gridCol w:w="708"/>
        <w:gridCol w:w="886"/>
        <w:gridCol w:w="1399"/>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exact"/>
          <w:jc w:val="center"/>
        </w:trPr>
        <w:tc>
          <w:tcPr>
            <w:tcW w:w="1248"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952"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名称</w:t>
            </w:r>
          </w:p>
        </w:tc>
        <w:tc>
          <w:tcPr>
            <w:tcW w:w="1320"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规格型号</w:t>
            </w:r>
          </w:p>
        </w:tc>
        <w:tc>
          <w:tcPr>
            <w:tcW w:w="837"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品牌</w:t>
            </w:r>
          </w:p>
        </w:tc>
        <w:tc>
          <w:tcPr>
            <w:tcW w:w="958" w:type="dxa"/>
          </w:tcPr>
          <w:p>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生产厂家名称</w:t>
            </w:r>
          </w:p>
        </w:tc>
        <w:tc>
          <w:tcPr>
            <w:tcW w:w="709"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单位</w:t>
            </w:r>
          </w:p>
        </w:tc>
        <w:tc>
          <w:tcPr>
            <w:tcW w:w="708"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数量</w:t>
            </w:r>
          </w:p>
        </w:tc>
        <w:tc>
          <w:tcPr>
            <w:tcW w:w="886"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单价</w:t>
            </w:r>
          </w:p>
        </w:tc>
        <w:tc>
          <w:tcPr>
            <w:tcW w:w="1399"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金额小计</w:t>
            </w:r>
          </w:p>
        </w:tc>
        <w:tc>
          <w:tcPr>
            <w:tcW w:w="1506" w:type="dxa"/>
            <w:noWrap/>
            <w:vAlign w:val="center"/>
          </w:tcPr>
          <w:p>
            <w:pPr>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r>
              <w:rPr>
                <w:rFonts w:hint="eastAsia" w:ascii="宋体" w:hAnsi="宋体" w:eastAsia="宋体" w:cs="宋体"/>
                <w:b/>
                <w:color w:val="auto"/>
                <w:szCs w:val="21"/>
                <w:highlight w:val="none"/>
              </w:rPr>
              <w:t>（是否为主要标的）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837" w:type="dxa"/>
            <w:noWrap/>
            <w:vAlign w:val="center"/>
          </w:tcPr>
          <w:p>
            <w:pPr>
              <w:jc w:val="center"/>
              <w:rPr>
                <w:rFonts w:hint="eastAsia" w:ascii="宋体" w:hAnsi="宋体" w:eastAsia="宋体" w:cs="宋体"/>
                <w:color w:val="auto"/>
                <w:kern w:val="0"/>
                <w:sz w:val="24"/>
                <w:highlight w:val="none"/>
              </w:rPr>
            </w:pPr>
          </w:p>
        </w:tc>
        <w:tc>
          <w:tcPr>
            <w:tcW w:w="958" w:type="dxa"/>
          </w:tcPr>
          <w:p>
            <w:pPr>
              <w:jc w:val="center"/>
              <w:rPr>
                <w:rFonts w:hint="eastAsia" w:ascii="宋体" w:hAnsi="宋体" w:eastAsia="宋体" w:cs="宋体"/>
                <w:color w:val="auto"/>
                <w:kern w:val="0"/>
                <w:sz w:val="24"/>
                <w:highlight w:val="none"/>
              </w:rPr>
            </w:pPr>
          </w:p>
        </w:tc>
        <w:tc>
          <w:tcPr>
            <w:tcW w:w="709" w:type="dxa"/>
            <w:noWrap/>
            <w:vAlign w:val="center"/>
          </w:tcPr>
          <w:p>
            <w:pPr>
              <w:jc w:val="center"/>
              <w:rPr>
                <w:rFonts w:hint="eastAsia" w:ascii="宋体" w:hAnsi="宋体" w:eastAsia="宋体" w:cs="宋体"/>
                <w:color w:val="auto"/>
                <w:kern w:val="0"/>
                <w:sz w:val="24"/>
                <w:highlight w:val="none"/>
              </w:rPr>
            </w:pPr>
          </w:p>
        </w:tc>
        <w:tc>
          <w:tcPr>
            <w:tcW w:w="708"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837" w:type="dxa"/>
            <w:noWrap/>
            <w:vAlign w:val="center"/>
          </w:tcPr>
          <w:p>
            <w:pPr>
              <w:jc w:val="center"/>
              <w:rPr>
                <w:rFonts w:hint="eastAsia" w:ascii="宋体" w:hAnsi="宋体" w:eastAsia="宋体" w:cs="宋体"/>
                <w:color w:val="auto"/>
                <w:kern w:val="0"/>
                <w:sz w:val="24"/>
                <w:highlight w:val="none"/>
              </w:rPr>
            </w:pPr>
          </w:p>
        </w:tc>
        <w:tc>
          <w:tcPr>
            <w:tcW w:w="958" w:type="dxa"/>
          </w:tcPr>
          <w:p>
            <w:pPr>
              <w:jc w:val="center"/>
              <w:rPr>
                <w:rFonts w:hint="eastAsia" w:ascii="宋体" w:hAnsi="宋体" w:eastAsia="宋体" w:cs="宋体"/>
                <w:color w:val="auto"/>
                <w:kern w:val="0"/>
                <w:sz w:val="24"/>
                <w:highlight w:val="none"/>
              </w:rPr>
            </w:pPr>
          </w:p>
        </w:tc>
        <w:tc>
          <w:tcPr>
            <w:tcW w:w="709" w:type="dxa"/>
            <w:noWrap/>
            <w:vAlign w:val="center"/>
          </w:tcPr>
          <w:p>
            <w:pPr>
              <w:jc w:val="center"/>
              <w:rPr>
                <w:rFonts w:hint="eastAsia" w:ascii="宋体" w:hAnsi="宋体" w:eastAsia="宋体" w:cs="宋体"/>
                <w:color w:val="auto"/>
                <w:kern w:val="0"/>
                <w:sz w:val="24"/>
                <w:highlight w:val="none"/>
              </w:rPr>
            </w:pPr>
          </w:p>
        </w:tc>
        <w:tc>
          <w:tcPr>
            <w:tcW w:w="708"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952" w:type="dxa"/>
            <w:noWrap/>
            <w:vAlign w:val="center"/>
          </w:tcPr>
          <w:p>
            <w:pPr>
              <w:jc w:val="center"/>
              <w:rPr>
                <w:rFonts w:hint="eastAsia" w:ascii="宋体" w:hAnsi="宋体" w:eastAsia="宋体" w:cs="宋体"/>
                <w:color w:val="auto"/>
                <w:kern w:val="0"/>
                <w:sz w:val="24"/>
                <w:highlight w:val="none"/>
              </w:rPr>
            </w:pPr>
          </w:p>
        </w:tc>
        <w:tc>
          <w:tcPr>
            <w:tcW w:w="1320" w:type="dxa"/>
            <w:noWrap/>
            <w:vAlign w:val="center"/>
          </w:tcPr>
          <w:p>
            <w:pPr>
              <w:jc w:val="center"/>
              <w:rPr>
                <w:rFonts w:hint="eastAsia" w:ascii="宋体" w:hAnsi="宋体" w:eastAsia="宋体" w:cs="宋体"/>
                <w:color w:val="auto"/>
                <w:kern w:val="0"/>
                <w:sz w:val="24"/>
                <w:highlight w:val="none"/>
              </w:rPr>
            </w:pPr>
          </w:p>
        </w:tc>
        <w:tc>
          <w:tcPr>
            <w:tcW w:w="837" w:type="dxa"/>
            <w:noWrap/>
            <w:vAlign w:val="center"/>
          </w:tcPr>
          <w:p>
            <w:pPr>
              <w:jc w:val="center"/>
              <w:rPr>
                <w:rFonts w:hint="eastAsia" w:ascii="宋体" w:hAnsi="宋体" w:eastAsia="宋体" w:cs="宋体"/>
                <w:color w:val="auto"/>
                <w:kern w:val="0"/>
                <w:sz w:val="24"/>
                <w:highlight w:val="none"/>
              </w:rPr>
            </w:pPr>
          </w:p>
        </w:tc>
        <w:tc>
          <w:tcPr>
            <w:tcW w:w="958" w:type="dxa"/>
          </w:tcPr>
          <w:p>
            <w:pPr>
              <w:jc w:val="center"/>
              <w:rPr>
                <w:rFonts w:hint="eastAsia" w:ascii="宋体" w:hAnsi="宋体" w:eastAsia="宋体" w:cs="宋体"/>
                <w:color w:val="auto"/>
                <w:kern w:val="0"/>
                <w:sz w:val="24"/>
                <w:highlight w:val="none"/>
              </w:rPr>
            </w:pPr>
          </w:p>
        </w:tc>
        <w:tc>
          <w:tcPr>
            <w:tcW w:w="709" w:type="dxa"/>
            <w:noWrap/>
            <w:vAlign w:val="center"/>
          </w:tcPr>
          <w:p>
            <w:pPr>
              <w:jc w:val="center"/>
              <w:rPr>
                <w:rFonts w:hint="eastAsia" w:ascii="宋体" w:hAnsi="宋体" w:eastAsia="宋体" w:cs="宋体"/>
                <w:color w:val="auto"/>
                <w:kern w:val="0"/>
                <w:sz w:val="24"/>
                <w:highlight w:val="none"/>
              </w:rPr>
            </w:pPr>
          </w:p>
        </w:tc>
        <w:tc>
          <w:tcPr>
            <w:tcW w:w="708" w:type="dxa"/>
            <w:noWrap/>
            <w:vAlign w:val="center"/>
          </w:tcPr>
          <w:p>
            <w:pPr>
              <w:jc w:val="center"/>
              <w:rPr>
                <w:rFonts w:hint="eastAsia" w:ascii="宋体" w:hAnsi="宋体" w:eastAsia="宋体" w:cs="宋体"/>
                <w:color w:val="auto"/>
                <w:kern w:val="0"/>
                <w:sz w:val="24"/>
                <w:highlight w:val="none"/>
              </w:rPr>
            </w:pPr>
          </w:p>
        </w:tc>
        <w:tc>
          <w:tcPr>
            <w:tcW w:w="886" w:type="dxa"/>
            <w:noWrap/>
            <w:vAlign w:val="center"/>
          </w:tcPr>
          <w:p>
            <w:pPr>
              <w:jc w:val="center"/>
              <w:rPr>
                <w:rFonts w:hint="eastAsia" w:ascii="宋体" w:hAnsi="宋体" w:eastAsia="宋体" w:cs="宋体"/>
                <w:color w:val="auto"/>
                <w:kern w:val="0"/>
                <w:sz w:val="24"/>
                <w:highlight w:val="none"/>
              </w:rPr>
            </w:pPr>
          </w:p>
        </w:tc>
        <w:tc>
          <w:tcPr>
            <w:tcW w:w="1399" w:type="dxa"/>
            <w:noWrap/>
            <w:vAlign w:val="center"/>
          </w:tcPr>
          <w:p>
            <w:pPr>
              <w:jc w:val="center"/>
              <w:rPr>
                <w:rFonts w:hint="eastAsia" w:ascii="宋体" w:hAnsi="宋体" w:eastAsia="宋体" w:cs="宋体"/>
                <w:color w:val="auto"/>
                <w:kern w:val="0"/>
                <w:sz w:val="24"/>
                <w:highlight w:val="none"/>
              </w:rPr>
            </w:pPr>
          </w:p>
        </w:tc>
        <w:tc>
          <w:tcPr>
            <w:tcW w:w="1506" w:type="dxa"/>
            <w:noWrap/>
            <w:vAlign w:val="center"/>
          </w:tcPr>
          <w:p>
            <w:pPr>
              <w:jc w:val="center"/>
              <w:rPr>
                <w:rFonts w:hint="eastAsia" w:ascii="宋体" w:hAnsi="宋体" w:eastAsia="宋体" w:cs="宋体"/>
                <w:color w:val="auto"/>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248" w:type="dxa"/>
            <w:noWrap/>
            <w:vAlign w:val="center"/>
          </w:tcPr>
          <w:p>
            <w:pPr>
              <w:snapToGrid w:val="0"/>
              <w:spacing w:line="360" w:lineRule="auto"/>
              <w:jc w:val="center"/>
              <w:rPr>
                <w:rFonts w:hint="eastAsia" w:ascii="宋体" w:hAnsi="宋体" w:eastAsia="宋体" w:cs="宋体"/>
                <w:color w:val="auto"/>
                <w:sz w:val="24"/>
                <w:highlight w:val="none"/>
              </w:rPr>
            </w:pPr>
          </w:p>
        </w:tc>
        <w:tc>
          <w:tcPr>
            <w:tcW w:w="952" w:type="dxa"/>
            <w:noWrap/>
            <w:vAlign w:val="center"/>
          </w:tcPr>
          <w:p>
            <w:pPr>
              <w:snapToGrid w:val="0"/>
              <w:spacing w:line="360" w:lineRule="auto"/>
              <w:jc w:val="center"/>
              <w:rPr>
                <w:rFonts w:hint="eastAsia" w:ascii="宋体" w:hAnsi="宋体" w:eastAsia="宋体" w:cs="宋体"/>
                <w:color w:val="auto"/>
                <w:sz w:val="24"/>
                <w:highlight w:val="none"/>
              </w:rPr>
            </w:pPr>
          </w:p>
        </w:tc>
        <w:tc>
          <w:tcPr>
            <w:tcW w:w="1320" w:type="dxa"/>
            <w:noWrap/>
            <w:vAlign w:val="center"/>
          </w:tcPr>
          <w:p>
            <w:pPr>
              <w:snapToGrid w:val="0"/>
              <w:spacing w:line="360" w:lineRule="auto"/>
              <w:jc w:val="center"/>
              <w:rPr>
                <w:rFonts w:hint="eastAsia" w:ascii="宋体" w:hAnsi="宋体" w:eastAsia="宋体" w:cs="宋体"/>
                <w:color w:val="auto"/>
                <w:sz w:val="24"/>
                <w:highlight w:val="none"/>
              </w:rPr>
            </w:pPr>
          </w:p>
        </w:tc>
        <w:tc>
          <w:tcPr>
            <w:tcW w:w="837" w:type="dxa"/>
            <w:noWrap/>
            <w:vAlign w:val="center"/>
          </w:tcPr>
          <w:p>
            <w:pPr>
              <w:snapToGrid w:val="0"/>
              <w:spacing w:line="360" w:lineRule="auto"/>
              <w:jc w:val="center"/>
              <w:rPr>
                <w:rFonts w:hint="eastAsia" w:ascii="宋体" w:hAnsi="宋体" w:eastAsia="宋体" w:cs="宋体"/>
                <w:color w:val="auto"/>
                <w:sz w:val="24"/>
                <w:highlight w:val="none"/>
              </w:rPr>
            </w:pPr>
          </w:p>
        </w:tc>
        <w:tc>
          <w:tcPr>
            <w:tcW w:w="958" w:type="dxa"/>
          </w:tcPr>
          <w:p>
            <w:pPr>
              <w:snapToGrid w:val="0"/>
              <w:spacing w:line="360" w:lineRule="auto"/>
              <w:jc w:val="center"/>
              <w:rPr>
                <w:rFonts w:hint="eastAsia" w:ascii="宋体" w:hAnsi="宋体" w:eastAsia="宋体" w:cs="宋体"/>
                <w:color w:val="auto"/>
                <w:sz w:val="24"/>
                <w:highlight w:val="none"/>
              </w:rPr>
            </w:pPr>
          </w:p>
        </w:tc>
        <w:tc>
          <w:tcPr>
            <w:tcW w:w="709" w:type="dxa"/>
            <w:noWrap/>
            <w:vAlign w:val="center"/>
          </w:tcPr>
          <w:p>
            <w:pPr>
              <w:snapToGrid w:val="0"/>
              <w:spacing w:line="360" w:lineRule="auto"/>
              <w:jc w:val="center"/>
              <w:rPr>
                <w:rFonts w:hint="eastAsia" w:ascii="宋体" w:hAnsi="宋体" w:eastAsia="宋体" w:cs="宋体"/>
                <w:color w:val="auto"/>
                <w:sz w:val="24"/>
                <w:highlight w:val="none"/>
              </w:rPr>
            </w:pPr>
          </w:p>
        </w:tc>
        <w:tc>
          <w:tcPr>
            <w:tcW w:w="708" w:type="dxa"/>
            <w:noWrap/>
            <w:vAlign w:val="center"/>
          </w:tcPr>
          <w:p>
            <w:pPr>
              <w:snapToGrid w:val="0"/>
              <w:spacing w:line="360" w:lineRule="auto"/>
              <w:jc w:val="center"/>
              <w:rPr>
                <w:rFonts w:hint="eastAsia" w:ascii="宋体" w:hAnsi="宋体" w:eastAsia="宋体" w:cs="宋体"/>
                <w:color w:val="auto"/>
                <w:sz w:val="24"/>
                <w:highlight w:val="none"/>
              </w:rPr>
            </w:pPr>
          </w:p>
        </w:tc>
        <w:tc>
          <w:tcPr>
            <w:tcW w:w="886" w:type="dxa"/>
            <w:noWrap/>
            <w:vAlign w:val="center"/>
          </w:tcPr>
          <w:p>
            <w:pPr>
              <w:snapToGrid w:val="0"/>
              <w:spacing w:line="360" w:lineRule="auto"/>
              <w:jc w:val="center"/>
              <w:rPr>
                <w:rFonts w:hint="eastAsia" w:ascii="宋体" w:hAnsi="宋体" w:eastAsia="宋体" w:cs="宋体"/>
                <w:color w:val="auto"/>
                <w:sz w:val="24"/>
                <w:highlight w:val="none"/>
              </w:rPr>
            </w:pPr>
          </w:p>
        </w:tc>
        <w:tc>
          <w:tcPr>
            <w:tcW w:w="1399" w:type="dxa"/>
            <w:noWrap/>
            <w:vAlign w:val="center"/>
          </w:tcPr>
          <w:p>
            <w:pPr>
              <w:snapToGrid w:val="0"/>
              <w:spacing w:line="360" w:lineRule="auto"/>
              <w:jc w:val="center"/>
              <w:rPr>
                <w:rFonts w:hint="eastAsia" w:ascii="宋体" w:hAnsi="宋体" w:eastAsia="宋体" w:cs="宋体"/>
                <w:color w:val="auto"/>
                <w:sz w:val="24"/>
                <w:highlight w:val="none"/>
              </w:rPr>
            </w:pPr>
          </w:p>
        </w:tc>
        <w:tc>
          <w:tcPr>
            <w:tcW w:w="1506" w:type="dxa"/>
            <w:noWrap/>
            <w:vAlign w:val="center"/>
          </w:tcPr>
          <w:p>
            <w:pPr>
              <w:snapToGrid w:val="0"/>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jc w:val="center"/>
        </w:trPr>
        <w:tc>
          <w:tcPr>
            <w:tcW w:w="1248" w:type="dxa"/>
            <w:noWrap/>
            <w:vAlign w:val="center"/>
          </w:tcPr>
          <w:p>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金额合计</w:t>
            </w:r>
          </w:p>
        </w:tc>
        <w:tc>
          <w:tcPr>
            <w:tcW w:w="9275" w:type="dxa"/>
            <w:gridSpan w:val="9"/>
          </w:tcPr>
          <w:p>
            <w:pPr>
              <w:snapToGrid w:val="0"/>
              <w:spacing w:line="360" w:lineRule="auto"/>
              <w:jc w:val="center"/>
              <w:rPr>
                <w:rFonts w:hint="eastAsia" w:ascii="宋体" w:hAnsi="宋体" w:eastAsia="宋体" w:cs="宋体"/>
                <w:color w:val="auto"/>
                <w:sz w:val="24"/>
                <w:highlight w:val="none"/>
              </w:rPr>
            </w:pPr>
          </w:p>
        </w:tc>
      </w:tr>
    </w:tbl>
    <w:p>
      <w:pPr>
        <w:snapToGrid w:val="0"/>
        <w:spacing w:line="400" w:lineRule="exact"/>
        <w:ind w:left="984" w:hanging="980" w:hangingChars="350"/>
        <w:rPr>
          <w:rFonts w:hint="eastAsia" w:ascii="宋体" w:hAnsi="宋体" w:eastAsia="宋体" w:cs="宋体"/>
          <w:b/>
          <w:bCs/>
          <w:color w:val="auto"/>
          <w:sz w:val="28"/>
          <w:szCs w:val="28"/>
          <w:highlight w:val="none"/>
        </w:rPr>
      </w:pP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（此报价为本项目的最终报价，最终报价包含本项目所有费用）</w:t>
      </w:r>
    </w:p>
    <w:p>
      <w:pPr>
        <w:snapToGrid w:val="0"/>
        <w:spacing w:line="360" w:lineRule="auto"/>
        <w:rPr>
          <w:rFonts w:hint="eastAsia" w:ascii="宋体" w:hAnsi="宋体" w:eastAsia="宋体" w:cs="宋体"/>
          <w:b/>
          <w:color w:val="auto"/>
          <w:sz w:val="24"/>
          <w:highlight w:val="none"/>
          <w:lang w:val="zh-CN"/>
        </w:rPr>
      </w:pPr>
      <w:r>
        <w:rPr>
          <w:rFonts w:hint="eastAsia" w:ascii="宋体" w:hAnsi="宋体" w:eastAsia="宋体" w:cs="宋体"/>
          <w:b/>
          <w:color w:val="auto"/>
          <w:sz w:val="24"/>
          <w:highlight w:val="none"/>
        </w:rPr>
        <w:t>注： 1.本项目一次性报价，</w:t>
      </w:r>
      <w:r>
        <w:rPr>
          <w:rFonts w:hint="eastAsia" w:ascii="宋体" w:hAnsi="宋体" w:eastAsia="宋体" w:cs="宋体"/>
          <w:b/>
          <w:color w:val="auto"/>
          <w:sz w:val="24"/>
          <w:highlight w:val="none"/>
          <w:lang w:val="zh-CN"/>
        </w:rPr>
        <w:t>响应供应商必须详细报出采购清单中各个子项的名称、品牌、生产厂家名称、规格型号、数量、单价、备注中的内容等。且本表各分项报价合计应当与报价总表中的响应总报价相等。请各供应商务必按照以上要求填报，否则作为无效响应处理。</w:t>
      </w:r>
    </w:p>
    <w:p>
      <w:pPr>
        <w:adjustRightInd w:val="0"/>
        <w:snapToGrid w:val="0"/>
        <w:spacing w:line="312" w:lineRule="auto"/>
        <w:ind w:firstLine="3360" w:firstLineChars="1400"/>
        <w:jc w:val="left"/>
        <w:rPr>
          <w:rFonts w:hint="eastAsia" w:ascii="宋体" w:hAnsi="宋体" w:eastAsia="宋体" w:cs="宋体"/>
          <w:color w:val="auto"/>
          <w:sz w:val="24"/>
          <w:highlight w:val="none"/>
        </w:rPr>
      </w:pPr>
    </w:p>
    <w:p>
      <w:pPr>
        <w:adjustRightInd w:val="0"/>
        <w:snapToGrid w:val="0"/>
        <w:spacing w:line="312" w:lineRule="auto"/>
        <w:ind w:firstLine="3360" w:firstLineChars="1400"/>
        <w:jc w:val="left"/>
        <w:rPr>
          <w:rFonts w:hint="eastAsia" w:ascii="宋体" w:hAnsi="宋体" w:eastAsia="宋体" w:cs="宋体"/>
          <w:b/>
          <w:bCs/>
          <w:color w:val="auto"/>
          <w:sz w:val="24"/>
          <w:highlight w:val="none"/>
          <w:u w:val="single"/>
        </w:rPr>
      </w:pPr>
      <w:r>
        <w:rPr>
          <w:rFonts w:hint="eastAsia" w:ascii="宋体" w:hAnsi="宋体" w:eastAsia="宋体" w:cs="宋体"/>
          <w:color w:val="auto"/>
          <w:sz w:val="24"/>
          <w:highlight w:val="none"/>
        </w:rPr>
        <w:t>响应供应商全称（盖公章）：</w:t>
      </w:r>
    </w:p>
    <w:p>
      <w:pPr>
        <w:adjustRightInd w:val="0"/>
        <w:snapToGrid w:val="0"/>
        <w:spacing w:line="312" w:lineRule="auto"/>
        <w:ind w:firstLine="3360" w:firstLineChars="1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法定代表人（签字或盖章）： </w:t>
      </w:r>
    </w:p>
    <w:p>
      <w:pPr>
        <w:adjustRightInd w:val="0"/>
        <w:snapToGrid w:val="0"/>
        <w:spacing w:line="312" w:lineRule="auto"/>
        <w:ind w:firstLine="3360" w:firstLineChars="1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日期：年月日</w:t>
      </w:r>
    </w:p>
    <w:p>
      <w:pPr>
        <w:snapToGrid w:val="0"/>
        <w:spacing w:line="300" w:lineRule="auto"/>
        <w:outlineLvl w:val="0"/>
        <w:rPr>
          <w:rFonts w:hint="default" w:ascii="宋体" w:hAnsi="宋体" w:eastAsia="宋体" w:cs="宋体"/>
          <w:color w:val="auto"/>
          <w:sz w:val="32"/>
          <w:szCs w:val="32"/>
          <w:highlight w:val="none"/>
          <w:lang w:val="en-US" w:eastAsia="zh-CN"/>
        </w:rPr>
      </w:pPr>
      <w:r>
        <w:rPr>
          <w:rFonts w:hint="eastAsia" w:ascii="宋体" w:hAnsi="宋体" w:eastAsia="宋体" w:cs="宋体"/>
          <w:b/>
          <w:bCs/>
          <w:color w:val="auto"/>
          <w:sz w:val="24"/>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10</w:t>
      </w:r>
    </w:p>
    <w:p>
      <w:pPr>
        <w:snapToGrid w:val="0"/>
        <w:spacing w:line="300" w:lineRule="auto"/>
        <w:jc w:val="center"/>
        <w:outlineLvl w:val="0"/>
        <w:rPr>
          <w:rFonts w:hint="eastAsia" w:ascii="宋体" w:hAnsi="宋体" w:eastAsia="宋体" w:cs="宋体"/>
          <w:b/>
          <w:bCs/>
          <w:color w:val="auto"/>
          <w:sz w:val="28"/>
          <w:szCs w:val="28"/>
          <w:highlight w:val="none"/>
          <w:lang w:bidi="zh-CN"/>
        </w:rPr>
      </w:pPr>
      <w:r>
        <w:rPr>
          <w:rFonts w:hint="eastAsia" w:ascii="宋体" w:hAnsi="宋体" w:eastAsia="宋体" w:cs="宋体"/>
          <w:b/>
          <w:bCs/>
          <w:color w:val="auto"/>
          <w:sz w:val="28"/>
          <w:szCs w:val="28"/>
          <w:highlight w:val="none"/>
          <w:lang w:bidi="zh-CN"/>
        </w:rPr>
        <w:t>中小企业声明函（货物）</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本公司（联合体）郑重声明，根据《政府采购促进中小企业发展管理办法》（财库﹝2020﹞46 号）的规定，本公司（联合体）参加</w:t>
      </w:r>
      <w:r>
        <w:rPr>
          <w:rFonts w:hint="eastAsia" w:ascii="宋体" w:hAnsi="宋体" w:eastAsia="宋体" w:cs="宋体"/>
          <w:color w:val="auto"/>
          <w:sz w:val="28"/>
          <w:szCs w:val="28"/>
          <w:highlight w:val="none"/>
          <w:u w:val="single"/>
          <w:lang w:bidi="zh-CN"/>
        </w:rPr>
        <w:t>（单位名称）</w:t>
      </w:r>
      <w:r>
        <w:rPr>
          <w:rFonts w:hint="eastAsia" w:ascii="宋体" w:hAnsi="宋体" w:eastAsia="宋体" w:cs="宋体"/>
          <w:color w:val="auto"/>
          <w:sz w:val="28"/>
          <w:szCs w:val="28"/>
          <w:highlight w:val="none"/>
          <w:lang w:bidi="zh-CN"/>
        </w:rPr>
        <w:t>的</w:t>
      </w:r>
      <w:r>
        <w:rPr>
          <w:rFonts w:hint="eastAsia" w:ascii="宋体" w:hAnsi="宋体" w:eastAsia="宋体" w:cs="宋体"/>
          <w:color w:val="auto"/>
          <w:sz w:val="28"/>
          <w:szCs w:val="28"/>
          <w:highlight w:val="none"/>
          <w:u w:val="single"/>
          <w:lang w:bidi="zh-CN"/>
        </w:rPr>
        <w:t>（项目名称）</w:t>
      </w:r>
      <w:r>
        <w:rPr>
          <w:rFonts w:hint="eastAsia" w:ascii="宋体" w:hAnsi="宋体" w:eastAsia="宋体" w:cs="宋体"/>
          <w:color w:val="auto"/>
          <w:sz w:val="28"/>
          <w:szCs w:val="28"/>
          <w:highlight w:val="none"/>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1.</w:t>
      </w:r>
      <w:r>
        <w:rPr>
          <w:rFonts w:hint="eastAsia" w:ascii="宋体" w:hAnsi="宋体" w:eastAsia="宋体" w:cs="宋体"/>
          <w:color w:val="auto"/>
          <w:sz w:val="28"/>
          <w:szCs w:val="28"/>
          <w:highlight w:val="none"/>
          <w:u w:val="single"/>
          <w:lang w:bidi="zh-CN"/>
        </w:rPr>
        <w:t xml:space="preserve"> （标的名称）</w:t>
      </w:r>
      <w:r>
        <w:rPr>
          <w:rFonts w:hint="eastAsia" w:ascii="宋体" w:hAnsi="宋体" w:eastAsia="宋体" w:cs="宋体"/>
          <w:color w:val="auto"/>
          <w:sz w:val="28"/>
          <w:szCs w:val="28"/>
          <w:highlight w:val="none"/>
          <w:lang w:bidi="zh-CN"/>
        </w:rPr>
        <w:t xml:space="preserve"> ，属于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2.</w:t>
      </w:r>
      <w:r>
        <w:rPr>
          <w:rFonts w:hint="eastAsia" w:ascii="宋体" w:hAnsi="宋体" w:eastAsia="宋体" w:cs="宋体"/>
          <w:i/>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 xml:space="preserve">（标的名称） </w:t>
      </w:r>
      <w:r>
        <w:rPr>
          <w:rFonts w:hint="eastAsia" w:ascii="宋体" w:hAnsi="宋体" w:eastAsia="宋体" w:cs="宋体"/>
          <w:color w:val="auto"/>
          <w:sz w:val="28"/>
          <w:szCs w:val="28"/>
          <w:highlight w:val="none"/>
          <w:lang w:bidi="zh-CN"/>
        </w:rPr>
        <w:t>，属于</w:t>
      </w:r>
      <w:r>
        <w:rPr>
          <w:rFonts w:hint="eastAsia" w:ascii="宋体" w:hAnsi="宋体" w:eastAsia="宋体" w:cs="宋体"/>
          <w:color w:val="auto"/>
          <w:sz w:val="28"/>
          <w:szCs w:val="28"/>
          <w:highlight w:val="none"/>
          <w:u w:val="single"/>
          <w:lang w:bidi="zh-CN"/>
        </w:rPr>
        <w:t>（采购文件中明确的所属行业）</w:t>
      </w:r>
      <w:r>
        <w:rPr>
          <w:rFonts w:hint="eastAsia" w:ascii="宋体" w:hAnsi="宋体" w:eastAsia="宋体" w:cs="宋体"/>
          <w:color w:val="auto"/>
          <w:sz w:val="28"/>
          <w:szCs w:val="28"/>
          <w:highlight w:val="none"/>
          <w:lang w:bidi="zh-CN"/>
        </w:rPr>
        <w:t>行业；制造商为</w:t>
      </w:r>
      <w:r>
        <w:rPr>
          <w:rFonts w:hint="eastAsia" w:ascii="宋体" w:hAnsi="宋体" w:eastAsia="宋体" w:cs="宋体"/>
          <w:color w:val="auto"/>
          <w:sz w:val="28"/>
          <w:szCs w:val="28"/>
          <w:highlight w:val="none"/>
          <w:u w:val="single"/>
          <w:lang w:bidi="zh-CN"/>
        </w:rPr>
        <w:t>（企业名称）</w:t>
      </w:r>
      <w:r>
        <w:rPr>
          <w:rFonts w:hint="eastAsia" w:ascii="宋体" w:hAnsi="宋体" w:eastAsia="宋体" w:cs="宋体"/>
          <w:color w:val="auto"/>
          <w:sz w:val="28"/>
          <w:szCs w:val="28"/>
          <w:highlight w:val="none"/>
          <w:lang w:bidi="zh-CN"/>
        </w:rPr>
        <w:t>，从业人员</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人，营业收入为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万元，资产总额为</w:t>
      </w:r>
      <w:r>
        <w:rPr>
          <w:rFonts w:hint="eastAsia" w:ascii="宋体" w:hAnsi="宋体" w:eastAsia="宋体" w:cs="宋体"/>
          <w:color w:val="auto"/>
          <w:sz w:val="28"/>
          <w:szCs w:val="28"/>
          <w:highlight w:val="none"/>
          <w:u w:val="single"/>
          <w:lang w:bidi="zh-CN"/>
        </w:rPr>
        <w:t xml:space="preserve"> </w:t>
      </w:r>
      <w:r>
        <w:rPr>
          <w:rFonts w:hint="eastAsia" w:ascii="宋体" w:hAnsi="宋体" w:eastAsia="宋体" w:cs="宋体"/>
          <w:color w:val="auto"/>
          <w:sz w:val="28"/>
          <w:szCs w:val="28"/>
          <w:highlight w:val="none"/>
          <w:u w:val="single"/>
          <w:lang w:bidi="zh-CN"/>
        </w:rPr>
        <w:tab/>
      </w:r>
      <w:r>
        <w:rPr>
          <w:rFonts w:hint="eastAsia" w:ascii="宋体" w:hAnsi="宋体" w:eastAsia="宋体" w:cs="宋体"/>
          <w:color w:val="auto"/>
          <w:sz w:val="28"/>
          <w:szCs w:val="28"/>
          <w:highlight w:val="none"/>
          <w:lang w:bidi="zh-CN"/>
        </w:rPr>
        <w:t>万元，属于</w:t>
      </w:r>
      <w:r>
        <w:rPr>
          <w:rFonts w:hint="eastAsia" w:ascii="宋体" w:hAnsi="宋体" w:eastAsia="宋体" w:cs="宋体"/>
          <w:color w:val="auto"/>
          <w:sz w:val="28"/>
          <w:szCs w:val="28"/>
          <w:highlight w:val="none"/>
          <w:u w:val="single"/>
          <w:lang w:bidi="zh-CN"/>
        </w:rPr>
        <w:t>（中型企业、小型企业、微型企业）</w:t>
      </w:r>
      <w:r>
        <w:rPr>
          <w:rFonts w:hint="eastAsia" w:ascii="宋体" w:hAnsi="宋体" w:eastAsia="宋体" w:cs="宋体"/>
          <w:color w:val="auto"/>
          <w:sz w:val="28"/>
          <w:szCs w:val="28"/>
          <w:highlight w:val="none"/>
          <w:lang w:bidi="zh-CN"/>
        </w:rPr>
        <w:t>；</w:t>
      </w:r>
    </w:p>
    <w:p>
      <w:pPr>
        <w:snapToGrid w:val="0"/>
        <w:spacing w:line="36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以上企业，不属于大企业的分支机构，不存在控股股东为大企业的情形，也不存在与大企业的负责人为同一人的情形。</w:t>
      </w:r>
    </w:p>
    <w:p>
      <w:pPr>
        <w:snapToGrid w:val="0"/>
        <w:spacing w:line="360" w:lineRule="auto"/>
        <w:ind w:firstLine="56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本企业对上述声明内容的真实性负责。如有虚假，将依法承担相应责任。</w:t>
      </w:r>
    </w:p>
    <w:p>
      <w:pPr>
        <w:snapToGrid w:val="0"/>
        <w:spacing w:line="300" w:lineRule="auto"/>
        <w:outlineLvl w:val="0"/>
        <w:rPr>
          <w:rFonts w:hint="eastAsia" w:ascii="宋体" w:hAnsi="宋体" w:eastAsia="宋体" w:cs="宋体"/>
          <w:color w:val="auto"/>
          <w:sz w:val="28"/>
          <w:szCs w:val="28"/>
          <w:highlight w:val="none"/>
          <w:lang w:bidi="zh-CN"/>
        </w:rPr>
      </w:pPr>
    </w:p>
    <w:p>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注：1.从业人员、营业收入、资产总额填报上一年度数据，无上一年度数据的新成立企业可不填报。</w:t>
      </w:r>
    </w:p>
    <w:p>
      <w:pPr>
        <w:snapToGrid w:val="0"/>
        <w:spacing w:line="300" w:lineRule="auto"/>
        <w:outlineLvl w:val="0"/>
        <w:rPr>
          <w:rFonts w:hint="eastAsia" w:ascii="宋体" w:hAnsi="宋体" w:eastAsia="宋体" w:cs="宋体"/>
          <w:color w:val="auto"/>
          <w:szCs w:val="21"/>
          <w:highlight w:val="none"/>
          <w:lang w:bidi="zh-CN"/>
        </w:rPr>
      </w:pPr>
      <w:r>
        <w:rPr>
          <w:rFonts w:hint="eastAsia" w:ascii="宋体" w:hAnsi="宋体" w:eastAsia="宋体" w:cs="宋体"/>
          <w:color w:val="auto"/>
          <w:szCs w:val="21"/>
          <w:highlight w:val="none"/>
          <w:lang w:bidi="zh-CN"/>
        </w:rPr>
        <w:t xml:space="preserve">    2.投标供应商须根据上述要求，详细列明货物清单中所有产品制造商的具体情况，否则不能享受中小企业扶持政策。</w:t>
      </w:r>
    </w:p>
    <w:p>
      <w:pPr>
        <w:snapToGrid w:val="0"/>
        <w:spacing w:line="300" w:lineRule="auto"/>
        <w:ind w:firstLine="420" w:firstLineChars="200"/>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Cs w:val="21"/>
          <w:highlight w:val="none"/>
          <w:lang w:bidi="zh-CN"/>
        </w:rPr>
        <w:t>3.供应商按照本办法规定提供声明函内容不实的，属于提供虚假材料谋取中标、成交，依照《中华人民共和国政府采购法》等国家有关规定追究相应责任。</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企业名称（盖章）：</w:t>
      </w:r>
    </w:p>
    <w:p>
      <w:pPr>
        <w:snapToGrid w:val="0"/>
        <w:spacing w:line="300" w:lineRule="auto"/>
        <w:jc w:val="center"/>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 xml:space="preserve">          日期：</w:t>
      </w:r>
    </w:p>
    <w:p>
      <w:pPr>
        <w:snapToGrid w:val="0"/>
        <w:spacing w:line="300" w:lineRule="auto"/>
        <w:outlineLvl w:val="0"/>
        <w:rPr>
          <w:rFonts w:hint="eastAsia"/>
          <w:color w:val="auto"/>
          <w:highlight w:val="none"/>
          <w:lang w:eastAsia="zh-CN"/>
        </w:rPr>
      </w:pPr>
      <w:r>
        <w:rPr>
          <w:rFonts w:hint="eastAsia" w:ascii="宋体" w:hAnsi="宋体" w:eastAsia="宋体" w:cs="宋体"/>
          <w:color w:val="auto"/>
          <w:sz w:val="32"/>
          <w:szCs w:val="32"/>
          <w:highlight w:val="none"/>
        </w:rPr>
        <w:t>附件1</w:t>
      </w:r>
      <w:r>
        <w:rPr>
          <w:rFonts w:hint="eastAsia" w:ascii="宋体" w:hAnsi="宋体" w:cs="宋体"/>
          <w:color w:val="auto"/>
          <w:sz w:val="32"/>
          <w:szCs w:val="32"/>
          <w:highlight w:val="none"/>
          <w:lang w:val="en-US" w:eastAsia="zh-CN"/>
        </w:rPr>
        <w:t>1</w:t>
      </w:r>
    </w:p>
    <w:p>
      <w:pPr>
        <w:spacing w:line="460" w:lineRule="exact"/>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残疾人福利性单位声明函</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z w:val="28"/>
          <w:szCs w:val="28"/>
          <w:highlight w:val="none"/>
        </w:rPr>
        <w:t>______单位的</w:t>
      </w:r>
      <w:r>
        <w:rPr>
          <w:rFonts w:hint="eastAsia" w:ascii="宋体" w:hAnsi="宋体"/>
          <w:color w:val="auto"/>
          <w:sz w:val="28"/>
          <w:szCs w:val="28"/>
          <w:highlight w:val="none"/>
          <w:u w:val="single"/>
        </w:rPr>
        <w:t xml:space="preserve">       </w:t>
      </w:r>
      <w:r>
        <w:rPr>
          <w:rFonts w:hint="eastAsia" w:ascii="宋体" w:hAnsi="宋体" w:eastAsia="宋体" w:cs="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pPr>
        <w:spacing w:line="588"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pPr>
        <w:spacing w:line="588" w:lineRule="exact"/>
        <w:ind w:firstLine="560" w:firstLineChars="200"/>
        <w:rPr>
          <w:rFonts w:hint="eastAsia" w:ascii="宋体" w:hAnsi="宋体" w:eastAsia="宋体" w:cs="宋体"/>
          <w:color w:val="auto"/>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pacing w:line="588" w:lineRule="exact"/>
        <w:ind w:firstLine="584" w:firstLineChars="200"/>
        <w:rPr>
          <w:rFonts w:hint="eastAsia" w:ascii="宋体" w:hAnsi="宋体" w:eastAsia="宋体" w:cs="宋体"/>
          <w:color w:val="auto"/>
          <w:spacing w:val="6"/>
          <w:sz w:val="28"/>
          <w:szCs w:val="28"/>
          <w:highlight w:val="none"/>
        </w:rPr>
      </w:pPr>
    </w:p>
    <w:p>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pPr>
        <w:spacing w:line="588" w:lineRule="exact"/>
        <w:ind w:firstLine="560" w:firstLineChars="200"/>
        <w:rPr>
          <w:rFonts w:hint="eastAsia" w:ascii="宋体" w:hAnsi="宋体" w:eastAsia="宋体" w:cs="宋体"/>
          <w:color w:val="auto"/>
          <w:spacing w:val="6"/>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pPr>
        <w:spacing w:line="588" w:lineRule="exact"/>
        <w:ind w:firstLine="584" w:firstLineChars="200"/>
        <w:rPr>
          <w:rFonts w:hint="eastAsia" w:ascii="宋体" w:hAnsi="宋体" w:eastAsia="宋体" w:cs="宋体"/>
          <w:color w:val="auto"/>
          <w:spacing w:val="6"/>
          <w:sz w:val="28"/>
          <w:szCs w:val="28"/>
          <w:highlight w:val="none"/>
        </w:rPr>
      </w:pPr>
    </w:p>
    <w:p>
      <w:pPr>
        <w:tabs>
          <w:tab w:val="left" w:pos="4860"/>
        </w:tabs>
        <w:spacing w:line="588" w:lineRule="exact"/>
        <w:ind w:right="1560" w:firstLine="584"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pacing w:val="6"/>
          <w:sz w:val="28"/>
          <w:szCs w:val="28"/>
          <w:highlight w:val="none"/>
        </w:rPr>
        <w:t xml:space="preserve">             </w:t>
      </w:r>
      <w:r>
        <w:rPr>
          <w:rFonts w:hint="eastAsia" w:ascii="宋体" w:hAnsi="宋体" w:eastAsia="宋体" w:cs="宋体"/>
          <w:color w:val="auto"/>
          <w:sz w:val="28"/>
          <w:szCs w:val="28"/>
          <w:highlight w:val="none"/>
        </w:rPr>
        <w:t xml:space="preserve">           供应商全称（盖章）：</w:t>
      </w:r>
    </w:p>
    <w:p>
      <w:pPr>
        <w:tabs>
          <w:tab w:val="left" w:pos="4860"/>
        </w:tabs>
        <w:spacing w:line="588" w:lineRule="exact"/>
        <w:ind w:right="1560"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  期：</w:t>
      </w:r>
    </w:p>
    <w:p>
      <w:pPr>
        <w:snapToGrid w:val="0"/>
        <w:spacing w:line="300" w:lineRule="auto"/>
        <w:outlineLvl w:val="0"/>
        <w:rPr>
          <w:rFonts w:hint="eastAsia" w:ascii="宋体" w:hAnsi="宋体" w:eastAsia="宋体" w:cs="宋体"/>
          <w:color w:val="auto"/>
          <w:sz w:val="28"/>
          <w:szCs w:val="28"/>
          <w:highlight w:val="none"/>
        </w:rPr>
      </w:pPr>
    </w:p>
    <w:p>
      <w:pPr>
        <w:pStyle w:val="2"/>
        <w:rPr>
          <w:rFonts w:hint="eastAsia" w:ascii="宋体" w:hAnsi="宋体" w:eastAsia="宋体" w:cs="宋体"/>
          <w:color w:val="auto"/>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rPr>
      </w:pPr>
    </w:p>
    <w:p>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附件1</w:t>
      </w:r>
      <w:r>
        <w:rPr>
          <w:rFonts w:hint="eastAsia" w:ascii="宋体" w:hAnsi="宋体" w:cs="宋体"/>
          <w:color w:val="auto"/>
          <w:sz w:val="32"/>
          <w:szCs w:val="32"/>
          <w:highlight w:val="none"/>
          <w:lang w:val="en-US" w:eastAsia="zh-CN"/>
        </w:rPr>
        <w:t>2</w:t>
      </w:r>
    </w:p>
    <w:p>
      <w:pPr>
        <w:snapToGrid w:val="0"/>
        <w:spacing w:line="420" w:lineRule="exact"/>
        <w:jc w:val="center"/>
        <w:outlineLvl w:val="3"/>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监狱和戒毒企业证明材料</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495" w:firstLineChars="177"/>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（格式自拟）</w:t>
      </w:r>
    </w:p>
    <w:p>
      <w:pPr>
        <w:snapToGrid w:val="0"/>
        <w:spacing w:line="420" w:lineRule="exact"/>
        <w:ind w:firstLine="495" w:firstLineChars="177"/>
        <w:rPr>
          <w:rFonts w:hint="eastAsia" w:ascii="宋体" w:hAnsi="宋体" w:eastAsia="宋体" w:cs="宋体"/>
          <w:color w:val="auto"/>
          <w:sz w:val="28"/>
          <w:szCs w:val="28"/>
          <w:highlight w:val="none"/>
        </w:rPr>
      </w:pPr>
    </w:p>
    <w:p>
      <w:pPr>
        <w:snapToGrid w:val="0"/>
        <w:spacing w:line="420" w:lineRule="exact"/>
        <w:ind w:firstLine="660" w:firstLineChars="23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lang w:bidi="zh-CN"/>
        </w:rPr>
      </w:pPr>
      <w:r>
        <w:rPr>
          <w:rFonts w:hint="eastAsia" w:ascii="宋体" w:hAnsi="宋体" w:eastAsia="宋体" w:cs="宋体"/>
          <w:color w:val="auto"/>
          <w:sz w:val="28"/>
          <w:szCs w:val="28"/>
          <w:highlight w:val="none"/>
          <w:lang w:bidi="zh-CN"/>
        </w:rPr>
        <w:t>注：1、供应商如不提供此声明函，价格将不做相应扣除。</w:t>
      </w:r>
    </w:p>
    <w:p>
      <w:pPr>
        <w:snapToGrid w:val="0"/>
        <w:spacing w:line="300" w:lineRule="auto"/>
        <w:ind w:firstLine="560" w:firstLineChars="200"/>
        <w:outlineLvl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bidi="zh-CN"/>
        </w:rPr>
        <w:t>2、供应商按照本办法规定提供声明函内容不实的，属于提供虚假材料谋取中标、成交，依照《中华人民共和国政府采购法》等国家有关规定追究相应责任。</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rPr>
          <w:rFonts w:hint="eastAsia" w:ascii="宋体" w:hAnsi="宋体" w:eastAsia="宋体" w:cs="宋体"/>
          <w:color w:val="auto"/>
          <w:sz w:val="32"/>
          <w:szCs w:val="32"/>
          <w:highlight w:val="none"/>
          <w:lang w:eastAsia="zh-CN"/>
        </w:rPr>
      </w:pPr>
      <w:r>
        <w:rPr>
          <w:rFonts w:hint="eastAsia" w:ascii="宋体" w:hAnsi="宋体" w:eastAsia="宋体" w:cs="宋体"/>
          <w:bCs/>
          <w:color w:val="auto"/>
          <w:sz w:val="32"/>
          <w:szCs w:val="32"/>
          <w:highlight w:val="none"/>
          <w:lang w:bidi="ar"/>
        </w:rPr>
        <w:t>附件1</w:t>
      </w:r>
      <w:r>
        <w:rPr>
          <w:rFonts w:hint="eastAsia" w:ascii="宋体" w:hAnsi="宋体" w:cs="宋体"/>
          <w:bCs/>
          <w:color w:val="auto"/>
          <w:sz w:val="32"/>
          <w:szCs w:val="32"/>
          <w:highlight w:val="none"/>
          <w:lang w:val="en-US" w:eastAsia="zh-CN" w:bidi="ar"/>
        </w:rPr>
        <w:t>3</w:t>
      </w:r>
    </w:p>
    <w:p>
      <w:pPr>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质疑函范本</w:t>
      </w:r>
    </w:p>
    <w:p>
      <w:pPr>
        <w:adjustRightInd w:val="0"/>
        <w:snapToGrid w:val="0"/>
        <w:spacing w:before="312" w:beforeLines="100"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一、质疑供应商基本信息</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质疑供应商：</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联系人：联系电话：</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授权代表：</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联系电话：</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地址：邮编：</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二、质疑项目基本情况</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质疑项目的编号：包号：</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采购人名称：</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采购文件获取日期：</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三、质疑事项具体内容</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质疑事项1：</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事实依据：</w:t>
      </w:r>
    </w:p>
    <w:p>
      <w:pPr>
        <w:adjustRightInd w:val="0"/>
        <w:snapToGrid w:val="0"/>
        <w:spacing w:line="312" w:lineRule="auto"/>
        <w:rPr>
          <w:rFonts w:hint="eastAsia" w:ascii="宋体" w:hAnsi="宋体" w:eastAsia="宋体" w:cs="宋体"/>
          <w:color w:val="auto"/>
          <w:sz w:val="28"/>
          <w:szCs w:val="28"/>
          <w:highlight w:val="none"/>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法律依据：</w:t>
      </w:r>
    </w:p>
    <w:p>
      <w:pPr>
        <w:adjustRightInd w:val="0"/>
        <w:snapToGrid w:val="0"/>
        <w:spacing w:line="312" w:lineRule="auto"/>
        <w:rPr>
          <w:rFonts w:hint="eastAsia" w:ascii="宋体" w:hAnsi="宋体" w:eastAsia="宋体" w:cs="宋体"/>
          <w:color w:val="auto"/>
          <w:sz w:val="28"/>
          <w:szCs w:val="28"/>
          <w:highlight w:val="none"/>
          <w:u w:val="dotted"/>
        </w:rPr>
      </w:pP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质疑事项2</w:t>
      </w:r>
    </w:p>
    <w:p>
      <w:pPr>
        <w:adjustRightInd w:val="0"/>
        <w:snapToGrid w:val="0"/>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w:t>
      </w:r>
    </w:p>
    <w:p>
      <w:pPr>
        <w:adjustRightInd w:val="0"/>
        <w:snapToGrid w:val="0"/>
        <w:spacing w:line="312" w:lineRule="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四、与质疑事项相关的质疑请求</w:t>
      </w:r>
    </w:p>
    <w:p>
      <w:pPr>
        <w:adjustRightInd w:val="0"/>
        <w:snapToGrid w:val="0"/>
        <w:spacing w:line="312" w:lineRule="auto"/>
        <w:rPr>
          <w:rFonts w:hint="eastAsia" w:ascii="宋体" w:hAnsi="宋体" w:eastAsia="宋体" w:cs="宋体"/>
          <w:color w:val="auto"/>
          <w:sz w:val="28"/>
          <w:szCs w:val="28"/>
          <w:highlight w:val="none"/>
          <w:u w:val="dotted"/>
        </w:rPr>
      </w:pPr>
      <w:r>
        <w:rPr>
          <w:rFonts w:hint="eastAsia" w:ascii="宋体" w:hAnsi="宋体" w:eastAsia="宋体" w:cs="宋体"/>
          <w:color w:val="auto"/>
          <w:sz w:val="28"/>
          <w:szCs w:val="28"/>
          <w:highlight w:val="none"/>
        </w:rPr>
        <w:t>请求：</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签字(签章)：                   公章：                      </w:t>
      </w:r>
    </w:p>
    <w:p>
      <w:pPr>
        <w:spacing w:line="312"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日期：    </w:t>
      </w:r>
    </w:p>
    <w:p>
      <w:pPr>
        <w:adjustRightInd w:val="0"/>
        <w:snapToGrid w:val="0"/>
        <w:spacing w:line="288" w:lineRule="auto"/>
        <w:rPr>
          <w:rFonts w:hint="eastAsia" w:ascii="宋体" w:hAnsi="宋体" w:eastAsia="宋体" w:cs="宋体"/>
          <w:color w:val="auto"/>
          <w:sz w:val="28"/>
          <w:szCs w:val="28"/>
          <w:highlight w:val="none"/>
        </w:rPr>
      </w:pPr>
    </w:p>
    <w:p>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质疑函制作说明：</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1.供应商提出质疑时，应提交质疑函和必要的证明材料。</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8"/>
          <w:szCs w:val="28"/>
          <w:highlight w:val="none"/>
        </w:rPr>
        <w:t>供应商签署的授权委托书。授权委托书应载明代理人的姓名或者名称、代理事项、具体权限、期限和相关事项。</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3.质疑供应商若对项目的某一分包进行质疑，质疑函中应列明具体分包号。</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4.质疑函的质疑事项应具体、明确，并有必要的事实依据和法律依据。</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5.质疑函的质疑请求应与质疑事项相关。</w:t>
      </w:r>
    </w:p>
    <w:p>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pPr>
        <w:snapToGrid w:val="0"/>
        <w:spacing w:line="300" w:lineRule="auto"/>
        <w:outlineLvl w:val="0"/>
        <w:rPr>
          <w:rFonts w:hint="eastAsia" w:ascii="宋体" w:hAnsi="宋体" w:eastAsia="宋体" w:cs="宋体"/>
          <w:color w:val="auto"/>
          <w:sz w:val="28"/>
          <w:szCs w:val="28"/>
          <w:highlight w:val="none"/>
        </w:rPr>
      </w:pPr>
    </w:p>
    <w:p>
      <w:pPr>
        <w:snapToGrid w:val="0"/>
        <w:spacing w:line="300" w:lineRule="auto"/>
        <w:outlineLvl w:val="0"/>
        <w:rPr>
          <w:rFonts w:hint="eastAsia" w:ascii="宋体" w:hAnsi="宋体" w:eastAsia="宋体" w:cs="宋体"/>
          <w:color w:val="auto"/>
          <w:sz w:val="28"/>
          <w:szCs w:val="28"/>
          <w:highlight w:val="none"/>
        </w:rPr>
      </w:pPr>
    </w:p>
    <w:p>
      <w:pPr>
        <w:spacing w:line="312" w:lineRule="auto"/>
        <w:rPr>
          <w:rFonts w:hint="eastAsia" w:ascii="宋体" w:hAnsi="宋体" w:eastAsia="宋体" w:cs="宋体"/>
          <w:color w:val="auto"/>
          <w:sz w:val="28"/>
          <w:szCs w:val="28"/>
          <w:highlight w:val="none"/>
        </w:rPr>
      </w:pPr>
    </w:p>
    <w:bookmarkEnd w:id="62"/>
    <w:sectPr>
      <w:footerReference r:id="rId7"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02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133</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文本框 1028" o:spid="_x0000_s409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2</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imes New Roman" w:hAnsi="Times New Roman"/>
        <w:sz w:val="28"/>
        <w:szCs w:val="28"/>
      </w:rPr>
    </w:pPr>
    <w:r>
      <w:rPr>
        <w:sz w:val="2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133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A8AC92A7"/>
    <w:multiLevelType w:val="singleLevel"/>
    <w:tmpl w:val="A8AC92A7"/>
    <w:lvl w:ilvl="0" w:tentative="0">
      <w:start w:val="5"/>
      <w:numFmt w:val="chineseCounting"/>
      <w:suff w:val="nothing"/>
      <w:lvlText w:val="%1、"/>
      <w:lvlJc w:val="left"/>
      <w:rPr>
        <w:rFonts w:hint="eastAsia"/>
      </w:rPr>
    </w:lvl>
  </w:abstractNum>
  <w:abstractNum w:abstractNumId="2">
    <w:nsid w:val="C051E686"/>
    <w:multiLevelType w:val="singleLevel"/>
    <w:tmpl w:val="C051E686"/>
    <w:lvl w:ilvl="0" w:tentative="0">
      <w:start w:val="3"/>
      <w:numFmt w:val="decimal"/>
      <w:lvlText w:val="%1."/>
      <w:lvlJc w:val="left"/>
      <w:pPr>
        <w:tabs>
          <w:tab w:val="left" w:pos="312"/>
        </w:tabs>
      </w:pPr>
    </w:lvl>
  </w:abstractNum>
  <w:abstractNum w:abstractNumId="3">
    <w:nsid w:val="E9E15167"/>
    <w:multiLevelType w:val="singleLevel"/>
    <w:tmpl w:val="E9E15167"/>
    <w:lvl w:ilvl="0" w:tentative="0">
      <w:start w:val="11"/>
      <w:numFmt w:val="chineseCounting"/>
      <w:suff w:val="nothing"/>
      <w:lvlText w:val="%1、"/>
      <w:lvlJc w:val="left"/>
      <w:rPr>
        <w:rFonts w:hint="eastAsia"/>
      </w:rPr>
    </w:lvl>
  </w:abstractNum>
  <w:abstractNum w:abstractNumId="4">
    <w:nsid w:val="29BD0369"/>
    <w:multiLevelType w:val="multilevel"/>
    <w:tmpl w:val="29BD0369"/>
    <w:lvl w:ilvl="0" w:tentative="0">
      <w:start w:val="1"/>
      <w:numFmt w:val="decimal"/>
      <w:lvlText w:val="%1."/>
      <w:lvlJc w:val="left"/>
      <w:pPr>
        <w:ind w:left="425" w:hanging="425"/>
      </w:pPr>
      <w:rPr>
        <w:rFonts w:hint="default"/>
        <w:b w:val="0"/>
        <w:i w:val="0"/>
        <w:sz w:val="24"/>
        <w:szCs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1" w:hanging="851"/>
      </w:pPr>
      <w:rPr>
        <w:rFonts w:hint="default"/>
      </w:rPr>
    </w:lvl>
    <w:lvl w:ilvl="4" w:tentative="0">
      <w:start w:val="1"/>
      <w:numFmt w:val="decimal"/>
      <w:lvlText w:val="%1.%2.%3.%4.%5."/>
      <w:lvlJc w:val="left"/>
      <w:pPr>
        <w:ind w:left="992" w:hanging="992"/>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6" w:hanging="1276"/>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9" w:hanging="1559"/>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JmMWQyNzk4N2YxZmVhMGEyMGYwMDdjODFiNGU3YTA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F2CF6"/>
    <w:rsid w:val="00FF4D3F"/>
    <w:rsid w:val="00FF6AE3"/>
    <w:rsid w:val="011B466A"/>
    <w:rsid w:val="01DF2B34"/>
    <w:rsid w:val="01F17356"/>
    <w:rsid w:val="0221497E"/>
    <w:rsid w:val="02411B93"/>
    <w:rsid w:val="03A3046B"/>
    <w:rsid w:val="04231D23"/>
    <w:rsid w:val="04A8035C"/>
    <w:rsid w:val="05353DA0"/>
    <w:rsid w:val="057B186A"/>
    <w:rsid w:val="06F207A1"/>
    <w:rsid w:val="075020E6"/>
    <w:rsid w:val="075A2B50"/>
    <w:rsid w:val="078A58ED"/>
    <w:rsid w:val="085A3487"/>
    <w:rsid w:val="08BF40AC"/>
    <w:rsid w:val="09B62700"/>
    <w:rsid w:val="09D43B87"/>
    <w:rsid w:val="09E55D95"/>
    <w:rsid w:val="0A821835"/>
    <w:rsid w:val="0A862501"/>
    <w:rsid w:val="0B56577A"/>
    <w:rsid w:val="0B685928"/>
    <w:rsid w:val="0B700E0C"/>
    <w:rsid w:val="0CC32F3E"/>
    <w:rsid w:val="0E3B3D37"/>
    <w:rsid w:val="0E867A2B"/>
    <w:rsid w:val="0EF10D38"/>
    <w:rsid w:val="0EF45FEF"/>
    <w:rsid w:val="0FA1275E"/>
    <w:rsid w:val="0FFC0273"/>
    <w:rsid w:val="100F6863"/>
    <w:rsid w:val="101F6CD7"/>
    <w:rsid w:val="107B45E5"/>
    <w:rsid w:val="107C30FC"/>
    <w:rsid w:val="10DE1449"/>
    <w:rsid w:val="118D14E6"/>
    <w:rsid w:val="127C39BF"/>
    <w:rsid w:val="12A762DD"/>
    <w:rsid w:val="13255FEB"/>
    <w:rsid w:val="14593E59"/>
    <w:rsid w:val="15A8272D"/>
    <w:rsid w:val="15E5170F"/>
    <w:rsid w:val="16276709"/>
    <w:rsid w:val="164825DB"/>
    <w:rsid w:val="167C35DD"/>
    <w:rsid w:val="176C2274"/>
    <w:rsid w:val="17B500E2"/>
    <w:rsid w:val="17EC6540"/>
    <w:rsid w:val="18357AA5"/>
    <w:rsid w:val="19113420"/>
    <w:rsid w:val="19D21766"/>
    <w:rsid w:val="1A3625AF"/>
    <w:rsid w:val="1A3B49D3"/>
    <w:rsid w:val="1AF44089"/>
    <w:rsid w:val="1B0E2C71"/>
    <w:rsid w:val="1B525A3A"/>
    <w:rsid w:val="1BD15BBA"/>
    <w:rsid w:val="1BF60EA2"/>
    <w:rsid w:val="1D507571"/>
    <w:rsid w:val="1D6512B9"/>
    <w:rsid w:val="1D6848BB"/>
    <w:rsid w:val="1DFE3E65"/>
    <w:rsid w:val="1E326C77"/>
    <w:rsid w:val="1EA82360"/>
    <w:rsid w:val="1FA65675"/>
    <w:rsid w:val="2004056C"/>
    <w:rsid w:val="20B816B5"/>
    <w:rsid w:val="210D5718"/>
    <w:rsid w:val="21411C9A"/>
    <w:rsid w:val="2155573C"/>
    <w:rsid w:val="21DC4F15"/>
    <w:rsid w:val="224D2894"/>
    <w:rsid w:val="22A81D4C"/>
    <w:rsid w:val="23A97579"/>
    <w:rsid w:val="24F52D0A"/>
    <w:rsid w:val="256F266F"/>
    <w:rsid w:val="259C5AEB"/>
    <w:rsid w:val="25A247EC"/>
    <w:rsid w:val="26061132"/>
    <w:rsid w:val="268B161A"/>
    <w:rsid w:val="2835183D"/>
    <w:rsid w:val="2852419D"/>
    <w:rsid w:val="286001FB"/>
    <w:rsid w:val="28FD7399"/>
    <w:rsid w:val="29950680"/>
    <w:rsid w:val="2AE92B8B"/>
    <w:rsid w:val="2AFD0A94"/>
    <w:rsid w:val="2B185933"/>
    <w:rsid w:val="2B330C60"/>
    <w:rsid w:val="2B481B00"/>
    <w:rsid w:val="2BB93C0A"/>
    <w:rsid w:val="2C311191"/>
    <w:rsid w:val="2C416D72"/>
    <w:rsid w:val="2C7A7148"/>
    <w:rsid w:val="2D494239"/>
    <w:rsid w:val="2D6501FC"/>
    <w:rsid w:val="2D786D6B"/>
    <w:rsid w:val="2E3B5097"/>
    <w:rsid w:val="2E6C46A3"/>
    <w:rsid w:val="2E861327"/>
    <w:rsid w:val="2EA72180"/>
    <w:rsid w:val="2F5C288F"/>
    <w:rsid w:val="30D12B6C"/>
    <w:rsid w:val="31014425"/>
    <w:rsid w:val="3182062E"/>
    <w:rsid w:val="319B4CA7"/>
    <w:rsid w:val="31C4449A"/>
    <w:rsid w:val="31D976DD"/>
    <w:rsid w:val="32145A07"/>
    <w:rsid w:val="32456E89"/>
    <w:rsid w:val="332357ED"/>
    <w:rsid w:val="342D5ABF"/>
    <w:rsid w:val="348451A1"/>
    <w:rsid w:val="349C3C37"/>
    <w:rsid w:val="352F0382"/>
    <w:rsid w:val="356203CC"/>
    <w:rsid w:val="35696FCA"/>
    <w:rsid w:val="35C52022"/>
    <w:rsid w:val="35EF72F8"/>
    <w:rsid w:val="361E2B75"/>
    <w:rsid w:val="37896C52"/>
    <w:rsid w:val="38072EB2"/>
    <w:rsid w:val="381274A5"/>
    <w:rsid w:val="3A100A68"/>
    <w:rsid w:val="3AA23689"/>
    <w:rsid w:val="3AAC27E9"/>
    <w:rsid w:val="3C0B4511"/>
    <w:rsid w:val="3C477110"/>
    <w:rsid w:val="3C7945AF"/>
    <w:rsid w:val="3CD3774B"/>
    <w:rsid w:val="3CFB49AC"/>
    <w:rsid w:val="3DB41ED8"/>
    <w:rsid w:val="3DBB5DC7"/>
    <w:rsid w:val="3DBC1F2B"/>
    <w:rsid w:val="3E611D45"/>
    <w:rsid w:val="3E6B5B61"/>
    <w:rsid w:val="3F5F4168"/>
    <w:rsid w:val="3FAB3A69"/>
    <w:rsid w:val="3FB35A12"/>
    <w:rsid w:val="404B5C4A"/>
    <w:rsid w:val="40880C4C"/>
    <w:rsid w:val="40A40D4F"/>
    <w:rsid w:val="40BA656D"/>
    <w:rsid w:val="40D914A8"/>
    <w:rsid w:val="40F36293"/>
    <w:rsid w:val="419B2E13"/>
    <w:rsid w:val="42201879"/>
    <w:rsid w:val="43937B6D"/>
    <w:rsid w:val="440B0B14"/>
    <w:rsid w:val="45284A5E"/>
    <w:rsid w:val="456B6431"/>
    <w:rsid w:val="47874EA9"/>
    <w:rsid w:val="47B44676"/>
    <w:rsid w:val="4803701A"/>
    <w:rsid w:val="48FD7CFE"/>
    <w:rsid w:val="49530312"/>
    <w:rsid w:val="49C8668D"/>
    <w:rsid w:val="49ED64C9"/>
    <w:rsid w:val="4A325785"/>
    <w:rsid w:val="4AF36E2F"/>
    <w:rsid w:val="4B48499E"/>
    <w:rsid w:val="4B876D4C"/>
    <w:rsid w:val="4BC0573E"/>
    <w:rsid w:val="4BDB5372"/>
    <w:rsid w:val="4C7A32E7"/>
    <w:rsid w:val="4D447CA9"/>
    <w:rsid w:val="4D6A3FBD"/>
    <w:rsid w:val="4D6D36A4"/>
    <w:rsid w:val="4E023E15"/>
    <w:rsid w:val="4F100820"/>
    <w:rsid w:val="4FFE18CB"/>
    <w:rsid w:val="507A635B"/>
    <w:rsid w:val="50850D04"/>
    <w:rsid w:val="50B6598C"/>
    <w:rsid w:val="50D70E34"/>
    <w:rsid w:val="514207FD"/>
    <w:rsid w:val="51A73905"/>
    <w:rsid w:val="52320A18"/>
    <w:rsid w:val="52C74869"/>
    <w:rsid w:val="53476745"/>
    <w:rsid w:val="53BC7CB1"/>
    <w:rsid w:val="53DB2795"/>
    <w:rsid w:val="546E1D69"/>
    <w:rsid w:val="54896BD1"/>
    <w:rsid w:val="54DB230D"/>
    <w:rsid w:val="55944C0E"/>
    <w:rsid w:val="576D3087"/>
    <w:rsid w:val="593A06B5"/>
    <w:rsid w:val="5A762450"/>
    <w:rsid w:val="5AC35A6B"/>
    <w:rsid w:val="5AD76600"/>
    <w:rsid w:val="5BD111F4"/>
    <w:rsid w:val="5CC86EA4"/>
    <w:rsid w:val="5CE5193F"/>
    <w:rsid w:val="5E3D507A"/>
    <w:rsid w:val="5E3E6996"/>
    <w:rsid w:val="5F243677"/>
    <w:rsid w:val="5F4A16A1"/>
    <w:rsid w:val="5F9C69B7"/>
    <w:rsid w:val="6130766C"/>
    <w:rsid w:val="6186668A"/>
    <w:rsid w:val="61DC7186"/>
    <w:rsid w:val="621F0086"/>
    <w:rsid w:val="6232236E"/>
    <w:rsid w:val="623844F4"/>
    <w:rsid w:val="62766E03"/>
    <w:rsid w:val="62A019CE"/>
    <w:rsid w:val="63531F8D"/>
    <w:rsid w:val="638C227F"/>
    <w:rsid w:val="639B7CD8"/>
    <w:rsid w:val="63F01943"/>
    <w:rsid w:val="64256973"/>
    <w:rsid w:val="647E0EAE"/>
    <w:rsid w:val="64901CDF"/>
    <w:rsid w:val="64E102CB"/>
    <w:rsid w:val="64E12312"/>
    <w:rsid w:val="65A34405"/>
    <w:rsid w:val="65AD7581"/>
    <w:rsid w:val="65DB74FA"/>
    <w:rsid w:val="661C0859"/>
    <w:rsid w:val="67FD341E"/>
    <w:rsid w:val="69B35505"/>
    <w:rsid w:val="69B705EC"/>
    <w:rsid w:val="6A510DDC"/>
    <w:rsid w:val="6AF059AE"/>
    <w:rsid w:val="6B442F1F"/>
    <w:rsid w:val="6E39717B"/>
    <w:rsid w:val="6E9F3C9F"/>
    <w:rsid w:val="6EBF1D89"/>
    <w:rsid w:val="6FCA2ACC"/>
    <w:rsid w:val="700F08C0"/>
    <w:rsid w:val="704F0ED7"/>
    <w:rsid w:val="705B714E"/>
    <w:rsid w:val="706F2E94"/>
    <w:rsid w:val="713E0F09"/>
    <w:rsid w:val="71526589"/>
    <w:rsid w:val="71933005"/>
    <w:rsid w:val="71D34078"/>
    <w:rsid w:val="72C05AE3"/>
    <w:rsid w:val="72DA44FF"/>
    <w:rsid w:val="72EB15F3"/>
    <w:rsid w:val="73CB6DD9"/>
    <w:rsid w:val="73DC213A"/>
    <w:rsid w:val="73E01848"/>
    <w:rsid w:val="742762A4"/>
    <w:rsid w:val="74E22F5B"/>
    <w:rsid w:val="74E60521"/>
    <w:rsid w:val="75821800"/>
    <w:rsid w:val="7601232C"/>
    <w:rsid w:val="76D33CC8"/>
    <w:rsid w:val="77037899"/>
    <w:rsid w:val="77AB445A"/>
    <w:rsid w:val="78083F5D"/>
    <w:rsid w:val="7901354B"/>
    <w:rsid w:val="79420C91"/>
    <w:rsid w:val="7A2F16EC"/>
    <w:rsid w:val="7BB52A0C"/>
    <w:rsid w:val="7E751B09"/>
    <w:rsid w:val="7E8D29AE"/>
    <w:rsid w:val="7EE97F06"/>
    <w:rsid w:val="7F6776A3"/>
    <w:rsid w:val="7FA501CC"/>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6"/>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6">
    <w:name w:val="Document Map"/>
    <w:basedOn w:val="1"/>
    <w:link w:val="37"/>
    <w:autoRedefine/>
    <w:semiHidden/>
    <w:unhideWhenUsed/>
    <w:qFormat/>
    <w:uiPriority w:val="0"/>
    <w:rPr>
      <w:rFonts w:ascii="Microsoft YaHei UI" w:eastAsia="Microsoft YaHei UI"/>
      <w:sz w:val="18"/>
      <w:szCs w:val="18"/>
    </w:rPr>
  </w:style>
  <w:style w:type="paragraph" w:styleId="7">
    <w:name w:val="Body Text Indent"/>
    <w:basedOn w:val="1"/>
    <w:autoRedefine/>
    <w:qFormat/>
    <w:uiPriority w:val="0"/>
    <w:pPr>
      <w:ind w:left="420" w:leftChars="200"/>
    </w:pPr>
  </w:style>
  <w:style w:type="paragraph" w:styleId="8">
    <w:name w:val="Plain Text"/>
    <w:basedOn w:val="1"/>
    <w:next w:val="1"/>
    <w:autoRedefine/>
    <w:qFormat/>
    <w:uiPriority w:val="0"/>
    <w:rPr>
      <w:rFonts w:hint="eastAsia" w:ascii="宋体" w:hAnsi="Courier New"/>
      <w:szCs w:val="20"/>
    </w:rPr>
  </w:style>
  <w:style w:type="paragraph" w:styleId="9">
    <w:name w:val="footer"/>
    <w:basedOn w:val="1"/>
    <w:link w:val="34"/>
    <w:autoRedefine/>
    <w:qFormat/>
    <w:uiPriority w:val="99"/>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2">
    <w:name w:val="Body Text First Indent 2"/>
    <w:basedOn w:val="7"/>
    <w:next w:val="1"/>
    <w:autoRedefine/>
    <w:qFormat/>
    <w:uiPriority w:val="0"/>
    <w:pPr>
      <w:spacing w:after="120"/>
      <w:ind w:firstLine="420" w:firstLineChars="200"/>
    </w:pPr>
    <w:rPr>
      <w:rFonts w:ascii="Times New Roman" w:hAnsi="Times New Roman"/>
      <w:szCs w:val="20"/>
    </w:rPr>
  </w:style>
  <w:style w:type="character" w:styleId="15">
    <w:name w:val="FollowedHyperlink"/>
    <w:autoRedefine/>
    <w:qFormat/>
    <w:uiPriority w:val="0"/>
    <w:rPr>
      <w:color w:val="800080"/>
      <w:u w:val="none"/>
    </w:rPr>
  </w:style>
  <w:style w:type="character" w:styleId="16">
    <w:name w:val="HTML Definition"/>
    <w:basedOn w:val="14"/>
    <w:autoRedefine/>
    <w:qFormat/>
    <w:uiPriority w:val="0"/>
  </w:style>
  <w:style w:type="character" w:styleId="17">
    <w:name w:val="HTML Typewriter"/>
    <w:basedOn w:val="14"/>
    <w:autoRedefine/>
    <w:qFormat/>
    <w:uiPriority w:val="0"/>
    <w:rPr>
      <w:rFonts w:hint="default" w:ascii="monospace" w:hAnsi="monospace" w:eastAsia="monospace" w:cs="monospace"/>
      <w:sz w:val="20"/>
    </w:rPr>
  </w:style>
  <w:style w:type="character" w:styleId="18">
    <w:name w:val="HTML Acronym"/>
    <w:basedOn w:val="14"/>
    <w:autoRedefine/>
    <w:qFormat/>
    <w:uiPriority w:val="0"/>
  </w:style>
  <w:style w:type="character" w:styleId="19">
    <w:name w:val="HTML Variable"/>
    <w:basedOn w:val="14"/>
    <w:autoRedefine/>
    <w:qFormat/>
    <w:uiPriority w:val="0"/>
  </w:style>
  <w:style w:type="character" w:styleId="20">
    <w:name w:val="Hyperlink"/>
    <w:basedOn w:val="14"/>
    <w:autoRedefine/>
    <w:qFormat/>
    <w:uiPriority w:val="0"/>
    <w:rPr>
      <w:color w:val="0000FF"/>
      <w:u w:val="none"/>
    </w:rPr>
  </w:style>
  <w:style w:type="character" w:styleId="21">
    <w:name w:val="HTML Code"/>
    <w:basedOn w:val="14"/>
    <w:autoRedefine/>
    <w:qFormat/>
    <w:uiPriority w:val="0"/>
    <w:rPr>
      <w:rFonts w:ascii="monospace" w:hAnsi="monospace" w:eastAsia="monospace" w:cs="monospace"/>
      <w:sz w:val="20"/>
    </w:rPr>
  </w:style>
  <w:style w:type="character" w:styleId="22">
    <w:name w:val="HTML Cite"/>
    <w:basedOn w:val="14"/>
    <w:autoRedefine/>
    <w:qFormat/>
    <w:uiPriority w:val="0"/>
  </w:style>
  <w:style w:type="character" w:styleId="23">
    <w:name w:val="HTML Keyboard"/>
    <w:basedOn w:val="14"/>
    <w:autoRedefine/>
    <w:qFormat/>
    <w:uiPriority w:val="0"/>
    <w:rPr>
      <w:rFonts w:hint="default" w:ascii="monospace" w:hAnsi="monospace" w:eastAsia="monospace" w:cs="monospace"/>
      <w:sz w:val="20"/>
    </w:rPr>
  </w:style>
  <w:style w:type="character" w:styleId="24">
    <w:name w:val="HTML Sample"/>
    <w:basedOn w:val="14"/>
    <w:autoRedefine/>
    <w:qFormat/>
    <w:uiPriority w:val="0"/>
    <w:rPr>
      <w:rFonts w:hint="default" w:ascii="monospace" w:hAnsi="monospace" w:eastAsia="monospace" w:cs="monospace"/>
    </w:rPr>
  </w:style>
  <w:style w:type="paragraph" w:customStyle="1" w:styleId="25">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6">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27">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28">
    <w:name w:val="first-child"/>
    <w:basedOn w:val="14"/>
    <w:autoRedefine/>
    <w:qFormat/>
    <w:uiPriority w:val="0"/>
  </w:style>
  <w:style w:type="character" w:customStyle="1" w:styleId="29">
    <w:name w:val="hover2"/>
    <w:basedOn w:val="14"/>
    <w:autoRedefine/>
    <w:qFormat/>
    <w:uiPriority w:val="0"/>
    <w:rPr>
      <w:color w:val="5FB878"/>
    </w:rPr>
  </w:style>
  <w:style w:type="character" w:customStyle="1" w:styleId="30">
    <w:name w:val="hover3"/>
    <w:basedOn w:val="14"/>
    <w:autoRedefine/>
    <w:qFormat/>
    <w:uiPriority w:val="0"/>
    <w:rPr>
      <w:color w:val="5FB878"/>
    </w:rPr>
  </w:style>
  <w:style w:type="character" w:customStyle="1" w:styleId="31">
    <w:name w:val="hover4"/>
    <w:basedOn w:val="14"/>
    <w:autoRedefine/>
    <w:qFormat/>
    <w:uiPriority w:val="0"/>
    <w:rPr>
      <w:color w:val="FFFFFF"/>
    </w:rPr>
  </w:style>
  <w:style w:type="character" w:customStyle="1" w:styleId="32">
    <w:name w:val="layui-this"/>
    <w:basedOn w:val="14"/>
    <w:autoRedefine/>
    <w:qFormat/>
    <w:uiPriority w:val="0"/>
    <w:rPr>
      <w:bdr w:val="single" w:color="EEEEEE" w:sz="6" w:space="0"/>
      <w:shd w:val="clear" w:color="auto" w:fill="FFFFFF"/>
    </w:rPr>
  </w:style>
  <w:style w:type="paragraph" w:customStyle="1" w:styleId="33">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34">
    <w:name w:val="页脚 Char"/>
    <w:basedOn w:val="14"/>
    <w:link w:val="9"/>
    <w:autoRedefine/>
    <w:qFormat/>
    <w:uiPriority w:val="99"/>
    <w:rPr>
      <w:rFonts w:ascii="Calibri" w:hAnsi="Calibri"/>
      <w:kern w:val="2"/>
      <w:sz w:val="18"/>
      <w:szCs w:val="24"/>
    </w:rPr>
  </w:style>
  <w:style w:type="paragraph" w:styleId="35">
    <w:name w:val="List Paragraph"/>
    <w:basedOn w:val="1"/>
    <w:autoRedefine/>
    <w:qFormat/>
    <w:uiPriority w:val="99"/>
    <w:pPr>
      <w:ind w:firstLine="420" w:firstLineChars="200"/>
    </w:pPr>
  </w:style>
  <w:style w:type="character" w:customStyle="1" w:styleId="36">
    <w:name w:val="标题 1 Char"/>
    <w:link w:val="3"/>
    <w:autoRedefine/>
    <w:qFormat/>
    <w:uiPriority w:val="0"/>
    <w:rPr>
      <w:b/>
      <w:kern w:val="44"/>
      <w:sz w:val="44"/>
    </w:rPr>
  </w:style>
  <w:style w:type="character" w:customStyle="1" w:styleId="37">
    <w:name w:val="文档结构图 Char"/>
    <w:basedOn w:val="14"/>
    <w:link w:val="6"/>
    <w:autoRedefine/>
    <w:semiHidden/>
    <w:qFormat/>
    <w:uiPriority w:val="0"/>
    <w:rPr>
      <w:rFonts w:ascii="Microsoft YaHei UI" w:hAnsi="Calibri" w:eastAsia="Microsoft YaHei UI"/>
      <w:kern w:val="2"/>
      <w:sz w:val="18"/>
      <w:szCs w:val="18"/>
    </w:rPr>
  </w:style>
  <w:style w:type="character" w:customStyle="1" w:styleId="38">
    <w:name w:val="font21"/>
    <w:basedOn w:val="14"/>
    <w:autoRedefine/>
    <w:qFormat/>
    <w:uiPriority w:val="0"/>
    <w:rPr>
      <w:rFonts w:hint="eastAsia" w:ascii="微软雅黑" w:hAnsi="微软雅黑" w:eastAsia="微软雅黑" w:cs="微软雅黑"/>
      <w:color w:val="000000"/>
      <w:sz w:val="20"/>
      <w:szCs w:val="20"/>
      <w:u w:val="none"/>
    </w:rPr>
  </w:style>
  <w:style w:type="character" w:customStyle="1" w:styleId="39">
    <w:name w:val="font41"/>
    <w:basedOn w:val="14"/>
    <w:autoRedefine/>
    <w:qFormat/>
    <w:uiPriority w:val="0"/>
    <w:rPr>
      <w:rFonts w:ascii="Arial" w:hAnsi="Arial" w:cs="Arial"/>
      <w:color w:val="000000"/>
      <w:sz w:val="20"/>
      <w:szCs w:val="20"/>
      <w:u w:val="none"/>
    </w:rPr>
  </w:style>
  <w:style w:type="character" w:customStyle="1" w:styleId="40">
    <w:name w:val="font51"/>
    <w:basedOn w:val="14"/>
    <w:autoRedefine/>
    <w:qFormat/>
    <w:uiPriority w:val="0"/>
    <w:rPr>
      <w:rFonts w:hint="eastAsia" w:ascii="宋体" w:hAnsi="宋体" w:eastAsia="宋体" w:cs="宋体"/>
      <w:color w:val="000000"/>
      <w:sz w:val="24"/>
      <w:szCs w:val="24"/>
      <w:u w:val="none"/>
    </w:rPr>
  </w:style>
  <w:style w:type="character" w:customStyle="1" w:styleId="41">
    <w:name w:val="font61"/>
    <w:basedOn w:val="14"/>
    <w:autoRedefine/>
    <w:qFormat/>
    <w:uiPriority w:val="0"/>
    <w:rPr>
      <w:rFonts w:hint="eastAsia" w:ascii="宋体" w:hAnsi="宋体" w:eastAsia="宋体" w:cs="宋体"/>
      <w:b/>
      <w:bCs/>
      <w:color w:val="000000"/>
      <w:sz w:val="24"/>
      <w:szCs w:val="24"/>
      <w:u w:val="none"/>
    </w:rPr>
  </w:style>
  <w:style w:type="paragraph" w:customStyle="1" w:styleId="42">
    <w:name w:val="Body text|1"/>
    <w:basedOn w:val="1"/>
    <w:autoRedefine/>
    <w:qFormat/>
    <w:uiPriority w:val="0"/>
    <w:pPr>
      <w:spacing w:after="110" w:line="293" w:lineRule="auto"/>
      <w:ind w:firstLine="20"/>
    </w:pPr>
    <w:rPr>
      <w:rFonts w:ascii="宋体" w:hAnsi="宋体" w:cs="宋体"/>
      <w:sz w:val="22"/>
      <w:szCs w:val="22"/>
      <w:u w:val="single"/>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9" textRotate="1"/>
    <customShpInfo spid="_x0000_s4100" textRotate="1"/>
    <customShpInfo spid="_x0000_s4097" textRotate="1"/>
    <customShpInfo spid="_x0000_s4098"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46</Pages>
  <Words>21492</Words>
  <Characters>22405</Characters>
  <Lines>137</Lines>
  <Paragraphs>38</Paragraphs>
  <TotalTime>20</TotalTime>
  <ScaleCrop>false</ScaleCrop>
  <LinksUpToDate>false</LinksUpToDate>
  <CharactersWithSpaces>23605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秋之夜深深</cp:lastModifiedBy>
  <cp:lastPrinted>2024-01-18T07:45:00Z</cp:lastPrinted>
  <dcterms:modified xsi:type="dcterms:W3CDTF">2024-01-22T01:24:52Z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B04AB27B0E3646F1AA67DF491C0A1590</vt:lpwstr>
  </property>
</Properties>
</file>