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60A143">
      <w:pPr>
        <w:jc w:val="center"/>
        <w:rPr>
          <w:rFonts w:ascii="仿宋" w:hAnsi="仿宋" w:eastAsia="仿宋" w:cs="仿宋"/>
          <w:sz w:val="32"/>
          <w:szCs w:val="32"/>
        </w:rPr>
      </w:pPr>
      <w:r>
        <w:rPr>
          <w:rFonts w:hint="eastAsia" w:ascii="方正小标宋简体" w:hAnsi="方正小标宋简体" w:eastAsia="方正小标宋简体" w:cs="方正小标宋简体"/>
          <w:sz w:val="44"/>
          <w:szCs w:val="44"/>
        </w:rPr>
        <w:t>启东市机关事务服务中心干粉灭火器到期充装项目</w:t>
      </w:r>
      <w:r>
        <w:rPr>
          <w:rFonts w:hint="eastAsia" w:ascii="方正小标宋简体" w:hAnsi="方正小标宋简体" w:eastAsia="方正小标宋简体" w:cs="方正小标宋简体"/>
          <w:sz w:val="44"/>
          <w:szCs w:val="44"/>
          <w:lang w:eastAsia="zh-CN"/>
        </w:rPr>
        <w:t>（二次）</w:t>
      </w:r>
      <w:r>
        <w:rPr>
          <w:rFonts w:hint="eastAsia" w:ascii="方正小标宋简体" w:hAnsi="方正小标宋简体" w:eastAsia="方正小标宋简体" w:cs="方正小标宋简体"/>
          <w:sz w:val="44"/>
          <w:szCs w:val="44"/>
        </w:rPr>
        <w:t>询价采购公告</w:t>
      </w:r>
    </w:p>
    <w:p w14:paraId="48B52C30">
      <w:pPr>
        <w:numPr>
          <w:ilvl w:val="0"/>
          <w:numId w:val="1"/>
        </w:numPr>
        <w:rPr>
          <w:rFonts w:hint="eastAsia" w:ascii="仿宋" w:hAnsi="仿宋" w:eastAsia="仿宋" w:cs="仿宋"/>
          <w:sz w:val="32"/>
          <w:szCs w:val="32"/>
        </w:rPr>
      </w:pPr>
      <w:r>
        <w:rPr>
          <w:rFonts w:hint="eastAsia" w:ascii="仿宋" w:hAnsi="仿宋" w:eastAsia="仿宋" w:cs="仿宋"/>
          <w:sz w:val="32"/>
          <w:szCs w:val="32"/>
        </w:rPr>
        <w:t>采购项目名称：启东市机关事务服务中心干粉灭火器到期充装项目</w:t>
      </w:r>
    </w:p>
    <w:p w14:paraId="6A1EA711">
      <w:pPr>
        <w:rPr>
          <w:rFonts w:ascii="仿宋" w:hAnsi="仿宋" w:eastAsia="仿宋" w:cs="仿宋"/>
          <w:sz w:val="32"/>
          <w:szCs w:val="32"/>
        </w:rPr>
      </w:pPr>
      <w:r>
        <w:rPr>
          <w:rFonts w:hint="eastAsia" w:ascii="仿宋" w:hAnsi="仿宋" w:eastAsia="仿宋" w:cs="仿宋"/>
          <w:sz w:val="32"/>
          <w:szCs w:val="32"/>
        </w:rPr>
        <w:t>二、采购方式：询价采购</w:t>
      </w:r>
    </w:p>
    <w:p w14:paraId="22C7E75B">
      <w:pPr>
        <w:rPr>
          <w:rFonts w:ascii="仿宋" w:hAnsi="仿宋" w:eastAsia="仿宋" w:cs="仿宋"/>
          <w:sz w:val="32"/>
          <w:szCs w:val="32"/>
        </w:rPr>
      </w:pPr>
      <w:r>
        <w:rPr>
          <w:rFonts w:hint="eastAsia" w:ascii="仿宋" w:hAnsi="仿宋" w:eastAsia="仿宋" w:cs="仿宋"/>
          <w:sz w:val="32"/>
          <w:szCs w:val="32"/>
        </w:rPr>
        <w:t>三、项目预算：</w:t>
      </w:r>
      <w:r>
        <w:rPr>
          <w:rFonts w:hint="eastAsia" w:ascii="仿宋" w:hAnsi="仿宋" w:eastAsia="仿宋" w:cs="仿宋"/>
          <w:sz w:val="32"/>
          <w:szCs w:val="32"/>
          <w:lang w:val="en-US" w:eastAsia="zh-CN"/>
        </w:rPr>
        <w:t>4.92</w:t>
      </w:r>
      <w:r>
        <w:rPr>
          <w:rFonts w:hint="eastAsia" w:ascii="仿宋" w:hAnsi="仿宋" w:eastAsia="仿宋" w:cs="仿宋"/>
          <w:sz w:val="32"/>
          <w:szCs w:val="32"/>
        </w:rPr>
        <w:t>万元（具体金额以市场询价为准，供应商需根据实际充装成本报价）。</w:t>
      </w:r>
    </w:p>
    <w:p w14:paraId="20E792B4">
      <w:pPr>
        <w:rPr>
          <w:rFonts w:ascii="仿宋" w:hAnsi="仿宋" w:eastAsia="仿宋" w:cs="仿宋"/>
          <w:sz w:val="32"/>
          <w:szCs w:val="32"/>
        </w:rPr>
      </w:pPr>
      <w:r>
        <w:rPr>
          <w:rFonts w:hint="eastAsia" w:ascii="仿宋" w:hAnsi="仿宋" w:eastAsia="仿宋" w:cs="仿宋"/>
          <w:sz w:val="32"/>
          <w:szCs w:val="32"/>
        </w:rPr>
        <w:t>四、采购内容：</w:t>
      </w:r>
    </w:p>
    <w:p w14:paraId="110A5E97">
      <w:pPr>
        <w:rPr>
          <w:rFonts w:ascii="仿宋" w:hAnsi="仿宋" w:eastAsia="仿宋" w:cs="仿宋"/>
          <w:color w:val="000000"/>
          <w:sz w:val="30"/>
          <w:szCs w:val="30"/>
        </w:rPr>
      </w:pPr>
      <w:r>
        <w:rPr>
          <w:rFonts w:hint="eastAsia" w:ascii="仿宋" w:hAnsi="仿宋" w:eastAsia="仿宋" w:cs="仿宋"/>
          <w:sz w:val="32"/>
          <w:szCs w:val="32"/>
        </w:rPr>
        <w:t>（一）服务内容：对启东市行政中心1638只干粉灭火器（规格型号：MFZ/ABC3）进行到期充装，确保充装后的灭火器符合国家相关标准及技术规范。</w:t>
      </w:r>
    </w:p>
    <w:p w14:paraId="3C2E0C64">
      <w:pPr>
        <w:spacing w:line="500" w:lineRule="exact"/>
        <w:ind w:right="960"/>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eastAsia="zh-CN"/>
        </w:rPr>
        <w:t>二</w:t>
      </w:r>
      <w:r>
        <w:rPr>
          <w:rFonts w:hint="eastAsia" w:ascii="仿宋" w:hAnsi="仿宋" w:eastAsia="仿宋" w:cs="仿宋"/>
          <w:sz w:val="32"/>
          <w:szCs w:val="32"/>
        </w:rPr>
        <w:t>）服务</w:t>
      </w:r>
      <w:r>
        <w:rPr>
          <w:rFonts w:hint="eastAsia" w:ascii="仿宋" w:hAnsi="仿宋" w:eastAsia="仿宋" w:cs="仿宋"/>
          <w:sz w:val="32"/>
          <w:szCs w:val="32"/>
          <w:lang w:eastAsia="zh-CN"/>
        </w:rPr>
        <w:t>要求</w:t>
      </w:r>
    </w:p>
    <w:p w14:paraId="7FCCAA66">
      <w:pPr>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充装工作需严格按照《干粉灭火系统设计规范》（GB50347）及《灭火器维修与报废规程》（GA95）执行。</w:t>
      </w:r>
    </w:p>
    <w:p w14:paraId="6E7CE468">
      <w:pPr>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充装后的灭火器需提供检测合格证明，并确保压力、重量、性能等指标达标。</w:t>
      </w:r>
    </w:p>
    <w:p w14:paraId="76DF4F3E">
      <w:pPr>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供应商需负责灭火器的运输、充装、检测及返场安装，全程需保证安全、高效。</w:t>
      </w:r>
    </w:p>
    <w:p w14:paraId="3A875CB3">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4、供应商在充装作业期间，必须提供与充装灭火器同规格（MFZ/ABC3）、同数量的临时等效替换灭火器，确保采购方消防设施的正常覆盖。</w:t>
      </w:r>
    </w:p>
    <w:p w14:paraId="39219EFF">
      <w:pPr>
        <w:rPr>
          <w:rFonts w:hint="eastAsia" w:ascii="仿宋" w:hAnsi="仿宋" w:eastAsia="仿宋" w:cs="仿宋"/>
          <w:sz w:val="32"/>
          <w:szCs w:val="32"/>
        </w:rPr>
      </w:pPr>
      <w:r>
        <w:rPr>
          <w:rFonts w:hint="eastAsia" w:ascii="仿宋" w:hAnsi="仿宋" w:eastAsia="仿宋" w:cs="仿宋"/>
          <w:sz w:val="32"/>
          <w:szCs w:val="32"/>
        </w:rPr>
        <w:t>五、响应人资格要求：</w:t>
      </w:r>
    </w:p>
    <w:p w14:paraId="3A3D27B9">
      <w:pPr>
        <w:rPr>
          <w:rFonts w:ascii="仿宋" w:hAnsi="仿宋" w:eastAsia="仿宋" w:cs="仿宋"/>
          <w:sz w:val="32"/>
          <w:szCs w:val="32"/>
        </w:rPr>
      </w:pPr>
      <w:r>
        <w:rPr>
          <w:rFonts w:hint="eastAsia" w:ascii="仿宋" w:hAnsi="仿宋" w:eastAsia="仿宋" w:cs="仿宋"/>
          <w:sz w:val="32"/>
          <w:szCs w:val="32"/>
        </w:rPr>
        <w:t>（一）响应人必须具有合法经营资质，并提供下列资格证明材料（加盖公章）：</w:t>
      </w:r>
    </w:p>
    <w:p w14:paraId="72D73755">
      <w:pPr>
        <w:rPr>
          <w:rFonts w:ascii="仿宋" w:hAnsi="仿宋" w:eastAsia="仿宋" w:cs="仿宋"/>
          <w:color w:val="FF0000"/>
          <w:sz w:val="32"/>
          <w:szCs w:val="32"/>
          <w:highlight w:val="yellow"/>
        </w:rPr>
      </w:pPr>
      <w:r>
        <w:rPr>
          <w:rFonts w:hint="eastAsia" w:ascii="仿宋" w:hAnsi="仿宋" w:eastAsia="仿宋" w:cs="仿宋"/>
          <w:sz w:val="32"/>
          <w:szCs w:val="32"/>
        </w:rPr>
        <w:t>1、法人或其他组织的营业执照或事业单位法人证书</w:t>
      </w:r>
      <w:r>
        <w:rPr>
          <w:rFonts w:hint="eastAsia" w:ascii="仿宋" w:hAnsi="仿宋" w:eastAsia="仿宋" w:cs="仿宋"/>
          <w:sz w:val="32"/>
          <w:szCs w:val="32"/>
          <w:lang w:eastAsia="zh-CN"/>
        </w:rPr>
        <w:t>、</w:t>
      </w:r>
      <w:r>
        <w:rPr>
          <w:rFonts w:hint="eastAsia" w:ascii="仿宋" w:hAnsi="仿宋" w:eastAsia="仿宋" w:cs="仿宋"/>
          <w:sz w:val="32"/>
          <w:szCs w:val="32"/>
        </w:rPr>
        <w:t>消防设备维修充装资质证书等证明文件，自然人的身份证明；</w:t>
      </w:r>
    </w:p>
    <w:p w14:paraId="772CC970">
      <w:pPr>
        <w:rPr>
          <w:rFonts w:ascii="仿宋" w:hAnsi="仿宋" w:eastAsia="仿宋" w:cs="仿宋"/>
          <w:sz w:val="32"/>
          <w:szCs w:val="32"/>
        </w:rPr>
      </w:pPr>
      <w:r>
        <w:rPr>
          <w:rFonts w:hint="eastAsia" w:ascii="仿宋" w:hAnsi="仿宋" w:eastAsia="仿宋" w:cs="仿宋"/>
          <w:sz w:val="32"/>
          <w:szCs w:val="32"/>
        </w:rPr>
        <w:t>2、根据项目需求提供履行合同所必需的设备和专业技术能力的证明材料，且须提供技术人员资格证书；</w:t>
      </w:r>
    </w:p>
    <w:p w14:paraId="37844E2D">
      <w:pPr>
        <w:rPr>
          <w:rFonts w:ascii="仿宋" w:hAnsi="仿宋" w:eastAsia="仿宋" w:cs="仿宋"/>
          <w:sz w:val="32"/>
          <w:szCs w:val="32"/>
        </w:rPr>
      </w:pPr>
      <w:r>
        <w:rPr>
          <w:rFonts w:hint="eastAsia" w:ascii="仿宋" w:hAnsi="仿宋" w:eastAsia="仿宋" w:cs="仿宋"/>
          <w:sz w:val="32"/>
          <w:szCs w:val="32"/>
        </w:rPr>
        <w:t>3、法人授权委托书（原件）、法人及委托代理人的身份证复印件；</w:t>
      </w:r>
    </w:p>
    <w:p w14:paraId="30626C9E">
      <w:pPr>
        <w:wordWrap w:val="0"/>
        <w:jc w:val="left"/>
        <w:rPr>
          <w:rFonts w:ascii="仿宋" w:hAnsi="仿宋" w:eastAsia="仿宋" w:cs="仿宋"/>
          <w:sz w:val="32"/>
          <w:szCs w:val="32"/>
        </w:rPr>
      </w:pPr>
      <w:r>
        <w:rPr>
          <w:rFonts w:hint="eastAsia" w:ascii="仿宋" w:hAnsi="仿宋" w:eastAsia="仿宋" w:cs="仿宋"/>
          <w:sz w:val="32"/>
          <w:szCs w:val="32"/>
        </w:rPr>
        <w:t>4、参加政府采购活动前 3 年内在经营活动中没有重大违法记录和失信记录的书面声明（格式见附件2）以及未被“中国政府采购网”网站（www.ccgp.gov.cn）或“信用中国”网站（www.creditchina.gov.cn）或“国家企业信用信息公示系统” 网站（www.gsxt.gov.cn）列入失信被执行人、重大税收违法案件当事人名单、政府采购严重失信行为记录名单（提供网上查验结果截图）；</w:t>
      </w:r>
    </w:p>
    <w:p w14:paraId="45817CBB">
      <w:pPr>
        <w:rPr>
          <w:rFonts w:ascii="仿宋" w:hAnsi="仿宋" w:eastAsia="仿宋" w:cs="仿宋"/>
          <w:sz w:val="32"/>
          <w:szCs w:val="32"/>
        </w:rPr>
      </w:pPr>
      <w:r>
        <w:rPr>
          <w:rFonts w:hint="eastAsia" w:ascii="仿宋" w:hAnsi="仿宋" w:eastAsia="仿宋" w:cs="仿宋"/>
          <w:sz w:val="32"/>
          <w:szCs w:val="32"/>
        </w:rPr>
        <w:t>5、同类项目业绩、地点及取得的荣誉。响应人提供2022年7月1日以来（以合同签订时间为准）的服务案例。（提供服务合同复印件，且至少提供2个服务业绩）。</w:t>
      </w:r>
    </w:p>
    <w:p w14:paraId="18D977C9">
      <w:pPr>
        <w:rPr>
          <w:rFonts w:ascii="仿宋" w:hAnsi="仿宋" w:eastAsia="仿宋" w:cs="仿宋"/>
          <w:sz w:val="32"/>
          <w:szCs w:val="32"/>
        </w:rPr>
      </w:pPr>
      <w:r>
        <w:rPr>
          <w:rFonts w:hint="eastAsia" w:ascii="仿宋" w:hAnsi="仿宋" w:eastAsia="仿宋" w:cs="仿宋"/>
          <w:sz w:val="32"/>
          <w:szCs w:val="32"/>
        </w:rPr>
        <w:t>6、法律、行政法规规定的其它条件。</w:t>
      </w:r>
    </w:p>
    <w:p w14:paraId="6F7236D6">
      <w:pPr>
        <w:pStyle w:val="4"/>
        <w:rPr>
          <w:rFonts w:ascii="仿宋" w:hAnsi="仿宋" w:eastAsia="仿宋" w:cs="仿宋"/>
          <w:b/>
          <w:bCs/>
          <w:sz w:val="32"/>
          <w:szCs w:val="32"/>
        </w:rPr>
      </w:pPr>
      <w:r>
        <w:rPr>
          <w:rFonts w:hint="eastAsia" w:ascii="仿宋" w:hAnsi="仿宋" w:eastAsia="仿宋" w:cs="仿宋"/>
          <w:b/>
          <w:bCs/>
          <w:sz w:val="32"/>
          <w:szCs w:val="32"/>
        </w:rPr>
        <w:t>注：所涉及的所有证明材料及复印件须加盖单位公章。如发现有弄虚作假的，取消中标资格。</w:t>
      </w:r>
    </w:p>
    <w:p w14:paraId="29CE553F">
      <w:pPr>
        <w:rPr>
          <w:rFonts w:hint="eastAsia" w:ascii="仿宋" w:hAnsi="仿宋" w:eastAsia="仿宋" w:cs="仿宋"/>
          <w:sz w:val="32"/>
          <w:szCs w:val="32"/>
          <w:lang w:eastAsia="zh-CN"/>
        </w:rPr>
      </w:pPr>
      <w:r>
        <w:rPr>
          <w:rFonts w:hint="eastAsia" w:ascii="仿宋" w:hAnsi="仿宋" w:eastAsia="仿宋" w:cs="仿宋"/>
          <w:sz w:val="32"/>
          <w:szCs w:val="32"/>
        </w:rPr>
        <w:t>（二）本项目不接受联合体响应，成交后不允许分包、转包。</w:t>
      </w:r>
    </w:p>
    <w:p w14:paraId="6B5B1C53">
      <w:pPr>
        <w:rPr>
          <w:rFonts w:ascii="仿宋" w:hAnsi="仿宋" w:eastAsia="仿宋" w:cs="仿宋"/>
          <w:sz w:val="32"/>
          <w:szCs w:val="32"/>
        </w:rPr>
      </w:pPr>
      <w:r>
        <w:rPr>
          <w:rFonts w:hint="eastAsia" w:ascii="仿宋" w:hAnsi="仿宋" w:eastAsia="仿宋" w:cs="仿宋"/>
          <w:sz w:val="32"/>
          <w:szCs w:val="32"/>
        </w:rPr>
        <w:t>六、合同期限、付款方式：</w:t>
      </w:r>
    </w:p>
    <w:p w14:paraId="52AA1561">
      <w:pPr>
        <w:rPr>
          <w:rFonts w:hint="eastAsia" w:ascii="仿宋" w:hAnsi="仿宋" w:eastAsia="仿宋" w:cs="仿宋"/>
          <w:sz w:val="32"/>
          <w:szCs w:val="32"/>
        </w:rPr>
      </w:pPr>
      <w:r>
        <w:rPr>
          <w:rFonts w:hint="eastAsia" w:ascii="仿宋" w:hAnsi="仿宋" w:eastAsia="仿宋" w:cs="仿宋"/>
          <w:sz w:val="32"/>
          <w:szCs w:val="32"/>
        </w:rPr>
        <w:t>1、付款方式：验收合格后15个工作日内凭发票一次性支付。</w:t>
      </w:r>
    </w:p>
    <w:p w14:paraId="309FD6A7">
      <w:pPr>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2、服务期限：合同签订后</w:t>
      </w:r>
      <w:r>
        <w:rPr>
          <w:rFonts w:hint="eastAsia" w:ascii="仿宋" w:hAnsi="仿宋" w:eastAsia="仿宋" w:cs="仿宋"/>
          <w:color w:val="000000" w:themeColor="text1"/>
          <w:sz w:val="32"/>
          <w:szCs w:val="32"/>
          <w:lang w:val="en-US" w:eastAsia="zh-CN"/>
        </w:rPr>
        <w:t>15</w:t>
      </w:r>
      <w:r>
        <w:rPr>
          <w:rFonts w:hint="eastAsia" w:ascii="仿宋" w:hAnsi="仿宋" w:eastAsia="仿宋" w:cs="仿宋"/>
          <w:color w:val="000000" w:themeColor="text1"/>
          <w:sz w:val="32"/>
          <w:szCs w:val="32"/>
        </w:rPr>
        <w:t>日内完成充装及验收。</w:t>
      </w:r>
    </w:p>
    <w:p w14:paraId="76CE71BA">
      <w:pPr>
        <w:rPr>
          <w:rFonts w:ascii="仿宋" w:hAnsi="仿宋" w:eastAsia="仿宋" w:cs="仿宋"/>
          <w:sz w:val="32"/>
          <w:szCs w:val="32"/>
        </w:rPr>
      </w:pPr>
      <w:r>
        <w:rPr>
          <w:rFonts w:hint="eastAsia" w:ascii="仿宋" w:hAnsi="仿宋" w:eastAsia="仿宋" w:cs="仿宋"/>
          <w:sz w:val="32"/>
          <w:szCs w:val="32"/>
        </w:rPr>
        <w:t>3、验收标准：按照国家及地方相关标准验收。</w:t>
      </w:r>
    </w:p>
    <w:p w14:paraId="0EAA73D3">
      <w:pPr>
        <w:rPr>
          <w:rFonts w:ascii="仿宋" w:hAnsi="仿宋" w:eastAsia="仿宋" w:cs="仿宋"/>
          <w:sz w:val="32"/>
          <w:szCs w:val="32"/>
        </w:rPr>
      </w:pPr>
      <w:r>
        <w:rPr>
          <w:rFonts w:hint="eastAsia" w:ascii="仿宋" w:hAnsi="仿宋" w:eastAsia="仿宋" w:cs="仿宋"/>
          <w:sz w:val="32"/>
          <w:szCs w:val="32"/>
        </w:rPr>
        <w:t>4、报价要求：</w:t>
      </w:r>
    </w:p>
    <w:p w14:paraId="7BB680C6">
      <w:pPr>
        <w:rPr>
          <w:rFonts w:ascii="仿宋" w:hAnsi="仿宋" w:eastAsia="仿宋" w:cs="仿宋"/>
          <w:sz w:val="32"/>
          <w:szCs w:val="32"/>
        </w:rPr>
      </w:pPr>
      <w:r>
        <w:rPr>
          <w:rFonts w:hint="eastAsia" w:ascii="仿宋" w:hAnsi="仿宋" w:eastAsia="仿宋" w:cs="仿宋"/>
          <w:sz w:val="32"/>
          <w:szCs w:val="32"/>
        </w:rPr>
        <w:t>报价含税费、人工费、检</w:t>
      </w:r>
      <w:r>
        <w:rPr>
          <w:rFonts w:hint="eastAsia" w:ascii="仿宋" w:hAnsi="仿宋" w:eastAsia="仿宋" w:cs="仿宋"/>
          <w:sz w:val="32"/>
          <w:szCs w:val="32"/>
          <w:lang w:eastAsia="zh-CN"/>
        </w:rPr>
        <w:t>测</w:t>
      </w:r>
      <w:r>
        <w:rPr>
          <w:rFonts w:hint="eastAsia" w:ascii="仿宋" w:hAnsi="仿宋" w:eastAsia="仿宋" w:cs="仿宋"/>
          <w:sz w:val="32"/>
          <w:szCs w:val="32"/>
        </w:rPr>
        <w:t>费、运输费以及合同实施过程中的应预见和不预见费用等全部费用。</w:t>
      </w:r>
    </w:p>
    <w:p w14:paraId="364FCA2F">
      <w:pPr>
        <w:rPr>
          <w:rFonts w:ascii="仿宋" w:hAnsi="仿宋" w:eastAsia="仿宋" w:cs="仿宋"/>
          <w:sz w:val="32"/>
          <w:szCs w:val="32"/>
        </w:rPr>
      </w:pPr>
      <w:r>
        <w:rPr>
          <w:rFonts w:hint="eastAsia" w:ascii="仿宋" w:hAnsi="仿宋" w:eastAsia="仿宋" w:cs="仿宋"/>
          <w:sz w:val="32"/>
          <w:szCs w:val="32"/>
        </w:rPr>
        <w:t>七、响应须知：</w:t>
      </w:r>
    </w:p>
    <w:p w14:paraId="19AC7B8B">
      <w:pPr>
        <w:rPr>
          <w:rFonts w:ascii="仿宋" w:hAnsi="仿宋" w:eastAsia="仿宋" w:cs="仿宋"/>
          <w:sz w:val="32"/>
          <w:szCs w:val="32"/>
        </w:rPr>
      </w:pPr>
      <w:r>
        <w:rPr>
          <w:rFonts w:hint="eastAsia" w:ascii="仿宋" w:hAnsi="仿宋" w:eastAsia="仿宋" w:cs="仿宋"/>
          <w:sz w:val="32"/>
          <w:szCs w:val="32"/>
        </w:rPr>
        <w:t>（一）响应文件构成（包括但不仅限于）</w:t>
      </w:r>
    </w:p>
    <w:p w14:paraId="769CC068">
      <w:pPr>
        <w:rPr>
          <w:rFonts w:ascii="仿宋" w:hAnsi="仿宋" w:eastAsia="仿宋" w:cs="仿宋"/>
          <w:sz w:val="32"/>
          <w:szCs w:val="32"/>
        </w:rPr>
      </w:pPr>
      <w:r>
        <w:rPr>
          <w:rFonts w:hint="eastAsia" w:ascii="仿宋" w:hAnsi="仿宋" w:eastAsia="仿宋" w:cs="仿宋"/>
          <w:sz w:val="32"/>
          <w:szCs w:val="32"/>
        </w:rPr>
        <w:t>1、资格性和符合性审查响应索引表及证明材料；</w:t>
      </w:r>
    </w:p>
    <w:p w14:paraId="0E9430AC">
      <w:pPr>
        <w:rPr>
          <w:rFonts w:ascii="仿宋" w:hAnsi="仿宋" w:eastAsia="仿宋" w:cs="仿宋"/>
          <w:sz w:val="32"/>
          <w:szCs w:val="32"/>
        </w:rPr>
      </w:pPr>
      <w:r>
        <w:rPr>
          <w:rFonts w:hint="eastAsia" w:ascii="仿宋" w:hAnsi="仿宋" w:eastAsia="仿宋" w:cs="仿宋"/>
          <w:sz w:val="32"/>
          <w:szCs w:val="32"/>
        </w:rPr>
        <w:t>2、询价采购报价总表（格式见附件1）及</w:t>
      </w:r>
      <w:r>
        <w:rPr>
          <w:rFonts w:hint="eastAsia" w:ascii="仿宋" w:hAnsi="仿宋" w:eastAsia="仿宋" w:cs="仿宋"/>
          <w:sz w:val="32"/>
          <w:szCs w:val="32"/>
          <w:lang w:val="zh-CN"/>
        </w:rPr>
        <w:t>分项报价明细表（</w:t>
      </w:r>
      <w:r>
        <w:rPr>
          <w:rFonts w:hint="eastAsia" w:ascii="仿宋" w:hAnsi="仿宋" w:eastAsia="仿宋" w:cs="仿宋"/>
          <w:sz w:val="32"/>
          <w:szCs w:val="32"/>
        </w:rPr>
        <w:t>格式自拟</w:t>
      </w:r>
      <w:r>
        <w:rPr>
          <w:rFonts w:hint="eastAsia" w:ascii="仿宋" w:hAnsi="仿宋" w:eastAsia="仿宋" w:cs="仿宋"/>
          <w:sz w:val="32"/>
          <w:szCs w:val="32"/>
          <w:lang w:val="zh-CN"/>
        </w:rPr>
        <w:t>）</w:t>
      </w:r>
      <w:r>
        <w:rPr>
          <w:rFonts w:hint="eastAsia" w:ascii="仿宋" w:hAnsi="仿宋" w:eastAsia="仿宋" w:cs="仿宋"/>
          <w:sz w:val="32"/>
          <w:szCs w:val="32"/>
        </w:rPr>
        <w:t>；</w:t>
      </w:r>
    </w:p>
    <w:p w14:paraId="3BEDACDA">
      <w:pPr>
        <w:rPr>
          <w:rFonts w:ascii="仿宋" w:hAnsi="仿宋" w:eastAsia="仿宋" w:cs="仿宋"/>
          <w:sz w:val="32"/>
          <w:szCs w:val="32"/>
        </w:rPr>
      </w:pPr>
      <w:r>
        <w:rPr>
          <w:rFonts w:hint="eastAsia" w:ascii="仿宋" w:hAnsi="仿宋" w:eastAsia="仿宋" w:cs="仿宋"/>
          <w:sz w:val="32"/>
          <w:szCs w:val="32"/>
        </w:rPr>
        <w:t>3、所提供的的材料均需加盖响应人公章，响应文件格式详见《响应文件格式》（附件）；</w:t>
      </w:r>
    </w:p>
    <w:p w14:paraId="32DFB6BE">
      <w:pPr>
        <w:rPr>
          <w:rFonts w:ascii="仿宋" w:hAnsi="仿宋" w:eastAsia="仿宋" w:cs="仿宋"/>
          <w:sz w:val="32"/>
          <w:szCs w:val="32"/>
        </w:rPr>
      </w:pPr>
      <w:r>
        <w:rPr>
          <w:rFonts w:hint="eastAsia" w:ascii="仿宋" w:hAnsi="仿宋" w:eastAsia="仿宋" w:cs="仿宋"/>
          <w:sz w:val="32"/>
          <w:szCs w:val="32"/>
        </w:rPr>
        <w:t>4、响应人认为其他需要说明的材料。</w:t>
      </w:r>
    </w:p>
    <w:p w14:paraId="25B3B119">
      <w:pPr>
        <w:rPr>
          <w:rFonts w:ascii="仿宋" w:hAnsi="仿宋" w:eastAsia="仿宋" w:cs="仿宋"/>
          <w:sz w:val="32"/>
          <w:szCs w:val="32"/>
        </w:rPr>
      </w:pPr>
      <w:r>
        <w:rPr>
          <w:rFonts w:hint="eastAsia" w:ascii="仿宋" w:hAnsi="仿宋" w:eastAsia="仿宋" w:cs="仿宋"/>
          <w:sz w:val="32"/>
          <w:szCs w:val="32"/>
        </w:rPr>
        <w:t>提醒：请按照以上顺序及表格模板制作响应文件。</w:t>
      </w:r>
    </w:p>
    <w:p w14:paraId="38639F5F">
      <w:pPr>
        <w:rPr>
          <w:rFonts w:ascii="仿宋" w:hAnsi="仿宋" w:eastAsia="仿宋" w:cs="仿宋"/>
          <w:sz w:val="32"/>
          <w:szCs w:val="32"/>
        </w:rPr>
      </w:pPr>
      <w:r>
        <w:rPr>
          <w:rFonts w:hint="eastAsia" w:ascii="仿宋" w:hAnsi="仿宋" w:eastAsia="仿宋" w:cs="仿宋"/>
          <w:sz w:val="32"/>
          <w:szCs w:val="32"/>
        </w:rPr>
        <w:t>（二）以下情形视为无效响应</w:t>
      </w:r>
    </w:p>
    <w:p w14:paraId="081885A5">
      <w:pPr>
        <w:rPr>
          <w:rFonts w:ascii="仿宋" w:hAnsi="仿宋" w:eastAsia="仿宋" w:cs="仿宋"/>
          <w:sz w:val="32"/>
          <w:szCs w:val="32"/>
        </w:rPr>
      </w:pPr>
      <w:r>
        <w:rPr>
          <w:rFonts w:hint="eastAsia" w:ascii="仿宋" w:hAnsi="仿宋" w:eastAsia="仿宋" w:cs="仿宋"/>
          <w:sz w:val="32"/>
          <w:szCs w:val="32"/>
        </w:rPr>
        <w:t>1、响应人报价超出项目预算的，或存在可选择报价；</w:t>
      </w:r>
    </w:p>
    <w:p w14:paraId="686D1797">
      <w:pPr>
        <w:rPr>
          <w:rFonts w:ascii="仿宋" w:hAnsi="仿宋" w:eastAsia="仿宋" w:cs="仿宋"/>
          <w:sz w:val="32"/>
          <w:szCs w:val="32"/>
        </w:rPr>
      </w:pPr>
      <w:r>
        <w:rPr>
          <w:rFonts w:hint="eastAsia" w:ascii="仿宋" w:hAnsi="仿宋" w:eastAsia="仿宋" w:cs="仿宋"/>
          <w:sz w:val="32"/>
          <w:szCs w:val="32"/>
        </w:rPr>
        <w:t>2、对采购文件中规定的实质性要求和条件存在不符合的；</w:t>
      </w:r>
    </w:p>
    <w:p w14:paraId="56A6A9C1">
      <w:pPr>
        <w:rPr>
          <w:rFonts w:ascii="仿宋" w:hAnsi="仿宋" w:eastAsia="仿宋" w:cs="仿宋"/>
          <w:sz w:val="32"/>
          <w:szCs w:val="32"/>
        </w:rPr>
      </w:pPr>
      <w:r>
        <w:rPr>
          <w:rFonts w:hint="eastAsia" w:ascii="仿宋" w:hAnsi="仿宋" w:eastAsia="仿宋" w:cs="仿宋"/>
          <w:sz w:val="32"/>
          <w:szCs w:val="32"/>
        </w:rPr>
        <w:t>3、对采购文件中规定的非实质性要求和条件三项及以上不响应的；</w:t>
      </w:r>
    </w:p>
    <w:p w14:paraId="1748CA05">
      <w:pPr>
        <w:rPr>
          <w:rFonts w:ascii="仿宋" w:hAnsi="仿宋" w:eastAsia="仿宋" w:cs="仿宋"/>
          <w:sz w:val="32"/>
          <w:szCs w:val="32"/>
        </w:rPr>
      </w:pPr>
      <w:r>
        <w:rPr>
          <w:rFonts w:hint="eastAsia" w:ascii="仿宋" w:hAnsi="仿宋" w:eastAsia="仿宋" w:cs="仿宋"/>
          <w:sz w:val="32"/>
          <w:szCs w:val="32"/>
        </w:rPr>
        <w:t>4、参加本次采购活动前3年内在经营活动中有政府采购严重失信行为记录名单、失信被执行人、重大税收违法案件当事人名单的重大违法记录的；</w:t>
      </w:r>
    </w:p>
    <w:p w14:paraId="7A5F3721">
      <w:pPr>
        <w:rPr>
          <w:rFonts w:ascii="仿宋" w:hAnsi="仿宋" w:eastAsia="仿宋" w:cs="仿宋"/>
          <w:sz w:val="32"/>
          <w:szCs w:val="32"/>
        </w:rPr>
      </w:pPr>
      <w:r>
        <w:rPr>
          <w:rFonts w:hint="eastAsia" w:ascii="仿宋" w:hAnsi="仿宋" w:eastAsia="仿宋" w:cs="仿宋"/>
          <w:sz w:val="32"/>
          <w:szCs w:val="32"/>
        </w:rPr>
        <w:t>5、响应人更改报价清单内容的；</w:t>
      </w:r>
    </w:p>
    <w:p w14:paraId="70CDFDBD">
      <w:pPr>
        <w:rPr>
          <w:rFonts w:ascii="仿宋" w:hAnsi="仿宋" w:eastAsia="仿宋" w:cs="仿宋"/>
          <w:sz w:val="32"/>
          <w:szCs w:val="32"/>
        </w:rPr>
      </w:pPr>
      <w:r>
        <w:rPr>
          <w:rFonts w:hint="eastAsia" w:ascii="仿宋" w:hAnsi="仿宋" w:eastAsia="仿宋" w:cs="仿宋"/>
          <w:sz w:val="32"/>
          <w:szCs w:val="32"/>
        </w:rPr>
        <w:t>6、一年内在本单位采购活动中履约行为出现差评的；</w:t>
      </w:r>
    </w:p>
    <w:p w14:paraId="206CB545">
      <w:pPr>
        <w:rPr>
          <w:rFonts w:ascii="仿宋" w:hAnsi="仿宋" w:eastAsia="仿宋" w:cs="仿宋"/>
          <w:sz w:val="32"/>
          <w:szCs w:val="32"/>
        </w:rPr>
      </w:pPr>
      <w:r>
        <w:rPr>
          <w:rFonts w:hint="eastAsia" w:ascii="仿宋" w:hAnsi="仿宋" w:eastAsia="仿宋" w:cs="仿宋"/>
          <w:sz w:val="32"/>
          <w:szCs w:val="32"/>
        </w:rPr>
        <w:t>7、响应文件附有采购方不能接受的条件的。</w:t>
      </w:r>
    </w:p>
    <w:p w14:paraId="6F58EA3D">
      <w:pPr>
        <w:rPr>
          <w:rFonts w:ascii="仿宋" w:hAnsi="仿宋" w:eastAsia="仿宋" w:cs="仿宋"/>
          <w:sz w:val="32"/>
          <w:szCs w:val="32"/>
        </w:rPr>
      </w:pPr>
      <w:r>
        <w:rPr>
          <w:rFonts w:hint="eastAsia" w:ascii="仿宋" w:hAnsi="仿宋" w:eastAsia="仿宋" w:cs="仿宋"/>
          <w:sz w:val="32"/>
          <w:szCs w:val="32"/>
        </w:rPr>
        <w:t>（三）响应文件封装</w:t>
      </w:r>
    </w:p>
    <w:p w14:paraId="615E78E2">
      <w:pPr>
        <w:rPr>
          <w:rFonts w:ascii="仿宋" w:hAnsi="仿宋" w:eastAsia="仿宋" w:cs="仿宋"/>
          <w:sz w:val="32"/>
          <w:szCs w:val="32"/>
        </w:rPr>
      </w:pPr>
      <w:r>
        <w:rPr>
          <w:rFonts w:hint="eastAsia" w:ascii="仿宋" w:hAnsi="仿宋" w:eastAsia="仿宋" w:cs="仿宋"/>
          <w:sz w:val="32"/>
          <w:szCs w:val="32"/>
        </w:rPr>
        <w:t>1、响应文件单独装袋密封，封口加盖响应人公章（正本1份，副本2份），响应文件应按要求内容的顺序装订成册，不允许活页装订，在响应书封面标明“正本”或“副本”字样。</w:t>
      </w:r>
    </w:p>
    <w:p w14:paraId="460F5452">
      <w:pPr>
        <w:rPr>
          <w:rFonts w:ascii="仿宋" w:hAnsi="仿宋" w:eastAsia="仿宋" w:cs="仿宋"/>
          <w:sz w:val="32"/>
          <w:szCs w:val="32"/>
        </w:rPr>
      </w:pPr>
      <w:r>
        <w:rPr>
          <w:rFonts w:hint="eastAsia" w:ascii="仿宋" w:hAnsi="仿宋" w:eastAsia="仿宋" w:cs="仿宋"/>
          <w:sz w:val="32"/>
          <w:szCs w:val="32"/>
        </w:rPr>
        <w:t>2、响应文件外包</w:t>
      </w:r>
      <w:r>
        <w:rPr>
          <w:rFonts w:hint="eastAsia" w:ascii="仿宋" w:hAnsi="仿宋" w:eastAsia="仿宋" w:cs="仿宋"/>
          <w:color w:val="000000" w:themeColor="text1"/>
          <w:sz w:val="32"/>
          <w:szCs w:val="32"/>
        </w:rPr>
        <w:t>装上要注明：项目</w:t>
      </w:r>
      <w:r>
        <w:rPr>
          <w:rFonts w:hint="eastAsia" w:ascii="仿宋" w:hAnsi="仿宋" w:eastAsia="仿宋" w:cs="仿宋"/>
          <w:sz w:val="32"/>
          <w:szCs w:val="32"/>
        </w:rPr>
        <w:t>名称</w:t>
      </w:r>
      <w:r>
        <w:rPr>
          <w:rFonts w:hint="eastAsia" w:ascii="仿宋" w:hAnsi="仿宋" w:eastAsia="仿宋" w:cs="仿宋"/>
          <w:color w:val="FF0000"/>
          <w:sz w:val="32"/>
          <w:szCs w:val="32"/>
        </w:rPr>
        <w:t>、</w:t>
      </w:r>
      <w:r>
        <w:rPr>
          <w:rFonts w:hint="eastAsia" w:ascii="仿宋" w:hAnsi="仿宋" w:eastAsia="仿宋" w:cs="仿宋"/>
          <w:sz w:val="32"/>
          <w:szCs w:val="32"/>
        </w:rPr>
        <w:t>响应人名称、联系人姓名及联系电话，并在封口处加盖骑缝章。</w:t>
      </w:r>
    </w:p>
    <w:p w14:paraId="34456D4B">
      <w:pPr>
        <w:rPr>
          <w:rFonts w:ascii="仿宋" w:hAnsi="仿宋" w:eastAsia="仿宋" w:cs="仿宋"/>
          <w:sz w:val="32"/>
          <w:szCs w:val="32"/>
        </w:rPr>
      </w:pPr>
      <w:r>
        <w:rPr>
          <w:rFonts w:hint="eastAsia" w:ascii="仿宋" w:hAnsi="仿宋" w:eastAsia="仿宋" w:cs="仿宋"/>
          <w:sz w:val="32"/>
          <w:szCs w:val="32"/>
        </w:rPr>
        <w:t>3、响应文件正本与副本不一致时，以正本为准；金额大写与小写不一致时，以大写金额为准；对不同文字文本的解释有异议时，以中文文本为准。</w:t>
      </w:r>
    </w:p>
    <w:p w14:paraId="6E104A4A">
      <w:pPr>
        <w:rPr>
          <w:rFonts w:ascii="仿宋" w:hAnsi="仿宋" w:eastAsia="仿宋" w:cs="仿宋"/>
          <w:sz w:val="32"/>
          <w:szCs w:val="32"/>
        </w:rPr>
      </w:pPr>
      <w:r>
        <w:rPr>
          <w:rFonts w:hint="eastAsia" w:ascii="仿宋" w:hAnsi="仿宋" w:eastAsia="仿宋" w:cs="仿宋"/>
          <w:sz w:val="32"/>
          <w:szCs w:val="32"/>
        </w:rPr>
        <w:t>4、未按要求递交的响应文件，采购方有权拒绝接收。</w:t>
      </w:r>
    </w:p>
    <w:p w14:paraId="19A78235">
      <w:pPr>
        <w:rPr>
          <w:rFonts w:ascii="仿宋" w:hAnsi="仿宋" w:eastAsia="仿宋" w:cs="仿宋"/>
          <w:sz w:val="32"/>
          <w:szCs w:val="32"/>
        </w:rPr>
      </w:pPr>
      <w:r>
        <w:rPr>
          <w:rFonts w:hint="eastAsia" w:ascii="仿宋" w:hAnsi="仿宋" w:eastAsia="仿宋" w:cs="仿宋"/>
          <w:sz w:val="32"/>
          <w:szCs w:val="32"/>
        </w:rPr>
        <w:t>5、递交响应文件时，提供授权委托书、身份证明并核验身份。</w:t>
      </w:r>
    </w:p>
    <w:p w14:paraId="7A76F080">
      <w:pPr>
        <w:rPr>
          <w:rFonts w:ascii="仿宋" w:hAnsi="仿宋" w:eastAsia="仿宋" w:cs="仿宋"/>
          <w:sz w:val="32"/>
          <w:szCs w:val="32"/>
        </w:rPr>
      </w:pPr>
      <w:r>
        <w:rPr>
          <w:rFonts w:hint="eastAsia" w:ascii="仿宋" w:hAnsi="仿宋" w:eastAsia="仿宋" w:cs="仿宋"/>
          <w:sz w:val="32"/>
          <w:szCs w:val="32"/>
        </w:rPr>
        <w:t>（四）评标办法和成交原则：</w:t>
      </w:r>
    </w:p>
    <w:p w14:paraId="2225C528">
      <w:pPr>
        <w:rPr>
          <w:rFonts w:ascii="仿宋" w:hAnsi="仿宋" w:eastAsia="仿宋" w:cs="仿宋"/>
          <w:sz w:val="32"/>
          <w:szCs w:val="32"/>
        </w:rPr>
      </w:pPr>
      <w:r>
        <w:rPr>
          <w:rFonts w:hint="eastAsia" w:ascii="仿宋" w:hAnsi="仿宋" w:eastAsia="仿宋" w:cs="仿宋"/>
          <w:sz w:val="32"/>
          <w:szCs w:val="32"/>
        </w:rPr>
        <w:t>1、评标办法：本次采购由启东市机关事务服务中心组建评标小组负责评标，评标依据为采购公告和响应文件。</w:t>
      </w:r>
    </w:p>
    <w:p w14:paraId="595F55E9">
      <w:pPr>
        <w:rPr>
          <w:rFonts w:ascii="仿宋" w:hAnsi="仿宋" w:eastAsia="仿宋" w:cs="仿宋"/>
          <w:sz w:val="32"/>
          <w:szCs w:val="32"/>
        </w:rPr>
      </w:pPr>
      <w:r>
        <w:rPr>
          <w:rFonts w:hint="eastAsia" w:ascii="仿宋" w:hAnsi="仿宋" w:eastAsia="仿宋" w:cs="仿宋"/>
          <w:sz w:val="32"/>
          <w:szCs w:val="32"/>
        </w:rPr>
        <w:t>2、成交原则：</w:t>
      </w:r>
    </w:p>
    <w:p w14:paraId="083C8122">
      <w:pPr>
        <w:rPr>
          <w:rFonts w:ascii="仿宋" w:hAnsi="仿宋" w:eastAsia="仿宋" w:cs="仿宋"/>
          <w:sz w:val="32"/>
          <w:szCs w:val="32"/>
        </w:rPr>
      </w:pPr>
      <w:r>
        <w:rPr>
          <w:rFonts w:hint="eastAsia" w:ascii="仿宋" w:hAnsi="仿宋" w:eastAsia="仿宋" w:cs="仿宋"/>
          <w:sz w:val="32"/>
          <w:szCs w:val="32"/>
        </w:rPr>
        <w:t>最低成交价法。满足最终采购需求、质量和服务相等且报价最低的供应商为成交供应商。有2家及以上供应商最终报价相同且均为最低报价时，由采购项目负责人按有利于项目的原则选择其中一家为成交供应商。本项目没有二次报价。</w:t>
      </w:r>
    </w:p>
    <w:p w14:paraId="27567EB6">
      <w:pPr>
        <w:rPr>
          <w:rFonts w:ascii="仿宋" w:hAnsi="仿宋" w:eastAsia="仿宋" w:cs="仿宋"/>
          <w:sz w:val="32"/>
          <w:szCs w:val="32"/>
        </w:rPr>
      </w:pPr>
      <w:r>
        <w:rPr>
          <w:rFonts w:hint="eastAsia" w:ascii="仿宋" w:hAnsi="仿宋" w:eastAsia="仿宋" w:cs="仿宋"/>
          <w:sz w:val="32"/>
          <w:szCs w:val="32"/>
        </w:rPr>
        <w:t>（五）成交公告与通知书</w:t>
      </w:r>
    </w:p>
    <w:p w14:paraId="28DAD17E">
      <w:pPr>
        <w:rPr>
          <w:rFonts w:ascii="仿宋" w:hAnsi="仿宋" w:eastAsia="仿宋" w:cs="仿宋"/>
          <w:sz w:val="32"/>
          <w:szCs w:val="32"/>
        </w:rPr>
      </w:pPr>
      <w:r>
        <w:rPr>
          <w:rFonts w:hint="eastAsia" w:ascii="仿宋" w:hAnsi="仿宋" w:eastAsia="仿宋" w:cs="仿宋"/>
          <w:sz w:val="32"/>
          <w:szCs w:val="32"/>
        </w:rPr>
        <w:t>采购方根据询价采购结果发布成交公告，公告期为1个工作日。响应供应商对公告有异议的，在成交公告期内以书面形式向采购方提出质疑。确认无异议后，向成交方发出成交通知书。</w:t>
      </w:r>
    </w:p>
    <w:p w14:paraId="0C4CFAEC">
      <w:pPr>
        <w:rPr>
          <w:rFonts w:ascii="仿宋" w:hAnsi="仿宋" w:eastAsia="仿宋" w:cs="仿宋"/>
          <w:sz w:val="32"/>
          <w:szCs w:val="32"/>
        </w:rPr>
      </w:pPr>
      <w:r>
        <w:rPr>
          <w:rFonts w:hint="eastAsia" w:ascii="仿宋" w:hAnsi="仿宋" w:eastAsia="仿宋" w:cs="仿宋"/>
          <w:sz w:val="32"/>
          <w:szCs w:val="32"/>
        </w:rPr>
        <w:t>（六）合同与发票</w:t>
      </w:r>
    </w:p>
    <w:p w14:paraId="541FDDC0">
      <w:pPr>
        <w:rPr>
          <w:rFonts w:ascii="仿宋" w:hAnsi="仿宋" w:eastAsia="仿宋" w:cs="仿宋"/>
          <w:sz w:val="32"/>
          <w:szCs w:val="32"/>
        </w:rPr>
      </w:pPr>
      <w:r>
        <w:rPr>
          <w:rFonts w:hint="eastAsia" w:ascii="仿宋" w:hAnsi="仿宋" w:eastAsia="仿宋" w:cs="仿宋"/>
          <w:sz w:val="32"/>
          <w:szCs w:val="32"/>
        </w:rPr>
        <w:t>1、成交方应当自成交通知书发出之日起5日内，按照询价公告和响应文件与采购方订立书面合同。采购方和成交方不得再订立背离合同实质性内容的其他协议。</w:t>
      </w:r>
    </w:p>
    <w:p w14:paraId="410C88FD">
      <w:pPr>
        <w:rPr>
          <w:rFonts w:ascii="仿宋" w:hAnsi="仿宋" w:eastAsia="仿宋" w:cs="仿宋"/>
          <w:sz w:val="32"/>
          <w:szCs w:val="32"/>
        </w:rPr>
      </w:pPr>
      <w:r>
        <w:rPr>
          <w:rFonts w:hint="eastAsia" w:ascii="仿宋" w:hAnsi="仿宋" w:eastAsia="仿宋" w:cs="仿宋"/>
          <w:sz w:val="32"/>
          <w:szCs w:val="32"/>
        </w:rPr>
        <w:t>2、成交方须开具增值税专用发票或增值税普通发票。</w:t>
      </w:r>
    </w:p>
    <w:p w14:paraId="1A063A33">
      <w:pPr>
        <w:rPr>
          <w:rFonts w:ascii="仿宋" w:hAnsi="仿宋" w:eastAsia="仿宋" w:cs="仿宋"/>
          <w:color w:val="000000" w:themeColor="text1"/>
          <w:sz w:val="32"/>
          <w:szCs w:val="32"/>
        </w:rPr>
      </w:pPr>
      <w:r>
        <w:rPr>
          <w:rFonts w:hint="eastAsia" w:ascii="仿宋" w:hAnsi="仿宋" w:eastAsia="仿宋" w:cs="仿宋"/>
          <w:sz w:val="32"/>
          <w:szCs w:val="32"/>
        </w:rPr>
        <w:t>八、接受响应文件时间和地点</w:t>
      </w:r>
      <w:r>
        <w:rPr>
          <w:rFonts w:hint="eastAsia" w:ascii="仿宋" w:hAnsi="仿宋" w:eastAsia="仿宋" w:cs="仿宋"/>
          <w:color w:val="000000" w:themeColor="text1"/>
          <w:sz w:val="32"/>
          <w:szCs w:val="32"/>
        </w:rPr>
        <w:t>：（本项目不见面开标，请意向供应商妥善选择投递方式和时间，确保在开标时间前签收成功）</w:t>
      </w:r>
    </w:p>
    <w:p w14:paraId="735BA0A4">
      <w:pPr>
        <w:rPr>
          <w:rFonts w:ascii="仿宋" w:hAnsi="仿宋" w:eastAsia="仿宋" w:cs="仿宋"/>
          <w:color w:val="000000" w:themeColor="text1"/>
          <w:sz w:val="32"/>
          <w:szCs w:val="32"/>
        </w:rPr>
      </w:pPr>
      <w:r>
        <w:rPr>
          <w:rFonts w:hint="eastAsia" w:ascii="仿宋" w:hAnsi="仿宋" w:eastAsia="仿宋" w:cs="仿宋"/>
          <w:sz w:val="32"/>
          <w:szCs w:val="32"/>
        </w:rPr>
        <w:t>1、接收时</w:t>
      </w:r>
      <w:r>
        <w:rPr>
          <w:rFonts w:hint="eastAsia" w:ascii="仿宋" w:hAnsi="仿宋" w:eastAsia="仿宋" w:cs="仿宋"/>
          <w:color w:val="000000" w:themeColor="text1"/>
          <w:sz w:val="32"/>
          <w:szCs w:val="32"/>
        </w:rPr>
        <w:t>间：2025年</w:t>
      </w:r>
      <w:r>
        <w:rPr>
          <w:rFonts w:hint="eastAsia" w:ascii="仿宋" w:hAnsi="仿宋" w:eastAsia="仿宋" w:cs="仿宋"/>
          <w:color w:val="000000" w:themeColor="text1"/>
          <w:sz w:val="32"/>
          <w:szCs w:val="32"/>
          <w:lang w:val="en-US" w:eastAsia="zh-CN"/>
        </w:rPr>
        <w:t>8</w:t>
      </w:r>
      <w:r>
        <w:rPr>
          <w:rFonts w:hint="eastAsia" w:ascii="仿宋" w:hAnsi="仿宋" w:eastAsia="仿宋" w:cs="仿宋"/>
          <w:color w:val="000000" w:themeColor="text1"/>
          <w:sz w:val="32"/>
          <w:szCs w:val="32"/>
        </w:rPr>
        <w:t>月</w:t>
      </w:r>
      <w:r>
        <w:rPr>
          <w:rFonts w:hint="eastAsia" w:ascii="仿宋" w:hAnsi="仿宋" w:eastAsia="仿宋" w:cs="仿宋"/>
          <w:color w:val="000000" w:themeColor="text1"/>
          <w:sz w:val="32"/>
          <w:szCs w:val="32"/>
          <w:lang w:val="en-US" w:eastAsia="zh-CN"/>
        </w:rPr>
        <w:t>21</w:t>
      </w:r>
      <w:r>
        <w:rPr>
          <w:rFonts w:hint="eastAsia" w:ascii="仿宋" w:hAnsi="仿宋" w:eastAsia="仿宋" w:cs="仿宋"/>
          <w:color w:val="000000" w:themeColor="text1"/>
          <w:sz w:val="32"/>
          <w:szCs w:val="32"/>
        </w:rPr>
        <w:t>日-</w:t>
      </w:r>
      <w:r>
        <w:rPr>
          <w:rFonts w:hint="eastAsia" w:ascii="仿宋" w:hAnsi="仿宋" w:eastAsia="仿宋" w:cs="仿宋"/>
          <w:color w:val="000000" w:themeColor="text1"/>
          <w:sz w:val="32"/>
          <w:szCs w:val="32"/>
          <w:lang w:val="en-US" w:eastAsia="zh-CN"/>
        </w:rPr>
        <w:t>8</w:t>
      </w:r>
      <w:r>
        <w:rPr>
          <w:rFonts w:hint="eastAsia" w:ascii="仿宋" w:hAnsi="仿宋" w:eastAsia="仿宋" w:cs="仿宋"/>
          <w:color w:val="000000" w:themeColor="text1"/>
          <w:sz w:val="32"/>
          <w:szCs w:val="32"/>
        </w:rPr>
        <w:t>月</w:t>
      </w:r>
      <w:r>
        <w:rPr>
          <w:rFonts w:hint="eastAsia" w:ascii="仿宋" w:hAnsi="仿宋" w:eastAsia="仿宋" w:cs="仿宋"/>
          <w:color w:val="000000" w:themeColor="text1"/>
          <w:sz w:val="32"/>
          <w:szCs w:val="32"/>
          <w:lang w:val="en-US" w:eastAsia="zh-CN"/>
        </w:rPr>
        <w:t>25</w:t>
      </w:r>
      <w:r>
        <w:rPr>
          <w:rFonts w:hint="eastAsia" w:ascii="仿宋" w:hAnsi="仿宋" w:eastAsia="仿宋" w:cs="仿宋"/>
          <w:color w:val="000000" w:themeColor="text1"/>
          <w:sz w:val="32"/>
          <w:szCs w:val="32"/>
        </w:rPr>
        <w:t>日；</w:t>
      </w:r>
    </w:p>
    <w:p w14:paraId="25935482">
      <w:pPr>
        <w:rPr>
          <w:rFonts w:ascii="仿宋" w:hAnsi="仿宋" w:eastAsia="仿宋" w:cs="仿宋"/>
          <w:sz w:val="32"/>
          <w:szCs w:val="32"/>
        </w:rPr>
      </w:pPr>
      <w:r>
        <w:rPr>
          <w:rFonts w:hint="eastAsia" w:ascii="仿宋" w:hAnsi="仿宋" w:eastAsia="仿宋" w:cs="仿宋"/>
          <w:sz w:val="32"/>
          <w:szCs w:val="32"/>
        </w:rPr>
        <w:t>2、收件地址：启东市机关事务服务中心（江苏省南通市启东市汇龙镇世纪大道1288号菜鸟驿站）</w:t>
      </w:r>
    </w:p>
    <w:p w14:paraId="7BFC2A36">
      <w:pPr>
        <w:rPr>
          <w:rFonts w:ascii="仿宋" w:hAnsi="仿宋" w:eastAsia="仿宋" w:cs="仿宋"/>
          <w:sz w:val="32"/>
          <w:szCs w:val="32"/>
        </w:rPr>
      </w:pPr>
      <w:r>
        <w:rPr>
          <w:rFonts w:hint="eastAsia" w:ascii="仿宋" w:hAnsi="仿宋" w:eastAsia="仿宋" w:cs="仿宋"/>
          <w:sz w:val="32"/>
          <w:szCs w:val="32"/>
        </w:rPr>
        <w:t>九、询价采购开标时间、地点：</w:t>
      </w:r>
    </w:p>
    <w:p w14:paraId="33C02A42">
      <w:pPr>
        <w:rPr>
          <w:rFonts w:ascii="仿宋" w:hAnsi="仿宋" w:eastAsia="仿宋" w:cs="仿宋"/>
          <w:sz w:val="32"/>
          <w:szCs w:val="32"/>
        </w:rPr>
      </w:pPr>
      <w:r>
        <w:rPr>
          <w:rFonts w:hint="eastAsia" w:ascii="仿宋" w:hAnsi="仿宋" w:eastAsia="仿宋" w:cs="仿宋"/>
          <w:sz w:val="32"/>
          <w:szCs w:val="32"/>
        </w:rPr>
        <w:t>1、时间：2025年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26</w:t>
      </w:r>
      <w:r>
        <w:rPr>
          <w:rFonts w:hint="eastAsia" w:ascii="仿宋" w:hAnsi="仿宋" w:eastAsia="仿宋" w:cs="仿宋"/>
          <w:sz w:val="32"/>
          <w:szCs w:val="32"/>
        </w:rPr>
        <w:t>日9:30；</w:t>
      </w:r>
      <w:bookmarkStart w:id="0" w:name="_GoBack"/>
      <w:bookmarkEnd w:id="0"/>
    </w:p>
    <w:p w14:paraId="33358217">
      <w:pPr>
        <w:rPr>
          <w:rFonts w:ascii="仿宋" w:hAnsi="仿宋" w:eastAsia="仿宋" w:cs="仿宋"/>
          <w:sz w:val="32"/>
          <w:szCs w:val="32"/>
        </w:rPr>
      </w:pPr>
      <w:r>
        <w:rPr>
          <w:rFonts w:hint="eastAsia" w:ascii="仿宋" w:hAnsi="仿宋" w:eastAsia="仿宋" w:cs="仿宋"/>
          <w:sz w:val="32"/>
          <w:szCs w:val="32"/>
        </w:rPr>
        <w:t>2、地点：启东市机关事务服务中心526会议室；</w:t>
      </w:r>
    </w:p>
    <w:p w14:paraId="6CA4330B">
      <w:pPr>
        <w:rPr>
          <w:rFonts w:ascii="仿宋" w:hAnsi="仿宋" w:eastAsia="仿宋" w:cs="仿宋"/>
          <w:sz w:val="32"/>
          <w:szCs w:val="32"/>
        </w:rPr>
      </w:pPr>
      <w:r>
        <w:rPr>
          <w:rFonts w:hint="eastAsia" w:ascii="仿宋" w:hAnsi="仿宋" w:eastAsia="仿宋" w:cs="仿宋"/>
          <w:sz w:val="32"/>
          <w:szCs w:val="32"/>
        </w:rPr>
        <w:t>十、本次采购项目联系事宜</w:t>
      </w:r>
    </w:p>
    <w:p w14:paraId="392DBA0C">
      <w:pPr>
        <w:rPr>
          <w:rFonts w:ascii="仿宋" w:hAnsi="仿宋" w:eastAsia="仿宋" w:cs="仿宋"/>
          <w:sz w:val="32"/>
          <w:szCs w:val="32"/>
        </w:rPr>
      </w:pPr>
      <w:r>
        <w:rPr>
          <w:rFonts w:hint="eastAsia" w:ascii="仿宋" w:hAnsi="仿宋" w:eastAsia="仿宋" w:cs="仿宋"/>
          <w:sz w:val="32"/>
          <w:szCs w:val="32"/>
        </w:rPr>
        <w:t>采购方代表： 杨科长，13773880153。</w:t>
      </w:r>
    </w:p>
    <w:p w14:paraId="3D8C7BE6">
      <w:pPr>
        <w:ind w:firstLine="640" w:firstLineChars="200"/>
        <w:rPr>
          <w:rFonts w:ascii="仿宋" w:hAnsi="仿宋" w:eastAsia="仿宋" w:cs="仿宋"/>
          <w:sz w:val="32"/>
          <w:szCs w:val="32"/>
        </w:rPr>
      </w:pPr>
      <w:r>
        <w:rPr>
          <w:rFonts w:hint="eastAsia" w:ascii="仿宋" w:hAnsi="仿宋" w:eastAsia="仿宋" w:cs="仿宋"/>
          <w:sz w:val="32"/>
          <w:szCs w:val="32"/>
        </w:rPr>
        <w:t>对项目需求部分的询问、质疑请向采购方代表提出，对采购组织的询问、质疑向采购方代表提出。响应人须在法定质疑期内一次性提出针对本次采购程序环节的质疑。</w:t>
      </w:r>
    </w:p>
    <w:p w14:paraId="3F9D4A41">
      <w:pPr>
        <w:pStyle w:val="10"/>
        <w:rPr>
          <w:rFonts w:ascii="宋体" w:hAnsi="宋体" w:cs="宋体"/>
          <w:color w:val="auto"/>
          <w:sz w:val="32"/>
          <w:szCs w:val="32"/>
        </w:rPr>
      </w:pPr>
    </w:p>
    <w:p w14:paraId="3DBC60EB">
      <w:pPr>
        <w:pStyle w:val="10"/>
        <w:rPr>
          <w:rFonts w:ascii="宋体" w:hAnsi="宋体" w:cs="宋体"/>
          <w:color w:val="auto"/>
          <w:sz w:val="32"/>
          <w:szCs w:val="32"/>
        </w:rPr>
      </w:pPr>
    </w:p>
    <w:p w14:paraId="5FB33215">
      <w:pPr>
        <w:pStyle w:val="10"/>
        <w:rPr>
          <w:rFonts w:ascii="宋体" w:hAnsi="宋体" w:cs="宋体"/>
          <w:color w:val="auto"/>
          <w:sz w:val="32"/>
          <w:szCs w:val="32"/>
        </w:rPr>
      </w:pPr>
    </w:p>
    <w:p w14:paraId="3B14DC79">
      <w:pPr>
        <w:pStyle w:val="10"/>
        <w:rPr>
          <w:rFonts w:ascii="宋体" w:hAnsi="宋体" w:cs="宋体"/>
          <w:color w:val="auto"/>
          <w:sz w:val="32"/>
          <w:szCs w:val="32"/>
        </w:rPr>
      </w:pPr>
    </w:p>
    <w:p w14:paraId="2F9F5002">
      <w:pPr>
        <w:pStyle w:val="10"/>
        <w:rPr>
          <w:rFonts w:ascii="宋体" w:hAnsi="宋体" w:cs="宋体"/>
          <w:color w:val="auto"/>
          <w:sz w:val="32"/>
          <w:szCs w:val="32"/>
        </w:rPr>
      </w:pPr>
    </w:p>
    <w:p w14:paraId="37D09C61">
      <w:pPr>
        <w:pStyle w:val="10"/>
        <w:rPr>
          <w:rFonts w:ascii="宋体" w:hAnsi="宋体" w:cs="宋体"/>
          <w:color w:val="auto"/>
          <w:sz w:val="32"/>
          <w:szCs w:val="32"/>
        </w:rPr>
      </w:pPr>
    </w:p>
    <w:p w14:paraId="4DE3FFD4">
      <w:pPr>
        <w:pStyle w:val="10"/>
        <w:rPr>
          <w:rFonts w:ascii="宋体" w:hAnsi="宋体" w:cs="宋体"/>
          <w:color w:val="auto"/>
          <w:sz w:val="32"/>
          <w:szCs w:val="32"/>
        </w:rPr>
      </w:pPr>
    </w:p>
    <w:p w14:paraId="39A94A64">
      <w:pPr>
        <w:pStyle w:val="10"/>
        <w:rPr>
          <w:rFonts w:ascii="宋体" w:hAnsi="宋体" w:cs="宋体"/>
          <w:color w:val="auto"/>
          <w:sz w:val="32"/>
          <w:szCs w:val="32"/>
        </w:rPr>
      </w:pPr>
    </w:p>
    <w:p w14:paraId="654411A6">
      <w:pPr>
        <w:pStyle w:val="10"/>
        <w:rPr>
          <w:rFonts w:ascii="宋体" w:hAnsi="宋体" w:cs="宋体"/>
          <w:color w:val="auto"/>
          <w:sz w:val="32"/>
          <w:szCs w:val="32"/>
        </w:rPr>
      </w:pPr>
    </w:p>
    <w:p w14:paraId="75BDCA7D">
      <w:pPr>
        <w:pStyle w:val="10"/>
        <w:rPr>
          <w:rFonts w:ascii="宋体" w:hAnsi="宋体" w:cs="宋体"/>
          <w:color w:val="auto"/>
          <w:sz w:val="32"/>
          <w:szCs w:val="32"/>
        </w:rPr>
      </w:pPr>
    </w:p>
    <w:p w14:paraId="3BE14CCF">
      <w:pPr>
        <w:pStyle w:val="10"/>
        <w:rPr>
          <w:rFonts w:ascii="宋体" w:hAnsi="宋体" w:cs="宋体"/>
          <w:color w:val="auto"/>
          <w:sz w:val="32"/>
          <w:szCs w:val="32"/>
        </w:rPr>
      </w:pPr>
    </w:p>
    <w:p w14:paraId="11737571">
      <w:pPr>
        <w:pStyle w:val="10"/>
        <w:rPr>
          <w:rFonts w:ascii="宋体" w:hAnsi="宋体" w:cs="宋体"/>
          <w:color w:val="auto"/>
          <w:sz w:val="32"/>
          <w:szCs w:val="32"/>
        </w:rPr>
      </w:pPr>
    </w:p>
    <w:p w14:paraId="33329DE3">
      <w:pPr>
        <w:pStyle w:val="10"/>
        <w:rPr>
          <w:rFonts w:ascii="宋体" w:hAnsi="宋体" w:cs="宋体"/>
          <w:color w:val="auto"/>
          <w:sz w:val="32"/>
          <w:szCs w:val="32"/>
        </w:rPr>
      </w:pPr>
    </w:p>
    <w:p w14:paraId="358A5BCA">
      <w:pPr>
        <w:pStyle w:val="10"/>
        <w:rPr>
          <w:rFonts w:ascii="宋体" w:hAnsi="宋体" w:cs="宋体"/>
          <w:color w:val="auto"/>
          <w:sz w:val="32"/>
          <w:szCs w:val="32"/>
        </w:rPr>
      </w:pPr>
    </w:p>
    <w:p w14:paraId="3A382A8C">
      <w:pPr>
        <w:pStyle w:val="10"/>
        <w:rPr>
          <w:rFonts w:ascii="宋体" w:hAnsi="宋体" w:cs="宋体"/>
          <w:color w:val="auto"/>
          <w:sz w:val="32"/>
          <w:szCs w:val="32"/>
        </w:rPr>
      </w:pPr>
    </w:p>
    <w:p w14:paraId="104BCB5D">
      <w:pPr>
        <w:pStyle w:val="10"/>
        <w:rPr>
          <w:rFonts w:ascii="宋体" w:hAnsi="宋体" w:cs="宋体"/>
          <w:color w:val="auto"/>
          <w:sz w:val="32"/>
          <w:szCs w:val="32"/>
        </w:rPr>
      </w:pPr>
    </w:p>
    <w:p w14:paraId="29185BBA">
      <w:pPr>
        <w:pStyle w:val="10"/>
        <w:rPr>
          <w:rFonts w:ascii="宋体" w:hAnsi="宋体" w:cs="宋体"/>
          <w:color w:val="auto"/>
          <w:sz w:val="32"/>
          <w:szCs w:val="32"/>
        </w:rPr>
      </w:pPr>
    </w:p>
    <w:p w14:paraId="35CEB5C5">
      <w:pPr>
        <w:pStyle w:val="10"/>
        <w:rPr>
          <w:rFonts w:ascii="宋体" w:hAnsi="宋体" w:cs="宋体"/>
          <w:color w:val="auto"/>
          <w:sz w:val="32"/>
          <w:szCs w:val="32"/>
        </w:rPr>
      </w:pPr>
    </w:p>
    <w:p w14:paraId="7B558F88">
      <w:pPr>
        <w:pStyle w:val="10"/>
        <w:rPr>
          <w:rFonts w:ascii="宋体" w:hAnsi="宋体" w:cs="宋体"/>
          <w:color w:val="auto"/>
          <w:sz w:val="32"/>
          <w:szCs w:val="32"/>
        </w:rPr>
      </w:pPr>
    </w:p>
    <w:p w14:paraId="51F8D712">
      <w:pPr>
        <w:pStyle w:val="10"/>
        <w:rPr>
          <w:rFonts w:ascii="宋体" w:hAnsi="宋体" w:cs="宋体"/>
          <w:color w:val="auto"/>
          <w:sz w:val="32"/>
          <w:szCs w:val="32"/>
        </w:rPr>
      </w:pPr>
    </w:p>
    <w:p w14:paraId="27F98619">
      <w:pPr>
        <w:spacing w:line="500" w:lineRule="exact"/>
        <w:ind w:right="960"/>
        <w:rPr>
          <w:rFonts w:ascii="宋体" w:hAnsi="宋体" w:eastAsia="宋体" w:cs="宋体"/>
          <w:color w:val="000000"/>
          <w:sz w:val="30"/>
          <w:szCs w:val="30"/>
        </w:rPr>
      </w:pPr>
      <w:r>
        <w:rPr>
          <w:rFonts w:hint="eastAsia" w:ascii="宋体" w:hAnsi="宋体" w:cs="宋体"/>
          <w:sz w:val="32"/>
          <w:szCs w:val="32"/>
        </w:rPr>
        <w:t>附件1：</w:t>
      </w:r>
      <w:r>
        <w:rPr>
          <w:rFonts w:hint="eastAsia" w:ascii="宋体" w:hAnsi="宋体" w:eastAsia="宋体" w:cs="宋体"/>
          <w:color w:val="000000"/>
          <w:sz w:val="30"/>
          <w:szCs w:val="30"/>
        </w:rPr>
        <w:t>询价采购报价表</w:t>
      </w:r>
    </w:p>
    <w:p w14:paraId="1A3557D1">
      <w:pPr>
        <w:spacing w:line="560" w:lineRule="exact"/>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启东市机关事务服务中心干粉灭火器到期充装项目</w:t>
      </w:r>
    </w:p>
    <w:p w14:paraId="067ABEBF">
      <w:pPr>
        <w:spacing w:line="560" w:lineRule="exact"/>
        <w:jc w:val="center"/>
        <w:rPr>
          <w:rFonts w:ascii="宋体" w:hAnsi="宋体" w:cs="宋体"/>
          <w:b w:val="0"/>
          <w:bCs w:val="0"/>
          <w:sz w:val="28"/>
          <w:szCs w:val="28"/>
        </w:rPr>
      </w:pPr>
      <w:r>
        <w:rPr>
          <w:rFonts w:hint="eastAsia" w:ascii="宋体" w:hAnsi="宋体" w:eastAsia="宋体" w:cs="宋体"/>
          <w:b w:val="0"/>
          <w:bCs w:val="0"/>
          <w:sz w:val="28"/>
          <w:szCs w:val="28"/>
        </w:rPr>
        <w:t>询价采购报价表</w:t>
      </w:r>
    </w:p>
    <w:tbl>
      <w:tblPr>
        <w:tblStyle w:val="6"/>
        <w:tblW w:w="0" w:type="auto"/>
        <w:jc w:val="center"/>
        <w:tblLayout w:type="autofit"/>
        <w:tblCellMar>
          <w:top w:w="0" w:type="dxa"/>
          <w:left w:w="108" w:type="dxa"/>
          <w:bottom w:w="0" w:type="dxa"/>
          <w:right w:w="108" w:type="dxa"/>
        </w:tblCellMar>
      </w:tblPr>
      <w:tblGrid>
        <w:gridCol w:w="527"/>
        <w:gridCol w:w="2546"/>
        <w:gridCol w:w="4474"/>
        <w:gridCol w:w="832"/>
        <w:gridCol w:w="761"/>
      </w:tblGrid>
      <w:tr w14:paraId="26087D03">
        <w:tblPrEx>
          <w:tblCellMar>
            <w:top w:w="0" w:type="dxa"/>
            <w:left w:w="108" w:type="dxa"/>
            <w:bottom w:w="0" w:type="dxa"/>
            <w:right w:w="108" w:type="dxa"/>
          </w:tblCellMar>
        </w:tblPrEx>
        <w:trPr>
          <w:trHeight w:val="748" w:hRule="atLeast"/>
          <w:jc w:val="center"/>
        </w:trPr>
        <w:tc>
          <w:tcPr>
            <w:tcW w:w="0" w:type="auto"/>
            <w:tcBorders>
              <w:top w:val="single" w:color="000000" w:sz="8" w:space="0"/>
              <w:left w:val="single" w:color="000000" w:sz="8" w:space="0"/>
              <w:bottom w:val="single" w:color="000000" w:sz="4" w:space="0"/>
              <w:right w:val="single" w:color="000000" w:sz="4" w:space="0"/>
            </w:tcBorders>
            <w:shd w:val="clear" w:color="FFFFFF" w:fill="FFFFFF"/>
            <w:vAlign w:val="center"/>
          </w:tcPr>
          <w:p w14:paraId="42F0A1D6">
            <w:pPr>
              <w:widowControl/>
              <w:jc w:val="center"/>
              <w:textAlignment w:val="center"/>
              <w:rPr>
                <w:rFonts w:ascii="宋体" w:hAnsi="宋体" w:cs="宋体"/>
                <w:color w:val="000000"/>
                <w:szCs w:val="21"/>
              </w:rPr>
            </w:pPr>
            <w:r>
              <w:rPr>
                <w:rFonts w:hint="eastAsia" w:ascii="宋体" w:hAnsi="宋体" w:cs="宋体"/>
                <w:color w:val="000000"/>
                <w:kern w:val="0"/>
                <w:szCs w:val="21"/>
              </w:rPr>
              <w:t>序号</w:t>
            </w:r>
          </w:p>
        </w:tc>
        <w:tc>
          <w:tcPr>
            <w:tcW w:w="0" w:type="auto"/>
            <w:tcBorders>
              <w:top w:val="single" w:color="000000" w:sz="8" w:space="0"/>
              <w:left w:val="single" w:color="000000" w:sz="4" w:space="0"/>
              <w:bottom w:val="single" w:color="000000" w:sz="4" w:space="0"/>
              <w:right w:val="single" w:color="000000" w:sz="4" w:space="0"/>
            </w:tcBorders>
            <w:shd w:val="clear" w:color="FFFFFF" w:fill="FFFFFF"/>
            <w:vAlign w:val="center"/>
          </w:tcPr>
          <w:p w14:paraId="73847C90">
            <w:pPr>
              <w:widowControl/>
              <w:jc w:val="center"/>
              <w:textAlignment w:val="center"/>
              <w:rPr>
                <w:rFonts w:ascii="宋体" w:hAnsi="宋体" w:cs="宋体"/>
                <w:color w:val="000000"/>
                <w:szCs w:val="21"/>
              </w:rPr>
            </w:pPr>
            <w:r>
              <w:rPr>
                <w:rFonts w:hint="eastAsia" w:ascii="宋体" w:hAnsi="宋体" w:cs="宋体"/>
                <w:color w:val="000000"/>
                <w:kern w:val="0"/>
                <w:szCs w:val="21"/>
              </w:rPr>
              <w:t>名称</w:t>
            </w:r>
          </w:p>
        </w:tc>
        <w:tc>
          <w:tcPr>
            <w:tcW w:w="4474"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6B2CA989">
            <w:pPr>
              <w:widowControl/>
              <w:jc w:val="center"/>
              <w:textAlignment w:val="center"/>
              <w:rPr>
                <w:rFonts w:ascii="宋体" w:hAnsi="宋体" w:cs="宋体"/>
                <w:color w:val="000000"/>
                <w:szCs w:val="21"/>
              </w:rPr>
            </w:pPr>
            <w:r>
              <w:rPr>
                <w:rFonts w:hint="eastAsia" w:ascii="宋体" w:hAnsi="宋体" w:cs="宋体"/>
                <w:color w:val="000000"/>
                <w:kern w:val="0"/>
                <w:sz w:val="24"/>
              </w:rPr>
              <w:t>服务内容</w:t>
            </w:r>
          </w:p>
        </w:tc>
        <w:tc>
          <w:tcPr>
            <w:tcW w:w="832"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1C72EEAF">
            <w:pPr>
              <w:widowControl/>
              <w:jc w:val="center"/>
              <w:textAlignment w:val="center"/>
              <w:rPr>
                <w:rFonts w:hint="eastAsia" w:ascii="宋体" w:hAnsi="宋体" w:cs="宋体" w:eastAsiaTheme="minorEastAsia"/>
                <w:color w:val="000000"/>
                <w:kern w:val="0"/>
                <w:sz w:val="21"/>
                <w:szCs w:val="21"/>
                <w:lang w:val="en-US" w:eastAsia="zh-CN" w:bidi="ar-SA"/>
              </w:rPr>
            </w:pPr>
            <w:r>
              <w:rPr>
                <w:rFonts w:hint="eastAsia" w:ascii="宋体" w:hAnsi="宋体" w:cs="宋体"/>
                <w:color w:val="000000"/>
                <w:kern w:val="0"/>
                <w:szCs w:val="21"/>
                <w:lang w:eastAsia="zh-CN"/>
              </w:rPr>
              <w:t>单价</w:t>
            </w:r>
            <w:r>
              <w:rPr>
                <w:rFonts w:hint="eastAsia" w:ascii="宋体" w:hAnsi="宋体" w:cs="宋体"/>
                <w:color w:val="000000"/>
                <w:kern w:val="0"/>
                <w:szCs w:val="21"/>
              </w:rPr>
              <w:t>/元</w:t>
            </w:r>
          </w:p>
        </w:tc>
        <w:tc>
          <w:tcPr>
            <w:tcW w:w="761"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114F4F38">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总价/元</w:t>
            </w:r>
          </w:p>
        </w:tc>
      </w:tr>
      <w:tr w14:paraId="7506346F">
        <w:tblPrEx>
          <w:tblCellMar>
            <w:top w:w="0" w:type="dxa"/>
            <w:left w:w="108" w:type="dxa"/>
            <w:bottom w:w="0" w:type="dxa"/>
            <w:right w:w="108" w:type="dxa"/>
          </w:tblCellMar>
        </w:tblPrEx>
        <w:trPr>
          <w:trHeight w:val="5742" w:hRule="atLeast"/>
          <w:jc w:val="center"/>
        </w:trPr>
        <w:tc>
          <w:tcPr>
            <w:tcW w:w="0" w:type="auto"/>
            <w:tcBorders>
              <w:top w:val="single" w:color="000000" w:sz="4" w:space="0"/>
              <w:left w:val="single" w:color="000000" w:sz="8" w:space="0"/>
              <w:bottom w:val="single" w:color="000000" w:sz="4" w:space="0"/>
              <w:right w:val="single" w:color="000000" w:sz="4" w:space="0"/>
            </w:tcBorders>
            <w:vAlign w:val="center"/>
          </w:tcPr>
          <w:p w14:paraId="7B960B45">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0" w:type="auto"/>
            <w:tcBorders>
              <w:top w:val="single" w:color="000000" w:sz="4" w:space="0"/>
              <w:left w:val="single" w:color="000000" w:sz="4" w:space="0"/>
              <w:bottom w:val="single" w:color="000000" w:sz="4" w:space="0"/>
              <w:right w:val="single" w:color="000000" w:sz="4" w:space="0"/>
            </w:tcBorders>
            <w:vAlign w:val="center"/>
          </w:tcPr>
          <w:p w14:paraId="0324E1E9">
            <w:pPr>
              <w:widowControl/>
              <w:jc w:val="center"/>
              <w:textAlignment w:val="center"/>
              <w:rPr>
                <w:rFonts w:ascii="宋体" w:hAnsi="宋体" w:cs="宋体"/>
                <w:color w:val="000000"/>
                <w:szCs w:val="21"/>
              </w:rPr>
            </w:pPr>
            <w:r>
              <w:rPr>
                <w:rFonts w:ascii="宋体" w:hAnsi="宋体" w:cs="宋体"/>
                <w:color w:val="000000"/>
                <w:szCs w:val="21"/>
              </w:rPr>
              <w:t>启东市机关事务服务中心干粉灭火器到期充装项目</w:t>
            </w:r>
          </w:p>
        </w:tc>
        <w:tc>
          <w:tcPr>
            <w:tcW w:w="4474" w:type="dxa"/>
            <w:tcBorders>
              <w:top w:val="single" w:color="000000" w:sz="4" w:space="0"/>
              <w:left w:val="single" w:color="000000" w:sz="4" w:space="0"/>
              <w:bottom w:val="single" w:color="000000" w:sz="4" w:space="0"/>
              <w:right w:val="single" w:color="000000" w:sz="4" w:space="0"/>
            </w:tcBorders>
            <w:vAlign w:val="center"/>
          </w:tcPr>
          <w:p w14:paraId="7C93396B">
            <w:pPr>
              <w:pStyle w:val="5"/>
              <w:widowControl/>
              <w:shd w:val="clear" w:color="auto" w:fill="FFFFFF"/>
              <w:spacing w:before="0" w:beforeAutospacing="0" w:after="0" w:afterAutospacing="0" w:line="480" w:lineRule="exact"/>
              <w:rPr>
                <w:rFonts w:ascii="宋体" w:hAnsi="宋体" w:cs="宋体"/>
                <w:color w:val="000000"/>
                <w:sz w:val="21"/>
                <w:szCs w:val="21"/>
              </w:rPr>
            </w:pPr>
            <w:r>
              <w:rPr>
                <w:rFonts w:ascii="宋体" w:hAnsi="宋体" w:cs="宋体"/>
                <w:color w:val="000000"/>
                <w:sz w:val="21"/>
                <w:szCs w:val="21"/>
              </w:rPr>
              <w:t>对启东市机关事务服务中心1638只干粉灭火器（规格型号：MFZ/ABC3）进行到期充装</w:t>
            </w:r>
          </w:p>
        </w:tc>
        <w:tc>
          <w:tcPr>
            <w:tcW w:w="832" w:type="dxa"/>
            <w:tcBorders>
              <w:top w:val="single" w:color="000000" w:sz="4" w:space="0"/>
              <w:left w:val="single" w:color="000000" w:sz="4" w:space="0"/>
              <w:bottom w:val="single" w:color="000000" w:sz="4" w:space="0"/>
              <w:right w:val="single" w:color="000000" w:sz="4" w:space="0"/>
            </w:tcBorders>
            <w:vAlign w:val="center"/>
          </w:tcPr>
          <w:p w14:paraId="04D5BDA2">
            <w:pPr>
              <w:widowControl/>
              <w:jc w:val="center"/>
              <w:textAlignment w:val="center"/>
              <w:rPr>
                <w:rFonts w:ascii="宋体" w:hAnsi="宋体" w:cs="宋体"/>
                <w:color w:val="000000"/>
                <w:szCs w:val="21"/>
              </w:rPr>
            </w:pPr>
          </w:p>
        </w:tc>
        <w:tc>
          <w:tcPr>
            <w:tcW w:w="761" w:type="dxa"/>
            <w:tcBorders>
              <w:top w:val="single" w:color="000000" w:sz="4" w:space="0"/>
              <w:left w:val="single" w:color="000000" w:sz="4" w:space="0"/>
              <w:bottom w:val="single" w:color="000000" w:sz="4" w:space="0"/>
              <w:right w:val="single" w:color="auto" w:sz="4" w:space="0"/>
            </w:tcBorders>
            <w:vAlign w:val="center"/>
          </w:tcPr>
          <w:p w14:paraId="4C0F6205">
            <w:pPr>
              <w:widowControl/>
              <w:jc w:val="center"/>
              <w:textAlignment w:val="center"/>
              <w:rPr>
                <w:rFonts w:ascii="宋体" w:hAnsi="宋体" w:cs="宋体"/>
                <w:color w:val="000000"/>
                <w:kern w:val="0"/>
                <w:szCs w:val="21"/>
              </w:rPr>
            </w:pPr>
          </w:p>
        </w:tc>
      </w:tr>
      <w:tr w14:paraId="0A37F838">
        <w:tblPrEx>
          <w:tblCellMar>
            <w:top w:w="0" w:type="dxa"/>
            <w:left w:w="108" w:type="dxa"/>
            <w:bottom w:w="0" w:type="dxa"/>
            <w:right w:w="108" w:type="dxa"/>
          </w:tblCellMar>
        </w:tblPrEx>
        <w:trPr>
          <w:trHeight w:val="657" w:hRule="atLeast"/>
          <w:jc w:val="center"/>
        </w:trPr>
        <w:tc>
          <w:tcPr>
            <w:tcW w:w="0" w:type="auto"/>
            <w:tcBorders>
              <w:top w:val="single" w:color="000000" w:sz="4" w:space="0"/>
              <w:left w:val="single" w:color="000000" w:sz="8" w:space="0"/>
              <w:bottom w:val="single" w:color="000000" w:sz="4" w:space="0"/>
              <w:right w:val="single" w:color="000000" w:sz="4" w:space="0"/>
            </w:tcBorders>
            <w:vAlign w:val="center"/>
          </w:tcPr>
          <w:p w14:paraId="53A551B8">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w:t>
            </w:r>
          </w:p>
        </w:tc>
        <w:tc>
          <w:tcPr>
            <w:tcW w:w="0" w:type="auto"/>
            <w:tcBorders>
              <w:top w:val="single" w:color="000000" w:sz="4" w:space="0"/>
              <w:left w:val="single" w:color="000000" w:sz="4" w:space="0"/>
              <w:bottom w:val="single" w:color="000000" w:sz="4" w:space="0"/>
              <w:right w:val="single" w:color="000000" w:sz="4" w:space="0"/>
            </w:tcBorders>
            <w:vAlign w:val="center"/>
          </w:tcPr>
          <w:p w14:paraId="67B025AF">
            <w:pPr>
              <w:widowControl/>
              <w:jc w:val="center"/>
              <w:textAlignment w:val="center"/>
              <w:rPr>
                <w:rFonts w:ascii="宋体" w:hAnsi="宋体" w:cs="宋体"/>
                <w:szCs w:val="21"/>
              </w:rPr>
            </w:pPr>
            <w:r>
              <w:rPr>
                <w:rFonts w:hint="eastAsia" w:ascii="宋体" w:hAnsi="宋体" w:cs="宋体"/>
                <w:szCs w:val="21"/>
              </w:rPr>
              <w:t>合计</w:t>
            </w:r>
          </w:p>
        </w:tc>
        <w:tc>
          <w:tcPr>
            <w:tcW w:w="6067" w:type="dxa"/>
            <w:gridSpan w:val="3"/>
            <w:tcBorders>
              <w:top w:val="single" w:color="000000" w:sz="4" w:space="0"/>
              <w:left w:val="single" w:color="000000" w:sz="4" w:space="0"/>
              <w:bottom w:val="single" w:color="000000" w:sz="4" w:space="0"/>
              <w:right w:val="single" w:color="auto" w:sz="4" w:space="0"/>
            </w:tcBorders>
            <w:vAlign w:val="center"/>
          </w:tcPr>
          <w:p w14:paraId="271BFCBC">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大写：                  小写：</w:t>
            </w:r>
          </w:p>
        </w:tc>
      </w:tr>
    </w:tbl>
    <w:p w14:paraId="4B0FDC58">
      <w:pPr>
        <w:spacing w:beforeLines="100" w:line="420" w:lineRule="exact"/>
        <w:ind w:right="1916"/>
        <w:rPr>
          <w:rFonts w:ascii="宋体" w:hAnsi="宋体" w:eastAsia="宋体" w:cs="宋体"/>
          <w:color w:val="000000"/>
          <w:sz w:val="30"/>
          <w:szCs w:val="30"/>
        </w:rPr>
      </w:pPr>
    </w:p>
    <w:p w14:paraId="59422570">
      <w:pPr>
        <w:spacing w:beforeLines="100" w:line="420" w:lineRule="exact"/>
        <w:ind w:right="1916"/>
        <w:rPr>
          <w:rFonts w:ascii="宋体" w:hAnsi="宋体" w:eastAsia="宋体" w:cs="宋体"/>
          <w:color w:val="000000"/>
          <w:sz w:val="30"/>
          <w:szCs w:val="30"/>
          <w:u w:val="single"/>
        </w:rPr>
      </w:pPr>
      <w:r>
        <w:rPr>
          <w:rFonts w:hint="eastAsia" w:ascii="宋体" w:hAnsi="宋体" w:eastAsia="宋体" w:cs="宋体"/>
          <w:color w:val="000000"/>
          <w:sz w:val="30"/>
          <w:szCs w:val="30"/>
        </w:rPr>
        <w:t xml:space="preserve">报价单位（盖章）： </w:t>
      </w:r>
    </w:p>
    <w:p w14:paraId="391F1E23">
      <w:pPr>
        <w:spacing w:beforeLines="100" w:line="420" w:lineRule="exact"/>
        <w:ind w:right="1916"/>
        <w:rPr>
          <w:rFonts w:ascii="宋体" w:hAnsi="宋体" w:eastAsia="宋体" w:cs="宋体"/>
          <w:color w:val="000000"/>
          <w:sz w:val="30"/>
          <w:szCs w:val="30"/>
        </w:rPr>
      </w:pPr>
      <w:r>
        <w:rPr>
          <w:rFonts w:hint="eastAsia" w:ascii="宋体" w:hAnsi="宋体" w:eastAsia="宋体" w:cs="宋体"/>
          <w:color w:val="000000"/>
          <w:sz w:val="30"/>
          <w:szCs w:val="30"/>
        </w:rPr>
        <w:t xml:space="preserve">联系人：             </w:t>
      </w:r>
    </w:p>
    <w:p w14:paraId="4A1AD059">
      <w:pPr>
        <w:spacing w:beforeLines="100" w:line="420" w:lineRule="exact"/>
        <w:ind w:right="1916"/>
        <w:rPr>
          <w:rFonts w:ascii="宋体" w:hAnsi="宋体" w:eastAsia="宋体" w:cs="宋体"/>
          <w:color w:val="000000"/>
          <w:sz w:val="30"/>
          <w:szCs w:val="30"/>
        </w:rPr>
      </w:pPr>
      <w:r>
        <w:rPr>
          <w:rFonts w:hint="eastAsia" w:ascii="宋体" w:hAnsi="宋体" w:eastAsia="宋体" w:cs="宋体"/>
          <w:color w:val="000000"/>
          <w:sz w:val="30"/>
          <w:szCs w:val="30"/>
        </w:rPr>
        <w:t>联系电话：</w:t>
      </w:r>
    </w:p>
    <w:p w14:paraId="7B57465A">
      <w:pPr>
        <w:spacing w:beforeLines="100" w:line="420" w:lineRule="exact"/>
        <w:ind w:right="1916"/>
        <w:rPr>
          <w:rFonts w:ascii="宋体" w:hAnsi="宋体" w:eastAsia="宋体" w:cs="宋体"/>
          <w:color w:val="000000"/>
          <w:sz w:val="30"/>
          <w:szCs w:val="30"/>
        </w:rPr>
      </w:pPr>
      <w:r>
        <w:rPr>
          <w:rFonts w:hint="eastAsia" w:ascii="宋体" w:hAnsi="宋体" w:eastAsia="宋体" w:cs="宋体"/>
          <w:color w:val="000000"/>
          <w:sz w:val="30"/>
          <w:szCs w:val="30"/>
        </w:rPr>
        <w:t xml:space="preserve">时间： </w:t>
      </w:r>
      <w:r>
        <w:rPr>
          <w:rFonts w:hint="eastAsia" w:ascii="宋体" w:hAnsi="宋体" w:eastAsia="宋体" w:cs="宋体"/>
          <w:color w:val="000000"/>
          <w:sz w:val="30"/>
          <w:szCs w:val="30"/>
          <w:lang w:val="en-US" w:eastAsia="zh-CN"/>
        </w:rPr>
        <w:t xml:space="preserve">   </w:t>
      </w:r>
      <w:r>
        <w:rPr>
          <w:rFonts w:hint="eastAsia" w:ascii="宋体" w:hAnsi="宋体" w:eastAsia="宋体" w:cs="宋体"/>
          <w:color w:val="000000"/>
          <w:sz w:val="30"/>
          <w:szCs w:val="30"/>
        </w:rPr>
        <w:t xml:space="preserve"> 年    月    日</w:t>
      </w:r>
    </w:p>
    <w:p w14:paraId="6B088A34">
      <w:pPr>
        <w:spacing w:line="500" w:lineRule="exact"/>
        <w:jc w:val="right"/>
        <w:rPr>
          <w:rFonts w:ascii="方正仿宋_GB2312" w:hAnsi="方正仿宋_GB2312" w:eastAsia="方正仿宋_GB2312" w:cs="方正仿宋_GB2312"/>
          <w:sz w:val="30"/>
          <w:szCs w:val="30"/>
        </w:rPr>
      </w:pPr>
    </w:p>
    <w:p w14:paraId="78EAD386">
      <w:pPr>
        <w:spacing w:line="500" w:lineRule="exact"/>
        <w:jc w:val="right"/>
        <w:rPr>
          <w:rFonts w:ascii="方正仿宋_GB2312" w:hAnsi="方正仿宋_GB2312" w:eastAsia="方正仿宋_GB2312" w:cs="方正仿宋_GB2312"/>
          <w:sz w:val="30"/>
          <w:szCs w:val="30"/>
        </w:rPr>
      </w:pPr>
    </w:p>
    <w:p w14:paraId="34BCFF59">
      <w:pPr>
        <w:spacing w:line="500" w:lineRule="exact"/>
        <w:jc w:val="right"/>
        <w:rPr>
          <w:rFonts w:ascii="方正仿宋_GB2312" w:hAnsi="方正仿宋_GB2312" w:eastAsia="方正仿宋_GB2312" w:cs="方正仿宋_GB2312"/>
          <w:sz w:val="30"/>
          <w:szCs w:val="30"/>
        </w:rPr>
      </w:pPr>
    </w:p>
    <w:p w14:paraId="26059C8B">
      <w:pPr>
        <w:widowControl/>
        <w:spacing w:after="100" w:afterAutospacing="1" w:line="500" w:lineRule="atLeast"/>
        <w:jc w:val="left"/>
        <w:rPr>
          <w:rFonts w:ascii="宋体" w:hAnsi="宋体" w:cs="宋体"/>
          <w:sz w:val="32"/>
          <w:szCs w:val="32"/>
        </w:rPr>
      </w:pPr>
      <w:r>
        <w:rPr>
          <w:rFonts w:hint="eastAsia" w:ascii="宋体" w:hAnsi="宋体" w:cs="宋体"/>
          <w:sz w:val="32"/>
          <w:szCs w:val="32"/>
        </w:rPr>
        <w:t>附件2</w:t>
      </w:r>
    </w:p>
    <w:p w14:paraId="11261914">
      <w:pPr>
        <w:spacing w:line="440" w:lineRule="exact"/>
        <w:ind w:firstLine="602" w:firstLineChars="200"/>
        <w:jc w:val="center"/>
        <w:rPr>
          <w:rFonts w:ascii="宋体" w:hAnsi="宋体" w:eastAsia="宋体" w:cs="宋体"/>
          <w:b/>
          <w:kern w:val="0"/>
          <w:sz w:val="24"/>
        </w:rPr>
      </w:pPr>
      <w:r>
        <w:rPr>
          <w:rFonts w:hint="eastAsia" w:ascii="宋体" w:hAnsi="宋体" w:eastAsia="宋体" w:cs="宋体"/>
          <w:b/>
          <w:sz w:val="30"/>
          <w:szCs w:val="30"/>
        </w:rPr>
        <w:t>参加政府采购活动前 3 年内在经营活动中没有重大违法记</w:t>
      </w:r>
      <w:r>
        <w:rPr>
          <w:rFonts w:hint="eastAsia" w:ascii="宋体" w:hAnsi="宋体" w:eastAsia="宋体" w:cs="宋体"/>
          <w:b/>
          <w:bCs/>
          <w:sz w:val="30"/>
          <w:szCs w:val="30"/>
        </w:rPr>
        <w:t>录和失信记录的书面声明</w:t>
      </w:r>
    </w:p>
    <w:p w14:paraId="0753D58B">
      <w:pPr>
        <w:spacing w:line="440" w:lineRule="exact"/>
        <w:rPr>
          <w:rFonts w:ascii="宋体" w:hAnsi="宋体" w:eastAsia="宋体" w:cs="宋体"/>
          <w:b/>
          <w:sz w:val="44"/>
          <w:szCs w:val="44"/>
        </w:rPr>
      </w:pPr>
      <w:r>
        <w:rPr>
          <w:rFonts w:hint="eastAsia" w:ascii="宋体" w:hAnsi="宋体" w:eastAsia="宋体" w:cs="宋体"/>
          <w:b/>
          <w:sz w:val="24"/>
        </w:rPr>
        <w:t xml:space="preserve">                       </w:t>
      </w:r>
      <w:r>
        <w:rPr>
          <w:rFonts w:hint="eastAsia" w:ascii="宋体" w:hAnsi="宋体" w:eastAsia="宋体" w:cs="宋体"/>
          <w:b/>
          <w:sz w:val="44"/>
          <w:szCs w:val="44"/>
        </w:rPr>
        <w:t xml:space="preserve">   </w:t>
      </w:r>
    </w:p>
    <w:p w14:paraId="7A819158">
      <w:pPr>
        <w:spacing w:line="440" w:lineRule="exact"/>
        <w:jc w:val="center"/>
        <w:rPr>
          <w:rFonts w:ascii="宋体" w:hAnsi="宋体" w:eastAsia="宋体" w:cs="宋体"/>
          <w:b/>
          <w:sz w:val="44"/>
          <w:szCs w:val="44"/>
        </w:rPr>
      </w:pPr>
      <w:r>
        <w:rPr>
          <w:rFonts w:hint="eastAsia" w:ascii="宋体" w:hAnsi="宋体" w:eastAsia="宋体" w:cs="宋体"/>
          <w:b/>
          <w:sz w:val="44"/>
          <w:szCs w:val="44"/>
        </w:rPr>
        <w:t>声  明</w:t>
      </w:r>
    </w:p>
    <w:p w14:paraId="03587843">
      <w:pPr>
        <w:spacing w:line="440" w:lineRule="exact"/>
        <w:ind w:firstLine="881"/>
        <w:jc w:val="center"/>
        <w:rPr>
          <w:rFonts w:ascii="宋体" w:hAnsi="宋体" w:eastAsia="宋体" w:cs="宋体"/>
          <w:b/>
          <w:sz w:val="44"/>
          <w:szCs w:val="44"/>
        </w:rPr>
      </w:pPr>
    </w:p>
    <w:p w14:paraId="3ABDD421">
      <w:pPr>
        <w:spacing w:line="600" w:lineRule="exact"/>
        <w:ind w:firstLine="482"/>
        <w:rPr>
          <w:rFonts w:ascii="宋体" w:hAnsi="宋体" w:eastAsia="宋体" w:cs="宋体"/>
          <w:bCs/>
          <w:sz w:val="28"/>
          <w:szCs w:val="28"/>
        </w:rPr>
      </w:pPr>
      <w:r>
        <w:rPr>
          <w:rFonts w:hint="eastAsia" w:ascii="宋体" w:hAnsi="宋体" w:eastAsia="宋体" w:cs="宋体"/>
          <w:bCs/>
          <w:sz w:val="28"/>
          <w:szCs w:val="28"/>
        </w:rPr>
        <w:t>我公司郑重声明：参加本次政府采购活动前 3 年内，我公司在经营活动中没有因违法经营受到刑事处罚或者责令停产停业、吊销许可证或者执照、较大数额罚款等行政处罚。</w:t>
      </w:r>
    </w:p>
    <w:p w14:paraId="1D2C6737">
      <w:pPr>
        <w:spacing w:line="600" w:lineRule="exact"/>
        <w:ind w:firstLine="482"/>
        <w:rPr>
          <w:rFonts w:ascii="宋体" w:hAnsi="宋体" w:eastAsia="宋体" w:cs="宋体"/>
          <w:sz w:val="28"/>
          <w:szCs w:val="28"/>
        </w:rPr>
      </w:pPr>
      <w:r>
        <w:rPr>
          <w:rFonts w:hint="eastAsia" w:ascii="宋体" w:hAnsi="宋体" w:eastAsia="宋体" w:cs="宋体"/>
          <w:bCs/>
          <w:sz w:val="28"/>
          <w:szCs w:val="28"/>
        </w:rPr>
        <w:t>在</w:t>
      </w:r>
      <w:r>
        <w:rPr>
          <w:rFonts w:hint="eastAsia" w:ascii="宋体" w:hAnsi="宋体" w:eastAsia="宋体" w:cs="宋体"/>
          <w:sz w:val="28"/>
          <w:szCs w:val="28"/>
        </w:rPr>
        <w:t>投标截止时间节点，没有被“信用中国”、“中国政府采购网”、“信用江苏”网站列入失信被执行人、重大税收违法案件当事人名单、政府采购严重违法失信行为记录名单。</w:t>
      </w:r>
    </w:p>
    <w:p w14:paraId="42B1F424">
      <w:pPr>
        <w:pStyle w:val="4"/>
        <w:rPr>
          <w:rFonts w:ascii="宋体" w:hAnsi="宋体" w:eastAsia="宋体" w:cs="宋体"/>
          <w:sz w:val="28"/>
          <w:szCs w:val="28"/>
        </w:rPr>
      </w:pPr>
    </w:p>
    <w:p w14:paraId="1DE2657A">
      <w:pPr>
        <w:pStyle w:val="4"/>
        <w:rPr>
          <w:rFonts w:ascii="宋体" w:hAnsi="宋体" w:eastAsia="宋体" w:cs="宋体"/>
          <w:sz w:val="28"/>
          <w:szCs w:val="28"/>
        </w:rPr>
      </w:pPr>
    </w:p>
    <w:p w14:paraId="2AFE74B2">
      <w:pPr>
        <w:spacing w:line="440" w:lineRule="exact"/>
        <w:rPr>
          <w:rFonts w:ascii="宋体" w:hAnsi="宋体" w:eastAsia="宋体" w:cs="宋体"/>
          <w:bCs/>
          <w:sz w:val="28"/>
          <w:szCs w:val="28"/>
          <w:u w:val="single"/>
        </w:rPr>
      </w:pPr>
      <w:r>
        <w:rPr>
          <w:rFonts w:hint="eastAsia" w:ascii="宋体" w:hAnsi="宋体" w:eastAsia="宋体" w:cs="宋体"/>
          <w:bCs/>
          <w:sz w:val="28"/>
          <w:szCs w:val="28"/>
        </w:rPr>
        <w:t xml:space="preserve">                          单位名称（盖公章）：</w:t>
      </w:r>
      <w:r>
        <w:rPr>
          <w:rFonts w:hint="eastAsia" w:ascii="宋体" w:hAnsi="宋体" w:eastAsia="宋体" w:cs="宋体"/>
          <w:bCs/>
          <w:sz w:val="28"/>
          <w:szCs w:val="28"/>
          <w:u w:val="single"/>
        </w:rPr>
        <w:t xml:space="preserve">           </w:t>
      </w:r>
    </w:p>
    <w:p w14:paraId="74023518">
      <w:pPr>
        <w:spacing w:line="440" w:lineRule="exact"/>
        <w:rPr>
          <w:rFonts w:ascii="宋体" w:hAnsi="宋体" w:eastAsia="宋体" w:cs="宋体"/>
          <w:bCs/>
          <w:sz w:val="28"/>
          <w:szCs w:val="28"/>
        </w:rPr>
      </w:pPr>
      <w:r>
        <w:rPr>
          <w:rFonts w:hint="eastAsia" w:ascii="宋体" w:hAnsi="宋体" w:eastAsia="宋体" w:cs="宋体"/>
          <w:bCs/>
          <w:sz w:val="28"/>
          <w:szCs w:val="28"/>
        </w:rPr>
        <w:t xml:space="preserve">             </w:t>
      </w:r>
      <w:r>
        <w:rPr>
          <w:rFonts w:hint="eastAsia" w:ascii="宋体" w:hAnsi="宋体" w:eastAsia="宋体" w:cs="宋体"/>
          <w:sz w:val="28"/>
          <w:szCs w:val="28"/>
        </w:rPr>
        <w:t>法定代表人或被授权人（签字或盖章）：</w:t>
      </w:r>
      <w:r>
        <w:rPr>
          <w:rFonts w:hint="eastAsia" w:ascii="宋体" w:hAnsi="宋体" w:eastAsia="宋体" w:cs="宋体"/>
          <w:bCs/>
          <w:sz w:val="28"/>
          <w:szCs w:val="28"/>
        </w:rPr>
        <w:t>_________</w:t>
      </w:r>
    </w:p>
    <w:p w14:paraId="70C78E54">
      <w:pPr>
        <w:pStyle w:val="4"/>
      </w:pPr>
      <w:r>
        <w:rPr>
          <w:rFonts w:hint="eastAsia" w:ascii="宋体" w:hAnsi="宋体" w:eastAsia="宋体" w:cs="宋体"/>
          <w:bCs/>
          <w:sz w:val="28"/>
          <w:szCs w:val="28"/>
        </w:rPr>
        <w:t xml:space="preserve">                           日期：______年</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月</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日</w:t>
      </w:r>
    </w:p>
    <w:p w14:paraId="1E33CACA">
      <w:pPr>
        <w:rPr>
          <w:rFonts w:hint="eastAsia" w:ascii="仿宋" w:hAnsi="仿宋" w:eastAsia="仿宋" w:cs="仿宋"/>
          <w:sz w:val="32"/>
          <w:szCs w:val="32"/>
          <w:lang w:eastAsia="zh-CN"/>
        </w:rPr>
        <w:sectPr>
          <w:pgSz w:w="11906" w:h="16838"/>
          <w:pgMar w:top="1440" w:right="1406" w:bottom="1440" w:left="1576" w:header="851" w:footer="992" w:gutter="0"/>
          <w:cols w:space="720" w:num="1"/>
          <w:docGrid w:type="lines" w:linePitch="312" w:charSpace="0"/>
        </w:sectPr>
      </w:pPr>
    </w:p>
    <w:p w14:paraId="52FD0851">
      <w:pPr>
        <w:rPr>
          <w:rFonts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New Baskerville">
    <w:altName w:val="宋体"/>
    <w:panose1 w:val="00000000000000000000"/>
    <w:charset w:val="86"/>
    <w:family w:val="roman"/>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2312">
    <w:altName w:val="仿宋"/>
    <w:panose1 w:val="00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699CA">
    <w:pPr>
      <w:pStyle w:val="14"/>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S5dvDtYBAAC1AwAADgAAAAAAAAABACAAAAAe&#10;AQAAZHJzL2Uyb0RvYy54bWxQSwUGAAAAAAYABgBZAQAAZgUAAAAA&#10;">
          <v:path/>
          <v:fill on="f" focussize="0,0"/>
          <v:stroke on="f" joinstyle="miter"/>
          <v:imagedata o:title=""/>
          <o:lock v:ext="edit"/>
          <v:textbox inset="0mm,0mm,0mm,0mm" style="mso-fit-shape-to-text:t;">
            <w:txbxContent>
              <w:p w14:paraId="20CABC86">
                <w:pPr>
                  <w:pStyle w:val="14"/>
                </w:pPr>
                <w:r>
                  <w:fldChar w:fldCharType="begin"/>
                </w:r>
                <w:r>
                  <w:instrText xml:space="preserve"> PAGE  \* MERGEFORMAT </w:instrText>
                </w:r>
                <w:r>
                  <w:fldChar w:fldCharType="separate"/>
                </w:r>
                <w:r>
                  <w:t>3</w:t>
                </w:r>
                <w:r>
                  <w:fldChar w:fldCharType="end"/>
                </w:r>
              </w:p>
              <w:p w14:paraId="02A14AE5"/>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867AFD"/>
    <w:multiLevelType w:val="singleLevel"/>
    <w:tmpl w:val="FB867AF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YTY1NzMwZTVlMzYxZGM0MThjNDUxY2YzYTI0ZTY2ZWEifQ=="/>
  </w:docVars>
  <w:rsids>
    <w:rsidRoot w:val="001E7AF9"/>
    <w:rsid w:val="00133387"/>
    <w:rsid w:val="001E7AF9"/>
    <w:rsid w:val="00586FBA"/>
    <w:rsid w:val="00D536EA"/>
    <w:rsid w:val="00D85E6F"/>
    <w:rsid w:val="016B7C73"/>
    <w:rsid w:val="02B734EB"/>
    <w:rsid w:val="043139DC"/>
    <w:rsid w:val="071F2612"/>
    <w:rsid w:val="08691418"/>
    <w:rsid w:val="099B7EFF"/>
    <w:rsid w:val="0BDC6D23"/>
    <w:rsid w:val="0DD405FA"/>
    <w:rsid w:val="0E3A1990"/>
    <w:rsid w:val="0E8B67DF"/>
    <w:rsid w:val="125C296C"/>
    <w:rsid w:val="13255286"/>
    <w:rsid w:val="13CC71DD"/>
    <w:rsid w:val="168801D3"/>
    <w:rsid w:val="179C5282"/>
    <w:rsid w:val="1ADB528D"/>
    <w:rsid w:val="1C810E97"/>
    <w:rsid w:val="1F3D58D3"/>
    <w:rsid w:val="1F4703B0"/>
    <w:rsid w:val="203C5B8B"/>
    <w:rsid w:val="207215AC"/>
    <w:rsid w:val="20DD266A"/>
    <w:rsid w:val="22EA5D72"/>
    <w:rsid w:val="23FA3D93"/>
    <w:rsid w:val="277F4CDB"/>
    <w:rsid w:val="28862099"/>
    <w:rsid w:val="2920429C"/>
    <w:rsid w:val="29E93790"/>
    <w:rsid w:val="2B520239"/>
    <w:rsid w:val="2B824D9A"/>
    <w:rsid w:val="2E960B5C"/>
    <w:rsid w:val="310F0CD5"/>
    <w:rsid w:val="34E36FA0"/>
    <w:rsid w:val="36415851"/>
    <w:rsid w:val="375515B4"/>
    <w:rsid w:val="384B5246"/>
    <w:rsid w:val="3EC712FD"/>
    <w:rsid w:val="3F2006FA"/>
    <w:rsid w:val="43C002EE"/>
    <w:rsid w:val="45B002FD"/>
    <w:rsid w:val="4645313C"/>
    <w:rsid w:val="471B06BA"/>
    <w:rsid w:val="47833F1C"/>
    <w:rsid w:val="48E5316C"/>
    <w:rsid w:val="4A1B48DF"/>
    <w:rsid w:val="4B7F2773"/>
    <w:rsid w:val="4ECD364D"/>
    <w:rsid w:val="52DD6942"/>
    <w:rsid w:val="544762D1"/>
    <w:rsid w:val="551C2A10"/>
    <w:rsid w:val="562837E7"/>
    <w:rsid w:val="56C90B3B"/>
    <w:rsid w:val="575F6AA5"/>
    <w:rsid w:val="57664CC0"/>
    <w:rsid w:val="577B4C0F"/>
    <w:rsid w:val="579655A5"/>
    <w:rsid w:val="5A12517D"/>
    <w:rsid w:val="5B767BC7"/>
    <w:rsid w:val="5C6C4B26"/>
    <w:rsid w:val="5C86208C"/>
    <w:rsid w:val="5F133EEE"/>
    <w:rsid w:val="667C62AE"/>
    <w:rsid w:val="668679EA"/>
    <w:rsid w:val="68C1269E"/>
    <w:rsid w:val="68C765FD"/>
    <w:rsid w:val="694110E9"/>
    <w:rsid w:val="694F3806"/>
    <w:rsid w:val="6BC23398"/>
    <w:rsid w:val="6C6C4AED"/>
    <w:rsid w:val="6E652F7D"/>
    <w:rsid w:val="6FD06CF4"/>
    <w:rsid w:val="701305FA"/>
    <w:rsid w:val="709C43B3"/>
    <w:rsid w:val="71237A52"/>
    <w:rsid w:val="7171103D"/>
    <w:rsid w:val="71F87130"/>
    <w:rsid w:val="76205DC2"/>
    <w:rsid w:val="762D3121"/>
    <w:rsid w:val="767B20DE"/>
    <w:rsid w:val="76EB7264"/>
    <w:rsid w:val="776E087D"/>
    <w:rsid w:val="7A1210B3"/>
    <w:rsid w:val="7ABC678B"/>
    <w:rsid w:val="7BDD2EF3"/>
    <w:rsid w:val="7E492AC2"/>
    <w:rsid w:val="7EC5039A"/>
    <w:rsid w:val="7FFE6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1"/>
    <w:qFormat/>
    <w:uiPriority w:val="1"/>
    <w:pPr>
      <w:spacing w:before="2"/>
      <w:ind w:left="718"/>
    </w:pPr>
    <w:rPr>
      <w:rFonts w:ascii="楷体" w:hAnsi="楷体" w:eastAsia="楷体" w:cs="楷体"/>
      <w:bCs/>
      <w:sz w:val="30"/>
      <w:szCs w:val="30"/>
      <w:lang w:val="zh-CN" w:bidi="zh-CN"/>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Title"/>
    <w:basedOn w:val="1"/>
    <w:qFormat/>
    <w:uiPriority w:val="0"/>
    <w:pPr>
      <w:spacing w:before="240" w:after="60"/>
      <w:jc w:val="center"/>
      <w:outlineLvl w:val="0"/>
    </w:pPr>
    <w:rPr>
      <w:rFonts w:ascii="Arial" w:hAnsi="Arial"/>
      <w:b/>
    </w:rPr>
  </w:style>
  <w:style w:type="paragraph" w:styleId="4">
    <w:name w:val="Body Text"/>
    <w:basedOn w:val="1"/>
    <w:next w:val="1"/>
    <w:qFormat/>
    <w:uiPriority w:val="0"/>
    <w:pPr>
      <w:spacing w:after="120"/>
    </w:pPr>
  </w:style>
  <w:style w:type="paragraph" w:styleId="5">
    <w:name w:val="Normal (Web)"/>
    <w:basedOn w:val="1"/>
    <w:unhideWhenUsed/>
    <w:qFormat/>
    <w:uiPriority w:val="99"/>
    <w:pPr>
      <w:spacing w:before="100" w:beforeAutospacing="1" w:after="100"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paragraph" w:customStyle="1" w:styleId="10">
    <w:name w:val="Default"/>
    <w:qFormat/>
    <w:uiPriority w:val="0"/>
    <w:pPr>
      <w:widowControl w:val="0"/>
      <w:autoSpaceDE w:val="0"/>
      <w:autoSpaceDN w:val="0"/>
      <w:adjustRightInd w:val="0"/>
    </w:pPr>
    <w:rPr>
      <w:rFonts w:ascii="New Baskerville" w:hAnsi="Times New Roman" w:eastAsia="New Baskerville" w:cs="New Baskerville"/>
      <w:color w:val="000000"/>
      <w:sz w:val="24"/>
      <w:szCs w:val="24"/>
      <w:lang w:val="en-US" w:eastAsia="zh-CN" w:bidi="ar-SA"/>
    </w:rPr>
  </w:style>
  <w:style w:type="paragraph" w:customStyle="1" w:styleId="11">
    <w:name w:val="文本块1"/>
    <w:basedOn w:val="1"/>
    <w:unhideWhenUsed/>
    <w:qFormat/>
    <w:uiPriority w:val="99"/>
    <w:pPr>
      <w:spacing w:after="120"/>
      <w:ind w:left="1440" w:right="1440"/>
    </w:pPr>
  </w:style>
  <w:style w:type="character" w:customStyle="1" w:styleId="12">
    <w:name w:val="NormalCharacter1"/>
    <w:semiHidden/>
    <w:qFormat/>
    <w:uiPriority w:val="0"/>
    <w:rPr>
      <w:sz w:val="21"/>
      <w:szCs w:val="24"/>
      <w:lang w:val="en-US" w:eastAsia="zh-CN" w:bidi="ar-SA"/>
    </w:rPr>
  </w:style>
  <w:style w:type="character" w:customStyle="1" w:styleId="13">
    <w:name w:val="NormalCharacter"/>
    <w:basedOn w:val="8"/>
    <w:qFormat/>
    <w:uiPriority w:val="99"/>
  </w:style>
  <w:style w:type="paragraph" w:customStyle="1" w:styleId="14">
    <w:name w:val="页脚1"/>
    <w:basedOn w:val="1"/>
    <w:qFormat/>
    <w:uiPriority w:val="99"/>
    <w:pPr>
      <w:tabs>
        <w:tab w:val="center" w:pos="4153"/>
        <w:tab w:val="right" w:pos="8306"/>
      </w:tabs>
      <w:jc w:val="left"/>
    </w:pPr>
    <w:rPr>
      <w:sz w:val="18"/>
      <w:szCs w:val="18"/>
      <w:lang w:eastAsia="en-US"/>
    </w:rPr>
  </w:style>
  <w:style w:type="character" w:customStyle="1" w:styleId="15">
    <w:name w:val="font61"/>
    <w:basedOn w:val="8"/>
    <w:qFormat/>
    <w:uiPriority w:val="0"/>
    <w:rPr>
      <w:rFonts w:hint="eastAsia" w:ascii="宋体" w:hAnsi="宋体" w:eastAsia="宋体" w:cs="宋体"/>
      <w:color w:val="000000"/>
      <w:sz w:val="22"/>
      <w:szCs w:val="22"/>
      <w:u w:val="none"/>
    </w:rPr>
  </w:style>
  <w:style w:type="character" w:customStyle="1" w:styleId="16">
    <w:name w:val="font2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2598</Words>
  <Characters>2732</Characters>
  <Lines>31</Lines>
  <Paragraphs>8</Paragraphs>
  <TotalTime>55</TotalTime>
  <ScaleCrop>false</ScaleCrop>
  <LinksUpToDate>false</LinksUpToDate>
  <CharactersWithSpaces>2898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2025-04-09T00:50:00Z</dcterms:created>
  <dc:creator>Lenovo</dc:creator>
  <cp:lastModifiedBy>She says</cp:lastModifiedBy>
  <dcterms:modified xsi:type="dcterms:W3CDTF">2025-08-21T02:12:02Z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863FA814A9D64AB4BFB48192DBAB20FE_13</vt:lpwstr>
  </property>
  <property fmtid="{D5CDD505-2E9C-101B-9397-08002B2CF9AE}" pid="4" name="KSOTemplateDocerSaveRecord">
    <vt:lpwstr>eyJoZGlkIjoiOWExZTE4MTg5MzYxMDk0ZjFiMzBhZTk5ODBkZWQxYmYiLCJ1c2VySWQiOiIzNDM1OTAxNDEifQ==</vt:lpwstr>
  </property>
</Properties>
</file>